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6DFAA" w14:textId="58AB56FF" w:rsidR="00FE42B5" w:rsidRDefault="009213DC">
      <w:pPr>
        <w:rPr>
          <w:rFonts w:ascii="Times New Roman" w:hAnsi="Times New Roman"/>
          <w:vanish/>
          <w:sz w:val="20"/>
          <w:szCs w:val="20"/>
        </w:rPr>
      </w:pPr>
      <w:r>
        <w:rPr>
          <w:rFonts w:ascii="Times New Roman" w:eastAsia="宋体" w:hAnsi="Times New Roman"/>
          <w:sz w:val="20"/>
          <w:szCs w:val="20"/>
        </w:rPr>
        <w:t xml:space="preserve"> </w:t>
      </w:r>
      <w:r>
        <w:rPr>
          <w:rFonts w:ascii="Times New Roman" w:eastAsia="宋体" w:hAnsi="Times New Roman"/>
          <w:vanish/>
          <w:sz w:val="20"/>
          <w:szCs w:val="20"/>
        </w:rPr>
        <w:t xml:space="preserve">false--12-31Q120200001326801P1Y2060000000.0000060.000006500000000041410000005000000000414100000024070000004450000002406000000445000000240700000044500000024060000004450000000 0001326801 2020-01-01 2020-03-31 0001326801 us-gaap:CommonClassBMember 2020-04-24 </w:t>
      </w:r>
      <w:r>
        <w:rPr>
          <w:rFonts w:ascii="Times New Roman" w:eastAsia="宋体" w:hAnsi="Times New Roman"/>
          <w:vanish/>
          <w:sz w:val="20"/>
          <w:szCs w:val="20"/>
        </w:rPr>
        <w:t>0001326801 us-gaap:CommonClassAMember 2020-04-24 0001326801 2019-12-31 0001326801 2020-03-31 0001326801 us-gaap:CommonClassBMember 2019-12-31 0001326801 us-gaap:CommonClassAMember 2020-03-31 0001326801 us-gaap:CommonClassAMember 2019-12-31 0001326801 us-ga</w:t>
      </w:r>
      <w:r>
        <w:rPr>
          <w:rFonts w:ascii="Times New Roman" w:eastAsia="宋体" w:hAnsi="Times New Roman"/>
          <w:vanish/>
          <w:sz w:val="20"/>
          <w:szCs w:val="20"/>
        </w:rPr>
        <w:t>ap:CommonClassBMember 2020-03-31 0001326801 2019-01-01 2019-03-31 0001326801 us-gaap:GeneralAndAdministrativeExpenseMember 2019-01-01 2019-03-31 0001326801 us-gaap:ResearchAndDevelopmentExpenseMember 2020-01-01 2020-03-31 0001326801 us-gaap:ResearchAndDeve</w:t>
      </w:r>
      <w:r>
        <w:rPr>
          <w:rFonts w:ascii="Times New Roman" w:eastAsia="宋体" w:hAnsi="Times New Roman"/>
          <w:vanish/>
          <w:sz w:val="20"/>
          <w:szCs w:val="20"/>
        </w:rPr>
        <w:t>lopmentExpenseMember 2019-01-01 2019-03-31 0001326801 us-gaap:GeneralAndAdministrativeExpenseMember 2020-01-01 2020-03-31 0001326801 us-gaap:CostOfSalesMember 2019-01-01 2019-03-31 0001326801 us-gaap:CostOfSalesMember 2020-01-01 2020-03-31 0001326801 us-ga</w:t>
      </w:r>
      <w:r>
        <w:rPr>
          <w:rFonts w:ascii="Times New Roman" w:eastAsia="宋体" w:hAnsi="Times New Roman"/>
          <w:vanish/>
          <w:sz w:val="20"/>
          <w:szCs w:val="20"/>
        </w:rPr>
        <w:t>ap:SellingAndMarketingExpenseMember 2020-01-01 2020-03-31 0001326801 us-gaap:SellingAndMarketingExpenseMember 2019-01-01 2019-03-31 0001326801 us-gaap:AdditionalPaidInCapitalMember 2019-01-01 2019-03-31 0001326801 us-gaap:AdditionalPaidInCapitalMember 2020</w:t>
      </w:r>
      <w:r>
        <w:rPr>
          <w:rFonts w:ascii="Times New Roman" w:eastAsia="宋体" w:hAnsi="Times New Roman"/>
          <w:vanish/>
          <w:sz w:val="20"/>
          <w:szCs w:val="20"/>
        </w:rPr>
        <w:t>-03-31 0001326801 us-gaap:CommonStockMember 2019-01-01 2019-03-31 0001326801 us-gaap:RetainedEarningsMember 2020-01-01 2020-03-31 0001326801 us-gaap:CommonStockMember 2020-03-31 0001326801 us-gaap:RetainedEarningsMember 2019-01-01 2019-03-31 0001326801 us-</w:t>
      </w:r>
      <w:r>
        <w:rPr>
          <w:rFonts w:ascii="Times New Roman" w:eastAsia="宋体" w:hAnsi="Times New Roman"/>
          <w:vanish/>
          <w:sz w:val="20"/>
          <w:szCs w:val="20"/>
        </w:rPr>
        <w:t>gaap:CommonStockMember 2020-01-01 2020-03-31 0001326801 us-gaap:AccumulatedOtherComprehensiveIncomeMember 2020-01-01 2020-03-31 0001326801 us-gaap:AdditionalPaidInCapitalMember 2019-12-31 0001326801 us-gaap:AccumulatedOtherComprehensiveIncomeMember 2020-03</w:t>
      </w:r>
      <w:r>
        <w:rPr>
          <w:rFonts w:ascii="Times New Roman" w:eastAsia="宋体" w:hAnsi="Times New Roman"/>
          <w:vanish/>
          <w:sz w:val="20"/>
          <w:szCs w:val="20"/>
        </w:rPr>
        <w:t>-31 0001326801 us-gaap:RetainedEarningsMember 2018-12-31 0001326801 2018-12-31 0001326801 us-gaap:CommonStockMember 2019-12-31 0001326801 us-gaap:CommonStockMember 2019-03-31 0001326801 2019-03-31 0001326801 us-gaap:AccumulatedOtherComprehensiveIncomeMembe</w:t>
      </w:r>
      <w:r>
        <w:rPr>
          <w:rFonts w:ascii="Times New Roman" w:eastAsia="宋体" w:hAnsi="Times New Roman"/>
          <w:vanish/>
          <w:sz w:val="20"/>
          <w:szCs w:val="20"/>
        </w:rPr>
        <w:t xml:space="preserve">r 2019-03-31 0001326801 us-gaap:CommonStockMember 2018-12-31 0001326801 us-gaap:AdditionalPaidInCapitalMember 2020-01-01 2020-03-31 0001326801 us-gaap:AdditionalPaidInCapitalMember 2018-12-31 0001326801 us-gaap:RetainedEarningsMember 2019-03-31 0001326801 </w:t>
      </w:r>
      <w:r>
        <w:rPr>
          <w:rFonts w:ascii="Times New Roman" w:eastAsia="宋体" w:hAnsi="Times New Roman"/>
          <w:vanish/>
          <w:sz w:val="20"/>
          <w:szCs w:val="20"/>
        </w:rPr>
        <w:t>us-gaap:AccumulatedOtherComprehensiveIncomeMember 2019-01-01 2019-03-31 0001326801 us-gaap:AccumulatedOtherComprehensiveIncomeMember 2019-12-31 0001326801 us-gaap:AdditionalPaidInCapitalMember 2019-03-31 0001326801 us-gaap:RetainedEarningsMember 2020-03-31</w:t>
      </w:r>
      <w:r>
        <w:rPr>
          <w:rFonts w:ascii="Times New Roman" w:eastAsia="宋体" w:hAnsi="Times New Roman"/>
          <w:vanish/>
          <w:sz w:val="20"/>
          <w:szCs w:val="20"/>
        </w:rPr>
        <w:t xml:space="preserve"> 0001326801 us-gaap:AccumulatedOtherComprehensiveIncomeMember 2018-12-31 0001326801 us-gaap:RetainedEarningsMember 2019-12-31 0001326801 us-gaap:OtherAssetsMember 2019-03-31 0001326801 us-gaap:OtherAssetsMember 2020-03-31 0001326801 us-gaap:PrepaidExpenses</w:t>
      </w:r>
      <w:r>
        <w:rPr>
          <w:rFonts w:ascii="Times New Roman" w:eastAsia="宋体" w:hAnsi="Times New Roman"/>
          <w:vanish/>
          <w:sz w:val="20"/>
          <w:szCs w:val="20"/>
        </w:rPr>
        <w:t>AndOtherCurrentAssetsMember 2020-03-31 0001326801 us-gaap:PrepaidExpensesAndOtherCurrentAssetsMember 2019-03-31 0001326801 country:US us-gaap:RevenueFromContractWithCustomerMember us-gaap:GeographicConcentrationRiskMember 2020-01-01 2020-03-31 0001326801 c</w:t>
      </w:r>
      <w:r>
        <w:rPr>
          <w:rFonts w:ascii="Times New Roman" w:eastAsia="宋体" w:hAnsi="Times New Roman"/>
          <w:vanish/>
          <w:sz w:val="20"/>
          <w:szCs w:val="20"/>
        </w:rPr>
        <w:t>ountry:US us-gaap:RevenueFromContractWithCustomerMember us-gaap:GeographicConcentrationRiskMember 2019-01-01 2019-03-31 0001326801 us-gaap:AdvertisingMember 2020-01-01 2020-03-31 0001326801 us-gaap:ServiceOtherMember 2020-01-01 2020-03-31 0001326801 us-gaa</w:t>
      </w:r>
      <w:r>
        <w:rPr>
          <w:rFonts w:ascii="Times New Roman" w:eastAsia="宋体" w:hAnsi="Times New Roman"/>
          <w:vanish/>
          <w:sz w:val="20"/>
          <w:szCs w:val="20"/>
        </w:rPr>
        <w:t>p:ServiceOtherMember 2019-01-01 2019-03-31 0001326801 us-gaap:AdvertisingMember 2019-01-01 2019-03-31 0001326801 country:US 2019-01-01 2019-03-31 0001326801 country:US 2020-01-01 2020-03-31 0001326801 srt:EuropeMember 2019-01-01 2019-03-31 0001326801 fb:US</w:t>
      </w:r>
      <w:r>
        <w:rPr>
          <w:rFonts w:ascii="Times New Roman" w:eastAsia="宋体" w:hAnsi="Times New Roman"/>
          <w:vanish/>
          <w:sz w:val="20"/>
          <w:szCs w:val="20"/>
        </w:rPr>
        <w:t>CanadaMember 2020-01-01 2020-03-31 0001326801 fb:RestOfWorldMember 2019-01-01 2019-03-31 0001326801 srt:AsiaPacificMember 2020-01-01 2020-03-31 0001326801 fb:USCanadaMember 2019-01-01 2019-03-31 0001326801 srt:AsiaPacificMember 2019-01-01 2019-03-31 000132</w:t>
      </w:r>
      <w:r>
        <w:rPr>
          <w:rFonts w:ascii="Times New Roman" w:eastAsia="宋体" w:hAnsi="Times New Roman"/>
          <w:vanish/>
          <w:sz w:val="20"/>
          <w:szCs w:val="20"/>
        </w:rPr>
        <w:t xml:space="preserve">6801 srt:EuropeMember 2020-01-01 2020-03-31 0001326801 fb:RestOfWorldMember 2020-01-01 2020-03-31 0001326801 us-gaap:CommonClassBMember 2019-01-01 2019-03-31 0001326801 us-gaap:CommonClassAMember 2019-01-01 2019-03-31 0001326801 us-gaap:CommonClassAMember </w:t>
      </w:r>
      <w:r>
        <w:rPr>
          <w:rFonts w:ascii="Times New Roman" w:eastAsia="宋体" w:hAnsi="Times New Roman"/>
          <w:vanish/>
          <w:sz w:val="20"/>
          <w:szCs w:val="20"/>
        </w:rPr>
        <w:t>2020-01-01 2020-03-31 0001326801 us-gaap:CommonClassBMember 2020-01-01 2020-03-31 0001326801 us-gaap:USGovernmentAgenciesDebtSecuritiesMember 2020-03-31 0001326801 us-gaap:CorporateDebtSecuritiesMember 2019-12-31 0001326801 us-gaap:CorporateDebtSecuritiesM</w:t>
      </w:r>
      <w:r>
        <w:rPr>
          <w:rFonts w:ascii="Times New Roman" w:eastAsia="宋体" w:hAnsi="Times New Roman"/>
          <w:vanish/>
          <w:sz w:val="20"/>
          <w:szCs w:val="20"/>
        </w:rPr>
        <w:t>ember 2020-03-31 0001326801 us-gaap:USGovernmentDebtSecuritiesMember 2020-03-31 0001326801 us-gaap:CorporateDebtSecuritiesMember 2020-03-31 0001326801 us-gaap:USGovernmentAgenciesDebtSecuritiesMember 2020-03-31 0001326801 us-gaap:USGovernmentDebtSecurities</w:t>
      </w:r>
      <w:r>
        <w:rPr>
          <w:rFonts w:ascii="Times New Roman" w:eastAsia="宋体" w:hAnsi="Times New Roman"/>
          <w:vanish/>
          <w:sz w:val="20"/>
          <w:szCs w:val="20"/>
        </w:rPr>
        <w:t>Member 2020-03-31 0001326801 us-gaap:USGovernmentAgenciesDebtSecuritiesMember 2019-12-31 0001326801 us-gaap:MoneyMarketFundsMember 2020-03-31 0001326801 us-gaap:CashMember 2019-12-31 0001326801 us-gaap:CashMember 2020-03-31 0001326801 us-gaap:BankTimeDepos</w:t>
      </w:r>
      <w:r>
        <w:rPr>
          <w:rFonts w:ascii="Times New Roman" w:eastAsia="宋体" w:hAnsi="Times New Roman"/>
          <w:vanish/>
          <w:sz w:val="20"/>
          <w:szCs w:val="20"/>
        </w:rPr>
        <w:t>itsMember 2019-12-31 0001326801 us-gaap:BankTimeDepositsMember 2020-03-31 0001326801 us-gaap:CorporateDebtSecuritiesMember 2019-12-31 0001326801 us-gaap:USGovernmentDebtSecuritiesMember 2019-12-31 0001326801 us-gaap:USGovernmentAgenciesDebtSecuritiesMember</w:t>
      </w:r>
      <w:r>
        <w:rPr>
          <w:rFonts w:ascii="Times New Roman" w:eastAsia="宋体" w:hAnsi="Times New Roman"/>
          <w:vanish/>
          <w:sz w:val="20"/>
          <w:szCs w:val="20"/>
        </w:rPr>
        <w:t xml:space="preserve"> 2019-12-31 0001326801 us-gaap:MoneyMarketFundsMember 2019-12-31 0001326801 us-gaap:USGovernmentDebtSecuritiesMember 2019-12-31 0001326801 us-gaap:USGovernmentAgenciesDebtSecuritiesMember us-gaap:FairValueInputsLevel1Member 2020-03-31 0001326801 us-gaap:Fa</w:t>
      </w:r>
      <w:r>
        <w:rPr>
          <w:rFonts w:ascii="Times New Roman" w:eastAsia="宋体" w:hAnsi="Times New Roman"/>
          <w:vanish/>
          <w:sz w:val="20"/>
          <w:szCs w:val="20"/>
        </w:rPr>
        <w:t>irValueInputsLevel1Member us-gaap:CorporateDebtSecuritiesMember 2020-03-31 0001326801 us-gaap:FairValueInputsLevel3Member us-gaap:USGovernmentAgenciesDebtSecuritiesMember 2020-03-31 0001326801 us-gaap:USGovernmentDebtSecuritiesMember us-gaap:FairValueInput</w:t>
      </w:r>
      <w:r>
        <w:rPr>
          <w:rFonts w:ascii="Times New Roman" w:eastAsia="宋体" w:hAnsi="Times New Roman"/>
          <w:vanish/>
          <w:sz w:val="20"/>
          <w:szCs w:val="20"/>
        </w:rPr>
        <w:t>sLevel2Member 2020-03-31 0001326801 us-gaap:USGovernmentAgenciesDebtSecuritiesMember us-gaap:FairValueInputsLevel3Member 2020-03-31 0001326801 us-gaap:FairValueInputsLevel2Member us-gaap:USGovernmentDebtSecuritiesMember 2020-03-31 0001326801 us-gaap:BankTi</w:t>
      </w:r>
      <w:r>
        <w:rPr>
          <w:rFonts w:ascii="Times New Roman" w:eastAsia="宋体" w:hAnsi="Times New Roman"/>
          <w:vanish/>
          <w:sz w:val="20"/>
          <w:szCs w:val="20"/>
        </w:rPr>
        <w:t>meDepositsMember us-gaap:FairValueInputsLevel1Member 2020-03-31 0001326801 us-gaap:CorporateDebtSecuritiesMember us-gaap:FairValueInputsLevel1Member 2020-03-31 0001326801 us-gaap:FairValueInputsLevel3Member 2020-03-31 0001326801 us-gaap:BankTimeDepositsMem</w:t>
      </w:r>
      <w:r>
        <w:rPr>
          <w:rFonts w:ascii="Times New Roman" w:eastAsia="宋体" w:hAnsi="Times New Roman"/>
          <w:vanish/>
          <w:sz w:val="20"/>
          <w:szCs w:val="20"/>
        </w:rPr>
        <w:t>ber us-gaap:FairValueInputsLevel3Member 2020-03-31 0001326801 us-gaap:USGovernmentDebtSecuritiesMember us-gaap:FairValueInputsLevel3Member 2020-03-31 0001326801 us-gaap:FairValueInputsLevel2Member us-gaap:USGovernmentAgenciesDebtSecuritiesMember 2020-03-31</w:t>
      </w:r>
      <w:r>
        <w:rPr>
          <w:rFonts w:ascii="Times New Roman" w:eastAsia="宋体" w:hAnsi="Times New Roman"/>
          <w:vanish/>
          <w:sz w:val="20"/>
          <w:szCs w:val="20"/>
        </w:rPr>
        <w:t xml:space="preserve"> 0001326801 us-gaap:FairValueInputsLevel1Member us-gaap:USGovernmentAgenciesDebtSecuritiesMember 2020-03-31 0001326801 us-gaap:USGovernmentDebtSecuritiesMember us-gaap:FairValueInputsLevel1Member 2020-03-31 0001326801 us-gaap:CorporateDebtSecuritiesMember </w:t>
      </w:r>
      <w:r>
        <w:rPr>
          <w:rFonts w:ascii="Times New Roman" w:eastAsia="宋体" w:hAnsi="Times New Roman"/>
          <w:vanish/>
          <w:sz w:val="20"/>
          <w:szCs w:val="20"/>
        </w:rPr>
        <w:t>us-gaap:FairValueInputsLevel2Member 2020-03-31 0001326801 us-gaap:MoneyMarketFundsMember us-gaap:FairValueInputsLevel2Member 2020-03-31 0001326801 us-gaap:BankTimeDepositsMember us-gaap:FairValueInputsLevel2Member 2020-03-31 0001326801 us-gaap:FairValueInp</w:t>
      </w:r>
      <w:r>
        <w:rPr>
          <w:rFonts w:ascii="Times New Roman" w:eastAsia="宋体" w:hAnsi="Times New Roman"/>
          <w:vanish/>
          <w:sz w:val="20"/>
          <w:szCs w:val="20"/>
        </w:rPr>
        <w:t>utsLevel2Member 2020-03-31 0001326801 us-gaap:MoneyMarketFundsMember us-gaap:FairValueInputsLevel1Member 2020-03-31 0001326801 us-gaap:MoneyMarketFundsMember us-gaap:FairValueInputsLevel3Member 2020-03-31 0001326801 us-gaap:FairValueInputsLevel3Member us-g</w:t>
      </w:r>
      <w:r>
        <w:rPr>
          <w:rFonts w:ascii="Times New Roman" w:eastAsia="宋体" w:hAnsi="Times New Roman"/>
          <w:vanish/>
          <w:sz w:val="20"/>
          <w:szCs w:val="20"/>
        </w:rPr>
        <w:t>aap:CorporateDebtSecuritiesMember 2020-03-31 0001326801 us-gaap:FairValueInputsLevel1Member 2020-03-31 0001326801 us-gaap:FairValueInputsLevel2Member us-gaap:CorporateDebtSecuritiesMember 2020-03-31 0001326801 us-gaap:FairValueInputsLevel1Member us-gaap:US</w:t>
      </w:r>
      <w:r>
        <w:rPr>
          <w:rFonts w:ascii="Times New Roman" w:eastAsia="宋体" w:hAnsi="Times New Roman"/>
          <w:vanish/>
          <w:sz w:val="20"/>
          <w:szCs w:val="20"/>
        </w:rPr>
        <w:t>GovernmentDebtSecuritiesMember 2020-03-31 0001326801 us-gaap:CorporateDebtSecuritiesMember us-gaap:FairValueInputsLevel3Member 2020-03-31 0001326801 us-gaap:FairValueInputsLevel3Member us-gaap:USGovernmentDebtSecuritiesMember 2020-03-31 0001326801 us-gaap:</w:t>
      </w:r>
      <w:r>
        <w:rPr>
          <w:rFonts w:ascii="Times New Roman" w:eastAsia="宋体" w:hAnsi="Times New Roman"/>
          <w:vanish/>
          <w:sz w:val="20"/>
          <w:szCs w:val="20"/>
        </w:rPr>
        <w:t>USGovernmentAgenciesDebtSecuritiesMember us-gaap:FairValueInputsLevel2Member 2020-03-31 0001326801 us-gaap:FairValueInputsLevel2Member us-gaap:USGovernmentDebtSecuritiesMember 2019-12-31 0001326801 us-gaap:FairValueInputsLevel3Member us-gaap:CorporateDebtS</w:t>
      </w:r>
      <w:r>
        <w:rPr>
          <w:rFonts w:ascii="Times New Roman" w:eastAsia="宋体" w:hAnsi="Times New Roman"/>
          <w:vanish/>
          <w:sz w:val="20"/>
          <w:szCs w:val="20"/>
        </w:rPr>
        <w:t>ecuritiesMember 2019-12-31 0001326801 us-gaap:FairValueInputsLevel1Member us-gaap:CorporateDebtSecuritiesMember 2019-12-31 0001326801 us-gaap:MoneyMarketFundsMember us-gaap:FairValueInputsLevel2Member 2019-12-31 0001326801 us-gaap:FairValueInputsLevel1Memb</w:t>
      </w:r>
      <w:r>
        <w:rPr>
          <w:rFonts w:ascii="Times New Roman" w:eastAsia="宋体" w:hAnsi="Times New Roman"/>
          <w:vanish/>
          <w:sz w:val="20"/>
          <w:szCs w:val="20"/>
        </w:rPr>
        <w:t>er us-gaap:USGovernmentAgenciesDebtSecuritiesMember 2019-12-31 0001326801 us-gaap:USGovernmentAgenciesDebtSecuritiesMember us-gaap:FairValueInputsLevel1Member 2019-12-31 0001326801 us-gaap:USGovernmentAgenciesDebtSecuritiesMember us-gaap:FairValueInputsLev</w:t>
      </w:r>
      <w:r>
        <w:rPr>
          <w:rFonts w:ascii="Times New Roman" w:eastAsia="宋体" w:hAnsi="Times New Roman"/>
          <w:vanish/>
          <w:sz w:val="20"/>
          <w:szCs w:val="20"/>
        </w:rPr>
        <w:t>el2Member 2019-12-31 0001326801 us-gaap:USGovernmentAgenciesDebtSecuritiesMember us-gaap:FairValueInputsLevel3Member 2019-12-31 0001326801 us-gaap:FairValueInputsLevel1Member us-gaap:USGovernmentDebtSecuritiesMember 2019-12-31 0001326801 us-gaap:CorporateD</w:t>
      </w:r>
      <w:r>
        <w:rPr>
          <w:rFonts w:ascii="Times New Roman" w:eastAsia="宋体" w:hAnsi="Times New Roman"/>
          <w:vanish/>
          <w:sz w:val="20"/>
          <w:szCs w:val="20"/>
        </w:rPr>
        <w:t xml:space="preserve">ebtSecuritiesMember us-gaap:FairValueInputsLevel2Member 2019-12-31 0001326801 us-gaap:BankTimeDepositsMember us-gaap:FairValueInputsLevel1Member 2019-12-31 0001326801 us-gaap:BankTimeDepositsMember us-gaap:FairValueInputsLevel2Member 2019-12-31 0001326801 </w:t>
      </w:r>
      <w:r>
        <w:rPr>
          <w:rFonts w:ascii="Times New Roman" w:eastAsia="宋体" w:hAnsi="Times New Roman"/>
          <w:vanish/>
          <w:sz w:val="20"/>
          <w:szCs w:val="20"/>
        </w:rPr>
        <w:t>us-gaap:FairValueInputsLevel2Member 2019-12-31 0001326801 us-gaap:FairValueInputsLevel1Member 2019-12-31 0001326801 us-gaap:MoneyMarketFundsMember us-gaap:FairValueInputsLevel1Member 2019-12-31 0001326801 us-gaap:CorporateDebtSecuritiesMember us-gaap:FairV</w:t>
      </w:r>
      <w:r>
        <w:rPr>
          <w:rFonts w:ascii="Times New Roman" w:eastAsia="宋体" w:hAnsi="Times New Roman"/>
          <w:vanish/>
          <w:sz w:val="20"/>
          <w:szCs w:val="20"/>
        </w:rPr>
        <w:t>alueInputsLevel1Member 2019-12-31 0001326801 us-gaap:MoneyMarketFundsMember us-gaap:FairValueInputsLevel3Member 2019-12-31 0001326801 us-gaap:BankTimeDepositsMember us-gaap:FairValueInputsLevel3Member 2019-12-31 0001326801 us-gaap:USGovernmentDebtSecuritie</w:t>
      </w:r>
      <w:r>
        <w:rPr>
          <w:rFonts w:ascii="Times New Roman" w:eastAsia="宋体" w:hAnsi="Times New Roman"/>
          <w:vanish/>
          <w:sz w:val="20"/>
          <w:szCs w:val="20"/>
        </w:rPr>
        <w:t>sMember us-gaap:FairValueInputsLevel3Member 2019-12-31 0001326801 us-gaap:FairValueInputsLevel3Member us-gaap:USGovernmentDebtSecuritiesMember 2019-12-31 0001326801 us-gaap:USGovernmentDebtSecuritiesMember us-gaap:FairValueInputsLevel1Member 2019-12-31 000</w:t>
      </w:r>
      <w:r>
        <w:rPr>
          <w:rFonts w:ascii="Times New Roman" w:eastAsia="宋体" w:hAnsi="Times New Roman"/>
          <w:vanish/>
          <w:sz w:val="20"/>
          <w:szCs w:val="20"/>
        </w:rPr>
        <w:t>1326801 us-gaap:FairValueInputsLevel3Member 2019-12-31 0001326801 us-gaap:USGovernmentDebtSecuritiesMember us-gaap:FairValueInputsLevel2Member 2019-12-31 0001326801 us-gaap:FairValueInputsLevel2Member us-gaap:USGovernmentAgenciesDebtSecuritiesMember 2019-1</w:t>
      </w:r>
      <w:r>
        <w:rPr>
          <w:rFonts w:ascii="Times New Roman" w:eastAsia="宋体" w:hAnsi="Times New Roman"/>
          <w:vanish/>
          <w:sz w:val="20"/>
          <w:szCs w:val="20"/>
        </w:rPr>
        <w:t>2-31 0001326801 us-gaap:FairValueInputsLevel2Member us-gaap:CorporateDebtSecuritiesMember 2019-12-31 0001326801 us-gaap:CorporateDebtSecuritiesMember us-gaap:FairValueInputsLevel3Member 2019-12-31 0001326801 us-gaap:FairValueInputsLevel3Member us-gaap:USGo</w:t>
      </w:r>
      <w:r>
        <w:rPr>
          <w:rFonts w:ascii="Times New Roman" w:eastAsia="宋体" w:hAnsi="Times New Roman"/>
          <w:vanish/>
          <w:sz w:val="20"/>
          <w:szCs w:val="20"/>
        </w:rPr>
        <w:t>vernmentAgenciesDebtSecuritiesMember 2019-12-31 0001326801 fb:ComputerSoftwareOfficeEquipmentAndOtherMember 2019-12-31 0001326801 us-gaap:ConstructionInProgressMember 2020-03-31 0001326801 us-gaap:BuildingMember 2019-12-31 0001326801 us-gaap:LeaseholdImpro</w:t>
      </w:r>
      <w:r>
        <w:rPr>
          <w:rFonts w:ascii="Times New Roman" w:eastAsia="宋体" w:hAnsi="Times New Roman"/>
          <w:vanish/>
          <w:sz w:val="20"/>
          <w:szCs w:val="20"/>
        </w:rPr>
        <w:t>vementsMember 2019-12-31 0001326801 us-gaap:LandMember 2019-12-31 0001326801 us-gaap:ComputerEquipmentMember 2019-12-31 0001326801 us-gaap:LeaseholdImprovementsMember 2020-03-31 0001326801 fb:FinanceLeaseRightOfUseAssetMember 2020-03-31 0001326801 us-gaap:</w:t>
      </w:r>
      <w:r>
        <w:rPr>
          <w:rFonts w:ascii="Times New Roman" w:eastAsia="宋体" w:hAnsi="Times New Roman"/>
          <w:vanish/>
          <w:sz w:val="20"/>
          <w:szCs w:val="20"/>
        </w:rPr>
        <w:t>LandMember 2020-03-31 0001326801 us-gaap:ComputerEquipmentMember 2020-03-31 0001326801 fb:ComputerSoftwareOfficeEquipmentAndOtherMember 2020-03-31 0001326801 us-gaap:BuildingMember 2020-03-31 0001326801 fb:FinanceLeaseRightOfUseAssetMember 2019-12-31 00013</w:t>
      </w:r>
      <w:r>
        <w:rPr>
          <w:rFonts w:ascii="Times New Roman" w:eastAsia="宋体" w:hAnsi="Times New Roman"/>
          <w:vanish/>
          <w:sz w:val="20"/>
          <w:szCs w:val="20"/>
        </w:rPr>
        <w:t>26801 us-gaap:ConstructionInProgressMember 2019-12-31 0001326801 srt:MaximumMember 2020-01-01 2020-03-31 0001326801 srt:MinimumMember 2020-01-01 2020-03-31 0001326801 fb:AcquiredusersMember 2020-03-31 0001326801 us-gaap:OtherIntangibleAssetsMember 2020-03-</w:t>
      </w:r>
      <w:r>
        <w:rPr>
          <w:rFonts w:ascii="Times New Roman" w:eastAsia="宋体" w:hAnsi="Times New Roman"/>
          <w:vanish/>
          <w:sz w:val="20"/>
          <w:szCs w:val="20"/>
        </w:rPr>
        <w:t>31 0001326801 us-gaap:PatentsMember 2019-12-31 0001326801 us-gaap:TechnologyBasedIntangibleAssetsMember 2020-03-31 0001326801 us-gaap:TradeNamesMember 2020-03-31 0001326801 us-gaap:OtherIntangibleAssetsMember 2020-01-01 2020-03-31 0001326801 us-gaap:Patent</w:t>
      </w:r>
      <w:r>
        <w:rPr>
          <w:rFonts w:ascii="Times New Roman" w:eastAsia="宋体" w:hAnsi="Times New Roman"/>
          <w:vanish/>
          <w:sz w:val="20"/>
          <w:szCs w:val="20"/>
        </w:rPr>
        <w:t>sMember 2020-03-31 0001326801 us-gaap:TechnologyBasedIntangibleAssetsMember 2019-12-31 0001326801 us-gaap:TradeNamesMember 2019-12-31 0001326801 fb:AcquiredusersMember 2020-01-01 2020-03-31 0001326801 fb:AcquiredusersMember 2019-12-31 0001326801 us-gaap:Te</w:t>
      </w:r>
      <w:r>
        <w:rPr>
          <w:rFonts w:ascii="Times New Roman" w:eastAsia="宋体" w:hAnsi="Times New Roman"/>
          <w:vanish/>
          <w:sz w:val="20"/>
          <w:szCs w:val="20"/>
        </w:rPr>
        <w:t>chnologyBasedIntangibleAssetsMember 2020-01-01 2020-03-31 0001326801 us-gaap:OtherIntangibleAssetsMember 2019-12-31 0001326801 us-gaap:PatentsMember 2020-01-01 2020-03-31 0001326801 us-gaap:TradeNamesMember 2020-01-01 2020-03-31 0001326801 fb:SeniorUnsecur</w:t>
      </w:r>
      <w:r>
        <w:rPr>
          <w:rFonts w:ascii="Times New Roman" w:eastAsia="宋体" w:hAnsi="Times New Roman"/>
          <w:vanish/>
          <w:sz w:val="20"/>
          <w:szCs w:val="20"/>
        </w:rPr>
        <w:t>edFiveYearRevolvingCreditFacilityTwentySixteenMemberDomainDomain us-gaap:RevolvingCreditFacilityMember 2016-05-31 0001326801 fb:SeniorUnsecuredFiveYearRevolvingCreditFacilityTwentySixteenMemberDomainDomain us-gaap:RevolvingCreditFacilityMember 2020-03-31 0</w:t>
      </w:r>
      <w:r>
        <w:rPr>
          <w:rFonts w:ascii="Times New Roman" w:eastAsia="宋体" w:hAnsi="Times New Roman"/>
          <w:vanish/>
          <w:sz w:val="20"/>
          <w:szCs w:val="20"/>
        </w:rPr>
        <w:t>001326801 2018-07-27 2018-07-27 0001326801 fb:UnitedStatesFederalTradeCommissionInquiryMember 2019-07-31 0001326801 fb:IllinoisBiometricInformationPrivacyActMember 2020-01-15 0001326801 2020-01-31 0001326801 fb:EquityIncentivePlan2012Member 2020-01-01 2020</w:t>
      </w:r>
      <w:r>
        <w:rPr>
          <w:rFonts w:ascii="Times New Roman" w:eastAsia="宋体" w:hAnsi="Times New Roman"/>
          <w:vanish/>
          <w:sz w:val="20"/>
          <w:szCs w:val="20"/>
        </w:rPr>
        <w:t>-03-31 0001326801 us-gaap:RestrictedStockUnitsRSUMember 2020-01-01 2020-03-31 0001326801 us-gaap:RestrictedStockUnitsRSUMember fb:EquityIncentivePlan2012Member 2019-01-01 2019-12-31 0001326801 fb:EquityIncentivePlan2012Member 2020-01-01 0001326801 us-gaap:</w:t>
      </w:r>
      <w:r>
        <w:rPr>
          <w:rFonts w:ascii="Times New Roman" w:eastAsia="宋体" w:hAnsi="Times New Roman"/>
          <w:vanish/>
          <w:sz w:val="20"/>
          <w:szCs w:val="20"/>
        </w:rPr>
        <w:t>RestrictedStockUnitsRSUMember 2019-01-01 2019-03-31 0001326801 us-gaap:RestrictedStockUnitsRSUMember 2019-12-31 0001326801 us-gaap:RestrictedStockUnitsRSUMember 2020-03-31 0001326801 fb:AlteraCorpVCommissionerMember 2019-04-01 2019-06-30 0001326801 us-gaap</w:t>
      </w:r>
      <w:r>
        <w:rPr>
          <w:rFonts w:ascii="Times New Roman" w:eastAsia="宋体" w:hAnsi="Times New Roman"/>
          <w:vanish/>
          <w:sz w:val="20"/>
          <w:szCs w:val="20"/>
        </w:rPr>
        <w:t>:InternalRevenueServiceIRSMember us-gaap:TaxYear2010Member 2020-01-15 2020-01-15 0001326801 us-gaap:InternalRevenueServiceIRSMember fb:TaxYears2011Through2013Member 2018-03-01 2020-03-31 0001326801 fb:AlteraCorpVCommissionerMember 2019-11-01 2019-11-30 000</w:t>
      </w:r>
      <w:r>
        <w:rPr>
          <w:rFonts w:ascii="Times New Roman" w:eastAsia="宋体" w:hAnsi="Times New Roman"/>
          <w:vanish/>
          <w:sz w:val="20"/>
          <w:szCs w:val="20"/>
        </w:rPr>
        <w:t>1326801 us-gaap:NonUsMember 2020-03-31 0001326801 country:US 2020-03-31 0001326801 country:US 2019-12-31 0001326801 us-gaap:NonUsMember 2019-12-31 0001326801 us-gaap:SubsequentEventMember 2020-04-21 fb:plan xbrli:shares fb:claim iso4217:USD xbrli:shares xb</w:t>
      </w:r>
      <w:r>
        <w:rPr>
          <w:rFonts w:ascii="Times New Roman" w:eastAsia="宋体" w:hAnsi="Times New Roman"/>
          <w:vanish/>
          <w:sz w:val="20"/>
          <w:szCs w:val="20"/>
        </w:rPr>
        <w:t xml:space="preserve">rli:pure iso4217:USD </w:t>
      </w:r>
    </w:p>
    <w:p w14:paraId="1446DFAB" w14:textId="77777777" w:rsidR="00FE42B5" w:rsidRDefault="009213DC">
      <w:pPr>
        <w:spacing w:line="288" w:lineRule="auto"/>
        <w:jc w:val="center"/>
        <w:rPr>
          <w:rFonts w:ascii="Times New Roman" w:hAnsi="Times New Roman"/>
          <w:sz w:val="36"/>
          <w:szCs w:val="36"/>
        </w:rPr>
      </w:pPr>
      <w:r>
        <w:rPr>
          <w:rFonts w:ascii="Times New Roman" w:eastAsia="宋体" w:hAnsi="Times New Roman"/>
          <w:b/>
          <w:bCs/>
          <w:sz w:val="36"/>
          <w:szCs w:val="36"/>
        </w:rPr>
        <w:t>UNITED STATES</w:t>
      </w:r>
    </w:p>
    <w:p w14:paraId="1446DFAC" w14:textId="77777777" w:rsidR="00FE42B5" w:rsidRDefault="009213DC">
      <w:pPr>
        <w:spacing w:line="288" w:lineRule="auto"/>
        <w:jc w:val="center"/>
        <w:rPr>
          <w:rFonts w:ascii="Times New Roman" w:hAnsi="Times New Roman"/>
          <w:sz w:val="36"/>
          <w:szCs w:val="36"/>
        </w:rPr>
      </w:pPr>
      <w:r>
        <w:rPr>
          <w:rFonts w:ascii="Times New Roman" w:eastAsia="宋体" w:hAnsi="Times New Roman"/>
          <w:b/>
          <w:bCs/>
          <w:sz w:val="36"/>
          <w:szCs w:val="36"/>
        </w:rPr>
        <w:t>SECURITIES AND EXCHANGE COMMISSION</w:t>
      </w:r>
    </w:p>
    <w:p w14:paraId="1446DFAD" w14:textId="77777777" w:rsidR="00FE42B5" w:rsidRDefault="009213DC">
      <w:pPr>
        <w:spacing w:line="288" w:lineRule="auto"/>
        <w:jc w:val="center"/>
        <w:rPr>
          <w:rFonts w:ascii="Times New Roman" w:hAnsi="Times New Roman"/>
        </w:rPr>
      </w:pPr>
      <w:r>
        <w:rPr>
          <w:rFonts w:ascii="Times New Roman" w:eastAsia="宋体" w:hAnsi="Times New Roman"/>
          <w:b/>
          <w:bCs/>
        </w:rPr>
        <w:t>Washington, D.C. 20549</w:t>
      </w:r>
    </w:p>
    <w:p w14:paraId="1446DFAE"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____________________________________________ </w:t>
      </w:r>
    </w:p>
    <w:p w14:paraId="1446DFAF" w14:textId="77777777" w:rsidR="00FE42B5" w:rsidRDefault="009213DC">
      <w:pPr>
        <w:spacing w:line="288" w:lineRule="auto"/>
        <w:jc w:val="center"/>
        <w:rPr>
          <w:rFonts w:ascii="Times New Roman" w:hAnsi="Times New Roman"/>
          <w:sz w:val="48"/>
          <w:szCs w:val="48"/>
        </w:rPr>
      </w:pPr>
      <w:r>
        <w:rPr>
          <w:rFonts w:ascii="Times New Roman" w:eastAsia="宋体" w:hAnsi="Times New Roman"/>
          <w:b/>
          <w:bCs/>
          <w:sz w:val="48"/>
          <w:szCs w:val="48"/>
        </w:rPr>
        <w:t xml:space="preserve">FORM 10-Q </w:t>
      </w:r>
    </w:p>
    <w:p w14:paraId="1446DFB0"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____________________________________________ </w:t>
      </w:r>
    </w:p>
    <w:p w14:paraId="1446DFB1" w14:textId="77777777" w:rsidR="00FE42B5" w:rsidRDefault="009213DC">
      <w:pPr>
        <w:spacing w:line="288" w:lineRule="auto"/>
        <w:rPr>
          <w:rFonts w:ascii="Times New Roman" w:hAnsi="Times New Roman"/>
          <w:sz w:val="16"/>
          <w:szCs w:val="16"/>
        </w:rPr>
      </w:pPr>
      <w:r>
        <w:rPr>
          <w:rFonts w:ascii="Times New Roman" w:eastAsia="宋体" w:hAnsi="Times New Roman"/>
          <w:sz w:val="16"/>
          <w:szCs w:val="16"/>
        </w:rPr>
        <w:t>(Mark One)</w:t>
      </w:r>
    </w:p>
    <w:p w14:paraId="1446DFB2" w14:textId="77777777" w:rsidR="00FE42B5" w:rsidRDefault="009213DC">
      <w:pPr>
        <w:spacing w:line="288" w:lineRule="auto"/>
        <w:rPr>
          <w:rFonts w:ascii="Times New Roman" w:hAnsi="Times New Roman"/>
        </w:rPr>
      </w:pPr>
      <w:r>
        <w:rPr>
          <w:rFonts w:ascii="Arial Unicode MS" w:eastAsia="Arial Unicode MS" w:hAnsi="Arial Unicode MS" w:cs="Arial Unicode MS"/>
        </w:rPr>
        <w:t>☒</w:t>
      </w:r>
      <w:r>
        <w:rPr>
          <w:rFonts w:ascii="Arial Unicode MS" w:eastAsia="Arial Unicode MS" w:hAnsi="Arial Unicode MS" w:cs="Arial Unicode MS" w:hint="eastAsia"/>
          <w:sz w:val="20"/>
          <w:szCs w:val="20"/>
        </w:rPr>
        <w:t> </w:t>
      </w:r>
      <w:r>
        <w:rPr>
          <w:rFonts w:ascii="Wingdings" w:eastAsia="宋体" w:hAnsi="Wingdings" w:cs="Wingdings"/>
          <w:b/>
          <w:bCs/>
        </w:rPr>
        <w:t xml:space="preserve"> </w:t>
      </w:r>
      <w:r>
        <w:rPr>
          <w:rFonts w:ascii="Times New Roman" w:eastAsia="宋体" w:hAnsi="Times New Roman"/>
          <w:b/>
          <w:bCs/>
          <w:sz w:val="20"/>
          <w:szCs w:val="20"/>
        </w:rPr>
        <w:t xml:space="preserve">QUARTERLY REPORT PURSUANT TO SECTION 13 OR </w:t>
      </w:r>
      <w:r>
        <w:rPr>
          <w:rFonts w:ascii="Times New Roman" w:eastAsia="宋体" w:hAnsi="Times New Roman"/>
          <w:b/>
          <w:bCs/>
          <w:sz w:val="20"/>
          <w:szCs w:val="20"/>
        </w:rPr>
        <w:t>15(d) OF THE SECURITIES EXCHANGE ACT OF 1934</w:t>
      </w:r>
    </w:p>
    <w:p w14:paraId="1446DFB3"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 xml:space="preserve">For the quarterly period ended March 31, 2020 </w:t>
      </w:r>
    </w:p>
    <w:p w14:paraId="1446DFB4"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or</w:t>
      </w:r>
    </w:p>
    <w:p w14:paraId="1446DFB5" w14:textId="77777777" w:rsidR="00FE42B5" w:rsidRDefault="009213DC">
      <w:pPr>
        <w:spacing w:line="288" w:lineRule="auto"/>
        <w:rPr>
          <w:rFonts w:ascii="Times New Roman" w:hAnsi="Times New Roman"/>
        </w:rPr>
      </w:pPr>
      <w:r>
        <w:rPr>
          <w:rFonts w:ascii="Arial Unicode MS" w:eastAsia="Arial Unicode MS" w:hAnsi="Arial Unicode MS" w:cs="Arial Unicode MS" w:hint="eastAsia"/>
        </w:rPr>
        <w:t>☐</w:t>
      </w:r>
      <w:r>
        <w:rPr>
          <w:rFonts w:ascii="Wingdings" w:eastAsia="宋体" w:hAnsi="Wingdings" w:cs="Wingdings"/>
          <w:b/>
          <w:bCs/>
        </w:rPr>
        <w:t xml:space="preserve"> </w:t>
      </w:r>
      <w:r>
        <w:rPr>
          <w:rFonts w:ascii="Times New Roman" w:eastAsia="宋体" w:hAnsi="Times New Roman"/>
          <w:b/>
          <w:bCs/>
          <w:sz w:val="20"/>
          <w:szCs w:val="20"/>
        </w:rPr>
        <w:t>TRANSITION REPORT PURSUANT TO SECTION 13 OR 15(d) OF THE SECURITIES EXCHANGE ACT OF 1934</w:t>
      </w:r>
    </w:p>
    <w:p w14:paraId="1446DFB6"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For the transition period from            to            </w:t>
      </w:r>
    </w:p>
    <w:p w14:paraId="1446DFB7"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Commission Fi</w:t>
      </w:r>
      <w:r>
        <w:rPr>
          <w:rFonts w:ascii="Times New Roman" w:eastAsia="宋体" w:hAnsi="Times New Roman"/>
          <w:b/>
          <w:bCs/>
          <w:sz w:val="20"/>
          <w:szCs w:val="20"/>
        </w:rPr>
        <w:t xml:space="preserve">le Number: 001-35551 </w:t>
      </w:r>
    </w:p>
    <w:p w14:paraId="1446DFB8"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____________________________________________ </w:t>
      </w:r>
    </w:p>
    <w:p w14:paraId="1446DFB9" w14:textId="77777777" w:rsidR="00FE42B5" w:rsidRDefault="009213DC">
      <w:pPr>
        <w:spacing w:line="288" w:lineRule="auto"/>
        <w:jc w:val="center"/>
        <w:rPr>
          <w:rFonts w:ascii="Times New Roman" w:hAnsi="Times New Roman"/>
          <w:sz w:val="48"/>
          <w:szCs w:val="48"/>
        </w:rPr>
      </w:pPr>
      <w:r>
        <w:rPr>
          <w:rFonts w:ascii="Times New Roman" w:eastAsia="宋体" w:hAnsi="Times New Roman"/>
          <w:b/>
          <w:bCs/>
          <w:sz w:val="48"/>
          <w:szCs w:val="48"/>
        </w:rPr>
        <w:t xml:space="preserve">Facebook, Inc. </w:t>
      </w:r>
    </w:p>
    <w:p w14:paraId="1446DFBA"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(Exact name of registrant as specified in its charter)</w:t>
      </w:r>
    </w:p>
    <w:p w14:paraId="1446DFBB"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____________________________________________ </w:t>
      </w:r>
    </w:p>
    <w:tbl>
      <w:tblPr>
        <w:tblW w:w="5000" w:type="pct"/>
        <w:tblCellMar>
          <w:left w:w="0" w:type="dxa"/>
          <w:right w:w="0" w:type="dxa"/>
        </w:tblCellMar>
        <w:tblLook w:val="04A0" w:firstRow="1" w:lastRow="0" w:firstColumn="1" w:lastColumn="0" w:noHBand="0" w:noVBand="1"/>
      </w:tblPr>
      <w:tblGrid>
        <w:gridCol w:w="4153"/>
        <w:gridCol w:w="4153"/>
      </w:tblGrid>
      <w:tr w:rsidR="00FE42B5" w14:paraId="1446DFBD" w14:textId="77777777">
        <w:tc>
          <w:tcPr>
            <w:tcW w:w="0" w:type="auto"/>
            <w:gridSpan w:val="2"/>
            <w:shd w:val="clear" w:color="auto" w:fill="auto"/>
            <w:vAlign w:val="center"/>
          </w:tcPr>
          <w:p w14:paraId="1446DFBC" w14:textId="77777777" w:rsidR="00FE42B5" w:rsidRDefault="00FE42B5">
            <w:pPr>
              <w:rPr>
                <w:rFonts w:ascii="Times New Roman" w:hAnsi="Times New Roman"/>
                <w:sz w:val="20"/>
                <w:szCs w:val="20"/>
              </w:rPr>
            </w:pPr>
          </w:p>
        </w:tc>
      </w:tr>
      <w:tr w:rsidR="00FE42B5" w14:paraId="1446DFC0" w14:textId="77777777">
        <w:tc>
          <w:tcPr>
            <w:tcW w:w="2500" w:type="pct"/>
            <w:shd w:val="clear" w:color="auto" w:fill="auto"/>
            <w:vAlign w:val="center"/>
          </w:tcPr>
          <w:p w14:paraId="1446DFBE" w14:textId="77777777" w:rsidR="00FE42B5" w:rsidRDefault="00FE42B5">
            <w:pPr>
              <w:rPr>
                <w:rFonts w:ascii="Times New Roman" w:hAnsi="Times New Roman"/>
                <w:sz w:val="20"/>
                <w:szCs w:val="20"/>
              </w:rPr>
            </w:pPr>
          </w:p>
        </w:tc>
        <w:tc>
          <w:tcPr>
            <w:tcW w:w="2500" w:type="pct"/>
            <w:shd w:val="clear" w:color="auto" w:fill="auto"/>
            <w:vAlign w:val="center"/>
          </w:tcPr>
          <w:p w14:paraId="1446DFBF" w14:textId="77777777" w:rsidR="00FE42B5" w:rsidRDefault="00FE42B5">
            <w:pPr>
              <w:rPr>
                <w:rFonts w:ascii="Times New Roman" w:hAnsi="Times New Roman"/>
                <w:sz w:val="20"/>
                <w:szCs w:val="20"/>
              </w:rPr>
            </w:pPr>
          </w:p>
        </w:tc>
      </w:tr>
      <w:tr w:rsidR="00FE42B5" w14:paraId="1446DFC3" w14:textId="77777777">
        <w:tc>
          <w:tcPr>
            <w:tcW w:w="0" w:type="auto"/>
            <w:shd w:val="clear" w:color="auto" w:fill="auto"/>
            <w:tcMar>
              <w:top w:w="40" w:type="dxa"/>
              <w:left w:w="40" w:type="dxa"/>
              <w:bottom w:w="40" w:type="dxa"/>
              <w:right w:w="40" w:type="dxa"/>
            </w:tcMar>
          </w:tcPr>
          <w:p w14:paraId="1446DFC1" w14:textId="77777777" w:rsidR="00FE42B5" w:rsidRDefault="009213DC">
            <w:pPr>
              <w:jc w:val="center"/>
              <w:textAlignment w:val="top"/>
              <w:rPr>
                <w:rFonts w:ascii="Times New Roman" w:hAnsi="Times New Roman"/>
                <w:sz w:val="20"/>
                <w:szCs w:val="20"/>
              </w:rPr>
            </w:pPr>
            <w:r>
              <w:rPr>
                <w:rFonts w:ascii="Times New Roman" w:eastAsia="宋体" w:hAnsi="Times New Roman"/>
                <w:b/>
                <w:bCs/>
                <w:sz w:val="20"/>
                <w:szCs w:val="20"/>
              </w:rPr>
              <w:t>Delaware</w:t>
            </w:r>
          </w:p>
        </w:tc>
        <w:tc>
          <w:tcPr>
            <w:tcW w:w="0" w:type="auto"/>
            <w:shd w:val="clear" w:color="auto" w:fill="auto"/>
            <w:tcMar>
              <w:top w:w="40" w:type="dxa"/>
              <w:left w:w="40" w:type="dxa"/>
              <w:bottom w:w="40" w:type="dxa"/>
              <w:right w:w="40" w:type="dxa"/>
            </w:tcMar>
          </w:tcPr>
          <w:p w14:paraId="1446DFC2" w14:textId="77777777" w:rsidR="00FE42B5" w:rsidRDefault="009213DC">
            <w:pPr>
              <w:jc w:val="center"/>
              <w:textAlignment w:val="top"/>
              <w:rPr>
                <w:rFonts w:ascii="Times New Roman" w:hAnsi="Times New Roman"/>
                <w:sz w:val="20"/>
                <w:szCs w:val="20"/>
              </w:rPr>
            </w:pPr>
            <w:r>
              <w:rPr>
                <w:rFonts w:ascii="Times New Roman" w:eastAsia="宋体" w:hAnsi="Times New Roman"/>
                <w:b/>
                <w:bCs/>
                <w:sz w:val="20"/>
                <w:szCs w:val="20"/>
              </w:rPr>
              <w:t>20-1665019</w:t>
            </w:r>
          </w:p>
        </w:tc>
      </w:tr>
      <w:tr w:rsidR="00FE42B5" w14:paraId="1446DFC6" w14:textId="77777777">
        <w:tc>
          <w:tcPr>
            <w:tcW w:w="0" w:type="auto"/>
            <w:shd w:val="clear" w:color="auto" w:fill="auto"/>
            <w:tcMar>
              <w:top w:w="40" w:type="dxa"/>
              <w:left w:w="40" w:type="dxa"/>
              <w:bottom w:w="40" w:type="dxa"/>
              <w:right w:w="40" w:type="dxa"/>
            </w:tcMar>
          </w:tcPr>
          <w:p w14:paraId="1446DFC4" w14:textId="77777777" w:rsidR="00FE42B5" w:rsidRDefault="009213DC">
            <w:pPr>
              <w:jc w:val="center"/>
              <w:textAlignment w:val="top"/>
              <w:rPr>
                <w:rFonts w:ascii="Times New Roman" w:hAnsi="Times New Roman"/>
                <w:sz w:val="16"/>
                <w:szCs w:val="16"/>
              </w:rPr>
            </w:pPr>
            <w:r>
              <w:rPr>
                <w:rFonts w:ascii="Times New Roman" w:eastAsia="宋体" w:hAnsi="Times New Roman"/>
                <w:b/>
                <w:bCs/>
                <w:sz w:val="16"/>
                <w:szCs w:val="16"/>
              </w:rPr>
              <w:t xml:space="preserve">(State or other jurisdiction of </w:t>
            </w:r>
            <w:r>
              <w:rPr>
                <w:rFonts w:ascii="Times New Roman" w:eastAsia="宋体" w:hAnsi="Times New Roman"/>
                <w:b/>
                <w:bCs/>
                <w:sz w:val="16"/>
                <w:szCs w:val="16"/>
              </w:rPr>
              <w:t>incorporation or organization)</w:t>
            </w:r>
          </w:p>
        </w:tc>
        <w:tc>
          <w:tcPr>
            <w:tcW w:w="0" w:type="auto"/>
            <w:shd w:val="clear" w:color="auto" w:fill="auto"/>
            <w:tcMar>
              <w:top w:w="40" w:type="dxa"/>
              <w:left w:w="40" w:type="dxa"/>
              <w:bottom w:w="40" w:type="dxa"/>
              <w:right w:w="40" w:type="dxa"/>
            </w:tcMar>
          </w:tcPr>
          <w:p w14:paraId="1446DFC5" w14:textId="77777777" w:rsidR="00FE42B5" w:rsidRDefault="009213DC">
            <w:pPr>
              <w:jc w:val="center"/>
              <w:textAlignment w:val="top"/>
              <w:rPr>
                <w:rFonts w:ascii="Times New Roman" w:hAnsi="Times New Roman"/>
                <w:sz w:val="16"/>
                <w:szCs w:val="16"/>
              </w:rPr>
            </w:pPr>
            <w:r>
              <w:rPr>
                <w:rFonts w:ascii="Times New Roman" w:eastAsia="宋体" w:hAnsi="Times New Roman"/>
                <w:b/>
                <w:bCs/>
                <w:sz w:val="16"/>
                <w:szCs w:val="16"/>
              </w:rPr>
              <w:t>(I.R.S. Employer Identification Number)</w:t>
            </w:r>
          </w:p>
        </w:tc>
      </w:tr>
    </w:tbl>
    <w:p w14:paraId="1446DFC7"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 xml:space="preserve">1601 Willow Road, Menlo Park, California 94025 </w:t>
      </w:r>
    </w:p>
    <w:p w14:paraId="1446DFC8" w14:textId="77777777" w:rsidR="00FE42B5" w:rsidRDefault="009213DC">
      <w:pPr>
        <w:spacing w:line="288" w:lineRule="auto"/>
        <w:jc w:val="center"/>
        <w:rPr>
          <w:rFonts w:ascii="Times New Roman" w:hAnsi="Times New Roman"/>
          <w:sz w:val="16"/>
          <w:szCs w:val="16"/>
        </w:rPr>
      </w:pPr>
      <w:r>
        <w:rPr>
          <w:rFonts w:ascii="Times New Roman" w:eastAsia="宋体" w:hAnsi="Times New Roman"/>
          <w:b/>
          <w:bCs/>
          <w:sz w:val="16"/>
          <w:szCs w:val="16"/>
        </w:rPr>
        <w:t>(Address of principal executive offices and Zip Code)</w:t>
      </w:r>
    </w:p>
    <w:p w14:paraId="1446DFC9" w14:textId="77777777" w:rsidR="00FE42B5" w:rsidRDefault="00FE42B5">
      <w:pPr>
        <w:spacing w:line="288" w:lineRule="auto"/>
        <w:jc w:val="center"/>
        <w:rPr>
          <w:rFonts w:ascii="Times New Roman" w:hAnsi="Times New Roman"/>
          <w:sz w:val="20"/>
          <w:szCs w:val="20"/>
        </w:rPr>
      </w:pPr>
    </w:p>
    <w:p w14:paraId="1446DFCA"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 xml:space="preserve">(650) 543-4800 </w:t>
      </w:r>
    </w:p>
    <w:p w14:paraId="1446DFCB" w14:textId="77777777" w:rsidR="00FE42B5" w:rsidRDefault="009213DC">
      <w:pPr>
        <w:spacing w:line="288" w:lineRule="auto"/>
        <w:jc w:val="center"/>
        <w:rPr>
          <w:rFonts w:ascii="Times New Roman" w:hAnsi="Times New Roman"/>
          <w:sz w:val="16"/>
          <w:szCs w:val="16"/>
        </w:rPr>
      </w:pPr>
      <w:r>
        <w:rPr>
          <w:rFonts w:ascii="Times New Roman" w:eastAsia="宋体" w:hAnsi="Times New Roman"/>
          <w:b/>
          <w:bCs/>
          <w:sz w:val="16"/>
          <w:szCs w:val="16"/>
        </w:rPr>
        <w:t>(Registrant's telephone number, including area code)</w:t>
      </w:r>
    </w:p>
    <w:p w14:paraId="1446DFCC"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 ____________________________________________</w:t>
      </w:r>
    </w:p>
    <w:p w14:paraId="1446DFCD" w14:textId="77777777" w:rsidR="00FE42B5" w:rsidRDefault="00FE42B5">
      <w:pPr>
        <w:spacing w:line="288" w:lineRule="auto"/>
        <w:rPr>
          <w:rFonts w:ascii="Times New Roman" w:hAnsi="Times New Roman"/>
          <w:sz w:val="18"/>
          <w:szCs w:val="18"/>
        </w:rPr>
      </w:pPr>
    </w:p>
    <w:p w14:paraId="1446DFCE" w14:textId="77777777" w:rsidR="00FE42B5" w:rsidRDefault="009213DC">
      <w:pPr>
        <w:spacing w:line="288" w:lineRule="auto"/>
        <w:rPr>
          <w:rFonts w:ascii="Times New Roman" w:hAnsi="Times New Roman"/>
          <w:sz w:val="18"/>
          <w:szCs w:val="18"/>
        </w:rPr>
      </w:pPr>
      <w:r>
        <w:rPr>
          <w:rFonts w:ascii="Times New Roman" w:eastAsia="宋体" w:hAnsi="Times New Roman"/>
          <w:sz w:val="18"/>
          <w:szCs w:val="18"/>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3322"/>
      </w:tblGrid>
      <w:tr w:rsidR="00FE42B5" w14:paraId="1446DFD0" w14:textId="77777777">
        <w:trPr>
          <w:jc w:val="center"/>
        </w:trPr>
        <w:tc>
          <w:tcPr>
            <w:tcW w:w="0" w:type="auto"/>
            <w:gridSpan w:val="4"/>
            <w:shd w:val="clear" w:color="auto" w:fill="auto"/>
            <w:vAlign w:val="center"/>
          </w:tcPr>
          <w:p w14:paraId="1446DFCF" w14:textId="77777777" w:rsidR="00FE42B5" w:rsidRDefault="00FE42B5">
            <w:pPr>
              <w:rPr>
                <w:rFonts w:ascii="Times New Roman" w:hAnsi="Times New Roman"/>
                <w:sz w:val="20"/>
                <w:szCs w:val="20"/>
              </w:rPr>
            </w:pPr>
          </w:p>
        </w:tc>
      </w:tr>
      <w:tr w:rsidR="00FE42B5" w14:paraId="1446DFD5" w14:textId="77777777">
        <w:trPr>
          <w:jc w:val="center"/>
        </w:trPr>
        <w:tc>
          <w:tcPr>
            <w:tcW w:w="1000" w:type="pct"/>
            <w:shd w:val="clear" w:color="auto" w:fill="auto"/>
            <w:vAlign w:val="center"/>
          </w:tcPr>
          <w:p w14:paraId="1446DFD1" w14:textId="77777777" w:rsidR="00FE42B5" w:rsidRDefault="00FE42B5">
            <w:pPr>
              <w:rPr>
                <w:rFonts w:ascii="Times New Roman" w:hAnsi="Times New Roman"/>
                <w:sz w:val="20"/>
                <w:szCs w:val="20"/>
              </w:rPr>
            </w:pPr>
          </w:p>
        </w:tc>
        <w:tc>
          <w:tcPr>
            <w:tcW w:w="1000" w:type="pct"/>
            <w:shd w:val="clear" w:color="auto" w:fill="auto"/>
            <w:vAlign w:val="center"/>
          </w:tcPr>
          <w:p w14:paraId="1446DFD2" w14:textId="77777777" w:rsidR="00FE42B5" w:rsidRDefault="00FE42B5">
            <w:pPr>
              <w:rPr>
                <w:rFonts w:ascii="Times New Roman" w:hAnsi="Times New Roman"/>
                <w:sz w:val="20"/>
                <w:szCs w:val="20"/>
              </w:rPr>
            </w:pPr>
          </w:p>
        </w:tc>
        <w:tc>
          <w:tcPr>
            <w:tcW w:w="1000" w:type="pct"/>
            <w:shd w:val="clear" w:color="auto" w:fill="auto"/>
            <w:vAlign w:val="center"/>
          </w:tcPr>
          <w:p w14:paraId="1446DFD3" w14:textId="77777777" w:rsidR="00FE42B5" w:rsidRDefault="00FE42B5">
            <w:pPr>
              <w:rPr>
                <w:rFonts w:ascii="Times New Roman" w:hAnsi="Times New Roman"/>
                <w:sz w:val="20"/>
                <w:szCs w:val="20"/>
              </w:rPr>
            </w:pPr>
          </w:p>
        </w:tc>
        <w:tc>
          <w:tcPr>
            <w:tcW w:w="2000" w:type="pct"/>
            <w:shd w:val="clear" w:color="auto" w:fill="auto"/>
            <w:vAlign w:val="center"/>
          </w:tcPr>
          <w:p w14:paraId="1446DFD4" w14:textId="77777777" w:rsidR="00FE42B5" w:rsidRDefault="00FE42B5">
            <w:pPr>
              <w:rPr>
                <w:rFonts w:ascii="Times New Roman" w:hAnsi="Times New Roman"/>
                <w:sz w:val="20"/>
                <w:szCs w:val="20"/>
              </w:rPr>
            </w:pPr>
          </w:p>
        </w:tc>
      </w:tr>
      <w:tr w:rsidR="00FE42B5" w14:paraId="1446DFD9" w14:textId="77777777">
        <w:trPr>
          <w:jc w:val="center"/>
        </w:trPr>
        <w:tc>
          <w:tcPr>
            <w:tcW w:w="0" w:type="auto"/>
            <w:gridSpan w:val="2"/>
            <w:shd w:val="clear" w:color="auto" w:fill="auto"/>
            <w:tcMar>
              <w:top w:w="40" w:type="dxa"/>
              <w:left w:w="40" w:type="dxa"/>
              <w:bottom w:w="40" w:type="dxa"/>
              <w:right w:w="40" w:type="dxa"/>
            </w:tcMar>
            <w:vAlign w:val="bottom"/>
          </w:tcPr>
          <w:p w14:paraId="1446DFD6" w14:textId="77777777" w:rsidR="00FE42B5" w:rsidRDefault="009213DC">
            <w:pPr>
              <w:jc w:val="center"/>
              <w:textAlignment w:val="bottom"/>
              <w:rPr>
                <w:rFonts w:ascii="Times New Roman" w:hAnsi="Times New Roman"/>
                <w:sz w:val="18"/>
                <w:szCs w:val="18"/>
              </w:rPr>
            </w:pPr>
            <w:r>
              <w:rPr>
                <w:rFonts w:ascii="Times New Roman" w:eastAsia="宋体" w:hAnsi="Times New Roman"/>
                <w:sz w:val="18"/>
                <w:szCs w:val="18"/>
              </w:rPr>
              <w:t>Title of each class</w:t>
            </w:r>
          </w:p>
        </w:tc>
        <w:tc>
          <w:tcPr>
            <w:tcW w:w="0" w:type="auto"/>
            <w:shd w:val="clear" w:color="auto" w:fill="auto"/>
            <w:tcMar>
              <w:top w:w="40" w:type="dxa"/>
              <w:left w:w="40" w:type="dxa"/>
              <w:bottom w:w="40" w:type="dxa"/>
              <w:right w:w="40" w:type="dxa"/>
            </w:tcMar>
            <w:vAlign w:val="bottom"/>
          </w:tcPr>
          <w:p w14:paraId="1446DFD7" w14:textId="77777777" w:rsidR="00FE42B5" w:rsidRDefault="009213DC">
            <w:pPr>
              <w:jc w:val="center"/>
              <w:textAlignment w:val="bottom"/>
              <w:rPr>
                <w:rFonts w:ascii="Times New Roman" w:hAnsi="Times New Roman"/>
                <w:sz w:val="18"/>
                <w:szCs w:val="18"/>
              </w:rPr>
            </w:pPr>
            <w:r>
              <w:rPr>
                <w:rFonts w:ascii="Times New Roman" w:eastAsia="宋体" w:hAnsi="Times New Roman"/>
                <w:sz w:val="18"/>
                <w:szCs w:val="18"/>
              </w:rPr>
              <w:t>Trading Symbol(s)</w:t>
            </w:r>
          </w:p>
        </w:tc>
        <w:tc>
          <w:tcPr>
            <w:tcW w:w="0" w:type="auto"/>
            <w:shd w:val="clear" w:color="auto" w:fill="auto"/>
            <w:tcMar>
              <w:top w:w="40" w:type="dxa"/>
              <w:left w:w="40" w:type="dxa"/>
              <w:bottom w:w="40" w:type="dxa"/>
              <w:right w:w="40" w:type="dxa"/>
            </w:tcMar>
            <w:vAlign w:val="bottom"/>
          </w:tcPr>
          <w:p w14:paraId="1446DFD8" w14:textId="77777777" w:rsidR="00FE42B5" w:rsidRDefault="009213DC">
            <w:pPr>
              <w:jc w:val="center"/>
              <w:textAlignment w:val="bottom"/>
              <w:rPr>
                <w:rFonts w:ascii="Times New Roman" w:hAnsi="Times New Roman"/>
                <w:sz w:val="18"/>
                <w:szCs w:val="18"/>
              </w:rPr>
            </w:pPr>
            <w:r>
              <w:rPr>
                <w:rFonts w:ascii="Times New Roman" w:eastAsia="宋体" w:hAnsi="Times New Roman"/>
                <w:sz w:val="18"/>
                <w:szCs w:val="18"/>
              </w:rPr>
              <w:t>Name of each exchange on which registered</w:t>
            </w:r>
          </w:p>
        </w:tc>
      </w:tr>
      <w:tr w:rsidR="00FE42B5" w14:paraId="1446DFDD" w14:textId="77777777">
        <w:trPr>
          <w:jc w:val="center"/>
        </w:trPr>
        <w:tc>
          <w:tcPr>
            <w:tcW w:w="0" w:type="auto"/>
            <w:gridSpan w:val="2"/>
            <w:shd w:val="clear" w:color="auto" w:fill="auto"/>
            <w:tcMar>
              <w:top w:w="40" w:type="dxa"/>
              <w:left w:w="40" w:type="dxa"/>
              <w:bottom w:w="40" w:type="dxa"/>
              <w:right w:w="40" w:type="dxa"/>
            </w:tcMar>
            <w:vAlign w:val="bottom"/>
          </w:tcPr>
          <w:p w14:paraId="1446DFDA" w14:textId="77777777" w:rsidR="00FE42B5" w:rsidRDefault="009213DC">
            <w:pPr>
              <w:jc w:val="center"/>
              <w:textAlignment w:val="bottom"/>
              <w:rPr>
                <w:rFonts w:ascii="Times New Roman" w:hAnsi="Times New Roman"/>
                <w:sz w:val="18"/>
                <w:szCs w:val="18"/>
              </w:rPr>
            </w:pPr>
            <w:r>
              <w:rPr>
                <w:rFonts w:ascii="Times New Roman" w:eastAsia="宋体" w:hAnsi="Times New Roman"/>
                <w:sz w:val="18"/>
                <w:szCs w:val="18"/>
              </w:rPr>
              <w:t>Class A Common Stock, par value $0.000006</w:t>
            </w:r>
          </w:p>
        </w:tc>
        <w:tc>
          <w:tcPr>
            <w:tcW w:w="0" w:type="auto"/>
            <w:shd w:val="clear" w:color="auto" w:fill="auto"/>
            <w:tcMar>
              <w:top w:w="40" w:type="dxa"/>
              <w:left w:w="40" w:type="dxa"/>
              <w:bottom w:w="40" w:type="dxa"/>
              <w:right w:w="40" w:type="dxa"/>
            </w:tcMar>
            <w:vAlign w:val="bottom"/>
          </w:tcPr>
          <w:p w14:paraId="1446DFDB" w14:textId="77777777" w:rsidR="00FE42B5" w:rsidRDefault="009213DC">
            <w:pPr>
              <w:jc w:val="center"/>
              <w:textAlignment w:val="bottom"/>
              <w:rPr>
                <w:rFonts w:ascii="Times New Roman" w:hAnsi="Times New Roman"/>
                <w:sz w:val="18"/>
                <w:szCs w:val="18"/>
              </w:rPr>
            </w:pPr>
            <w:r>
              <w:rPr>
                <w:rFonts w:ascii="Times New Roman" w:eastAsia="宋体" w:hAnsi="Times New Roman"/>
                <w:sz w:val="18"/>
                <w:szCs w:val="18"/>
              </w:rPr>
              <w:t>FB</w:t>
            </w:r>
          </w:p>
        </w:tc>
        <w:tc>
          <w:tcPr>
            <w:tcW w:w="0" w:type="auto"/>
            <w:shd w:val="clear" w:color="auto" w:fill="auto"/>
            <w:tcMar>
              <w:top w:w="40" w:type="dxa"/>
              <w:left w:w="40" w:type="dxa"/>
              <w:bottom w:w="40" w:type="dxa"/>
              <w:right w:w="40" w:type="dxa"/>
            </w:tcMar>
            <w:vAlign w:val="bottom"/>
          </w:tcPr>
          <w:p w14:paraId="1446DFDC" w14:textId="77777777" w:rsidR="00FE42B5" w:rsidRDefault="009213DC">
            <w:pPr>
              <w:jc w:val="center"/>
              <w:textAlignment w:val="bottom"/>
              <w:rPr>
                <w:rFonts w:ascii="Times New Roman" w:hAnsi="Times New Roman"/>
                <w:sz w:val="18"/>
                <w:szCs w:val="18"/>
              </w:rPr>
            </w:pPr>
            <w:r>
              <w:rPr>
                <w:rFonts w:ascii="Times New Roman" w:eastAsia="宋体" w:hAnsi="Times New Roman"/>
                <w:sz w:val="18"/>
                <w:szCs w:val="18"/>
              </w:rPr>
              <w:t xml:space="preserve">The Nasdaq </w:t>
            </w:r>
            <w:r>
              <w:rPr>
                <w:rFonts w:ascii="Times New Roman" w:eastAsia="宋体" w:hAnsi="Times New Roman"/>
                <w:sz w:val="18"/>
                <w:szCs w:val="18"/>
              </w:rPr>
              <w:t>Stock Market LLC</w:t>
            </w:r>
          </w:p>
        </w:tc>
      </w:tr>
    </w:tbl>
    <w:p w14:paraId="1446DFDE" w14:textId="77777777" w:rsidR="00FE42B5" w:rsidRDefault="00FE42B5">
      <w:pPr>
        <w:spacing w:line="288" w:lineRule="auto"/>
        <w:jc w:val="both"/>
        <w:rPr>
          <w:rFonts w:ascii="Times New Roman" w:hAnsi="Times New Roman"/>
          <w:sz w:val="18"/>
          <w:szCs w:val="18"/>
        </w:rPr>
      </w:pPr>
    </w:p>
    <w:p w14:paraId="1446DFDF" w14:textId="77777777" w:rsidR="00FE42B5" w:rsidRDefault="009213DC">
      <w:pPr>
        <w:spacing w:line="288" w:lineRule="auto"/>
        <w:jc w:val="both"/>
        <w:rPr>
          <w:rFonts w:ascii="Times New Roman" w:hAnsi="Times New Roman"/>
          <w:sz w:val="22"/>
          <w:szCs w:val="22"/>
        </w:rPr>
      </w:pPr>
      <w:r>
        <w:rPr>
          <w:rFonts w:ascii="Times New Roman" w:eastAsia="宋体" w:hAnsi="Times New Roman"/>
          <w:sz w:val="18"/>
          <w:szCs w:val="18"/>
        </w:rPr>
        <w:t>Indicate by check mark whether the registrant (1) has filed all reports required to be filed by Section 13 or 15(d) of the Securities Exchange Act of 1934 (Exchange Act) during the preceding 12 months (or for such shorter period that the</w:t>
      </w:r>
      <w:r>
        <w:rPr>
          <w:rFonts w:ascii="Times New Roman" w:eastAsia="宋体" w:hAnsi="Times New Roman"/>
          <w:sz w:val="18"/>
          <w:szCs w:val="18"/>
        </w:rPr>
        <w:t xml:space="preserve"> registrant was required to file such reports), and (2) has been subject to such filing requirements for the past 90 days.    Yes</w:t>
      </w:r>
      <w:r>
        <w:rPr>
          <w:rFonts w:ascii="Times New Roman" w:eastAsia="宋体" w:hAnsi="Times New Roman"/>
          <w:sz w:val="20"/>
          <w:szCs w:val="20"/>
        </w:rPr>
        <w:t>  </w:t>
      </w:r>
      <w:r>
        <w:rPr>
          <w:rFonts w:ascii="Arial Unicode MS" w:eastAsia="Arial Unicode MS" w:hAnsi="Arial Unicode MS" w:cs="Arial Unicode MS" w:hint="eastAsia"/>
          <w:sz w:val="22"/>
          <w:szCs w:val="22"/>
        </w:rPr>
        <w:t>☒</w:t>
      </w:r>
      <w:r>
        <w:rPr>
          <w:rFonts w:ascii="Arial Unicode MS" w:eastAsia="Arial Unicode MS" w:hAnsi="Arial Unicode MS" w:cs="Arial Unicode MS" w:hint="eastAsia"/>
          <w:sz w:val="20"/>
          <w:szCs w:val="20"/>
        </w:rPr>
        <w:t>  </w:t>
      </w:r>
      <w:r>
        <w:rPr>
          <w:rFonts w:ascii="Times New Roman" w:eastAsia="宋体" w:hAnsi="Times New Roman"/>
          <w:sz w:val="20"/>
          <w:szCs w:val="20"/>
        </w:rPr>
        <w:t>  </w:t>
      </w:r>
      <w:r>
        <w:rPr>
          <w:rFonts w:ascii="Times New Roman" w:eastAsia="宋体" w:hAnsi="Times New Roman"/>
          <w:sz w:val="18"/>
          <w:szCs w:val="18"/>
        </w:rPr>
        <w:t>No</w:t>
      </w:r>
      <w:r>
        <w:rPr>
          <w:rFonts w:ascii="Times New Roman" w:eastAsia="宋体" w:hAnsi="Times New Roman"/>
          <w:sz w:val="20"/>
          <w:szCs w:val="20"/>
        </w:rPr>
        <w:t>  </w:t>
      </w:r>
      <w:r>
        <w:rPr>
          <w:rFonts w:ascii="Arial Unicode MS" w:eastAsia="Arial Unicode MS" w:hAnsi="Arial Unicode MS" w:cs="Arial Unicode MS" w:hint="eastAsia"/>
          <w:sz w:val="22"/>
          <w:szCs w:val="22"/>
        </w:rPr>
        <w:t>☐</w:t>
      </w:r>
      <w:r>
        <w:rPr>
          <w:rFonts w:ascii="Times New Roman" w:eastAsia="宋体" w:hAnsi="Times New Roman"/>
          <w:sz w:val="20"/>
          <w:szCs w:val="20"/>
        </w:rPr>
        <w:t>  </w:t>
      </w:r>
    </w:p>
    <w:p w14:paraId="1446DFE0" w14:textId="77777777" w:rsidR="00FE42B5" w:rsidRDefault="009213DC">
      <w:pPr>
        <w:spacing w:line="288" w:lineRule="auto"/>
        <w:jc w:val="both"/>
        <w:rPr>
          <w:rFonts w:ascii="Times New Roman" w:hAnsi="Times New Roman"/>
          <w:sz w:val="22"/>
          <w:szCs w:val="22"/>
        </w:rPr>
      </w:pPr>
      <w:r>
        <w:rPr>
          <w:rFonts w:ascii="Times New Roman" w:eastAsia="宋体" w:hAnsi="Times New Roman"/>
          <w:sz w:val="18"/>
          <w:szCs w:val="18"/>
        </w:rPr>
        <w:t xml:space="preserve">Indicate by check mark whether the registrant has submitted electronically every Interactive Data File </w:t>
      </w:r>
      <w:r>
        <w:rPr>
          <w:rFonts w:ascii="Times New Roman" w:eastAsia="宋体" w:hAnsi="Times New Roman"/>
          <w:sz w:val="18"/>
          <w:szCs w:val="18"/>
        </w:rPr>
        <w:t>required to be submitted pursuant to Rule 405 of Regulation S-T (§ 232.405 of this chapter) during the preceding 12 months (or for such shorter period that the registrant was required to submit such files).    Yes</w:t>
      </w:r>
      <w:r>
        <w:rPr>
          <w:rFonts w:ascii="Times New Roman" w:eastAsia="宋体" w:hAnsi="Times New Roman"/>
          <w:sz w:val="20"/>
          <w:szCs w:val="20"/>
        </w:rPr>
        <w:t> </w:t>
      </w:r>
      <w:r>
        <w:rPr>
          <w:rFonts w:ascii="Arial Unicode MS" w:eastAsia="Arial Unicode MS" w:hAnsi="Arial Unicode MS" w:cs="Arial Unicode MS" w:hint="eastAsia"/>
          <w:sz w:val="20"/>
          <w:szCs w:val="20"/>
        </w:rPr>
        <w:t> </w:t>
      </w:r>
      <w:r>
        <w:rPr>
          <w:rFonts w:ascii="Arial Unicode MS" w:eastAsia="Arial Unicode MS" w:hAnsi="Arial Unicode MS" w:cs="Arial Unicode MS" w:hint="eastAsia"/>
          <w:sz w:val="22"/>
          <w:szCs w:val="22"/>
        </w:rPr>
        <w:t>☒</w:t>
      </w:r>
      <w:r>
        <w:rPr>
          <w:rFonts w:ascii="Times New Roman" w:eastAsia="宋体" w:hAnsi="Times New Roman"/>
          <w:sz w:val="20"/>
          <w:szCs w:val="20"/>
        </w:rPr>
        <w:t>    </w:t>
      </w:r>
      <w:r>
        <w:rPr>
          <w:rFonts w:ascii="Times New Roman" w:eastAsia="宋体" w:hAnsi="Times New Roman"/>
          <w:sz w:val="18"/>
          <w:szCs w:val="18"/>
        </w:rPr>
        <w:t>No </w:t>
      </w:r>
      <w:r>
        <w:rPr>
          <w:rFonts w:ascii="Arial Unicode MS" w:eastAsia="Arial Unicode MS" w:hAnsi="Arial Unicode MS" w:cs="Arial Unicode MS" w:hint="eastAsia"/>
          <w:sz w:val="20"/>
          <w:szCs w:val="20"/>
        </w:rPr>
        <w:t> </w:t>
      </w:r>
      <w:r>
        <w:rPr>
          <w:rFonts w:ascii="Arial Unicode MS" w:eastAsia="Arial Unicode MS" w:hAnsi="Arial Unicode MS" w:cs="Arial Unicode MS" w:hint="eastAsia"/>
          <w:sz w:val="22"/>
          <w:szCs w:val="22"/>
        </w:rPr>
        <w:t>☐</w:t>
      </w:r>
    </w:p>
    <w:p w14:paraId="1446DFE1" w14:textId="77777777" w:rsidR="00FE42B5" w:rsidRDefault="009213DC">
      <w:pPr>
        <w:spacing w:line="288" w:lineRule="auto"/>
        <w:jc w:val="both"/>
        <w:rPr>
          <w:rFonts w:ascii="Times New Roman" w:hAnsi="Times New Roman"/>
          <w:sz w:val="18"/>
          <w:szCs w:val="18"/>
        </w:rPr>
      </w:pPr>
      <w:r>
        <w:rPr>
          <w:rFonts w:ascii="Times New Roman" w:eastAsia="宋体" w:hAnsi="Times New Roman"/>
          <w:sz w:val="18"/>
          <w:szCs w:val="18"/>
        </w:rPr>
        <w:t>Indicate by check mark whether</w:t>
      </w:r>
      <w:r>
        <w:rPr>
          <w:rFonts w:ascii="Times New Roman" w:eastAsia="宋体" w:hAnsi="Times New Roman"/>
          <w:sz w:val="18"/>
          <w:szCs w:val="18"/>
        </w:rPr>
        <w:t xml:space="preserve"> the registrant is a large accelerated filer, an accelerated filer, a non-accelerated filer, a smaller reporting company, or an emerging growth company. See the definitions of "large accelerated </w:t>
      </w:r>
      <w:r>
        <w:rPr>
          <w:rFonts w:ascii="Times New Roman" w:eastAsia="宋体" w:hAnsi="Times New Roman"/>
          <w:sz w:val="18"/>
          <w:szCs w:val="18"/>
        </w:rPr>
        <w:lastRenderedPageBreak/>
        <w:t>filer," "accelerated filer," "smaller reporting company," and</w:t>
      </w:r>
      <w:r>
        <w:rPr>
          <w:rFonts w:ascii="Times New Roman" w:eastAsia="宋体" w:hAnsi="Times New Roman"/>
          <w:sz w:val="18"/>
          <w:szCs w:val="18"/>
        </w:rPr>
        <w:t xml:space="preserve"> "emerging growth company" in Rule 12b-2 of the Exchange Act. </w:t>
      </w:r>
    </w:p>
    <w:tbl>
      <w:tblPr>
        <w:tblW w:w="5000" w:type="pct"/>
        <w:tblCellMar>
          <w:left w:w="0" w:type="dxa"/>
          <w:right w:w="0" w:type="dxa"/>
        </w:tblCellMar>
        <w:tblLook w:val="04A0" w:firstRow="1" w:lastRow="0" w:firstColumn="1" w:lastColumn="0" w:noHBand="0" w:noVBand="1"/>
      </w:tblPr>
      <w:tblGrid>
        <w:gridCol w:w="1451"/>
        <w:gridCol w:w="130"/>
        <w:gridCol w:w="4275"/>
        <w:gridCol w:w="2050"/>
        <w:gridCol w:w="130"/>
        <w:gridCol w:w="270"/>
      </w:tblGrid>
      <w:tr w:rsidR="00FE42B5" w14:paraId="1446DFE3" w14:textId="77777777">
        <w:tc>
          <w:tcPr>
            <w:tcW w:w="0" w:type="auto"/>
            <w:gridSpan w:val="6"/>
            <w:shd w:val="clear" w:color="auto" w:fill="auto"/>
            <w:vAlign w:val="center"/>
          </w:tcPr>
          <w:p w14:paraId="1446DFE2" w14:textId="77777777" w:rsidR="00FE42B5" w:rsidRDefault="00FE42B5">
            <w:pPr>
              <w:rPr>
                <w:rFonts w:ascii="Times New Roman" w:hAnsi="Times New Roman"/>
                <w:sz w:val="20"/>
                <w:szCs w:val="20"/>
              </w:rPr>
            </w:pPr>
          </w:p>
        </w:tc>
      </w:tr>
      <w:tr w:rsidR="00FE42B5" w14:paraId="1446DFEA" w14:textId="77777777">
        <w:tc>
          <w:tcPr>
            <w:tcW w:w="950" w:type="pct"/>
            <w:shd w:val="clear" w:color="auto" w:fill="auto"/>
            <w:vAlign w:val="center"/>
          </w:tcPr>
          <w:p w14:paraId="1446DFE4" w14:textId="77777777" w:rsidR="00FE42B5" w:rsidRDefault="00FE42B5">
            <w:pPr>
              <w:rPr>
                <w:rFonts w:ascii="Times New Roman" w:hAnsi="Times New Roman"/>
                <w:sz w:val="20"/>
                <w:szCs w:val="20"/>
              </w:rPr>
            </w:pPr>
          </w:p>
        </w:tc>
        <w:tc>
          <w:tcPr>
            <w:tcW w:w="50" w:type="pct"/>
            <w:shd w:val="clear" w:color="auto" w:fill="auto"/>
            <w:vAlign w:val="center"/>
          </w:tcPr>
          <w:p w14:paraId="1446DFE5" w14:textId="77777777" w:rsidR="00FE42B5" w:rsidRDefault="00FE42B5">
            <w:pPr>
              <w:rPr>
                <w:rFonts w:ascii="Times New Roman" w:hAnsi="Times New Roman"/>
                <w:sz w:val="20"/>
                <w:szCs w:val="20"/>
              </w:rPr>
            </w:pPr>
          </w:p>
        </w:tc>
        <w:tc>
          <w:tcPr>
            <w:tcW w:w="2650" w:type="pct"/>
            <w:shd w:val="clear" w:color="auto" w:fill="auto"/>
            <w:vAlign w:val="center"/>
          </w:tcPr>
          <w:p w14:paraId="1446DFE6" w14:textId="77777777" w:rsidR="00FE42B5" w:rsidRDefault="00FE42B5">
            <w:pPr>
              <w:rPr>
                <w:rFonts w:ascii="Times New Roman" w:hAnsi="Times New Roman"/>
                <w:sz w:val="20"/>
                <w:szCs w:val="20"/>
              </w:rPr>
            </w:pPr>
          </w:p>
        </w:tc>
        <w:tc>
          <w:tcPr>
            <w:tcW w:w="1150" w:type="pct"/>
            <w:shd w:val="clear" w:color="auto" w:fill="auto"/>
            <w:vAlign w:val="center"/>
          </w:tcPr>
          <w:p w14:paraId="1446DFE7" w14:textId="77777777" w:rsidR="00FE42B5" w:rsidRDefault="00FE42B5">
            <w:pPr>
              <w:rPr>
                <w:rFonts w:ascii="Times New Roman" w:hAnsi="Times New Roman"/>
                <w:sz w:val="20"/>
                <w:szCs w:val="20"/>
              </w:rPr>
            </w:pPr>
          </w:p>
        </w:tc>
        <w:tc>
          <w:tcPr>
            <w:tcW w:w="50" w:type="pct"/>
            <w:shd w:val="clear" w:color="auto" w:fill="auto"/>
            <w:vAlign w:val="center"/>
          </w:tcPr>
          <w:p w14:paraId="1446DFE8" w14:textId="77777777" w:rsidR="00FE42B5" w:rsidRDefault="00FE42B5">
            <w:pPr>
              <w:rPr>
                <w:rFonts w:ascii="Times New Roman" w:hAnsi="Times New Roman"/>
                <w:sz w:val="20"/>
                <w:szCs w:val="20"/>
              </w:rPr>
            </w:pPr>
          </w:p>
        </w:tc>
        <w:tc>
          <w:tcPr>
            <w:tcW w:w="150" w:type="pct"/>
            <w:shd w:val="clear" w:color="auto" w:fill="auto"/>
            <w:vAlign w:val="center"/>
          </w:tcPr>
          <w:p w14:paraId="1446DFE9" w14:textId="77777777" w:rsidR="00FE42B5" w:rsidRDefault="00FE42B5">
            <w:pPr>
              <w:rPr>
                <w:rFonts w:ascii="Times New Roman" w:hAnsi="Times New Roman"/>
                <w:sz w:val="20"/>
                <w:szCs w:val="20"/>
              </w:rPr>
            </w:pPr>
          </w:p>
        </w:tc>
      </w:tr>
      <w:tr w:rsidR="00FE42B5" w14:paraId="1446DFF1" w14:textId="77777777">
        <w:tc>
          <w:tcPr>
            <w:tcW w:w="0" w:type="auto"/>
            <w:shd w:val="clear" w:color="auto" w:fill="auto"/>
            <w:tcMar>
              <w:top w:w="40" w:type="dxa"/>
              <w:left w:w="40" w:type="dxa"/>
              <w:bottom w:w="40" w:type="dxa"/>
              <w:right w:w="40" w:type="dxa"/>
            </w:tcMar>
            <w:vAlign w:val="bottom"/>
          </w:tcPr>
          <w:p w14:paraId="1446DFEB"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Large accelerated filer</w:t>
            </w:r>
          </w:p>
        </w:tc>
        <w:tc>
          <w:tcPr>
            <w:tcW w:w="0" w:type="auto"/>
            <w:shd w:val="clear" w:color="auto" w:fill="auto"/>
            <w:tcMar>
              <w:top w:w="40" w:type="dxa"/>
              <w:left w:w="40" w:type="dxa"/>
              <w:bottom w:w="40" w:type="dxa"/>
              <w:right w:w="40" w:type="dxa"/>
            </w:tcMar>
            <w:vAlign w:val="bottom"/>
          </w:tcPr>
          <w:p w14:paraId="1446DFE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DFED" w14:textId="77777777" w:rsidR="00FE42B5" w:rsidRDefault="009213DC">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c>
          <w:tcPr>
            <w:tcW w:w="0" w:type="auto"/>
            <w:shd w:val="clear" w:color="auto" w:fill="auto"/>
            <w:tcMar>
              <w:top w:w="40" w:type="dxa"/>
              <w:left w:w="40" w:type="dxa"/>
              <w:bottom w:w="40" w:type="dxa"/>
              <w:right w:w="40" w:type="dxa"/>
            </w:tcMar>
            <w:vAlign w:val="bottom"/>
          </w:tcPr>
          <w:p w14:paraId="1446DFEE"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Accelerated filer</w:t>
            </w:r>
          </w:p>
        </w:tc>
        <w:tc>
          <w:tcPr>
            <w:tcW w:w="0" w:type="auto"/>
            <w:shd w:val="clear" w:color="auto" w:fill="auto"/>
            <w:tcMar>
              <w:top w:w="40" w:type="dxa"/>
              <w:left w:w="40" w:type="dxa"/>
              <w:bottom w:w="40" w:type="dxa"/>
              <w:right w:w="40" w:type="dxa"/>
            </w:tcMar>
            <w:vAlign w:val="bottom"/>
          </w:tcPr>
          <w:p w14:paraId="1446DFE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DFF0" w14:textId="77777777" w:rsidR="00FE42B5" w:rsidRDefault="009213DC">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r>
      <w:tr w:rsidR="00FE42B5" w14:paraId="1446DFF8" w14:textId="77777777">
        <w:tc>
          <w:tcPr>
            <w:tcW w:w="0" w:type="auto"/>
            <w:shd w:val="clear" w:color="auto" w:fill="auto"/>
            <w:tcMar>
              <w:top w:w="40" w:type="dxa"/>
              <w:left w:w="40" w:type="dxa"/>
              <w:bottom w:w="40" w:type="dxa"/>
              <w:right w:w="40" w:type="dxa"/>
            </w:tcMar>
            <w:vAlign w:val="bottom"/>
          </w:tcPr>
          <w:p w14:paraId="1446DFF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DFF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DFF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DFF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DFF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DFF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DFFF" w14:textId="77777777">
        <w:tc>
          <w:tcPr>
            <w:tcW w:w="0" w:type="auto"/>
            <w:shd w:val="clear" w:color="auto" w:fill="auto"/>
            <w:tcMar>
              <w:top w:w="40" w:type="dxa"/>
              <w:left w:w="40" w:type="dxa"/>
              <w:bottom w:w="40" w:type="dxa"/>
              <w:right w:w="40" w:type="dxa"/>
            </w:tcMar>
            <w:vAlign w:val="bottom"/>
          </w:tcPr>
          <w:p w14:paraId="1446DFF9"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Non-accelerated filer</w:t>
            </w:r>
          </w:p>
        </w:tc>
        <w:tc>
          <w:tcPr>
            <w:tcW w:w="0" w:type="auto"/>
            <w:shd w:val="clear" w:color="auto" w:fill="auto"/>
            <w:tcMar>
              <w:top w:w="40" w:type="dxa"/>
              <w:left w:w="40" w:type="dxa"/>
              <w:bottom w:w="40" w:type="dxa"/>
              <w:right w:w="40" w:type="dxa"/>
            </w:tcMar>
            <w:vAlign w:val="bottom"/>
          </w:tcPr>
          <w:p w14:paraId="1446DFF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DFFB" w14:textId="77777777" w:rsidR="00FE42B5" w:rsidRDefault="009213DC">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c>
          <w:tcPr>
            <w:tcW w:w="0" w:type="auto"/>
            <w:shd w:val="clear" w:color="auto" w:fill="auto"/>
            <w:tcMar>
              <w:top w:w="40" w:type="dxa"/>
              <w:left w:w="40" w:type="dxa"/>
              <w:bottom w:w="40" w:type="dxa"/>
              <w:right w:w="40" w:type="dxa"/>
            </w:tcMar>
            <w:vAlign w:val="bottom"/>
          </w:tcPr>
          <w:p w14:paraId="1446DFFC"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Smaller reporting company</w:t>
            </w:r>
          </w:p>
        </w:tc>
        <w:tc>
          <w:tcPr>
            <w:tcW w:w="0" w:type="auto"/>
            <w:shd w:val="clear" w:color="auto" w:fill="auto"/>
            <w:tcMar>
              <w:top w:w="40" w:type="dxa"/>
              <w:left w:w="40" w:type="dxa"/>
              <w:bottom w:w="40" w:type="dxa"/>
              <w:right w:w="40" w:type="dxa"/>
            </w:tcMar>
            <w:vAlign w:val="bottom"/>
          </w:tcPr>
          <w:p w14:paraId="1446DFF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DFFE" w14:textId="77777777" w:rsidR="00FE42B5" w:rsidRDefault="009213DC">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r>
      <w:tr w:rsidR="00FE42B5" w14:paraId="1446E006" w14:textId="77777777">
        <w:tc>
          <w:tcPr>
            <w:tcW w:w="0" w:type="auto"/>
            <w:shd w:val="clear" w:color="auto" w:fill="auto"/>
            <w:tcMar>
              <w:top w:w="40" w:type="dxa"/>
              <w:left w:w="40" w:type="dxa"/>
              <w:bottom w:w="40" w:type="dxa"/>
              <w:right w:w="40" w:type="dxa"/>
            </w:tcMar>
            <w:vAlign w:val="bottom"/>
          </w:tcPr>
          <w:p w14:paraId="1446E00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0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0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0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0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0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0D" w14:textId="77777777">
        <w:tc>
          <w:tcPr>
            <w:tcW w:w="0" w:type="auto"/>
            <w:shd w:val="clear" w:color="auto" w:fill="auto"/>
            <w:tcMar>
              <w:top w:w="40" w:type="dxa"/>
              <w:left w:w="40" w:type="dxa"/>
              <w:bottom w:w="40" w:type="dxa"/>
              <w:right w:w="40" w:type="dxa"/>
            </w:tcMar>
            <w:vAlign w:val="bottom"/>
          </w:tcPr>
          <w:p w14:paraId="1446E00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0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0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0A"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Emerging growth company</w:t>
            </w:r>
          </w:p>
        </w:tc>
        <w:tc>
          <w:tcPr>
            <w:tcW w:w="0" w:type="auto"/>
            <w:shd w:val="clear" w:color="auto" w:fill="auto"/>
            <w:tcMar>
              <w:top w:w="40" w:type="dxa"/>
              <w:left w:w="40" w:type="dxa"/>
              <w:bottom w:w="40" w:type="dxa"/>
              <w:right w:w="40" w:type="dxa"/>
            </w:tcMar>
            <w:vAlign w:val="bottom"/>
          </w:tcPr>
          <w:p w14:paraId="1446E00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0C" w14:textId="77777777" w:rsidR="00FE42B5" w:rsidRDefault="009213DC">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r>
      <w:tr w:rsidR="00FE42B5" w14:paraId="1446E014" w14:textId="77777777">
        <w:tc>
          <w:tcPr>
            <w:tcW w:w="0" w:type="auto"/>
            <w:shd w:val="clear" w:color="auto" w:fill="auto"/>
            <w:tcMar>
              <w:top w:w="40" w:type="dxa"/>
              <w:left w:w="40" w:type="dxa"/>
              <w:bottom w:w="40" w:type="dxa"/>
              <w:right w:w="40" w:type="dxa"/>
            </w:tcMar>
            <w:vAlign w:val="bottom"/>
          </w:tcPr>
          <w:p w14:paraId="1446E00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0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1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1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1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1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18" w14:textId="77777777">
        <w:tc>
          <w:tcPr>
            <w:tcW w:w="0" w:type="auto"/>
            <w:gridSpan w:val="4"/>
            <w:shd w:val="clear" w:color="auto" w:fill="auto"/>
            <w:tcMar>
              <w:top w:w="40" w:type="dxa"/>
              <w:left w:w="40" w:type="dxa"/>
              <w:bottom w:w="40" w:type="dxa"/>
              <w:right w:w="40" w:type="dxa"/>
            </w:tcMar>
            <w:vAlign w:val="bottom"/>
          </w:tcPr>
          <w:p w14:paraId="1446E015" w14:textId="77777777" w:rsidR="00FE42B5" w:rsidRDefault="009213DC">
            <w:pPr>
              <w:jc w:val="both"/>
              <w:textAlignment w:val="bottom"/>
              <w:rPr>
                <w:rFonts w:ascii="Times New Roman" w:hAnsi="Times New Roman"/>
                <w:sz w:val="18"/>
                <w:szCs w:val="18"/>
              </w:rPr>
            </w:pPr>
            <w:r>
              <w:rPr>
                <w:rFonts w:ascii="Times New Roman" w:eastAsia="宋体" w:hAnsi="Times New Roman"/>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p>
        </w:tc>
        <w:tc>
          <w:tcPr>
            <w:tcW w:w="0" w:type="auto"/>
            <w:shd w:val="clear" w:color="auto" w:fill="auto"/>
            <w:tcMar>
              <w:top w:w="40" w:type="dxa"/>
              <w:left w:w="40" w:type="dxa"/>
              <w:bottom w:w="40" w:type="dxa"/>
              <w:right w:w="40" w:type="dxa"/>
            </w:tcMar>
            <w:vAlign w:val="bottom"/>
          </w:tcPr>
          <w:p w14:paraId="1446E01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446E017" w14:textId="77777777" w:rsidR="00FE42B5" w:rsidRDefault="009213DC">
            <w:pPr>
              <w:textAlignment w:val="center"/>
              <w:rPr>
                <w:rFonts w:ascii="Times New Roman" w:hAnsi="Times New Roman"/>
                <w:sz w:val="22"/>
                <w:szCs w:val="22"/>
              </w:rPr>
            </w:pPr>
            <w:r>
              <w:rPr>
                <w:rFonts w:ascii="Arial Unicode MS" w:eastAsia="Arial Unicode MS" w:hAnsi="Arial Unicode MS" w:cs="Arial Unicode MS" w:hint="eastAsia"/>
                <w:sz w:val="22"/>
                <w:szCs w:val="22"/>
              </w:rPr>
              <w:t>☐</w:t>
            </w:r>
          </w:p>
        </w:tc>
      </w:tr>
    </w:tbl>
    <w:p w14:paraId="1446E019" w14:textId="77777777" w:rsidR="00FE42B5" w:rsidRDefault="009213DC">
      <w:pPr>
        <w:spacing w:line="288" w:lineRule="auto"/>
        <w:rPr>
          <w:rFonts w:ascii="Times New Roman" w:hAnsi="Times New Roman"/>
          <w:sz w:val="22"/>
          <w:szCs w:val="22"/>
        </w:rPr>
      </w:pPr>
      <w:r>
        <w:rPr>
          <w:rFonts w:ascii="Times New Roman" w:eastAsia="宋体" w:hAnsi="Times New Roman"/>
          <w:sz w:val="18"/>
          <w:szCs w:val="18"/>
        </w:rPr>
        <w:t xml:space="preserve">Indicate by check mark whether the registrant is a shell company (as defined in Rule 12b-2 of the Exchange Act). Yes </w:t>
      </w:r>
      <w:r>
        <w:rPr>
          <w:rFonts w:ascii="Arial Unicode MS" w:eastAsia="Arial Unicode MS" w:hAnsi="Arial Unicode MS" w:cs="Arial Unicode MS" w:hint="eastAsia"/>
          <w:sz w:val="22"/>
          <w:szCs w:val="22"/>
        </w:rPr>
        <w:t>☐</w:t>
      </w:r>
      <w:r>
        <w:rPr>
          <w:rFonts w:ascii="Times New Roman" w:eastAsia="宋体" w:hAnsi="Times New Roman"/>
          <w:sz w:val="20"/>
          <w:szCs w:val="20"/>
        </w:rPr>
        <w:t xml:space="preserve"> </w:t>
      </w:r>
      <w:r>
        <w:rPr>
          <w:rFonts w:ascii="Times New Roman" w:eastAsia="宋体" w:hAnsi="Times New Roman"/>
          <w:sz w:val="18"/>
          <w:szCs w:val="18"/>
        </w:rPr>
        <w:t xml:space="preserve">No </w:t>
      </w:r>
      <w:r>
        <w:rPr>
          <w:rFonts w:ascii="Arial Unicode MS" w:eastAsia="Arial Unicode MS" w:hAnsi="Arial Unicode MS" w:cs="Arial Unicode MS" w:hint="eastAsia"/>
          <w:sz w:val="22"/>
          <w:szCs w:val="22"/>
        </w:rPr>
        <w:t>☒</w:t>
      </w:r>
    </w:p>
    <w:p w14:paraId="1446E01A" w14:textId="77777777" w:rsidR="00FE42B5" w:rsidRDefault="009213DC">
      <w:pPr>
        <w:spacing w:line="288" w:lineRule="auto"/>
        <w:jc w:val="both"/>
        <w:rPr>
          <w:rFonts w:ascii="Times New Roman" w:hAnsi="Times New Roman"/>
          <w:sz w:val="18"/>
          <w:szCs w:val="18"/>
        </w:rPr>
      </w:pPr>
      <w:r>
        <w:rPr>
          <w:rFonts w:ascii="Times New Roman" w:eastAsia="宋体" w:hAnsi="Times New Roman"/>
          <w:sz w:val="18"/>
          <w:szCs w:val="18"/>
        </w:rPr>
        <w:t>Indicate the number of shares outstanding of each of the issuer's classes of Common Stock, as of the latest practicable date.</w:t>
      </w:r>
    </w:p>
    <w:tbl>
      <w:tblPr>
        <w:tblW w:w="5000" w:type="pct"/>
        <w:tblCellMar>
          <w:left w:w="0" w:type="dxa"/>
          <w:right w:w="0" w:type="dxa"/>
        </w:tblCellMar>
        <w:tblLook w:val="04A0" w:firstRow="1" w:lastRow="0" w:firstColumn="1" w:lastColumn="0" w:noHBand="0" w:noVBand="1"/>
      </w:tblPr>
      <w:tblGrid>
        <w:gridCol w:w="1578"/>
        <w:gridCol w:w="1661"/>
        <w:gridCol w:w="2243"/>
        <w:gridCol w:w="83"/>
        <w:gridCol w:w="2741"/>
      </w:tblGrid>
      <w:tr w:rsidR="00FE42B5" w14:paraId="1446E01C" w14:textId="77777777">
        <w:tc>
          <w:tcPr>
            <w:tcW w:w="0" w:type="auto"/>
            <w:gridSpan w:val="5"/>
            <w:shd w:val="clear" w:color="auto" w:fill="auto"/>
            <w:vAlign w:val="center"/>
          </w:tcPr>
          <w:p w14:paraId="1446E01B" w14:textId="77777777" w:rsidR="00FE42B5" w:rsidRDefault="00FE42B5">
            <w:pPr>
              <w:rPr>
                <w:rFonts w:ascii="Times New Roman" w:hAnsi="Times New Roman"/>
                <w:sz w:val="20"/>
                <w:szCs w:val="20"/>
              </w:rPr>
            </w:pPr>
          </w:p>
        </w:tc>
      </w:tr>
      <w:tr w:rsidR="00FE42B5" w14:paraId="1446E022" w14:textId="77777777">
        <w:tc>
          <w:tcPr>
            <w:tcW w:w="950" w:type="pct"/>
            <w:shd w:val="clear" w:color="auto" w:fill="auto"/>
            <w:vAlign w:val="center"/>
          </w:tcPr>
          <w:p w14:paraId="1446E01D" w14:textId="77777777" w:rsidR="00FE42B5" w:rsidRDefault="00FE42B5">
            <w:pPr>
              <w:rPr>
                <w:rFonts w:ascii="Times New Roman" w:hAnsi="Times New Roman"/>
                <w:sz w:val="20"/>
                <w:szCs w:val="20"/>
              </w:rPr>
            </w:pPr>
          </w:p>
        </w:tc>
        <w:tc>
          <w:tcPr>
            <w:tcW w:w="1000" w:type="pct"/>
            <w:shd w:val="clear" w:color="auto" w:fill="auto"/>
            <w:vAlign w:val="center"/>
          </w:tcPr>
          <w:p w14:paraId="1446E01E" w14:textId="77777777" w:rsidR="00FE42B5" w:rsidRDefault="00FE42B5">
            <w:pPr>
              <w:rPr>
                <w:rFonts w:ascii="Times New Roman" w:hAnsi="Times New Roman"/>
                <w:sz w:val="20"/>
                <w:szCs w:val="20"/>
              </w:rPr>
            </w:pPr>
          </w:p>
        </w:tc>
        <w:tc>
          <w:tcPr>
            <w:tcW w:w="1350" w:type="pct"/>
            <w:shd w:val="clear" w:color="auto" w:fill="auto"/>
            <w:vAlign w:val="center"/>
          </w:tcPr>
          <w:p w14:paraId="1446E01F" w14:textId="77777777" w:rsidR="00FE42B5" w:rsidRDefault="00FE42B5">
            <w:pPr>
              <w:rPr>
                <w:rFonts w:ascii="Times New Roman" w:hAnsi="Times New Roman"/>
                <w:sz w:val="20"/>
                <w:szCs w:val="20"/>
              </w:rPr>
            </w:pPr>
          </w:p>
        </w:tc>
        <w:tc>
          <w:tcPr>
            <w:tcW w:w="50" w:type="pct"/>
            <w:shd w:val="clear" w:color="auto" w:fill="auto"/>
            <w:vAlign w:val="center"/>
          </w:tcPr>
          <w:p w14:paraId="1446E020" w14:textId="77777777" w:rsidR="00FE42B5" w:rsidRDefault="00FE42B5">
            <w:pPr>
              <w:rPr>
                <w:rFonts w:ascii="Times New Roman" w:hAnsi="Times New Roman"/>
                <w:sz w:val="20"/>
                <w:szCs w:val="20"/>
              </w:rPr>
            </w:pPr>
          </w:p>
        </w:tc>
        <w:tc>
          <w:tcPr>
            <w:tcW w:w="1650" w:type="pct"/>
            <w:shd w:val="clear" w:color="auto" w:fill="auto"/>
            <w:vAlign w:val="center"/>
          </w:tcPr>
          <w:p w14:paraId="1446E021" w14:textId="77777777" w:rsidR="00FE42B5" w:rsidRDefault="00FE42B5">
            <w:pPr>
              <w:rPr>
                <w:rFonts w:ascii="Times New Roman" w:hAnsi="Times New Roman"/>
                <w:sz w:val="20"/>
                <w:szCs w:val="20"/>
              </w:rPr>
            </w:pPr>
          </w:p>
        </w:tc>
      </w:tr>
      <w:tr w:rsidR="00FE42B5" w14:paraId="1446E025" w14:textId="77777777">
        <w:tc>
          <w:tcPr>
            <w:tcW w:w="0" w:type="auto"/>
            <w:gridSpan w:val="2"/>
            <w:shd w:val="clear" w:color="auto" w:fill="auto"/>
            <w:tcMar>
              <w:top w:w="40" w:type="dxa"/>
              <w:left w:w="40" w:type="dxa"/>
              <w:bottom w:w="40" w:type="dxa"/>
              <w:right w:w="40" w:type="dxa"/>
            </w:tcMar>
            <w:vAlign w:val="bottom"/>
          </w:tcPr>
          <w:p w14:paraId="1446E023" w14:textId="77777777" w:rsidR="00FE42B5" w:rsidRDefault="009213DC">
            <w:pPr>
              <w:jc w:val="center"/>
              <w:textAlignment w:val="bottom"/>
              <w:rPr>
                <w:rFonts w:ascii="Times New Roman" w:hAnsi="Times New Roman"/>
                <w:sz w:val="18"/>
                <w:szCs w:val="18"/>
              </w:rPr>
            </w:pPr>
            <w:r>
              <w:rPr>
                <w:rFonts w:ascii="Times New Roman" w:eastAsia="宋体" w:hAnsi="Times New Roman"/>
                <w:b/>
                <w:bCs/>
                <w:sz w:val="18"/>
                <w:szCs w:val="18"/>
              </w:rPr>
              <w:t>Class</w:t>
            </w:r>
          </w:p>
        </w:tc>
        <w:tc>
          <w:tcPr>
            <w:tcW w:w="0" w:type="auto"/>
            <w:gridSpan w:val="3"/>
            <w:shd w:val="clear" w:color="auto" w:fill="auto"/>
            <w:tcMar>
              <w:top w:w="40" w:type="dxa"/>
              <w:left w:w="40" w:type="dxa"/>
              <w:bottom w:w="40" w:type="dxa"/>
            </w:tcMar>
            <w:vAlign w:val="bottom"/>
          </w:tcPr>
          <w:p w14:paraId="1446E024" w14:textId="77777777" w:rsidR="00FE42B5" w:rsidRDefault="009213DC">
            <w:pPr>
              <w:jc w:val="center"/>
              <w:textAlignment w:val="bottom"/>
              <w:rPr>
                <w:rFonts w:ascii="Times New Roman" w:hAnsi="Times New Roman"/>
                <w:sz w:val="18"/>
                <w:szCs w:val="18"/>
              </w:rPr>
            </w:pPr>
            <w:r>
              <w:rPr>
                <w:rFonts w:ascii="Times New Roman" w:eastAsia="宋体" w:hAnsi="Times New Roman"/>
                <w:b/>
                <w:bCs/>
                <w:sz w:val="18"/>
                <w:szCs w:val="18"/>
              </w:rPr>
              <w:t>Number of Shares Outstanding</w:t>
            </w:r>
          </w:p>
        </w:tc>
      </w:tr>
      <w:tr w:rsidR="00FE42B5" w14:paraId="1446E02B" w14:textId="77777777">
        <w:tc>
          <w:tcPr>
            <w:tcW w:w="0" w:type="auto"/>
            <w:shd w:val="clear" w:color="auto" w:fill="auto"/>
            <w:tcMar>
              <w:top w:w="40" w:type="dxa"/>
              <w:left w:w="40" w:type="dxa"/>
              <w:bottom w:w="40" w:type="dxa"/>
              <w:right w:w="40" w:type="dxa"/>
            </w:tcMar>
          </w:tcPr>
          <w:p w14:paraId="1446E026" w14:textId="77777777" w:rsidR="00FE42B5" w:rsidRDefault="009213DC">
            <w:pPr>
              <w:jc w:val="right"/>
              <w:textAlignment w:val="top"/>
              <w:rPr>
                <w:rFonts w:ascii="Times New Roman" w:hAnsi="Times New Roman"/>
                <w:sz w:val="18"/>
                <w:szCs w:val="18"/>
              </w:rPr>
            </w:pPr>
            <w:r>
              <w:rPr>
                <w:rFonts w:ascii="Times New Roman" w:eastAsia="宋体" w:hAnsi="Times New Roman"/>
                <w:sz w:val="18"/>
                <w:szCs w:val="18"/>
              </w:rPr>
              <w:t xml:space="preserve">Class A Common Stock </w:t>
            </w:r>
          </w:p>
        </w:tc>
        <w:tc>
          <w:tcPr>
            <w:tcW w:w="0" w:type="auto"/>
            <w:shd w:val="clear" w:color="auto" w:fill="auto"/>
            <w:tcMar>
              <w:top w:w="40" w:type="dxa"/>
              <w:left w:w="40" w:type="dxa"/>
              <w:bottom w:w="40" w:type="dxa"/>
              <w:right w:w="40" w:type="dxa"/>
            </w:tcMar>
            <w:vAlign w:val="bottom"/>
          </w:tcPr>
          <w:p w14:paraId="1446E027"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$0.000006 par value</w:t>
            </w:r>
          </w:p>
        </w:tc>
        <w:tc>
          <w:tcPr>
            <w:tcW w:w="0" w:type="auto"/>
            <w:shd w:val="clear" w:color="auto" w:fill="auto"/>
            <w:tcMar>
              <w:top w:w="40" w:type="dxa"/>
              <w:left w:w="40" w:type="dxa"/>
              <w:bottom w:w="40" w:type="dxa"/>
            </w:tcMar>
            <w:vAlign w:val="bottom"/>
          </w:tcPr>
          <w:p w14:paraId="1446E028"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2,404,551,860</w:t>
            </w:r>
          </w:p>
        </w:tc>
        <w:tc>
          <w:tcPr>
            <w:tcW w:w="0" w:type="auto"/>
            <w:shd w:val="clear" w:color="auto" w:fill="auto"/>
            <w:vAlign w:val="bottom"/>
          </w:tcPr>
          <w:p w14:paraId="1446E029"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tcPr>
          <w:p w14:paraId="1446E02A" w14:textId="77777777" w:rsidR="00FE42B5" w:rsidRDefault="009213DC">
            <w:pPr>
              <w:textAlignment w:val="top"/>
              <w:rPr>
                <w:rFonts w:ascii="Times New Roman" w:hAnsi="Times New Roman"/>
                <w:sz w:val="18"/>
                <w:szCs w:val="18"/>
              </w:rPr>
            </w:pPr>
            <w:r>
              <w:rPr>
                <w:rFonts w:ascii="Times New Roman" w:eastAsia="宋体" w:hAnsi="Times New Roman"/>
                <w:sz w:val="18"/>
                <w:szCs w:val="18"/>
              </w:rPr>
              <w:t>shares outstanding as of April 24, 2020</w:t>
            </w:r>
          </w:p>
        </w:tc>
      </w:tr>
      <w:tr w:rsidR="00FE42B5" w14:paraId="1446E031" w14:textId="77777777">
        <w:tc>
          <w:tcPr>
            <w:tcW w:w="0" w:type="auto"/>
            <w:shd w:val="clear" w:color="auto" w:fill="auto"/>
            <w:tcMar>
              <w:top w:w="40" w:type="dxa"/>
              <w:left w:w="40" w:type="dxa"/>
              <w:bottom w:w="40" w:type="dxa"/>
              <w:right w:w="40" w:type="dxa"/>
            </w:tcMar>
          </w:tcPr>
          <w:p w14:paraId="1446E02C" w14:textId="77777777" w:rsidR="00FE42B5" w:rsidRDefault="009213DC">
            <w:pPr>
              <w:jc w:val="right"/>
              <w:textAlignment w:val="top"/>
              <w:rPr>
                <w:rFonts w:ascii="Times New Roman" w:hAnsi="Times New Roman"/>
                <w:sz w:val="18"/>
                <w:szCs w:val="18"/>
              </w:rPr>
            </w:pPr>
            <w:r>
              <w:rPr>
                <w:rFonts w:ascii="Times New Roman" w:eastAsia="宋体" w:hAnsi="Times New Roman"/>
                <w:sz w:val="18"/>
                <w:szCs w:val="18"/>
              </w:rPr>
              <w:t xml:space="preserve">Class B Common Stock </w:t>
            </w:r>
          </w:p>
        </w:tc>
        <w:tc>
          <w:tcPr>
            <w:tcW w:w="0" w:type="auto"/>
            <w:shd w:val="clear" w:color="auto" w:fill="auto"/>
            <w:tcMar>
              <w:top w:w="40" w:type="dxa"/>
              <w:left w:w="40" w:type="dxa"/>
              <w:bottom w:w="40" w:type="dxa"/>
              <w:right w:w="40" w:type="dxa"/>
            </w:tcMar>
            <w:vAlign w:val="bottom"/>
          </w:tcPr>
          <w:p w14:paraId="1446E02D"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$0.000006 par value</w:t>
            </w:r>
          </w:p>
        </w:tc>
        <w:tc>
          <w:tcPr>
            <w:tcW w:w="0" w:type="auto"/>
            <w:shd w:val="clear" w:color="auto" w:fill="auto"/>
            <w:tcMar>
              <w:top w:w="40" w:type="dxa"/>
              <w:left w:w="40" w:type="dxa"/>
              <w:bottom w:w="40" w:type="dxa"/>
            </w:tcMar>
            <w:vAlign w:val="bottom"/>
          </w:tcPr>
          <w:p w14:paraId="1446E02E"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444,551,440</w:t>
            </w:r>
          </w:p>
        </w:tc>
        <w:tc>
          <w:tcPr>
            <w:tcW w:w="0" w:type="auto"/>
            <w:shd w:val="clear" w:color="auto" w:fill="auto"/>
            <w:vAlign w:val="bottom"/>
          </w:tcPr>
          <w:p w14:paraId="1446E02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tcPr>
          <w:p w14:paraId="1446E030" w14:textId="77777777" w:rsidR="00FE42B5" w:rsidRDefault="009213DC">
            <w:pPr>
              <w:textAlignment w:val="top"/>
              <w:rPr>
                <w:rFonts w:ascii="Times New Roman" w:hAnsi="Times New Roman"/>
                <w:sz w:val="18"/>
                <w:szCs w:val="18"/>
              </w:rPr>
            </w:pPr>
            <w:r>
              <w:rPr>
                <w:rFonts w:ascii="Times New Roman" w:eastAsia="宋体" w:hAnsi="Times New Roman"/>
                <w:sz w:val="18"/>
                <w:szCs w:val="18"/>
              </w:rPr>
              <w:t>shares outstanding as of April 24, 2020</w:t>
            </w:r>
          </w:p>
        </w:tc>
      </w:tr>
    </w:tbl>
    <w:p w14:paraId="1446E032" w14:textId="77777777" w:rsidR="00FE42B5" w:rsidRDefault="00FE42B5">
      <w:pPr>
        <w:rPr>
          <w:rFonts w:ascii="Times New Roman" w:hAnsi="Times New Roman"/>
          <w:sz w:val="20"/>
          <w:szCs w:val="20"/>
        </w:rPr>
      </w:pPr>
    </w:p>
    <w:p w14:paraId="1446E033" w14:textId="77777777" w:rsidR="00FE42B5" w:rsidRDefault="009213DC">
      <w:r>
        <w:rPr>
          <w:rFonts w:ascii="Times New Roman" w:hAnsi="Times New Roman"/>
          <w:sz w:val="20"/>
          <w:szCs w:val="20"/>
        </w:rPr>
        <w:pict w14:anchorId="1446FAB9">
          <v:rect id="_x0000_i1025" style="width:415.3pt;height:1.5pt" o:hralign="center" o:hrstd="t" o:hr="t" fillcolor="#a0a0a0" stroked="f"/>
        </w:pict>
      </w:r>
    </w:p>
    <w:p w14:paraId="1446E034" w14:textId="77777777" w:rsidR="00FE42B5" w:rsidRDefault="00FE42B5">
      <w:pPr>
        <w:rPr>
          <w:rFonts w:ascii="Times New Roman" w:hAnsi="Times New Roman"/>
          <w:sz w:val="20"/>
          <w:szCs w:val="20"/>
        </w:rPr>
      </w:pPr>
    </w:p>
    <w:p w14:paraId="1446E035"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1446E036"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TABLE OF CONTENTS</w:t>
      </w:r>
    </w:p>
    <w:p w14:paraId="1446E037" w14:textId="77777777" w:rsidR="00FE42B5" w:rsidRDefault="00FE42B5">
      <w:pPr>
        <w:spacing w:line="288" w:lineRule="auto"/>
        <w:jc w:val="center"/>
        <w:rPr>
          <w:rFonts w:ascii="Times New Roman" w:hAnsi="Times New Roman"/>
          <w:sz w:val="20"/>
          <w:szCs w:val="20"/>
        </w:rPr>
      </w:pPr>
    </w:p>
    <w:tbl>
      <w:tblPr>
        <w:tblW w:w="4960" w:type="pct"/>
        <w:tblCellMar>
          <w:left w:w="0" w:type="dxa"/>
          <w:right w:w="0" w:type="dxa"/>
        </w:tblCellMar>
        <w:tblLook w:val="04A0" w:firstRow="1" w:lastRow="0" w:firstColumn="1" w:lastColumn="0" w:noHBand="0" w:noVBand="1"/>
      </w:tblPr>
      <w:tblGrid>
        <w:gridCol w:w="791"/>
        <w:gridCol w:w="6930"/>
        <w:gridCol w:w="519"/>
      </w:tblGrid>
      <w:tr w:rsidR="00FE42B5" w14:paraId="1446E039" w14:textId="77777777">
        <w:tc>
          <w:tcPr>
            <w:tcW w:w="0" w:type="auto"/>
            <w:gridSpan w:val="3"/>
            <w:shd w:val="clear" w:color="auto" w:fill="auto"/>
            <w:vAlign w:val="center"/>
          </w:tcPr>
          <w:p w14:paraId="1446E038" w14:textId="77777777" w:rsidR="00FE42B5" w:rsidRDefault="00FE42B5">
            <w:pPr>
              <w:rPr>
                <w:rFonts w:ascii="Times New Roman" w:hAnsi="Times New Roman"/>
                <w:sz w:val="20"/>
                <w:szCs w:val="20"/>
              </w:rPr>
            </w:pPr>
          </w:p>
        </w:tc>
      </w:tr>
      <w:tr w:rsidR="00FE42B5" w14:paraId="1446E03D" w14:textId="77777777">
        <w:tc>
          <w:tcPr>
            <w:tcW w:w="400" w:type="pct"/>
            <w:shd w:val="clear" w:color="auto" w:fill="auto"/>
            <w:vAlign w:val="center"/>
          </w:tcPr>
          <w:p w14:paraId="1446E03A" w14:textId="77777777" w:rsidR="00FE42B5" w:rsidRDefault="00FE42B5">
            <w:pPr>
              <w:rPr>
                <w:rFonts w:ascii="Times New Roman" w:hAnsi="Times New Roman"/>
                <w:sz w:val="20"/>
                <w:szCs w:val="20"/>
              </w:rPr>
            </w:pPr>
          </w:p>
        </w:tc>
        <w:tc>
          <w:tcPr>
            <w:tcW w:w="4250" w:type="pct"/>
            <w:shd w:val="clear" w:color="auto" w:fill="auto"/>
            <w:vAlign w:val="center"/>
          </w:tcPr>
          <w:p w14:paraId="1446E03B" w14:textId="77777777" w:rsidR="00FE42B5" w:rsidRDefault="00FE42B5">
            <w:pPr>
              <w:rPr>
                <w:rFonts w:ascii="Times New Roman" w:hAnsi="Times New Roman"/>
                <w:sz w:val="20"/>
                <w:szCs w:val="20"/>
              </w:rPr>
            </w:pPr>
          </w:p>
        </w:tc>
        <w:tc>
          <w:tcPr>
            <w:tcW w:w="350" w:type="pct"/>
            <w:shd w:val="clear" w:color="auto" w:fill="auto"/>
            <w:vAlign w:val="center"/>
          </w:tcPr>
          <w:p w14:paraId="1446E03C" w14:textId="77777777" w:rsidR="00FE42B5" w:rsidRDefault="00FE42B5">
            <w:pPr>
              <w:rPr>
                <w:rFonts w:ascii="Times New Roman" w:hAnsi="Times New Roman"/>
                <w:sz w:val="20"/>
                <w:szCs w:val="20"/>
              </w:rPr>
            </w:pPr>
          </w:p>
        </w:tc>
      </w:tr>
      <w:tr w:rsidR="00FE42B5" w14:paraId="1446E041" w14:textId="77777777">
        <w:tc>
          <w:tcPr>
            <w:tcW w:w="0" w:type="auto"/>
            <w:shd w:val="clear" w:color="auto" w:fill="auto"/>
            <w:tcMar>
              <w:top w:w="40" w:type="dxa"/>
              <w:left w:w="40" w:type="dxa"/>
              <w:bottom w:w="40" w:type="dxa"/>
              <w:right w:w="40" w:type="dxa"/>
            </w:tcMar>
            <w:vAlign w:val="center"/>
          </w:tcPr>
          <w:p w14:paraId="1446E03E" w14:textId="77777777" w:rsidR="00FE42B5" w:rsidRDefault="009213DC">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1446E03F" w14:textId="77777777" w:rsidR="00FE42B5" w:rsidRDefault="009213DC">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1446E040" w14:textId="77777777" w:rsidR="00FE42B5" w:rsidRDefault="009213DC">
            <w:pPr>
              <w:jc w:val="center"/>
              <w:textAlignment w:val="center"/>
              <w:rPr>
                <w:rFonts w:ascii="Times New Roman" w:hAnsi="Times New Roman"/>
                <w:sz w:val="20"/>
                <w:szCs w:val="20"/>
              </w:rPr>
            </w:pPr>
            <w:r>
              <w:rPr>
                <w:rFonts w:ascii="Times New Roman" w:eastAsia="宋体" w:hAnsi="Times New Roman"/>
                <w:sz w:val="20"/>
                <w:szCs w:val="20"/>
                <w:u w:val="single"/>
              </w:rPr>
              <w:t>Page </w:t>
            </w:r>
          </w:p>
        </w:tc>
      </w:tr>
      <w:tr w:rsidR="00FE42B5" w14:paraId="1446E044" w14:textId="77777777">
        <w:tc>
          <w:tcPr>
            <w:tcW w:w="0" w:type="auto"/>
            <w:gridSpan w:val="2"/>
            <w:shd w:val="clear" w:color="auto" w:fill="auto"/>
            <w:tcMar>
              <w:top w:w="40" w:type="dxa"/>
              <w:left w:w="40" w:type="dxa"/>
              <w:bottom w:w="40" w:type="dxa"/>
              <w:right w:w="40" w:type="dxa"/>
            </w:tcMar>
            <w:vAlign w:val="bottom"/>
          </w:tcPr>
          <w:p w14:paraId="1446E04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4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47" w14:textId="77777777">
        <w:tc>
          <w:tcPr>
            <w:tcW w:w="0" w:type="auto"/>
            <w:gridSpan w:val="2"/>
            <w:shd w:val="clear" w:color="auto" w:fill="auto"/>
            <w:tcMar>
              <w:top w:w="40" w:type="dxa"/>
              <w:left w:w="40" w:type="dxa"/>
              <w:bottom w:w="40" w:type="dxa"/>
              <w:right w:w="40" w:type="dxa"/>
            </w:tcMar>
            <w:vAlign w:val="center"/>
          </w:tcPr>
          <w:p w14:paraId="1446E045" w14:textId="77777777" w:rsidR="00FE42B5" w:rsidRDefault="009213DC">
            <w:pPr>
              <w:jc w:val="both"/>
              <w:textAlignment w:val="center"/>
              <w:rPr>
                <w:rFonts w:ascii="Times New Roman" w:hAnsi="Times New Roman"/>
                <w:sz w:val="20"/>
                <w:szCs w:val="20"/>
              </w:rPr>
            </w:pPr>
            <w:hyperlink r:id="rId6" w:anchor="sC6F9C9E822CC5A2FA808839365973B23" w:history="1">
              <w:r>
                <w:rPr>
                  <w:rStyle w:val="a5"/>
                  <w:rFonts w:ascii="Times New Roman" w:eastAsia="宋体" w:hAnsi="Times New Roman"/>
                  <w:sz w:val="20"/>
                  <w:szCs w:val="20"/>
                </w:rPr>
                <w:t>Note About Forward-Looking Statements</w:t>
              </w:r>
            </w:hyperlink>
          </w:p>
        </w:tc>
        <w:tc>
          <w:tcPr>
            <w:tcW w:w="0" w:type="auto"/>
            <w:shd w:val="clear" w:color="auto" w:fill="auto"/>
            <w:tcMar>
              <w:top w:w="40" w:type="dxa"/>
              <w:left w:w="40" w:type="dxa"/>
              <w:bottom w:w="40" w:type="dxa"/>
              <w:right w:w="40" w:type="dxa"/>
            </w:tcMar>
            <w:vAlign w:val="center"/>
          </w:tcPr>
          <w:p w14:paraId="1446E046" w14:textId="77777777" w:rsidR="00FE42B5" w:rsidRDefault="009213DC">
            <w:pPr>
              <w:jc w:val="center"/>
              <w:textAlignment w:val="center"/>
              <w:rPr>
                <w:rFonts w:ascii="Times New Roman" w:hAnsi="Times New Roman"/>
                <w:sz w:val="20"/>
                <w:szCs w:val="20"/>
              </w:rPr>
            </w:pPr>
            <w:hyperlink r:id="rId7" w:anchor="sC6F9C9E822CC5A2FA808839365973B23" w:history="1">
              <w:r>
                <w:rPr>
                  <w:rStyle w:val="a5"/>
                  <w:rFonts w:ascii="Times New Roman" w:eastAsia="宋体" w:hAnsi="Times New Roman"/>
                  <w:sz w:val="20"/>
                  <w:szCs w:val="20"/>
                </w:rPr>
                <w:t>3</w:t>
              </w:r>
            </w:hyperlink>
          </w:p>
        </w:tc>
      </w:tr>
      <w:tr w:rsidR="00FE42B5" w14:paraId="1446E04A" w14:textId="77777777">
        <w:tc>
          <w:tcPr>
            <w:tcW w:w="0" w:type="auto"/>
            <w:gridSpan w:val="2"/>
            <w:shd w:val="clear" w:color="auto" w:fill="auto"/>
            <w:tcMar>
              <w:top w:w="40" w:type="dxa"/>
              <w:left w:w="40" w:type="dxa"/>
              <w:bottom w:w="40" w:type="dxa"/>
              <w:right w:w="40" w:type="dxa"/>
            </w:tcMar>
            <w:vAlign w:val="bottom"/>
          </w:tcPr>
          <w:p w14:paraId="1446E04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4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4D" w14:textId="77777777">
        <w:tc>
          <w:tcPr>
            <w:tcW w:w="0" w:type="auto"/>
            <w:gridSpan w:val="2"/>
            <w:shd w:val="clear" w:color="auto" w:fill="auto"/>
            <w:tcMar>
              <w:top w:w="40" w:type="dxa"/>
              <w:left w:w="40" w:type="dxa"/>
              <w:bottom w:w="40" w:type="dxa"/>
              <w:right w:w="40" w:type="dxa"/>
            </w:tcMar>
            <w:vAlign w:val="center"/>
          </w:tcPr>
          <w:p w14:paraId="1446E04B" w14:textId="77777777" w:rsidR="00FE42B5" w:rsidRDefault="009213DC">
            <w:pPr>
              <w:textAlignment w:val="center"/>
              <w:rPr>
                <w:rFonts w:ascii="Times New Roman" w:hAnsi="Times New Roman"/>
                <w:sz w:val="20"/>
                <w:szCs w:val="20"/>
              </w:rPr>
            </w:pPr>
            <w:hyperlink r:id="rId8" w:anchor="sCB1963935B415299A28A4C81480CD54C" w:history="1">
              <w:r>
                <w:rPr>
                  <w:rStyle w:val="a5"/>
                  <w:rFonts w:ascii="Times New Roman" w:eastAsia="宋体" w:hAnsi="Times New Roman"/>
                  <w:sz w:val="20"/>
                  <w:szCs w:val="20"/>
                </w:rPr>
                <w:t>Limitations of Key Metrics and Other Data</w:t>
              </w:r>
            </w:hyperlink>
          </w:p>
        </w:tc>
        <w:tc>
          <w:tcPr>
            <w:tcW w:w="0" w:type="auto"/>
            <w:shd w:val="clear" w:color="auto" w:fill="auto"/>
            <w:tcMar>
              <w:top w:w="40" w:type="dxa"/>
              <w:left w:w="40" w:type="dxa"/>
              <w:bottom w:w="40" w:type="dxa"/>
              <w:right w:w="40" w:type="dxa"/>
            </w:tcMar>
            <w:vAlign w:val="center"/>
          </w:tcPr>
          <w:p w14:paraId="1446E04C" w14:textId="77777777" w:rsidR="00FE42B5" w:rsidRDefault="009213DC">
            <w:pPr>
              <w:jc w:val="center"/>
              <w:textAlignment w:val="center"/>
              <w:rPr>
                <w:rFonts w:ascii="Times New Roman" w:hAnsi="Times New Roman"/>
                <w:sz w:val="20"/>
                <w:szCs w:val="20"/>
              </w:rPr>
            </w:pPr>
            <w:hyperlink r:id="rId9" w:anchor="sCB1963935B415299A28A4C81480CD54C" w:history="1">
              <w:r>
                <w:rPr>
                  <w:rStyle w:val="a5"/>
                  <w:rFonts w:ascii="Times New Roman" w:eastAsia="宋体" w:hAnsi="Times New Roman"/>
                  <w:sz w:val="20"/>
                  <w:szCs w:val="20"/>
                </w:rPr>
                <w:t>4</w:t>
              </w:r>
            </w:hyperlink>
          </w:p>
        </w:tc>
      </w:tr>
      <w:tr w:rsidR="00FE42B5" w14:paraId="1446E050" w14:textId="77777777">
        <w:tc>
          <w:tcPr>
            <w:tcW w:w="0" w:type="auto"/>
            <w:gridSpan w:val="2"/>
            <w:shd w:val="clear" w:color="auto" w:fill="auto"/>
            <w:tcMar>
              <w:top w:w="40" w:type="dxa"/>
              <w:left w:w="40" w:type="dxa"/>
              <w:bottom w:w="40" w:type="dxa"/>
              <w:right w:w="40" w:type="dxa"/>
            </w:tcMar>
            <w:vAlign w:val="bottom"/>
          </w:tcPr>
          <w:p w14:paraId="1446E04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4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53" w14:textId="77777777">
        <w:tc>
          <w:tcPr>
            <w:tcW w:w="0" w:type="auto"/>
            <w:gridSpan w:val="2"/>
            <w:shd w:val="clear" w:color="auto" w:fill="auto"/>
            <w:tcMar>
              <w:top w:w="40" w:type="dxa"/>
              <w:left w:w="40" w:type="dxa"/>
              <w:bottom w:w="40" w:type="dxa"/>
              <w:right w:w="40" w:type="dxa"/>
            </w:tcMar>
            <w:vAlign w:val="center"/>
          </w:tcPr>
          <w:p w14:paraId="1446E051" w14:textId="77777777" w:rsidR="00FE42B5" w:rsidRDefault="009213DC">
            <w:pPr>
              <w:jc w:val="center"/>
              <w:textAlignment w:val="center"/>
              <w:rPr>
                <w:rFonts w:ascii="Times New Roman" w:hAnsi="Times New Roman"/>
                <w:sz w:val="20"/>
                <w:szCs w:val="20"/>
              </w:rPr>
            </w:pPr>
            <w:hyperlink r:id="rId10" w:anchor="s11022EDC106A5131A8390AD2A04061A2" w:history="1">
              <w:r>
                <w:rPr>
                  <w:rStyle w:val="a5"/>
                  <w:rFonts w:ascii="Times New Roman" w:eastAsia="宋体" w:hAnsi="Times New Roman"/>
                  <w:sz w:val="20"/>
                  <w:szCs w:val="20"/>
                </w:rPr>
                <w:t>PART I—FINANCIAL INFORMATION</w:t>
              </w:r>
            </w:hyperlink>
          </w:p>
        </w:tc>
        <w:tc>
          <w:tcPr>
            <w:tcW w:w="0" w:type="auto"/>
            <w:shd w:val="clear" w:color="auto" w:fill="auto"/>
            <w:tcMar>
              <w:top w:w="40" w:type="dxa"/>
              <w:left w:w="40" w:type="dxa"/>
              <w:bottom w:w="40" w:type="dxa"/>
              <w:right w:w="40" w:type="dxa"/>
            </w:tcMar>
            <w:vAlign w:val="center"/>
          </w:tcPr>
          <w:p w14:paraId="1446E052" w14:textId="77777777" w:rsidR="00FE42B5" w:rsidRDefault="009213DC">
            <w:pPr>
              <w:jc w:val="center"/>
              <w:textAlignment w:val="center"/>
              <w:rPr>
                <w:rFonts w:ascii="Times New Roman" w:hAnsi="Times New Roman"/>
                <w:sz w:val="20"/>
                <w:szCs w:val="20"/>
              </w:rPr>
            </w:pPr>
            <w:hyperlink r:id="rId11" w:anchor="s11022EDC106A5131A8390AD2A04061A2" w:history="1">
              <w:r>
                <w:rPr>
                  <w:rStyle w:val="a5"/>
                  <w:rFonts w:ascii="Times New Roman" w:eastAsia="宋体" w:hAnsi="Times New Roman"/>
                  <w:sz w:val="20"/>
                  <w:szCs w:val="20"/>
                </w:rPr>
                <w:t>7</w:t>
              </w:r>
            </w:hyperlink>
          </w:p>
        </w:tc>
      </w:tr>
      <w:tr w:rsidR="00FE42B5" w14:paraId="1446E057" w14:textId="77777777">
        <w:tc>
          <w:tcPr>
            <w:tcW w:w="0" w:type="auto"/>
            <w:shd w:val="clear" w:color="auto" w:fill="auto"/>
            <w:tcMar>
              <w:top w:w="40" w:type="dxa"/>
              <w:left w:w="40" w:type="dxa"/>
              <w:bottom w:w="40" w:type="dxa"/>
              <w:right w:w="40" w:type="dxa"/>
            </w:tcMar>
            <w:vAlign w:val="bottom"/>
          </w:tcPr>
          <w:p w14:paraId="1446E05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5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5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5B" w14:textId="77777777">
        <w:tc>
          <w:tcPr>
            <w:tcW w:w="0" w:type="auto"/>
            <w:shd w:val="clear" w:color="auto" w:fill="auto"/>
            <w:tcMar>
              <w:top w:w="40" w:type="dxa"/>
              <w:left w:w="40" w:type="dxa"/>
              <w:bottom w:w="40" w:type="dxa"/>
              <w:right w:w="40" w:type="dxa"/>
            </w:tcMar>
            <w:vAlign w:val="center"/>
          </w:tcPr>
          <w:p w14:paraId="1446E058" w14:textId="77777777" w:rsidR="00FE42B5" w:rsidRDefault="009213DC">
            <w:pPr>
              <w:jc w:val="both"/>
              <w:textAlignment w:val="center"/>
              <w:rPr>
                <w:rFonts w:ascii="Times New Roman" w:hAnsi="Times New Roman"/>
                <w:sz w:val="20"/>
                <w:szCs w:val="20"/>
              </w:rPr>
            </w:pPr>
            <w:r>
              <w:rPr>
                <w:rFonts w:ascii="Times New Roman" w:eastAsia="宋体" w:hAnsi="Times New Roman"/>
                <w:sz w:val="20"/>
                <w:szCs w:val="20"/>
              </w:rPr>
              <w:t>Item 1.</w:t>
            </w:r>
          </w:p>
        </w:tc>
        <w:tc>
          <w:tcPr>
            <w:tcW w:w="0" w:type="auto"/>
            <w:shd w:val="clear" w:color="auto" w:fill="auto"/>
            <w:tcMar>
              <w:top w:w="40" w:type="dxa"/>
              <w:left w:w="40" w:type="dxa"/>
              <w:bottom w:w="40" w:type="dxa"/>
              <w:right w:w="40" w:type="dxa"/>
            </w:tcMar>
            <w:vAlign w:val="center"/>
          </w:tcPr>
          <w:p w14:paraId="1446E059" w14:textId="77777777" w:rsidR="00FE42B5" w:rsidRDefault="009213DC">
            <w:pPr>
              <w:jc w:val="both"/>
              <w:textAlignment w:val="center"/>
              <w:rPr>
                <w:rFonts w:ascii="Times New Roman" w:hAnsi="Times New Roman"/>
                <w:sz w:val="20"/>
                <w:szCs w:val="20"/>
              </w:rPr>
            </w:pPr>
            <w:hyperlink r:id="rId12" w:anchor="s638B0FB2143E5458B96C8F1D4713F6A9" w:history="1">
              <w:r>
                <w:rPr>
                  <w:rStyle w:val="a5"/>
                  <w:rFonts w:ascii="Times New Roman" w:eastAsia="宋体" w:hAnsi="Times New Roman"/>
                  <w:sz w:val="20"/>
                  <w:szCs w:val="20"/>
                </w:rPr>
                <w:t>Financial Statements (unaudited)</w:t>
              </w:r>
            </w:hyperlink>
          </w:p>
        </w:tc>
        <w:tc>
          <w:tcPr>
            <w:tcW w:w="0" w:type="auto"/>
            <w:shd w:val="clear" w:color="auto" w:fill="auto"/>
            <w:tcMar>
              <w:top w:w="40" w:type="dxa"/>
              <w:left w:w="40" w:type="dxa"/>
              <w:bottom w:w="40" w:type="dxa"/>
              <w:right w:w="40" w:type="dxa"/>
            </w:tcMar>
            <w:vAlign w:val="center"/>
          </w:tcPr>
          <w:p w14:paraId="1446E05A" w14:textId="77777777" w:rsidR="00FE42B5" w:rsidRDefault="009213DC">
            <w:pPr>
              <w:jc w:val="center"/>
              <w:textAlignment w:val="center"/>
              <w:rPr>
                <w:rFonts w:ascii="Times New Roman" w:hAnsi="Times New Roman"/>
                <w:sz w:val="20"/>
                <w:szCs w:val="20"/>
              </w:rPr>
            </w:pPr>
            <w:hyperlink r:id="rId13" w:anchor="s638B0FB2143E5458B96C8F1D4713F6A9" w:history="1">
              <w:r>
                <w:rPr>
                  <w:rStyle w:val="a5"/>
                  <w:rFonts w:ascii="Times New Roman" w:eastAsia="宋体" w:hAnsi="Times New Roman"/>
                  <w:sz w:val="20"/>
                  <w:szCs w:val="20"/>
                </w:rPr>
                <w:t>7</w:t>
              </w:r>
            </w:hyperlink>
          </w:p>
        </w:tc>
      </w:tr>
      <w:tr w:rsidR="00FE42B5" w14:paraId="1446E05F" w14:textId="77777777">
        <w:tc>
          <w:tcPr>
            <w:tcW w:w="0" w:type="auto"/>
            <w:shd w:val="clear" w:color="auto" w:fill="auto"/>
            <w:tcMar>
              <w:top w:w="40" w:type="dxa"/>
              <w:left w:w="40" w:type="dxa"/>
              <w:bottom w:w="40" w:type="dxa"/>
              <w:right w:w="40" w:type="dxa"/>
            </w:tcMar>
            <w:vAlign w:val="bottom"/>
          </w:tcPr>
          <w:p w14:paraId="1446E05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5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5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63" w14:textId="77777777">
        <w:tc>
          <w:tcPr>
            <w:tcW w:w="0" w:type="auto"/>
            <w:shd w:val="clear" w:color="auto" w:fill="auto"/>
            <w:tcMar>
              <w:top w:w="40" w:type="dxa"/>
              <w:left w:w="40" w:type="dxa"/>
              <w:bottom w:w="40" w:type="dxa"/>
              <w:right w:w="40" w:type="dxa"/>
            </w:tcMar>
            <w:vAlign w:val="bottom"/>
          </w:tcPr>
          <w:p w14:paraId="1446E06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446E061" w14:textId="77777777" w:rsidR="00FE42B5" w:rsidRDefault="009213DC">
            <w:pPr>
              <w:jc w:val="both"/>
              <w:textAlignment w:val="center"/>
              <w:rPr>
                <w:rFonts w:ascii="Times New Roman" w:hAnsi="Times New Roman"/>
                <w:sz w:val="20"/>
                <w:szCs w:val="20"/>
              </w:rPr>
            </w:pPr>
            <w:hyperlink r:id="rId14" w:anchor="s018212311760564B9CACCA382696EF20" w:history="1">
              <w:r>
                <w:rPr>
                  <w:rStyle w:val="a5"/>
                  <w:rFonts w:ascii="Times New Roman" w:eastAsia="宋体" w:hAnsi="Times New Roman"/>
                  <w:sz w:val="20"/>
                  <w:szCs w:val="20"/>
                </w:rPr>
                <w:t>Condensed Consolidated Balance Sheets—March 31, 2020 and December 31, 2019</w:t>
              </w:r>
            </w:hyperlink>
          </w:p>
        </w:tc>
        <w:tc>
          <w:tcPr>
            <w:tcW w:w="0" w:type="auto"/>
            <w:shd w:val="clear" w:color="auto" w:fill="auto"/>
            <w:tcMar>
              <w:top w:w="40" w:type="dxa"/>
              <w:left w:w="40" w:type="dxa"/>
              <w:bottom w:w="40" w:type="dxa"/>
              <w:right w:w="40" w:type="dxa"/>
            </w:tcMar>
            <w:vAlign w:val="center"/>
          </w:tcPr>
          <w:p w14:paraId="1446E062" w14:textId="77777777" w:rsidR="00FE42B5" w:rsidRDefault="009213DC">
            <w:pPr>
              <w:jc w:val="center"/>
              <w:textAlignment w:val="center"/>
              <w:rPr>
                <w:rFonts w:ascii="Times New Roman" w:hAnsi="Times New Roman"/>
                <w:sz w:val="20"/>
                <w:szCs w:val="20"/>
              </w:rPr>
            </w:pPr>
            <w:hyperlink r:id="rId15" w:anchor="s018212311760564B9CACCA382696EF20" w:history="1">
              <w:r>
                <w:rPr>
                  <w:rStyle w:val="a5"/>
                  <w:rFonts w:ascii="Times New Roman" w:eastAsia="宋体" w:hAnsi="Times New Roman"/>
                  <w:sz w:val="20"/>
                  <w:szCs w:val="20"/>
                </w:rPr>
                <w:t>7</w:t>
              </w:r>
            </w:hyperlink>
          </w:p>
        </w:tc>
      </w:tr>
      <w:tr w:rsidR="00FE42B5" w14:paraId="1446E067" w14:textId="77777777">
        <w:tc>
          <w:tcPr>
            <w:tcW w:w="0" w:type="auto"/>
            <w:shd w:val="clear" w:color="auto" w:fill="auto"/>
            <w:tcMar>
              <w:top w:w="40" w:type="dxa"/>
              <w:left w:w="40" w:type="dxa"/>
              <w:bottom w:w="40" w:type="dxa"/>
              <w:right w:w="40" w:type="dxa"/>
            </w:tcMar>
            <w:vAlign w:val="bottom"/>
          </w:tcPr>
          <w:p w14:paraId="1446E06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6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6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6B" w14:textId="77777777">
        <w:tc>
          <w:tcPr>
            <w:tcW w:w="0" w:type="auto"/>
            <w:shd w:val="clear" w:color="auto" w:fill="auto"/>
            <w:tcMar>
              <w:top w:w="40" w:type="dxa"/>
              <w:left w:w="40" w:type="dxa"/>
              <w:bottom w:w="40" w:type="dxa"/>
              <w:right w:w="40" w:type="dxa"/>
            </w:tcMar>
            <w:vAlign w:val="bottom"/>
          </w:tcPr>
          <w:p w14:paraId="1446E06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446E069" w14:textId="77777777" w:rsidR="00FE42B5" w:rsidRDefault="009213DC">
            <w:pPr>
              <w:jc w:val="both"/>
              <w:textAlignment w:val="center"/>
              <w:rPr>
                <w:rFonts w:ascii="Times New Roman" w:hAnsi="Times New Roman"/>
                <w:sz w:val="20"/>
                <w:szCs w:val="20"/>
              </w:rPr>
            </w:pPr>
            <w:hyperlink r:id="rId16" w:anchor="s6B98559965D4509786822562C367C16F" w:history="1">
              <w:r>
                <w:rPr>
                  <w:rStyle w:val="a5"/>
                  <w:rFonts w:ascii="Times New Roman" w:eastAsia="宋体" w:hAnsi="Times New Roman"/>
                  <w:sz w:val="20"/>
                  <w:szCs w:val="20"/>
                </w:rPr>
                <w:t>Condensed Consolidated Statements of Income—for the three months ended March 31, 2020 and 2019</w:t>
              </w:r>
            </w:hyperlink>
          </w:p>
        </w:tc>
        <w:tc>
          <w:tcPr>
            <w:tcW w:w="0" w:type="auto"/>
            <w:shd w:val="clear" w:color="auto" w:fill="auto"/>
            <w:tcMar>
              <w:top w:w="40" w:type="dxa"/>
              <w:left w:w="40" w:type="dxa"/>
              <w:bottom w:w="40" w:type="dxa"/>
              <w:right w:w="40" w:type="dxa"/>
            </w:tcMar>
            <w:vAlign w:val="center"/>
          </w:tcPr>
          <w:p w14:paraId="1446E06A" w14:textId="77777777" w:rsidR="00FE42B5" w:rsidRDefault="009213DC">
            <w:pPr>
              <w:jc w:val="center"/>
              <w:textAlignment w:val="center"/>
              <w:rPr>
                <w:rFonts w:ascii="Times New Roman" w:hAnsi="Times New Roman"/>
                <w:sz w:val="20"/>
                <w:szCs w:val="20"/>
              </w:rPr>
            </w:pPr>
            <w:hyperlink r:id="rId17" w:anchor="s6B98559965D4509786822562C367C16F" w:history="1">
              <w:r>
                <w:rPr>
                  <w:rStyle w:val="a5"/>
                  <w:rFonts w:ascii="Times New Roman" w:eastAsia="宋体" w:hAnsi="Times New Roman"/>
                  <w:sz w:val="20"/>
                  <w:szCs w:val="20"/>
                </w:rPr>
                <w:t>8</w:t>
              </w:r>
            </w:hyperlink>
          </w:p>
        </w:tc>
      </w:tr>
      <w:tr w:rsidR="00FE42B5" w14:paraId="1446E06F" w14:textId="77777777">
        <w:tc>
          <w:tcPr>
            <w:tcW w:w="0" w:type="auto"/>
            <w:shd w:val="clear" w:color="auto" w:fill="auto"/>
            <w:tcMar>
              <w:top w:w="40" w:type="dxa"/>
              <w:left w:w="40" w:type="dxa"/>
              <w:bottom w:w="40" w:type="dxa"/>
              <w:right w:w="40" w:type="dxa"/>
            </w:tcMar>
            <w:vAlign w:val="bottom"/>
          </w:tcPr>
          <w:p w14:paraId="1446E06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6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6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73" w14:textId="77777777">
        <w:tc>
          <w:tcPr>
            <w:tcW w:w="0" w:type="auto"/>
            <w:shd w:val="clear" w:color="auto" w:fill="auto"/>
            <w:tcMar>
              <w:top w:w="40" w:type="dxa"/>
              <w:left w:w="40" w:type="dxa"/>
              <w:bottom w:w="40" w:type="dxa"/>
              <w:right w:w="40" w:type="dxa"/>
            </w:tcMar>
            <w:vAlign w:val="bottom"/>
          </w:tcPr>
          <w:p w14:paraId="1446E07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446E071" w14:textId="77777777" w:rsidR="00FE42B5" w:rsidRDefault="009213DC">
            <w:pPr>
              <w:jc w:val="both"/>
              <w:textAlignment w:val="center"/>
              <w:rPr>
                <w:rFonts w:ascii="Times New Roman" w:hAnsi="Times New Roman"/>
                <w:sz w:val="20"/>
                <w:szCs w:val="20"/>
              </w:rPr>
            </w:pPr>
            <w:hyperlink r:id="rId18" w:anchor="sBB78442B4DD45680A40E275016DD83B1" w:history="1">
              <w:r>
                <w:rPr>
                  <w:rStyle w:val="a5"/>
                  <w:rFonts w:ascii="Times New Roman" w:eastAsia="宋体" w:hAnsi="Times New Roman"/>
                  <w:sz w:val="20"/>
                  <w:szCs w:val="20"/>
                </w:rPr>
                <w:t>Condensed Consolidated Statements of Comprehensive Income—for the three months ended March 31, 2020 and 20</w:t>
              </w:r>
              <w:r>
                <w:rPr>
                  <w:rStyle w:val="a5"/>
                  <w:rFonts w:ascii="Times New Roman" w:eastAsia="宋体" w:hAnsi="Times New Roman"/>
                  <w:sz w:val="20"/>
                  <w:szCs w:val="20"/>
                </w:rPr>
                <w:t>19</w:t>
              </w:r>
            </w:hyperlink>
          </w:p>
        </w:tc>
        <w:tc>
          <w:tcPr>
            <w:tcW w:w="0" w:type="auto"/>
            <w:shd w:val="clear" w:color="auto" w:fill="auto"/>
            <w:tcMar>
              <w:top w:w="40" w:type="dxa"/>
              <w:left w:w="40" w:type="dxa"/>
              <w:bottom w:w="40" w:type="dxa"/>
              <w:right w:w="40" w:type="dxa"/>
            </w:tcMar>
            <w:vAlign w:val="center"/>
          </w:tcPr>
          <w:p w14:paraId="1446E072" w14:textId="77777777" w:rsidR="00FE42B5" w:rsidRDefault="009213DC">
            <w:pPr>
              <w:jc w:val="center"/>
              <w:textAlignment w:val="center"/>
              <w:rPr>
                <w:rFonts w:ascii="Times New Roman" w:hAnsi="Times New Roman"/>
                <w:sz w:val="20"/>
                <w:szCs w:val="20"/>
              </w:rPr>
            </w:pPr>
            <w:hyperlink r:id="rId19" w:anchor="sBB78442B4DD45680A40E275016DD83B1" w:history="1">
              <w:r>
                <w:rPr>
                  <w:rStyle w:val="a5"/>
                  <w:rFonts w:ascii="Times New Roman" w:eastAsia="宋体" w:hAnsi="Times New Roman"/>
                  <w:sz w:val="20"/>
                  <w:szCs w:val="20"/>
                </w:rPr>
                <w:t>9</w:t>
              </w:r>
            </w:hyperlink>
          </w:p>
        </w:tc>
      </w:tr>
      <w:tr w:rsidR="00FE42B5" w14:paraId="1446E077" w14:textId="77777777">
        <w:tc>
          <w:tcPr>
            <w:tcW w:w="0" w:type="auto"/>
            <w:shd w:val="clear" w:color="auto" w:fill="auto"/>
            <w:tcMar>
              <w:top w:w="40" w:type="dxa"/>
              <w:left w:w="40" w:type="dxa"/>
              <w:bottom w:w="40" w:type="dxa"/>
              <w:right w:w="40" w:type="dxa"/>
            </w:tcMar>
            <w:vAlign w:val="bottom"/>
          </w:tcPr>
          <w:p w14:paraId="1446E07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1446E07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7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7B" w14:textId="77777777">
        <w:tc>
          <w:tcPr>
            <w:tcW w:w="0" w:type="auto"/>
            <w:shd w:val="clear" w:color="auto" w:fill="auto"/>
            <w:tcMar>
              <w:top w:w="40" w:type="dxa"/>
              <w:left w:w="40" w:type="dxa"/>
              <w:bottom w:w="40" w:type="dxa"/>
              <w:right w:w="40" w:type="dxa"/>
            </w:tcMar>
            <w:vAlign w:val="bottom"/>
          </w:tcPr>
          <w:p w14:paraId="1446E07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79" w14:textId="77777777" w:rsidR="00FE42B5" w:rsidRDefault="009213DC">
            <w:pPr>
              <w:jc w:val="both"/>
              <w:textAlignment w:val="bottom"/>
              <w:rPr>
                <w:rFonts w:ascii="Times New Roman" w:hAnsi="Times New Roman"/>
                <w:sz w:val="20"/>
                <w:szCs w:val="20"/>
              </w:rPr>
            </w:pPr>
            <w:hyperlink r:id="rId20" w:anchor="sA58E5F1B61CD5F81875915CC3AFA4DCC" w:history="1">
              <w:r>
                <w:rPr>
                  <w:rStyle w:val="a5"/>
                  <w:rFonts w:ascii="Times New Roman" w:eastAsia="宋体" w:hAnsi="Times New Roman"/>
                  <w:sz w:val="20"/>
                  <w:szCs w:val="20"/>
                </w:rPr>
                <w:t>Condensed Consolidated Statements of Stockholders' Equity—for the three months ended March 31, 2020 and 20</w:t>
              </w:r>
              <w:r>
                <w:rPr>
                  <w:rStyle w:val="a5"/>
                  <w:rFonts w:ascii="Times New Roman" w:eastAsia="宋体" w:hAnsi="Times New Roman"/>
                  <w:sz w:val="20"/>
                  <w:szCs w:val="20"/>
                </w:rPr>
                <w:t>19</w:t>
              </w:r>
            </w:hyperlink>
          </w:p>
        </w:tc>
        <w:tc>
          <w:tcPr>
            <w:tcW w:w="0" w:type="auto"/>
            <w:shd w:val="clear" w:color="auto" w:fill="auto"/>
            <w:tcMar>
              <w:top w:w="40" w:type="dxa"/>
              <w:left w:w="40" w:type="dxa"/>
              <w:bottom w:w="40" w:type="dxa"/>
              <w:right w:w="40" w:type="dxa"/>
            </w:tcMar>
            <w:vAlign w:val="center"/>
          </w:tcPr>
          <w:p w14:paraId="1446E07A" w14:textId="77777777" w:rsidR="00FE42B5" w:rsidRDefault="009213DC">
            <w:pPr>
              <w:jc w:val="center"/>
              <w:textAlignment w:val="center"/>
              <w:rPr>
                <w:rFonts w:ascii="Times New Roman" w:hAnsi="Times New Roman"/>
                <w:sz w:val="20"/>
                <w:szCs w:val="20"/>
              </w:rPr>
            </w:pPr>
            <w:hyperlink r:id="rId21" w:anchor="sA58E5F1B61CD5F81875915CC3AFA4DCC" w:history="1">
              <w:r>
                <w:rPr>
                  <w:rStyle w:val="a5"/>
                  <w:rFonts w:ascii="Times New Roman" w:eastAsia="宋体" w:hAnsi="Times New Roman"/>
                  <w:sz w:val="20"/>
                  <w:szCs w:val="20"/>
                </w:rPr>
                <w:t>10</w:t>
              </w:r>
            </w:hyperlink>
          </w:p>
        </w:tc>
      </w:tr>
      <w:tr w:rsidR="00FE42B5" w14:paraId="1446E07F" w14:textId="77777777">
        <w:tc>
          <w:tcPr>
            <w:tcW w:w="0" w:type="auto"/>
            <w:shd w:val="clear" w:color="auto" w:fill="auto"/>
            <w:tcMar>
              <w:top w:w="40" w:type="dxa"/>
              <w:left w:w="40" w:type="dxa"/>
              <w:bottom w:w="40" w:type="dxa"/>
              <w:right w:w="40" w:type="dxa"/>
            </w:tcMar>
            <w:vAlign w:val="bottom"/>
          </w:tcPr>
          <w:p w14:paraId="1446E07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7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7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83" w14:textId="77777777">
        <w:tc>
          <w:tcPr>
            <w:tcW w:w="0" w:type="auto"/>
            <w:shd w:val="clear" w:color="auto" w:fill="auto"/>
            <w:tcMar>
              <w:top w:w="40" w:type="dxa"/>
              <w:left w:w="40" w:type="dxa"/>
              <w:bottom w:w="40" w:type="dxa"/>
              <w:right w:w="40" w:type="dxa"/>
            </w:tcMar>
            <w:vAlign w:val="bottom"/>
          </w:tcPr>
          <w:p w14:paraId="1446E08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446E081" w14:textId="77777777" w:rsidR="00FE42B5" w:rsidRDefault="009213DC">
            <w:pPr>
              <w:jc w:val="both"/>
              <w:textAlignment w:val="center"/>
              <w:rPr>
                <w:rFonts w:ascii="Times New Roman" w:hAnsi="Times New Roman"/>
                <w:sz w:val="20"/>
                <w:szCs w:val="20"/>
              </w:rPr>
            </w:pPr>
            <w:hyperlink r:id="rId22" w:anchor="sE21149D8979957B690ADB12786E83362" w:history="1">
              <w:r>
                <w:rPr>
                  <w:rStyle w:val="a5"/>
                  <w:rFonts w:ascii="Times New Roman" w:eastAsia="宋体" w:hAnsi="Times New Roman"/>
                  <w:sz w:val="20"/>
                  <w:szCs w:val="20"/>
                </w:rPr>
                <w:t>Condensed Consolidated Statements of Cash Flows—for the three months ended March 31, 2020 and 2019</w:t>
              </w:r>
            </w:hyperlink>
          </w:p>
        </w:tc>
        <w:tc>
          <w:tcPr>
            <w:tcW w:w="0" w:type="auto"/>
            <w:shd w:val="clear" w:color="auto" w:fill="auto"/>
            <w:tcMar>
              <w:top w:w="40" w:type="dxa"/>
              <w:left w:w="40" w:type="dxa"/>
              <w:bottom w:w="40" w:type="dxa"/>
              <w:right w:w="40" w:type="dxa"/>
            </w:tcMar>
            <w:vAlign w:val="center"/>
          </w:tcPr>
          <w:p w14:paraId="1446E082" w14:textId="77777777" w:rsidR="00FE42B5" w:rsidRDefault="009213DC">
            <w:pPr>
              <w:jc w:val="center"/>
              <w:textAlignment w:val="center"/>
              <w:rPr>
                <w:rFonts w:ascii="Times New Roman" w:hAnsi="Times New Roman"/>
                <w:sz w:val="20"/>
                <w:szCs w:val="20"/>
              </w:rPr>
            </w:pPr>
            <w:hyperlink r:id="rId23" w:anchor="sE21149D8979957B690ADB12786E83362" w:history="1">
              <w:r>
                <w:rPr>
                  <w:rStyle w:val="a5"/>
                  <w:rFonts w:ascii="Times New Roman" w:eastAsia="宋体" w:hAnsi="Times New Roman"/>
                  <w:sz w:val="20"/>
                  <w:szCs w:val="20"/>
                </w:rPr>
                <w:t>11</w:t>
              </w:r>
            </w:hyperlink>
          </w:p>
        </w:tc>
      </w:tr>
      <w:tr w:rsidR="00FE42B5" w14:paraId="1446E087" w14:textId="77777777">
        <w:tc>
          <w:tcPr>
            <w:tcW w:w="0" w:type="auto"/>
            <w:shd w:val="clear" w:color="auto" w:fill="auto"/>
            <w:tcMar>
              <w:top w:w="40" w:type="dxa"/>
              <w:left w:w="40" w:type="dxa"/>
              <w:bottom w:w="40" w:type="dxa"/>
              <w:right w:w="40" w:type="dxa"/>
            </w:tcMar>
            <w:vAlign w:val="bottom"/>
          </w:tcPr>
          <w:p w14:paraId="1446E08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8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8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8B" w14:textId="77777777">
        <w:tc>
          <w:tcPr>
            <w:tcW w:w="0" w:type="auto"/>
            <w:shd w:val="clear" w:color="auto" w:fill="auto"/>
            <w:tcMar>
              <w:top w:w="40" w:type="dxa"/>
              <w:left w:w="40" w:type="dxa"/>
              <w:bottom w:w="40" w:type="dxa"/>
              <w:right w:w="40" w:type="dxa"/>
            </w:tcMar>
            <w:vAlign w:val="bottom"/>
          </w:tcPr>
          <w:p w14:paraId="1446E08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446E089" w14:textId="77777777" w:rsidR="00FE42B5" w:rsidRDefault="009213DC">
            <w:pPr>
              <w:jc w:val="both"/>
              <w:textAlignment w:val="center"/>
              <w:rPr>
                <w:rFonts w:ascii="Times New Roman" w:hAnsi="Times New Roman"/>
                <w:sz w:val="20"/>
                <w:szCs w:val="20"/>
              </w:rPr>
            </w:pPr>
            <w:hyperlink r:id="rId24" w:anchor="s5ACDC925DB59557FACE657F261C2A028" w:history="1">
              <w:r>
                <w:rPr>
                  <w:rStyle w:val="a5"/>
                  <w:rFonts w:ascii="Times New Roman" w:eastAsia="宋体" w:hAnsi="Times New Roman"/>
                  <w:sz w:val="20"/>
                  <w:szCs w:val="20"/>
                </w:rPr>
                <w:t>Notes to Condensed Consolidated Financial Statements</w:t>
              </w:r>
            </w:hyperlink>
          </w:p>
        </w:tc>
        <w:tc>
          <w:tcPr>
            <w:tcW w:w="0" w:type="auto"/>
            <w:shd w:val="clear" w:color="auto" w:fill="auto"/>
            <w:tcMar>
              <w:top w:w="40" w:type="dxa"/>
              <w:left w:w="40" w:type="dxa"/>
              <w:bottom w:w="40" w:type="dxa"/>
              <w:right w:w="40" w:type="dxa"/>
            </w:tcMar>
            <w:vAlign w:val="center"/>
          </w:tcPr>
          <w:p w14:paraId="1446E08A" w14:textId="77777777" w:rsidR="00FE42B5" w:rsidRDefault="009213DC">
            <w:pPr>
              <w:jc w:val="center"/>
              <w:textAlignment w:val="center"/>
              <w:rPr>
                <w:rFonts w:ascii="Times New Roman" w:hAnsi="Times New Roman"/>
                <w:sz w:val="20"/>
                <w:szCs w:val="20"/>
              </w:rPr>
            </w:pPr>
            <w:hyperlink r:id="rId25" w:anchor="s5ACDC925DB59557FACE657F261C2A028" w:history="1">
              <w:r>
                <w:rPr>
                  <w:rStyle w:val="a5"/>
                  <w:rFonts w:ascii="Times New Roman" w:eastAsia="宋体" w:hAnsi="Times New Roman"/>
                  <w:sz w:val="20"/>
                  <w:szCs w:val="20"/>
                </w:rPr>
                <w:t>13</w:t>
              </w:r>
            </w:hyperlink>
          </w:p>
        </w:tc>
      </w:tr>
      <w:tr w:rsidR="00FE42B5" w14:paraId="1446E08F" w14:textId="77777777">
        <w:tc>
          <w:tcPr>
            <w:tcW w:w="0" w:type="auto"/>
            <w:shd w:val="clear" w:color="auto" w:fill="auto"/>
            <w:tcMar>
              <w:top w:w="40" w:type="dxa"/>
              <w:left w:w="40" w:type="dxa"/>
              <w:bottom w:w="40" w:type="dxa"/>
              <w:right w:w="40" w:type="dxa"/>
            </w:tcMar>
            <w:vAlign w:val="bottom"/>
          </w:tcPr>
          <w:p w14:paraId="1446E08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8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8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93" w14:textId="77777777">
        <w:tc>
          <w:tcPr>
            <w:tcW w:w="0" w:type="auto"/>
            <w:shd w:val="clear" w:color="auto" w:fill="auto"/>
            <w:tcMar>
              <w:top w:w="40" w:type="dxa"/>
              <w:left w:w="40" w:type="dxa"/>
              <w:bottom w:w="40" w:type="dxa"/>
              <w:right w:w="40" w:type="dxa"/>
            </w:tcMar>
            <w:vAlign w:val="center"/>
          </w:tcPr>
          <w:p w14:paraId="1446E090" w14:textId="77777777" w:rsidR="00FE42B5" w:rsidRDefault="009213DC">
            <w:pPr>
              <w:jc w:val="both"/>
              <w:textAlignment w:val="center"/>
              <w:rPr>
                <w:rFonts w:ascii="Times New Roman" w:hAnsi="Times New Roman"/>
                <w:sz w:val="20"/>
                <w:szCs w:val="20"/>
              </w:rPr>
            </w:pPr>
            <w:r>
              <w:rPr>
                <w:rFonts w:ascii="Times New Roman" w:eastAsia="宋体" w:hAnsi="Times New Roman"/>
                <w:sz w:val="20"/>
                <w:szCs w:val="20"/>
              </w:rPr>
              <w:t>Item 2.</w:t>
            </w:r>
          </w:p>
        </w:tc>
        <w:tc>
          <w:tcPr>
            <w:tcW w:w="0" w:type="auto"/>
            <w:shd w:val="clear" w:color="auto" w:fill="auto"/>
            <w:tcMar>
              <w:top w:w="40" w:type="dxa"/>
              <w:left w:w="40" w:type="dxa"/>
              <w:bottom w:w="40" w:type="dxa"/>
              <w:right w:w="40" w:type="dxa"/>
            </w:tcMar>
            <w:vAlign w:val="center"/>
          </w:tcPr>
          <w:p w14:paraId="1446E091" w14:textId="77777777" w:rsidR="00FE42B5" w:rsidRDefault="009213DC">
            <w:pPr>
              <w:jc w:val="both"/>
              <w:textAlignment w:val="center"/>
              <w:rPr>
                <w:rFonts w:ascii="Times New Roman" w:hAnsi="Times New Roman"/>
                <w:sz w:val="20"/>
                <w:szCs w:val="20"/>
              </w:rPr>
            </w:pPr>
            <w:hyperlink r:id="rId26" w:anchor="s5AC8C7070DA75B818B9BBB8C0C822F78" w:history="1">
              <w:r>
                <w:rPr>
                  <w:rStyle w:val="a5"/>
                  <w:rFonts w:ascii="Times New Roman" w:eastAsia="宋体" w:hAnsi="Times New Roman"/>
                  <w:sz w:val="20"/>
                  <w:szCs w:val="20"/>
                </w:rPr>
                <w:t>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center"/>
          </w:tcPr>
          <w:p w14:paraId="1446E092" w14:textId="77777777" w:rsidR="00FE42B5" w:rsidRDefault="009213DC">
            <w:pPr>
              <w:jc w:val="center"/>
              <w:textAlignment w:val="center"/>
              <w:rPr>
                <w:rFonts w:ascii="Times New Roman" w:hAnsi="Times New Roman"/>
                <w:sz w:val="20"/>
                <w:szCs w:val="20"/>
              </w:rPr>
            </w:pPr>
            <w:hyperlink r:id="rId27" w:anchor="s5AC8C7070DA75B818B9BBB8C0C822F78" w:history="1">
              <w:r>
                <w:rPr>
                  <w:rStyle w:val="a5"/>
                  <w:rFonts w:ascii="Times New Roman" w:eastAsia="宋体" w:hAnsi="Times New Roman"/>
                  <w:sz w:val="20"/>
                  <w:szCs w:val="20"/>
                </w:rPr>
                <w:t>28</w:t>
              </w:r>
            </w:hyperlink>
          </w:p>
        </w:tc>
      </w:tr>
      <w:tr w:rsidR="00FE42B5" w14:paraId="1446E097" w14:textId="77777777">
        <w:tc>
          <w:tcPr>
            <w:tcW w:w="0" w:type="auto"/>
            <w:shd w:val="clear" w:color="auto" w:fill="auto"/>
            <w:tcMar>
              <w:top w:w="40" w:type="dxa"/>
              <w:left w:w="40" w:type="dxa"/>
              <w:bottom w:w="40" w:type="dxa"/>
              <w:right w:w="40" w:type="dxa"/>
            </w:tcMar>
            <w:vAlign w:val="bottom"/>
          </w:tcPr>
          <w:p w14:paraId="1446E09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9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9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9B" w14:textId="77777777">
        <w:tc>
          <w:tcPr>
            <w:tcW w:w="0" w:type="auto"/>
            <w:shd w:val="clear" w:color="auto" w:fill="auto"/>
            <w:tcMar>
              <w:top w:w="40" w:type="dxa"/>
              <w:left w:w="40" w:type="dxa"/>
              <w:bottom w:w="40" w:type="dxa"/>
              <w:right w:w="40" w:type="dxa"/>
            </w:tcMar>
            <w:vAlign w:val="center"/>
          </w:tcPr>
          <w:p w14:paraId="1446E098" w14:textId="77777777" w:rsidR="00FE42B5" w:rsidRDefault="009213DC">
            <w:pPr>
              <w:jc w:val="both"/>
              <w:textAlignment w:val="center"/>
              <w:rPr>
                <w:rFonts w:ascii="Times New Roman" w:hAnsi="Times New Roman"/>
                <w:sz w:val="20"/>
                <w:szCs w:val="20"/>
              </w:rPr>
            </w:pPr>
            <w:r>
              <w:rPr>
                <w:rFonts w:ascii="Times New Roman" w:eastAsia="宋体" w:hAnsi="Times New Roman"/>
                <w:sz w:val="20"/>
                <w:szCs w:val="20"/>
              </w:rPr>
              <w:t>Item 3.</w:t>
            </w:r>
          </w:p>
        </w:tc>
        <w:tc>
          <w:tcPr>
            <w:tcW w:w="0" w:type="auto"/>
            <w:shd w:val="clear" w:color="auto" w:fill="auto"/>
            <w:tcMar>
              <w:top w:w="40" w:type="dxa"/>
              <w:left w:w="40" w:type="dxa"/>
              <w:bottom w:w="40" w:type="dxa"/>
              <w:right w:w="40" w:type="dxa"/>
            </w:tcMar>
            <w:vAlign w:val="center"/>
          </w:tcPr>
          <w:p w14:paraId="1446E099" w14:textId="77777777" w:rsidR="00FE42B5" w:rsidRDefault="009213DC">
            <w:pPr>
              <w:jc w:val="both"/>
              <w:textAlignment w:val="center"/>
              <w:rPr>
                <w:rFonts w:ascii="Times New Roman" w:hAnsi="Times New Roman"/>
                <w:sz w:val="20"/>
                <w:szCs w:val="20"/>
              </w:rPr>
            </w:pPr>
            <w:hyperlink r:id="rId28" w:anchor="sE13E1FD47443562FB45C01EE921BB533" w:history="1">
              <w:r>
                <w:rPr>
                  <w:rStyle w:val="a5"/>
                  <w:rFonts w:ascii="Times New Roman" w:eastAsia="宋体" w:hAnsi="Times New Roman"/>
                  <w:sz w:val="20"/>
                  <w:szCs w:val="20"/>
                </w:rPr>
                <w:t>Quantitative and Qualitative Disclosures About Market Risk</w:t>
              </w:r>
            </w:hyperlink>
          </w:p>
        </w:tc>
        <w:tc>
          <w:tcPr>
            <w:tcW w:w="0" w:type="auto"/>
            <w:shd w:val="clear" w:color="auto" w:fill="auto"/>
            <w:tcMar>
              <w:top w:w="40" w:type="dxa"/>
              <w:left w:w="40" w:type="dxa"/>
              <w:bottom w:w="40" w:type="dxa"/>
              <w:right w:w="40" w:type="dxa"/>
            </w:tcMar>
            <w:vAlign w:val="center"/>
          </w:tcPr>
          <w:p w14:paraId="1446E09A" w14:textId="77777777" w:rsidR="00FE42B5" w:rsidRDefault="009213DC">
            <w:pPr>
              <w:jc w:val="center"/>
              <w:textAlignment w:val="center"/>
              <w:rPr>
                <w:rFonts w:ascii="Times New Roman" w:hAnsi="Times New Roman"/>
                <w:sz w:val="20"/>
                <w:szCs w:val="20"/>
              </w:rPr>
            </w:pPr>
            <w:hyperlink r:id="rId29" w:anchor="sE13E1FD47443562FB45C01EE921BB533" w:history="1">
              <w:r>
                <w:rPr>
                  <w:rStyle w:val="a5"/>
                  <w:rFonts w:ascii="Times New Roman" w:eastAsia="宋体" w:hAnsi="Times New Roman"/>
                  <w:sz w:val="20"/>
                  <w:szCs w:val="20"/>
                </w:rPr>
                <w:t>47</w:t>
              </w:r>
            </w:hyperlink>
          </w:p>
        </w:tc>
      </w:tr>
      <w:tr w:rsidR="00FE42B5" w14:paraId="1446E09F" w14:textId="77777777">
        <w:tc>
          <w:tcPr>
            <w:tcW w:w="0" w:type="auto"/>
            <w:shd w:val="clear" w:color="auto" w:fill="auto"/>
            <w:tcMar>
              <w:top w:w="40" w:type="dxa"/>
              <w:left w:w="40" w:type="dxa"/>
              <w:bottom w:w="40" w:type="dxa"/>
              <w:right w:w="40" w:type="dxa"/>
            </w:tcMar>
            <w:vAlign w:val="bottom"/>
          </w:tcPr>
          <w:p w14:paraId="1446E09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9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9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A3" w14:textId="77777777">
        <w:tc>
          <w:tcPr>
            <w:tcW w:w="0" w:type="auto"/>
            <w:shd w:val="clear" w:color="auto" w:fill="auto"/>
            <w:tcMar>
              <w:top w:w="40" w:type="dxa"/>
              <w:left w:w="40" w:type="dxa"/>
              <w:bottom w:w="40" w:type="dxa"/>
              <w:right w:w="40" w:type="dxa"/>
            </w:tcMar>
            <w:vAlign w:val="center"/>
          </w:tcPr>
          <w:p w14:paraId="1446E0A0" w14:textId="77777777" w:rsidR="00FE42B5" w:rsidRDefault="009213DC">
            <w:pPr>
              <w:jc w:val="both"/>
              <w:textAlignment w:val="center"/>
              <w:rPr>
                <w:rFonts w:ascii="Times New Roman" w:hAnsi="Times New Roman"/>
                <w:sz w:val="20"/>
                <w:szCs w:val="20"/>
              </w:rPr>
            </w:pPr>
            <w:r>
              <w:rPr>
                <w:rFonts w:ascii="Times New Roman" w:eastAsia="宋体" w:hAnsi="Times New Roman"/>
                <w:sz w:val="20"/>
                <w:szCs w:val="20"/>
              </w:rPr>
              <w:t>Item 4.</w:t>
            </w:r>
          </w:p>
        </w:tc>
        <w:tc>
          <w:tcPr>
            <w:tcW w:w="0" w:type="auto"/>
            <w:shd w:val="clear" w:color="auto" w:fill="auto"/>
            <w:tcMar>
              <w:top w:w="40" w:type="dxa"/>
              <w:left w:w="40" w:type="dxa"/>
              <w:bottom w:w="40" w:type="dxa"/>
              <w:right w:w="40" w:type="dxa"/>
            </w:tcMar>
            <w:vAlign w:val="center"/>
          </w:tcPr>
          <w:p w14:paraId="1446E0A1" w14:textId="77777777" w:rsidR="00FE42B5" w:rsidRDefault="009213DC">
            <w:pPr>
              <w:jc w:val="both"/>
              <w:textAlignment w:val="center"/>
              <w:rPr>
                <w:rFonts w:ascii="Times New Roman" w:hAnsi="Times New Roman"/>
                <w:sz w:val="20"/>
                <w:szCs w:val="20"/>
              </w:rPr>
            </w:pPr>
            <w:hyperlink r:id="rId30" w:anchor="s8384160175AE5B97ACA11073A69F5B66" w:history="1">
              <w:r>
                <w:rPr>
                  <w:rStyle w:val="a5"/>
                  <w:rFonts w:ascii="Times New Roman" w:eastAsia="宋体" w:hAnsi="Times New Roman"/>
                  <w:sz w:val="20"/>
                  <w:szCs w:val="20"/>
                </w:rPr>
                <w:t>Controls and Procedures</w:t>
              </w:r>
            </w:hyperlink>
          </w:p>
        </w:tc>
        <w:tc>
          <w:tcPr>
            <w:tcW w:w="0" w:type="auto"/>
            <w:shd w:val="clear" w:color="auto" w:fill="auto"/>
            <w:tcMar>
              <w:top w:w="40" w:type="dxa"/>
              <w:left w:w="40" w:type="dxa"/>
              <w:bottom w:w="40" w:type="dxa"/>
              <w:right w:w="40" w:type="dxa"/>
            </w:tcMar>
            <w:vAlign w:val="center"/>
          </w:tcPr>
          <w:p w14:paraId="1446E0A2" w14:textId="77777777" w:rsidR="00FE42B5" w:rsidRDefault="009213DC">
            <w:pPr>
              <w:jc w:val="center"/>
              <w:textAlignment w:val="center"/>
              <w:rPr>
                <w:rFonts w:ascii="Times New Roman" w:hAnsi="Times New Roman"/>
                <w:sz w:val="20"/>
                <w:szCs w:val="20"/>
              </w:rPr>
            </w:pPr>
            <w:hyperlink r:id="rId31" w:anchor="s8384160175AE5B97ACA11073A69F5B66" w:history="1">
              <w:r>
                <w:rPr>
                  <w:rStyle w:val="a5"/>
                  <w:rFonts w:ascii="Times New Roman" w:eastAsia="宋体" w:hAnsi="Times New Roman"/>
                  <w:sz w:val="20"/>
                  <w:szCs w:val="20"/>
                </w:rPr>
                <w:t>48</w:t>
              </w:r>
            </w:hyperlink>
          </w:p>
        </w:tc>
      </w:tr>
      <w:tr w:rsidR="00FE42B5" w14:paraId="1446E0A6" w14:textId="77777777">
        <w:tc>
          <w:tcPr>
            <w:tcW w:w="0" w:type="auto"/>
            <w:gridSpan w:val="2"/>
            <w:shd w:val="clear" w:color="auto" w:fill="auto"/>
            <w:tcMar>
              <w:top w:w="40" w:type="dxa"/>
              <w:left w:w="40" w:type="dxa"/>
              <w:bottom w:w="40" w:type="dxa"/>
              <w:right w:w="40" w:type="dxa"/>
            </w:tcMar>
            <w:vAlign w:val="bottom"/>
          </w:tcPr>
          <w:p w14:paraId="1446E0A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A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A9" w14:textId="77777777">
        <w:tc>
          <w:tcPr>
            <w:tcW w:w="0" w:type="auto"/>
            <w:gridSpan w:val="2"/>
            <w:shd w:val="clear" w:color="auto" w:fill="auto"/>
            <w:tcMar>
              <w:top w:w="40" w:type="dxa"/>
              <w:left w:w="40" w:type="dxa"/>
              <w:bottom w:w="40" w:type="dxa"/>
              <w:right w:w="40" w:type="dxa"/>
            </w:tcMar>
            <w:vAlign w:val="center"/>
          </w:tcPr>
          <w:p w14:paraId="1446E0A7" w14:textId="77777777" w:rsidR="00FE42B5" w:rsidRDefault="009213DC">
            <w:pPr>
              <w:jc w:val="center"/>
              <w:textAlignment w:val="center"/>
              <w:rPr>
                <w:rFonts w:ascii="Times New Roman" w:hAnsi="Times New Roman"/>
                <w:sz w:val="20"/>
                <w:szCs w:val="20"/>
              </w:rPr>
            </w:pPr>
            <w:hyperlink r:id="rId32" w:anchor="sE03E3F81FA3A521D876491AB58AF9DFA" w:history="1">
              <w:r>
                <w:rPr>
                  <w:rStyle w:val="a5"/>
                  <w:rFonts w:ascii="Times New Roman" w:eastAsia="宋体" w:hAnsi="Times New Roman"/>
                  <w:sz w:val="20"/>
                  <w:szCs w:val="20"/>
                </w:rPr>
                <w:t>PART II—OTHER INFORMATION</w:t>
              </w:r>
            </w:hyperlink>
          </w:p>
        </w:tc>
        <w:tc>
          <w:tcPr>
            <w:tcW w:w="0" w:type="auto"/>
            <w:shd w:val="clear" w:color="auto" w:fill="auto"/>
            <w:tcMar>
              <w:top w:w="40" w:type="dxa"/>
              <w:left w:w="40" w:type="dxa"/>
              <w:bottom w:w="40" w:type="dxa"/>
              <w:right w:w="40" w:type="dxa"/>
            </w:tcMar>
            <w:vAlign w:val="center"/>
          </w:tcPr>
          <w:p w14:paraId="1446E0A8" w14:textId="77777777" w:rsidR="00FE42B5" w:rsidRDefault="009213DC">
            <w:pPr>
              <w:jc w:val="center"/>
              <w:textAlignment w:val="center"/>
              <w:rPr>
                <w:rFonts w:ascii="Times New Roman" w:hAnsi="Times New Roman"/>
                <w:sz w:val="20"/>
                <w:szCs w:val="20"/>
              </w:rPr>
            </w:pPr>
            <w:hyperlink r:id="rId33" w:anchor="sE03E3F81FA3A521D876491AB58AF9DFA" w:history="1">
              <w:r>
                <w:rPr>
                  <w:rStyle w:val="a5"/>
                  <w:rFonts w:ascii="Times New Roman" w:eastAsia="宋体" w:hAnsi="Times New Roman"/>
                  <w:sz w:val="20"/>
                  <w:szCs w:val="20"/>
                </w:rPr>
                <w:t>49</w:t>
              </w:r>
            </w:hyperlink>
          </w:p>
        </w:tc>
      </w:tr>
      <w:tr w:rsidR="00FE42B5" w14:paraId="1446E0AD" w14:textId="77777777">
        <w:tc>
          <w:tcPr>
            <w:tcW w:w="0" w:type="auto"/>
            <w:shd w:val="clear" w:color="auto" w:fill="auto"/>
            <w:tcMar>
              <w:top w:w="40" w:type="dxa"/>
              <w:left w:w="40" w:type="dxa"/>
              <w:bottom w:w="40" w:type="dxa"/>
              <w:right w:w="40" w:type="dxa"/>
            </w:tcMar>
            <w:vAlign w:val="bottom"/>
          </w:tcPr>
          <w:p w14:paraId="1446E0A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A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A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B1" w14:textId="77777777">
        <w:tc>
          <w:tcPr>
            <w:tcW w:w="0" w:type="auto"/>
            <w:shd w:val="clear" w:color="auto" w:fill="auto"/>
            <w:tcMar>
              <w:top w:w="40" w:type="dxa"/>
              <w:left w:w="40" w:type="dxa"/>
              <w:bottom w:w="40" w:type="dxa"/>
              <w:right w:w="40" w:type="dxa"/>
            </w:tcMar>
            <w:vAlign w:val="center"/>
          </w:tcPr>
          <w:p w14:paraId="1446E0AE" w14:textId="77777777" w:rsidR="00FE42B5" w:rsidRDefault="009213DC">
            <w:pPr>
              <w:jc w:val="both"/>
              <w:textAlignment w:val="center"/>
              <w:rPr>
                <w:rFonts w:ascii="Times New Roman" w:hAnsi="Times New Roman"/>
                <w:sz w:val="20"/>
                <w:szCs w:val="20"/>
              </w:rPr>
            </w:pPr>
            <w:r>
              <w:rPr>
                <w:rFonts w:ascii="Times New Roman" w:eastAsia="宋体" w:hAnsi="Times New Roman"/>
                <w:sz w:val="20"/>
                <w:szCs w:val="20"/>
              </w:rPr>
              <w:t>Item 1.</w:t>
            </w:r>
          </w:p>
        </w:tc>
        <w:tc>
          <w:tcPr>
            <w:tcW w:w="0" w:type="auto"/>
            <w:shd w:val="clear" w:color="auto" w:fill="auto"/>
            <w:tcMar>
              <w:top w:w="40" w:type="dxa"/>
              <w:left w:w="40" w:type="dxa"/>
              <w:bottom w:w="40" w:type="dxa"/>
              <w:right w:w="40" w:type="dxa"/>
            </w:tcMar>
            <w:vAlign w:val="center"/>
          </w:tcPr>
          <w:p w14:paraId="1446E0AF" w14:textId="77777777" w:rsidR="00FE42B5" w:rsidRDefault="009213DC">
            <w:pPr>
              <w:jc w:val="both"/>
              <w:textAlignment w:val="center"/>
              <w:rPr>
                <w:rFonts w:ascii="Times New Roman" w:hAnsi="Times New Roman"/>
                <w:sz w:val="20"/>
                <w:szCs w:val="20"/>
              </w:rPr>
            </w:pPr>
            <w:hyperlink r:id="rId34" w:anchor="s5191C6561E225EDCB73D10B056EBDA72" w:history="1">
              <w:r>
                <w:rPr>
                  <w:rStyle w:val="a5"/>
                  <w:rFonts w:ascii="Times New Roman" w:eastAsia="宋体" w:hAnsi="Times New Roman"/>
                  <w:sz w:val="20"/>
                  <w:szCs w:val="20"/>
                </w:rPr>
                <w:t>Legal Proceedings</w:t>
              </w:r>
            </w:hyperlink>
          </w:p>
        </w:tc>
        <w:tc>
          <w:tcPr>
            <w:tcW w:w="0" w:type="auto"/>
            <w:shd w:val="clear" w:color="auto" w:fill="auto"/>
            <w:tcMar>
              <w:top w:w="40" w:type="dxa"/>
              <w:left w:w="40" w:type="dxa"/>
              <w:bottom w:w="40" w:type="dxa"/>
              <w:right w:w="40" w:type="dxa"/>
            </w:tcMar>
            <w:vAlign w:val="center"/>
          </w:tcPr>
          <w:p w14:paraId="1446E0B0" w14:textId="77777777" w:rsidR="00FE42B5" w:rsidRDefault="009213DC">
            <w:pPr>
              <w:jc w:val="center"/>
              <w:textAlignment w:val="center"/>
              <w:rPr>
                <w:rFonts w:ascii="Times New Roman" w:hAnsi="Times New Roman"/>
                <w:sz w:val="20"/>
                <w:szCs w:val="20"/>
              </w:rPr>
            </w:pPr>
            <w:hyperlink r:id="rId35" w:anchor="s5191C6561E225EDCB73D10B056EBDA72" w:history="1">
              <w:r>
                <w:rPr>
                  <w:rStyle w:val="a5"/>
                  <w:rFonts w:ascii="Times New Roman" w:eastAsia="宋体" w:hAnsi="Times New Roman"/>
                  <w:sz w:val="20"/>
                  <w:szCs w:val="20"/>
                </w:rPr>
                <w:t>49</w:t>
              </w:r>
            </w:hyperlink>
          </w:p>
        </w:tc>
      </w:tr>
      <w:tr w:rsidR="00FE42B5" w14:paraId="1446E0B5" w14:textId="77777777">
        <w:tc>
          <w:tcPr>
            <w:tcW w:w="0" w:type="auto"/>
            <w:shd w:val="clear" w:color="auto" w:fill="auto"/>
            <w:tcMar>
              <w:top w:w="40" w:type="dxa"/>
              <w:left w:w="40" w:type="dxa"/>
              <w:bottom w:w="40" w:type="dxa"/>
              <w:right w:w="40" w:type="dxa"/>
            </w:tcMar>
            <w:vAlign w:val="bottom"/>
          </w:tcPr>
          <w:p w14:paraId="1446E0B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B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B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B9" w14:textId="77777777">
        <w:tc>
          <w:tcPr>
            <w:tcW w:w="0" w:type="auto"/>
            <w:shd w:val="clear" w:color="auto" w:fill="auto"/>
            <w:tcMar>
              <w:top w:w="40" w:type="dxa"/>
              <w:left w:w="40" w:type="dxa"/>
              <w:bottom w:w="40" w:type="dxa"/>
              <w:right w:w="40" w:type="dxa"/>
            </w:tcMar>
            <w:vAlign w:val="center"/>
          </w:tcPr>
          <w:p w14:paraId="1446E0B6" w14:textId="77777777" w:rsidR="00FE42B5" w:rsidRDefault="009213DC">
            <w:pPr>
              <w:jc w:val="both"/>
              <w:textAlignment w:val="center"/>
              <w:rPr>
                <w:rFonts w:ascii="Times New Roman" w:hAnsi="Times New Roman"/>
                <w:sz w:val="20"/>
                <w:szCs w:val="20"/>
              </w:rPr>
            </w:pPr>
            <w:r>
              <w:rPr>
                <w:rFonts w:ascii="Times New Roman" w:eastAsia="宋体" w:hAnsi="Times New Roman"/>
                <w:sz w:val="20"/>
                <w:szCs w:val="20"/>
              </w:rPr>
              <w:t>Item 1A.</w:t>
            </w:r>
          </w:p>
        </w:tc>
        <w:tc>
          <w:tcPr>
            <w:tcW w:w="0" w:type="auto"/>
            <w:shd w:val="clear" w:color="auto" w:fill="auto"/>
            <w:tcMar>
              <w:top w:w="40" w:type="dxa"/>
              <w:left w:w="40" w:type="dxa"/>
              <w:bottom w:w="40" w:type="dxa"/>
              <w:right w:w="40" w:type="dxa"/>
            </w:tcMar>
            <w:vAlign w:val="center"/>
          </w:tcPr>
          <w:p w14:paraId="1446E0B7" w14:textId="77777777" w:rsidR="00FE42B5" w:rsidRDefault="009213DC">
            <w:pPr>
              <w:jc w:val="both"/>
              <w:textAlignment w:val="center"/>
              <w:rPr>
                <w:rFonts w:ascii="Times New Roman" w:hAnsi="Times New Roman"/>
                <w:sz w:val="20"/>
                <w:szCs w:val="20"/>
              </w:rPr>
            </w:pPr>
            <w:hyperlink r:id="rId36" w:anchor="s4B2AB2564D9859CFADD07C05594FE177" w:history="1">
              <w:r>
                <w:rPr>
                  <w:rStyle w:val="a5"/>
                  <w:rFonts w:ascii="Times New Roman" w:eastAsia="宋体" w:hAnsi="Times New Roman"/>
                  <w:sz w:val="20"/>
                  <w:szCs w:val="20"/>
                </w:rPr>
                <w:t>Risk Factors</w:t>
              </w:r>
            </w:hyperlink>
          </w:p>
        </w:tc>
        <w:tc>
          <w:tcPr>
            <w:tcW w:w="0" w:type="auto"/>
            <w:shd w:val="clear" w:color="auto" w:fill="auto"/>
            <w:tcMar>
              <w:top w:w="40" w:type="dxa"/>
              <w:left w:w="40" w:type="dxa"/>
              <w:bottom w:w="40" w:type="dxa"/>
              <w:right w:w="40" w:type="dxa"/>
            </w:tcMar>
            <w:vAlign w:val="center"/>
          </w:tcPr>
          <w:p w14:paraId="1446E0B8" w14:textId="77777777" w:rsidR="00FE42B5" w:rsidRDefault="009213DC">
            <w:pPr>
              <w:jc w:val="center"/>
              <w:textAlignment w:val="center"/>
              <w:rPr>
                <w:rFonts w:ascii="Times New Roman" w:hAnsi="Times New Roman"/>
                <w:sz w:val="20"/>
                <w:szCs w:val="20"/>
              </w:rPr>
            </w:pPr>
            <w:hyperlink r:id="rId37" w:anchor="s4B2AB2564D9859CFADD07C05594FE177" w:history="1">
              <w:r>
                <w:rPr>
                  <w:rStyle w:val="a5"/>
                  <w:rFonts w:ascii="Times New Roman" w:eastAsia="宋体" w:hAnsi="Times New Roman"/>
                  <w:sz w:val="20"/>
                  <w:szCs w:val="20"/>
                </w:rPr>
                <w:t>51</w:t>
              </w:r>
            </w:hyperlink>
          </w:p>
        </w:tc>
      </w:tr>
      <w:tr w:rsidR="00FE42B5" w14:paraId="1446E0BD" w14:textId="77777777">
        <w:tc>
          <w:tcPr>
            <w:tcW w:w="0" w:type="auto"/>
            <w:shd w:val="clear" w:color="auto" w:fill="auto"/>
            <w:tcMar>
              <w:top w:w="40" w:type="dxa"/>
              <w:left w:w="40" w:type="dxa"/>
              <w:bottom w:w="40" w:type="dxa"/>
              <w:right w:w="40" w:type="dxa"/>
            </w:tcMar>
            <w:vAlign w:val="bottom"/>
          </w:tcPr>
          <w:p w14:paraId="1446E0B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B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B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C1" w14:textId="77777777">
        <w:tc>
          <w:tcPr>
            <w:tcW w:w="0" w:type="auto"/>
            <w:shd w:val="clear" w:color="auto" w:fill="auto"/>
            <w:tcMar>
              <w:top w:w="40" w:type="dxa"/>
              <w:left w:w="40" w:type="dxa"/>
              <w:bottom w:w="40" w:type="dxa"/>
              <w:right w:w="40" w:type="dxa"/>
            </w:tcMar>
            <w:vAlign w:val="center"/>
          </w:tcPr>
          <w:p w14:paraId="1446E0BE" w14:textId="77777777" w:rsidR="00FE42B5" w:rsidRDefault="009213DC">
            <w:pPr>
              <w:jc w:val="both"/>
              <w:textAlignment w:val="center"/>
              <w:rPr>
                <w:rFonts w:ascii="Times New Roman" w:hAnsi="Times New Roman"/>
                <w:sz w:val="20"/>
                <w:szCs w:val="20"/>
              </w:rPr>
            </w:pPr>
            <w:r>
              <w:rPr>
                <w:rFonts w:ascii="Times New Roman" w:eastAsia="宋体" w:hAnsi="Times New Roman"/>
                <w:sz w:val="20"/>
                <w:szCs w:val="20"/>
              </w:rPr>
              <w:t>Item 2.</w:t>
            </w:r>
          </w:p>
        </w:tc>
        <w:tc>
          <w:tcPr>
            <w:tcW w:w="0" w:type="auto"/>
            <w:shd w:val="clear" w:color="auto" w:fill="auto"/>
            <w:tcMar>
              <w:top w:w="40" w:type="dxa"/>
              <w:left w:w="40" w:type="dxa"/>
              <w:bottom w:w="40" w:type="dxa"/>
              <w:right w:w="40" w:type="dxa"/>
            </w:tcMar>
            <w:vAlign w:val="center"/>
          </w:tcPr>
          <w:p w14:paraId="1446E0BF" w14:textId="77777777" w:rsidR="00FE42B5" w:rsidRDefault="009213DC">
            <w:pPr>
              <w:jc w:val="both"/>
              <w:textAlignment w:val="center"/>
              <w:rPr>
                <w:rFonts w:ascii="Times New Roman" w:hAnsi="Times New Roman"/>
                <w:sz w:val="20"/>
                <w:szCs w:val="20"/>
              </w:rPr>
            </w:pPr>
            <w:hyperlink r:id="rId38" w:anchor="sBC45CAB774E254438F7B2ECD2F96EB58" w:history="1">
              <w:r>
                <w:rPr>
                  <w:rStyle w:val="a5"/>
                  <w:rFonts w:ascii="Times New Roman" w:eastAsia="宋体" w:hAnsi="Times New Roman"/>
                  <w:sz w:val="20"/>
                  <w:szCs w:val="20"/>
                </w:rPr>
                <w:t>Unregistered Sales of Eq</w:t>
              </w:r>
              <w:r>
                <w:rPr>
                  <w:rStyle w:val="a5"/>
                  <w:rFonts w:ascii="Times New Roman" w:eastAsia="宋体" w:hAnsi="Times New Roman"/>
                  <w:sz w:val="20"/>
                  <w:szCs w:val="20"/>
                </w:rPr>
                <w:t>uity Securities and Use of Proceeds</w:t>
              </w:r>
            </w:hyperlink>
          </w:p>
        </w:tc>
        <w:tc>
          <w:tcPr>
            <w:tcW w:w="0" w:type="auto"/>
            <w:shd w:val="clear" w:color="auto" w:fill="auto"/>
            <w:tcMar>
              <w:top w:w="40" w:type="dxa"/>
              <w:left w:w="40" w:type="dxa"/>
              <w:bottom w:w="40" w:type="dxa"/>
              <w:right w:w="40" w:type="dxa"/>
            </w:tcMar>
            <w:vAlign w:val="center"/>
          </w:tcPr>
          <w:p w14:paraId="1446E0C0" w14:textId="77777777" w:rsidR="00FE42B5" w:rsidRDefault="009213DC">
            <w:pPr>
              <w:jc w:val="center"/>
              <w:textAlignment w:val="center"/>
              <w:rPr>
                <w:rFonts w:ascii="Times New Roman" w:hAnsi="Times New Roman"/>
                <w:sz w:val="20"/>
                <w:szCs w:val="20"/>
              </w:rPr>
            </w:pPr>
            <w:hyperlink r:id="rId39" w:anchor="sBC45CAB774E254438F7B2ECD2F96EB58" w:history="1">
              <w:r>
                <w:rPr>
                  <w:rStyle w:val="a5"/>
                  <w:rFonts w:ascii="Times New Roman" w:eastAsia="宋体" w:hAnsi="Times New Roman"/>
                  <w:sz w:val="20"/>
                  <w:szCs w:val="20"/>
                </w:rPr>
                <w:t>80</w:t>
              </w:r>
            </w:hyperlink>
          </w:p>
        </w:tc>
      </w:tr>
      <w:tr w:rsidR="00FE42B5" w14:paraId="1446E0C5" w14:textId="77777777">
        <w:tc>
          <w:tcPr>
            <w:tcW w:w="0" w:type="auto"/>
            <w:shd w:val="clear" w:color="auto" w:fill="auto"/>
            <w:tcMar>
              <w:top w:w="40" w:type="dxa"/>
              <w:left w:w="40" w:type="dxa"/>
              <w:bottom w:w="40" w:type="dxa"/>
              <w:right w:w="40" w:type="dxa"/>
            </w:tcMar>
            <w:vAlign w:val="bottom"/>
          </w:tcPr>
          <w:p w14:paraId="1446E0C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C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C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C9" w14:textId="77777777">
        <w:tc>
          <w:tcPr>
            <w:tcW w:w="0" w:type="auto"/>
            <w:shd w:val="clear" w:color="auto" w:fill="auto"/>
            <w:tcMar>
              <w:top w:w="40" w:type="dxa"/>
              <w:left w:w="40" w:type="dxa"/>
              <w:bottom w:w="40" w:type="dxa"/>
              <w:right w:w="40" w:type="dxa"/>
            </w:tcMar>
            <w:vAlign w:val="center"/>
          </w:tcPr>
          <w:p w14:paraId="1446E0C6" w14:textId="77777777" w:rsidR="00FE42B5" w:rsidRDefault="009213DC">
            <w:pPr>
              <w:jc w:val="both"/>
              <w:textAlignment w:val="center"/>
              <w:rPr>
                <w:rFonts w:ascii="Times New Roman" w:hAnsi="Times New Roman"/>
                <w:sz w:val="20"/>
                <w:szCs w:val="20"/>
              </w:rPr>
            </w:pPr>
            <w:r>
              <w:rPr>
                <w:rFonts w:ascii="Times New Roman" w:eastAsia="宋体" w:hAnsi="Times New Roman"/>
                <w:sz w:val="20"/>
                <w:szCs w:val="20"/>
              </w:rPr>
              <w:t>Item 6.</w:t>
            </w:r>
          </w:p>
        </w:tc>
        <w:tc>
          <w:tcPr>
            <w:tcW w:w="0" w:type="auto"/>
            <w:shd w:val="clear" w:color="auto" w:fill="auto"/>
            <w:tcMar>
              <w:top w:w="40" w:type="dxa"/>
              <w:left w:w="40" w:type="dxa"/>
              <w:bottom w:w="40" w:type="dxa"/>
              <w:right w:w="40" w:type="dxa"/>
            </w:tcMar>
            <w:vAlign w:val="center"/>
          </w:tcPr>
          <w:p w14:paraId="1446E0C7" w14:textId="77777777" w:rsidR="00FE42B5" w:rsidRDefault="009213DC">
            <w:pPr>
              <w:jc w:val="both"/>
              <w:textAlignment w:val="center"/>
              <w:rPr>
                <w:rFonts w:ascii="Times New Roman" w:hAnsi="Times New Roman"/>
                <w:sz w:val="20"/>
                <w:szCs w:val="20"/>
              </w:rPr>
            </w:pPr>
            <w:hyperlink r:id="rId40" w:anchor="s997A39D3A7185486B2F0139F5D7021D7" w:history="1">
              <w:r>
                <w:rPr>
                  <w:rStyle w:val="a5"/>
                  <w:rFonts w:ascii="Times New Roman" w:eastAsia="宋体" w:hAnsi="Times New Roman"/>
                  <w:sz w:val="20"/>
                  <w:szCs w:val="20"/>
                </w:rPr>
                <w:t>Exhibits</w:t>
              </w:r>
            </w:hyperlink>
          </w:p>
        </w:tc>
        <w:tc>
          <w:tcPr>
            <w:tcW w:w="0" w:type="auto"/>
            <w:shd w:val="clear" w:color="auto" w:fill="auto"/>
            <w:tcMar>
              <w:top w:w="40" w:type="dxa"/>
              <w:left w:w="40" w:type="dxa"/>
              <w:bottom w:w="40" w:type="dxa"/>
              <w:right w:w="40" w:type="dxa"/>
            </w:tcMar>
            <w:vAlign w:val="center"/>
          </w:tcPr>
          <w:p w14:paraId="1446E0C8" w14:textId="77777777" w:rsidR="00FE42B5" w:rsidRDefault="009213DC">
            <w:pPr>
              <w:jc w:val="center"/>
              <w:textAlignment w:val="center"/>
              <w:rPr>
                <w:rFonts w:ascii="Times New Roman" w:hAnsi="Times New Roman"/>
                <w:sz w:val="20"/>
                <w:szCs w:val="20"/>
              </w:rPr>
            </w:pPr>
            <w:hyperlink r:id="rId41" w:anchor="s997A39D3A7185486B2F0139F5D7021D7" w:history="1">
              <w:r>
                <w:rPr>
                  <w:rStyle w:val="a5"/>
                  <w:rFonts w:ascii="Times New Roman" w:eastAsia="宋体" w:hAnsi="Times New Roman"/>
                  <w:sz w:val="20"/>
                  <w:szCs w:val="20"/>
                </w:rPr>
                <w:t>81</w:t>
              </w:r>
            </w:hyperlink>
          </w:p>
        </w:tc>
      </w:tr>
      <w:tr w:rsidR="00FE42B5" w14:paraId="1446E0CC" w14:textId="77777777">
        <w:tc>
          <w:tcPr>
            <w:tcW w:w="0" w:type="auto"/>
            <w:gridSpan w:val="2"/>
            <w:shd w:val="clear" w:color="auto" w:fill="auto"/>
            <w:tcMar>
              <w:top w:w="40" w:type="dxa"/>
              <w:left w:w="40" w:type="dxa"/>
              <w:bottom w:w="40" w:type="dxa"/>
              <w:right w:w="40" w:type="dxa"/>
            </w:tcMar>
            <w:vAlign w:val="bottom"/>
          </w:tcPr>
          <w:p w14:paraId="1446E0C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0C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0CF" w14:textId="77777777">
        <w:tc>
          <w:tcPr>
            <w:tcW w:w="0" w:type="auto"/>
            <w:gridSpan w:val="2"/>
            <w:shd w:val="clear" w:color="auto" w:fill="auto"/>
            <w:tcMar>
              <w:top w:w="40" w:type="dxa"/>
              <w:left w:w="40" w:type="dxa"/>
              <w:bottom w:w="40" w:type="dxa"/>
              <w:right w:w="40" w:type="dxa"/>
            </w:tcMar>
            <w:vAlign w:val="center"/>
          </w:tcPr>
          <w:p w14:paraId="1446E0CD" w14:textId="77777777" w:rsidR="00FE42B5" w:rsidRDefault="009213DC">
            <w:pPr>
              <w:jc w:val="both"/>
              <w:textAlignment w:val="center"/>
              <w:rPr>
                <w:rFonts w:ascii="Times New Roman" w:hAnsi="Times New Roman"/>
                <w:sz w:val="20"/>
                <w:szCs w:val="20"/>
              </w:rPr>
            </w:pPr>
            <w:hyperlink r:id="rId42" w:anchor="sF1A371B219EC5D2ABE3F5FEB4FC05E5B" w:history="1">
              <w:r>
                <w:rPr>
                  <w:rStyle w:val="a5"/>
                  <w:rFonts w:ascii="Times New Roman" w:eastAsia="宋体" w:hAnsi="Times New Roman"/>
                  <w:sz w:val="20"/>
                  <w:szCs w:val="20"/>
                </w:rPr>
                <w:t>SIGNATURES</w:t>
              </w:r>
            </w:hyperlink>
          </w:p>
        </w:tc>
        <w:tc>
          <w:tcPr>
            <w:tcW w:w="0" w:type="auto"/>
            <w:shd w:val="clear" w:color="auto" w:fill="auto"/>
            <w:tcMar>
              <w:top w:w="40" w:type="dxa"/>
              <w:left w:w="40" w:type="dxa"/>
              <w:bottom w:w="40" w:type="dxa"/>
              <w:right w:w="40" w:type="dxa"/>
            </w:tcMar>
            <w:vAlign w:val="center"/>
          </w:tcPr>
          <w:p w14:paraId="1446E0CE" w14:textId="77777777" w:rsidR="00FE42B5" w:rsidRDefault="009213DC">
            <w:pPr>
              <w:jc w:val="center"/>
              <w:textAlignment w:val="center"/>
              <w:rPr>
                <w:rFonts w:ascii="Times New Roman" w:hAnsi="Times New Roman"/>
                <w:sz w:val="20"/>
                <w:szCs w:val="20"/>
              </w:rPr>
            </w:pPr>
            <w:hyperlink r:id="rId43" w:anchor="sF1A371B219EC5D2ABE3F5FEB4FC05E5B" w:history="1">
              <w:r>
                <w:rPr>
                  <w:rStyle w:val="a5"/>
                  <w:rFonts w:ascii="Times New Roman" w:eastAsia="宋体" w:hAnsi="Times New Roman"/>
                  <w:sz w:val="20"/>
                  <w:szCs w:val="20"/>
                </w:rPr>
                <w:t>82</w:t>
              </w:r>
            </w:hyperlink>
          </w:p>
        </w:tc>
      </w:tr>
    </w:tbl>
    <w:p w14:paraId="1446E0D0" w14:textId="77777777" w:rsidR="00FE42B5" w:rsidRDefault="009213DC">
      <w:pPr>
        <w:spacing w:line="288" w:lineRule="auto"/>
        <w:rPr>
          <w:rFonts w:ascii="Times New Roman" w:hAnsi="Times New Roman"/>
          <w:sz w:val="16"/>
          <w:szCs w:val="16"/>
        </w:rPr>
      </w:pPr>
      <w:r>
        <w:rPr>
          <w:rFonts w:ascii="Times New Roman" w:eastAsia="宋体" w:hAnsi="Times New Roman"/>
          <w:sz w:val="16"/>
          <w:szCs w:val="16"/>
        </w:rPr>
        <w:t> </w:t>
      </w:r>
    </w:p>
    <w:p w14:paraId="1446E0D1" w14:textId="77777777" w:rsidR="00FE42B5" w:rsidRDefault="00FE42B5">
      <w:pPr>
        <w:rPr>
          <w:rFonts w:ascii="Times New Roman" w:hAnsi="Times New Roman"/>
          <w:sz w:val="20"/>
          <w:szCs w:val="20"/>
        </w:rPr>
      </w:pPr>
    </w:p>
    <w:p w14:paraId="1446E0D2"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2</w:t>
      </w:r>
    </w:p>
    <w:p w14:paraId="1446E0D3" w14:textId="77777777" w:rsidR="00FE42B5" w:rsidRDefault="009213DC">
      <w:r>
        <w:rPr>
          <w:rFonts w:ascii="Times New Roman" w:hAnsi="Times New Roman"/>
          <w:sz w:val="20"/>
          <w:szCs w:val="20"/>
        </w:rPr>
        <w:pict w14:anchorId="1446FABA">
          <v:rect id="_x0000_i1026" style="width:415.3pt;height:1.5pt" o:hralign="center" o:hrstd="t" o:hr="t" fillcolor="#a0a0a0" stroked="f"/>
        </w:pict>
      </w:r>
    </w:p>
    <w:p w14:paraId="1446E0D4" w14:textId="77777777" w:rsidR="00FE42B5" w:rsidRDefault="009213DC">
      <w:pPr>
        <w:spacing w:line="288" w:lineRule="auto"/>
        <w:rPr>
          <w:rFonts w:ascii="Times New Roman" w:hAnsi="Times New Roman"/>
          <w:sz w:val="20"/>
          <w:szCs w:val="20"/>
        </w:rPr>
      </w:pPr>
      <w:hyperlink r:id="rId44" w:anchor="sBB4BED1571A45A16AF3DC2E3B69C901C" w:history="1">
        <w:r>
          <w:rPr>
            <w:rStyle w:val="a5"/>
            <w:rFonts w:ascii="Times New Roman" w:eastAsia="宋体" w:hAnsi="Times New Roman"/>
            <w:sz w:val="20"/>
            <w:szCs w:val="20"/>
          </w:rPr>
          <w:t>Table of Contents</w:t>
        </w:r>
      </w:hyperlink>
    </w:p>
    <w:p w14:paraId="1446E0D5" w14:textId="77777777" w:rsidR="00FE42B5" w:rsidRDefault="00FE42B5">
      <w:pPr>
        <w:rPr>
          <w:rFonts w:ascii="Times New Roman" w:hAnsi="Times New Roman"/>
          <w:sz w:val="20"/>
          <w:szCs w:val="20"/>
        </w:rPr>
      </w:pPr>
    </w:p>
    <w:p w14:paraId="1446E0D6"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 xml:space="preserve">NOTE </w:t>
      </w:r>
      <w:r>
        <w:rPr>
          <w:rFonts w:ascii="Times New Roman" w:eastAsia="宋体" w:hAnsi="Times New Roman"/>
          <w:b/>
          <w:bCs/>
          <w:sz w:val="20"/>
          <w:szCs w:val="20"/>
        </w:rPr>
        <w:t>ABOUT FORWARD-LOOKING STATEMENTS</w:t>
      </w:r>
    </w:p>
    <w:p w14:paraId="1446E0D7" w14:textId="77777777" w:rsidR="00FE42B5" w:rsidRDefault="00FE42B5">
      <w:pPr>
        <w:spacing w:line="288" w:lineRule="auto"/>
        <w:ind w:firstLine="660"/>
        <w:jc w:val="both"/>
        <w:rPr>
          <w:rFonts w:ascii="Times New Roman" w:hAnsi="Times New Roman"/>
          <w:sz w:val="20"/>
          <w:szCs w:val="20"/>
        </w:rPr>
      </w:pPr>
    </w:p>
    <w:p w14:paraId="1446E0D8"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This Quarterly Report on Form 10-Q contains forward-looking statements. All statements contained in this Quarterly Report on Form 10-Q other than statements of historical fact, including statements regarding our </w:t>
      </w:r>
      <w:r>
        <w:rPr>
          <w:rFonts w:ascii="Times New Roman" w:eastAsia="宋体" w:hAnsi="Times New Roman"/>
          <w:sz w:val="20"/>
          <w:szCs w:val="20"/>
        </w:rPr>
        <w:t>future results of operations and financial position, our business strategy and plans, and our objectives for future operations, are forward-looking statements. The words "believe," "may," "will," "estimate," "continue," "anticipate," "intend," "expect," an</w:t>
      </w:r>
      <w:r>
        <w:rPr>
          <w:rFonts w:ascii="Times New Roman" w:eastAsia="宋体" w:hAnsi="Times New Roman"/>
          <w:sz w:val="20"/>
          <w:szCs w:val="20"/>
        </w:rPr>
        <w:t>d similar expressions are intended to identify forward-looking statements. We have based these forward-looking statements largely on our current expectations and projections about future events and trends that we believe may affect our financial condition,</w:t>
      </w:r>
      <w:r>
        <w:rPr>
          <w:rFonts w:ascii="Times New Roman" w:eastAsia="宋体" w:hAnsi="Times New Roman"/>
          <w:sz w:val="20"/>
          <w:szCs w:val="20"/>
        </w:rPr>
        <w:t xml:space="preserve"> results of operations, business strategy, short-term and long-term business operations and objectives, and financial needs. These forward-looking statements are subject to a number of risks, uncertainties and assumptions, including those described in Part</w:t>
      </w:r>
      <w:r>
        <w:rPr>
          <w:rFonts w:ascii="Times New Roman" w:eastAsia="宋体" w:hAnsi="Times New Roman"/>
          <w:sz w:val="20"/>
          <w:szCs w:val="20"/>
        </w:rPr>
        <w:t xml:space="preserve"> II, Item 1A, "Risk Factors" in this Quarterly Report on Form 10-Q. Moreover, we operate in a very competitive and rapidly changing environment. New risks emerge from time to time. It is not possible for our management to predict all risks, nor can we asse</w:t>
      </w:r>
      <w:r>
        <w:rPr>
          <w:rFonts w:ascii="Times New Roman" w:eastAsia="宋体" w:hAnsi="Times New Roman"/>
          <w:sz w:val="20"/>
          <w:szCs w:val="20"/>
        </w:rPr>
        <w:t>ss the impact of all factors on our business or the extent to which any factor, or combination of factors, may cause actual results to differ materially from those contained in any forward-looking statements we may make. In light of these risks, uncertaint</w:t>
      </w:r>
      <w:r>
        <w:rPr>
          <w:rFonts w:ascii="Times New Roman" w:eastAsia="宋体" w:hAnsi="Times New Roman"/>
          <w:sz w:val="20"/>
          <w:szCs w:val="20"/>
        </w:rPr>
        <w:t>ies and assumptions, the future events and trends discussed in this Quarterly Report on Form 10-Q may not occur and actual results could differ materially and adversely from those anticipated or implied in the forward-looking statements.</w:t>
      </w:r>
    </w:p>
    <w:p w14:paraId="1446E0D9" w14:textId="77777777" w:rsidR="00FE42B5" w:rsidRDefault="00FE42B5">
      <w:pPr>
        <w:spacing w:line="288" w:lineRule="auto"/>
        <w:ind w:firstLine="660"/>
        <w:jc w:val="both"/>
        <w:rPr>
          <w:rFonts w:ascii="Times New Roman" w:hAnsi="Times New Roman"/>
          <w:sz w:val="20"/>
          <w:szCs w:val="20"/>
        </w:rPr>
      </w:pPr>
    </w:p>
    <w:p w14:paraId="1446E0DA"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We undertake no o</w:t>
      </w:r>
      <w:r>
        <w:rPr>
          <w:rFonts w:ascii="Times New Roman" w:eastAsia="宋体" w:hAnsi="Times New Roman"/>
          <w:sz w:val="20"/>
          <w:szCs w:val="20"/>
        </w:rPr>
        <w:t>bligation to revise or publicly release the results of any revision to these forward-looking statements, except as required by law. Given these risks and uncertainties, readers are cautioned not to place undue reliance on such forward-looking statements.</w:t>
      </w:r>
    </w:p>
    <w:p w14:paraId="1446E0DB" w14:textId="77777777" w:rsidR="00FE42B5" w:rsidRDefault="00FE42B5">
      <w:pPr>
        <w:spacing w:line="288" w:lineRule="auto"/>
        <w:ind w:firstLine="660"/>
        <w:jc w:val="both"/>
        <w:rPr>
          <w:rFonts w:ascii="Times New Roman" w:hAnsi="Times New Roman"/>
          <w:sz w:val="20"/>
          <w:szCs w:val="20"/>
        </w:rPr>
      </w:pPr>
    </w:p>
    <w:p w14:paraId="1446E0DC"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Unless expressly indicated or the context requires otherwise, the terms "Facebook," "company," "we," "us," and "our" in this document refer to Facebook, Inc., a Delaware corporation, and, where appropriate, its wholly owned subsidiaries. The term "Facebook</w:t>
      </w:r>
      <w:r>
        <w:rPr>
          <w:rFonts w:ascii="Times New Roman" w:eastAsia="宋体" w:hAnsi="Times New Roman"/>
          <w:sz w:val="20"/>
          <w:szCs w:val="20"/>
        </w:rPr>
        <w:t>" may also refer to our products, regardless of the manner in which they are accessed. The term "Family" refers to our Facebook, Instagram, Messenger, and WhatsApp products. For references to accessing Facebook or our other products on the "web" or via a "</w:t>
      </w:r>
      <w:r>
        <w:rPr>
          <w:rFonts w:ascii="Times New Roman" w:eastAsia="宋体" w:hAnsi="Times New Roman"/>
          <w:sz w:val="20"/>
          <w:szCs w:val="20"/>
        </w:rPr>
        <w:t>website," such terms refer to accessing such products on personal computers. For references to accessing Facebook or our other products on "mobile," such term refers to accessing such products via a mobile application or via a mobile-optimized version of o</w:t>
      </w:r>
      <w:r>
        <w:rPr>
          <w:rFonts w:ascii="Times New Roman" w:eastAsia="宋体" w:hAnsi="Times New Roman"/>
          <w:sz w:val="20"/>
          <w:szCs w:val="20"/>
        </w:rPr>
        <w:t>ur websites such as m.facebook.com, whether on a mobile phone or tablet.</w:t>
      </w:r>
    </w:p>
    <w:p w14:paraId="1446E0DD" w14:textId="77777777" w:rsidR="00FE42B5" w:rsidRDefault="00FE42B5">
      <w:pPr>
        <w:rPr>
          <w:rFonts w:ascii="Times New Roman" w:hAnsi="Times New Roman"/>
          <w:sz w:val="20"/>
          <w:szCs w:val="20"/>
        </w:rPr>
      </w:pPr>
    </w:p>
    <w:p w14:paraId="1446E0DE"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3</w:t>
      </w:r>
    </w:p>
    <w:p w14:paraId="1446E0DF" w14:textId="77777777" w:rsidR="00FE42B5" w:rsidRDefault="009213DC">
      <w:r>
        <w:rPr>
          <w:rFonts w:ascii="Times New Roman" w:hAnsi="Times New Roman"/>
          <w:sz w:val="20"/>
          <w:szCs w:val="20"/>
        </w:rPr>
        <w:pict w14:anchorId="1446FABB">
          <v:rect id="_x0000_i1027" style="width:415.3pt;height:1.5pt" o:hralign="center" o:hrstd="t" o:hr="t" fillcolor="#a0a0a0" stroked="f"/>
        </w:pict>
      </w:r>
    </w:p>
    <w:p w14:paraId="1446E0E0" w14:textId="77777777" w:rsidR="00FE42B5" w:rsidRDefault="009213DC">
      <w:pPr>
        <w:spacing w:line="288" w:lineRule="auto"/>
        <w:rPr>
          <w:rFonts w:ascii="Times New Roman" w:hAnsi="Times New Roman"/>
          <w:sz w:val="20"/>
          <w:szCs w:val="20"/>
        </w:rPr>
      </w:pPr>
      <w:hyperlink r:id="rId45" w:anchor="sBB4BED1571A45A16AF3DC2E3B69C901C" w:history="1">
        <w:r>
          <w:rPr>
            <w:rStyle w:val="a5"/>
            <w:rFonts w:ascii="Times New Roman" w:eastAsia="宋体" w:hAnsi="Times New Roman"/>
            <w:sz w:val="20"/>
            <w:szCs w:val="20"/>
          </w:rPr>
          <w:t>Table of Contents</w:t>
        </w:r>
      </w:hyperlink>
    </w:p>
    <w:p w14:paraId="1446E0E1" w14:textId="77777777" w:rsidR="00FE42B5" w:rsidRDefault="00FE42B5">
      <w:pPr>
        <w:rPr>
          <w:rFonts w:ascii="Times New Roman" w:hAnsi="Times New Roman"/>
          <w:sz w:val="20"/>
          <w:szCs w:val="20"/>
        </w:rPr>
      </w:pPr>
    </w:p>
    <w:p w14:paraId="1446E0E2"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LIMITA</w:t>
      </w:r>
      <w:r>
        <w:rPr>
          <w:rFonts w:ascii="Times New Roman" w:eastAsia="宋体" w:hAnsi="Times New Roman"/>
          <w:b/>
          <w:bCs/>
          <w:sz w:val="20"/>
          <w:szCs w:val="20"/>
        </w:rPr>
        <w:t>TIONS OF KEY METRICS AND OTHER DATA</w:t>
      </w:r>
    </w:p>
    <w:p w14:paraId="1446E0E3" w14:textId="77777777" w:rsidR="00FE42B5" w:rsidRDefault="00FE42B5">
      <w:pPr>
        <w:spacing w:line="288" w:lineRule="auto"/>
        <w:ind w:firstLine="720"/>
        <w:jc w:val="both"/>
        <w:rPr>
          <w:rFonts w:ascii="Times New Roman" w:hAnsi="Times New Roman"/>
          <w:sz w:val="20"/>
          <w:szCs w:val="20"/>
        </w:rPr>
      </w:pPr>
    </w:p>
    <w:p w14:paraId="1446E0E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for our key metrics are calculated using internal company data based on the activity of user accounts. We have historically reported the numbers of our daily active users (DAUs), monthly active users (MAUs),</w:t>
      </w:r>
      <w:r>
        <w:rPr>
          <w:rFonts w:ascii="Times New Roman" w:eastAsia="宋体" w:hAnsi="Times New Roman"/>
          <w:sz w:val="20"/>
          <w:szCs w:val="20"/>
        </w:rPr>
        <w:t xml:space="preserve"> and average revenue per user (ARPU) (collectively, our "Facebook metrics") based on user activity only on Facebook and Messenger and not on our other products. Beginning with our Annual Report on Form 10-K for the year ended December 31, 2019, we also rep</w:t>
      </w:r>
      <w:r>
        <w:rPr>
          <w:rFonts w:ascii="Times New Roman" w:eastAsia="宋体" w:hAnsi="Times New Roman"/>
          <w:sz w:val="20"/>
          <w:szCs w:val="20"/>
        </w:rPr>
        <w:t>ort our estimates of the numbers of our daily active people (DAP), monthly active people (MAP), and average revenue per person (ARPP) (collectively, our "Family metrics") based on the activity of users who visited at least one of Facebook, Instagram, Messe</w:t>
      </w:r>
      <w:r>
        <w:rPr>
          <w:rFonts w:ascii="Times New Roman" w:eastAsia="宋体" w:hAnsi="Times New Roman"/>
          <w:sz w:val="20"/>
          <w:szCs w:val="20"/>
        </w:rPr>
        <w:t>nger, and WhatsApp (collectively, our "Family" of products) during the applicable period of measurement. We believe our Family metrics better reflect the size of our community and the fact that many people are using more than one of our products. As a resu</w:t>
      </w:r>
      <w:r>
        <w:rPr>
          <w:rFonts w:ascii="Times New Roman" w:eastAsia="宋体" w:hAnsi="Times New Roman"/>
          <w:sz w:val="20"/>
          <w:szCs w:val="20"/>
        </w:rPr>
        <w:t>lt, over time we intend to report our Family metrics as our key metrics in place of DAUs, MAUs, and ARPU in our periodic reports filed with the Securities and Exchange Commission.</w:t>
      </w:r>
    </w:p>
    <w:p w14:paraId="1446E0E5" w14:textId="77777777" w:rsidR="00FE42B5" w:rsidRDefault="00FE42B5">
      <w:pPr>
        <w:spacing w:line="288" w:lineRule="auto"/>
        <w:ind w:firstLine="720"/>
        <w:jc w:val="both"/>
        <w:rPr>
          <w:rFonts w:ascii="Times New Roman" w:hAnsi="Times New Roman"/>
          <w:sz w:val="20"/>
          <w:szCs w:val="20"/>
        </w:rPr>
      </w:pPr>
    </w:p>
    <w:p w14:paraId="1446E0E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While these numbers are based on what we believe to be reasonable estimates</w:t>
      </w:r>
      <w:r>
        <w:rPr>
          <w:rFonts w:ascii="Times New Roman" w:eastAsia="宋体" w:hAnsi="Times New Roman"/>
          <w:sz w:val="20"/>
          <w:szCs w:val="20"/>
        </w:rPr>
        <w:t xml:space="preserve"> of our user base for the applicable period of measurement, there are inherent challenges in measuring usage of our products across large online and mobile populations around the world. The methodologies used to measure these metrics require significant ju</w:t>
      </w:r>
      <w:r>
        <w:rPr>
          <w:rFonts w:ascii="Times New Roman" w:eastAsia="宋体" w:hAnsi="Times New Roman"/>
          <w:sz w:val="20"/>
          <w:szCs w:val="20"/>
        </w:rPr>
        <w:t xml:space="preserve">dgment and are also susceptible to algorithm or other technical errors. In addition, we are continually seeking to improve our estimates of our user base, and such estimates may change due to improvements or changes in our methodology. We regularly review </w:t>
      </w:r>
      <w:r>
        <w:rPr>
          <w:rFonts w:ascii="Times New Roman" w:eastAsia="宋体" w:hAnsi="Times New Roman"/>
          <w:sz w:val="20"/>
          <w:szCs w:val="20"/>
        </w:rPr>
        <w:t>our processes for calculating these metrics, and from time to time we discover inaccuracies in our metrics or make adjustments to improve their accuracy, which can result in adjustments to our historical metrics. Our ability to recalculate our historical m</w:t>
      </w:r>
      <w:r>
        <w:rPr>
          <w:rFonts w:ascii="Times New Roman" w:eastAsia="宋体" w:hAnsi="Times New Roman"/>
          <w:sz w:val="20"/>
          <w:szCs w:val="20"/>
        </w:rPr>
        <w:t>etrics may be impacted by data limitations or other factors that require us to apply different methodologies for such adjustments. We generally do not intend to update previously disclosed Family metrics for any such inaccuracies or adjustments that are wi</w:t>
      </w:r>
      <w:r>
        <w:rPr>
          <w:rFonts w:ascii="Times New Roman" w:eastAsia="宋体" w:hAnsi="Times New Roman"/>
          <w:sz w:val="20"/>
          <w:szCs w:val="20"/>
        </w:rPr>
        <w:t>thin the error margins disclosed below.</w:t>
      </w:r>
    </w:p>
    <w:p w14:paraId="1446E0E7" w14:textId="77777777" w:rsidR="00FE42B5" w:rsidRDefault="00FE42B5">
      <w:pPr>
        <w:spacing w:line="288" w:lineRule="auto"/>
        <w:ind w:firstLine="720"/>
        <w:jc w:val="both"/>
        <w:rPr>
          <w:rFonts w:ascii="Times New Roman" w:hAnsi="Times New Roman"/>
          <w:sz w:val="20"/>
          <w:szCs w:val="20"/>
        </w:rPr>
      </w:pPr>
    </w:p>
    <w:p w14:paraId="1446E0E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our Facebook metrics and Family metrics estimates will differ from estimates published by third parties due to differences in methodology.</w:t>
      </w:r>
    </w:p>
    <w:p w14:paraId="1446E0E9" w14:textId="77777777" w:rsidR="00FE42B5" w:rsidRDefault="00FE42B5">
      <w:pPr>
        <w:spacing w:line="288" w:lineRule="auto"/>
        <w:ind w:firstLine="720"/>
        <w:jc w:val="both"/>
        <w:rPr>
          <w:rFonts w:ascii="Times New Roman" w:hAnsi="Times New Roman"/>
          <w:sz w:val="20"/>
          <w:szCs w:val="20"/>
        </w:rPr>
      </w:pPr>
    </w:p>
    <w:p w14:paraId="1446E0EA"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Facebook Metrics</w:t>
      </w:r>
    </w:p>
    <w:p w14:paraId="1446E0EB" w14:textId="77777777" w:rsidR="00FE42B5" w:rsidRDefault="00FE42B5">
      <w:pPr>
        <w:spacing w:line="288" w:lineRule="auto"/>
        <w:jc w:val="both"/>
        <w:rPr>
          <w:rFonts w:ascii="Times New Roman" w:hAnsi="Times New Roman"/>
          <w:sz w:val="20"/>
          <w:szCs w:val="20"/>
        </w:rPr>
      </w:pPr>
    </w:p>
    <w:p w14:paraId="1446E0E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 our Facebook metrics t</w:t>
      </w:r>
      <w:r>
        <w:rPr>
          <w:rFonts w:ascii="Times New Roman" w:eastAsia="宋体" w:hAnsi="Times New Roman"/>
          <w:sz w:val="20"/>
          <w:szCs w:val="20"/>
        </w:rPr>
        <w:t>o estimate the number of "duplicate" and "false" accounts among our MAUs. A duplicate account is one that a user maintains in addition to his or her principal account. We divide "false" accounts into two categories: (1) user-misclassified accounts, where u</w:t>
      </w:r>
      <w:r>
        <w:rPr>
          <w:rFonts w:ascii="Times New Roman" w:eastAsia="宋体" w:hAnsi="Times New Roman"/>
          <w:sz w:val="20"/>
          <w:szCs w:val="20"/>
        </w:rPr>
        <w:t>sers have created personal profiles for a business, organization, or non-human entity such as a pet (such entities are permitted on Facebook using a Page rather than a personal profile under our terms of service); and (2) violating accounts, which represen</w:t>
      </w:r>
      <w:r>
        <w:rPr>
          <w:rFonts w:ascii="Times New Roman" w:eastAsia="宋体" w:hAnsi="Times New Roman"/>
          <w:sz w:val="20"/>
          <w:szCs w:val="20"/>
        </w:rPr>
        <w:t>t user profiles that we believe are intended to be used for purposes that violate our terms of service, such as bots and spam. The estimates of duplicate and false accounts are based on an internal review of a limited sample of accounts, and we apply signi</w:t>
      </w:r>
      <w:r>
        <w:rPr>
          <w:rFonts w:ascii="Times New Roman" w:eastAsia="宋体" w:hAnsi="Times New Roman"/>
          <w:sz w:val="20"/>
          <w:szCs w:val="20"/>
        </w:rPr>
        <w:t>ficant judgment in making this determination. For example, to identify duplicate accounts we use data signals such as identical IP addresses and similar user names, and to identify false accounts we look for names that appear to be fake or other behavior t</w:t>
      </w:r>
      <w:r>
        <w:rPr>
          <w:rFonts w:ascii="Times New Roman" w:eastAsia="宋体" w:hAnsi="Times New Roman"/>
          <w:sz w:val="20"/>
          <w:szCs w:val="20"/>
        </w:rPr>
        <w:t>hat appears inauthentic to the reviewers. Any loss of access to data signals we use in this process, whether as a result of our own product decisions, actions by third-party browser or mobile platforms, regulatory or legislative requirements, limitations w</w:t>
      </w:r>
      <w:r>
        <w:rPr>
          <w:rFonts w:ascii="Times New Roman" w:eastAsia="宋体" w:hAnsi="Times New Roman"/>
          <w:sz w:val="20"/>
          <w:szCs w:val="20"/>
        </w:rPr>
        <w:t>hile our personnel work remotely during the COVID-19 pandemic, or other factors, also may impact the stability or accuracy of our estimates of duplicate and false accounts. Our estimates also may change as our methodologies evolve, including through the ap</w:t>
      </w:r>
      <w:r>
        <w:rPr>
          <w:rFonts w:ascii="Times New Roman" w:eastAsia="宋体" w:hAnsi="Times New Roman"/>
          <w:sz w:val="20"/>
          <w:szCs w:val="20"/>
        </w:rPr>
        <w:t>plication of new data signals or technologies or product changes that may allow us to identify previously undetected duplicate or false accounts and may improve our ability to evaluate a broader population of our users. Duplicate and false accounts are ver</w:t>
      </w:r>
      <w:r>
        <w:rPr>
          <w:rFonts w:ascii="Times New Roman" w:eastAsia="宋体" w:hAnsi="Times New Roman"/>
          <w:sz w:val="20"/>
          <w:szCs w:val="20"/>
        </w:rPr>
        <w:t>y difficult to measure at our scale, and it is possible that the actual number of duplicate and false accounts may vary significantly from our estimates.</w:t>
      </w:r>
    </w:p>
    <w:p w14:paraId="1446E0ED" w14:textId="77777777" w:rsidR="00FE42B5" w:rsidRDefault="00FE42B5">
      <w:pPr>
        <w:spacing w:line="288" w:lineRule="auto"/>
        <w:ind w:firstLine="720"/>
        <w:jc w:val="both"/>
        <w:rPr>
          <w:rFonts w:ascii="Times New Roman" w:hAnsi="Times New Roman"/>
          <w:sz w:val="20"/>
          <w:szCs w:val="20"/>
        </w:rPr>
      </w:pPr>
    </w:p>
    <w:p w14:paraId="1446E0E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the fourth quarter of 2019, we estimated that duplicate accounts may have represented </w:t>
      </w:r>
      <w:r>
        <w:rPr>
          <w:rFonts w:ascii="Times New Roman" w:eastAsia="宋体" w:hAnsi="Times New Roman"/>
          <w:sz w:val="20"/>
          <w:szCs w:val="20"/>
        </w:rPr>
        <w:t>approximately 11% of our worldwide MAUs. We believe the percentage of duplicate accounts is meaningfully higher in developing markets such as the Philippines and Vietnam, as compared to more developed markets. In the fourth quarter of 2019, we estimated th</w:t>
      </w:r>
      <w:r>
        <w:rPr>
          <w:rFonts w:ascii="Times New Roman" w:eastAsia="宋体" w:hAnsi="Times New Roman"/>
          <w:sz w:val="20"/>
          <w:szCs w:val="20"/>
        </w:rPr>
        <w:t>at false accounts may have represented approximately 5% of our worldwide MAUs. Our estimation of false accounts can vary as a result of episodic spikes in the creation of such accounts, which we have seen originate more frequently in specific countries suc</w:t>
      </w:r>
      <w:r>
        <w:rPr>
          <w:rFonts w:ascii="Times New Roman" w:eastAsia="宋体" w:hAnsi="Times New Roman"/>
          <w:sz w:val="20"/>
          <w:szCs w:val="20"/>
        </w:rPr>
        <w:t>h as Indonesia and Vietnam. From time to time, we disable certain user accounts, make product changes, or take other actions to reduce the number of duplicate or false accounts among our users, which may also reduce our DAU and MAU estimates in a particula</w:t>
      </w:r>
      <w:r>
        <w:rPr>
          <w:rFonts w:ascii="Times New Roman" w:eastAsia="宋体" w:hAnsi="Times New Roman"/>
          <w:sz w:val="20"/>
          <w:szCs w:val="20"/>
        </w:rPr>
        <w:t>r period. We intend to disclose our estimates of the number of duplicate and false accounts among our MAUs on an annual basis.</w:t>
      </w:r>
    </w:p>
    <w:p w14:paraId="1446E0EF" w14:textId="77777777" w:rsidR="00FE42B5" w:rsidRDefault="00FE42B5">
      <w:pPr>
        <w:spacing w:line="288" w:lineRule="auto"/>
        <w:ind w:firstLine="720"/>
        <w:jc w:val="both"/>
        <w:rPr>
          <w:rFonts w:ascii="Times New Roman" w:hAnsi="Times New Roman"/>
          <w:sz w:val="20"/>
          <w:szCs w:val="20"/>
        </w:rPr>
      </w:pPr>
    </w:p>
    <w:p w14:paraId="1446E0F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of DAUs and MAUs discussed in this Quarterly Report on Form 10-Q, as well as ARPU, do not include users on Instagram</w:t>
      </w:r>
      <w:r>
        <w:rPr>
          <w:rFonts w:ascii="Times New Roman" w:eastAsia="宋体" w:hAnsi="Times New Roman"/>
          <w:sz w:val="20"/>
          <w:szCs w:val="20"/>
        </w:rPr>
        <w:t>, WhatsApp, or our other products, unless they would otherwise qualify as DAUs or MAUs, respectively, based on their other activities on Facebook.</w:t>
      </w:r>
    </w:p>
    <w:p w14:paraId="1446E0F1" w14:textId="77777777" w:rsidR="00FE42B5" w:rsidRDefault="00FE42B5">
      <w:pPr>
        <w:rPr>
          <w:rFonts w:ascii="Times New Roman" w:hAnsi="Times New Roman"/>
          <w:sz w:val="20"/>
          <w:szCs w:val="20"/>
        </w:rPr>
      </w:pPr>
    </w:p>
    <w:p w14:paraId="1446E0F2"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4</w:t>
      </w:r>
    </w:p>
    <w:p w14:paraId="1446E0F3" w14:textId="77777777" w:rsidR="00FE42B5" w:rsidRDefault="009213DC">
      <w:r>
        <w:rPr>
          <w:rFonts w:ascii="Times New Roman" w:hAnsi="Times New Roman"/>
          <w:sz w:val="20"/>
          <w:szCs w:val="20"/>
        </w:rPr>
        <w:pict w14:anchorId="1446FABC">
          <v:rect id="_x0000_i1028" style="width:415.3pt;height:1.5pt" o:hralign="center" o:hrstd="t" o:hr="t" fillcolor="#a0a0a0" stroked="f"/>
        </w:pict>
      </w:r>
    </w:p>
    <w:p w14:paraId="1446E0F4" w14:textId="77777777" w:rsidR="00FE42B5" w:rsidRDefault="009213DC">
      <w:pPr>
        <w:spacing w:line="288" w:lineRule="auto"/>
        <w:rPr>
          <w:rFonts w:ascii="Times New Roman" w:hAnsi="Times New Roman"/>
          <w:sz w:val="20"/>
          <w:szCs w:val="20"/>
        </w:rPr>
      </w:pPr>
      <w:hyperlink r:id="rId46" w:anchor="sBB4BED1571A45A16AF3DC2E3B69C901C" w:history="1">
        <w:r>
          <w:rPr>
            <w:rStyle w:val="a5"/>
            <w:rFonts w:ascii="Times New Roman" w:eastAsia="宋体" w:hAnsi="Times New Roman"/>
            <w:sz w:val="20"/>
            <w:szCs w:val="20"/>
          </w:rPr>
          <w:t>Table of Contents</w:t>
        </w:r>
      </w:hyperlink>
    </w:p>
    <w:p w14:paraId="1446E0F5" w14:textId="77777777" w:rsidR="00FE42B5" w:rsidRDefault="00FE42B5">
      <w:pPr>
        <w:rPr>
          <w:rFonts w:ascii="Times New Roman" w:hAnsi="Times New Roman"/>
          <w:sz w:val="20"/>
          <w:szCs w:val="20"/>
        </w:rPr>
      </w:pPr>
    </w:p>
    <w:p w14:paraId="1446E0F6" w14:textId="77777777" w:rsidR="00FE42B5" w:rsidRDefault="00FE42B5">
      <w:pPr>
        <w:spacing w:line="288" w:lineRule="auto"/>
        <w:ind w:firstLine="720"/>
        <w:jc w:val="both"/>
        <w:rPr>
          <w:rFonts w:ascii="Times New Roman" w:hAnsi="Times New Roman"/>
          <w:sz w:val="20"/>
          <w:szCs w:val="20"/>
        </w:rPr>
      </w:pPr>
    </w:p>
    <w:p w14:paraId="1446E0F7"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Family Metrics</w:t>
      </w:r>
    </w:p>
    <w:p w14:paraId="1446E0F8" w14:textId="77777777" w:rsidR="00FE42B5" w:rsidRDefault="00FE42B5">
      <w:pPr>
        <w:spacing w:line="288" w:lineRule="auto"/>
        <w:ind w:firstLine="720"/>
        <w:jc w:val="both"/>
        <w:rPr>
          <w:rFonts w:ascii="Times New Roman" w:hAnsi="Times New Roman"/>
          <w:sz w:val="20"/>
          <w:szCs w:val="20"/>
        </w:rPr>
      </w:pPr>
    </w:p>
    <w:p w14:paraId="1446E0F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Many people in our community have user accounts on more than one of our products, and some people have multiple user accounts within an individual product. Accordingly, fo</w:t>
      </w:r>
      <w:r>
        <w:rPr>
          <w:rFonts w:ascii="Times New Roman" w:eastAsia="宋体" w:hAnsi="Times New Roman"/>
          <w:sz w:val="20"/>
          <w:szCs w:val="20"/>
        </w:rPr>
        <w:t>r our Family metrics, we do not seek to count the total number of user accounts across our products because we believe that would not reflect the actual size of our community. Rather, our Family metrics represent our estimates of the number of unique peopl</w:t>
      </w:r>
      <w:r>
        <w:rPr>
          <w:rFonts w:ascii="Times New Roman" w:eastAsia="宋体" w:hAnsi="Times New Roman"/>
          <w:sz w:val="20"/>
          <w:szCs w:val="20"/>
        </w:rPr>
        <w:t xml:space="preserve">e using at least one of Facebook, Instagram, Messenger, and WhatsApp. We do not require people to use a common identifier or link their accounts to use multiple products in our Family, and therefore must seek to attribute multiple user accounts within and </w:t>
      </w:r>
      <w:r>
        <w:rPr>
          <w:rFonts w:ascii="Times New Roman" w:eastAsia="宋体" w:hAnsi="Times New Roman"/>
          <w:sz w:val="20"/>
          <w:szCs w:val="20"/>
        </w:rPr>
        <w:t xml:space="preserve">across products to individual people. To calculate these metrics, we rely upon complex techniques, algorithms and machine learning models that seek to count the individual people behind user accounts, including by matching multiple user accounts within an </w:t>
      </w:r>
      <w:r>
        <w:rPr>
          <w:rFonts w:ascii="Times New Roman" w:eastAsia="宋体" w:hAnsi="Times New Roman"/>
          <w:sz w:val="20"/>
          <w:szCs w:val="20"/>
        </w:rPr>
        <w:t>individual product and across multiple products when we believe they are attributable to a single person, and counting such group of accounts as one person. These techniques and models require significant judgment, are subject to data and other limitations</w:t>
      </w:r>
      <w:r>
        <w:rPr>
          <w:rFonts w:ascii="Times New Roman" w:eastAsia="宋体" w:hAnsi="Times New Roman"/>
          <w:sz w:val="20"/>
          <w:szCs w:val="20"/>
        </w:rPr>
        <w:t xml:space="preserve"> discussed below, and inherently are subject to statistical variances and uncertainties. We estimate the potential error in our Family metrics primarily based on user survey data, which itself is subject to error as well. While we expect the error margin f</w:t>
      </w:r>
      <w:r>
        <w:rPr>
          <w:rFonts w:ascii="Times New Roman" w:eastAsia="宋体" w:hAnsi="Times New Roman"/>
          <w:sz w:val="20"/>
          <w:szCs w:val="20"/>
        </w:rPr>
        <w:t xml:space="preserve">or our Family metrics to vary from period to period, we estimate that such margin generally will be approximately </w:t>
      </w:r>
      <w:r>
        <w:rPr>
          <w:rFonts w:ascii="Times New Roman" w:eastAsia="宋体" w:hAnsi="Times New Roman"/>
          <w:sz w:val="20"/>
          <w:szCs w:val="20"/>
          <w:shd w:val="clear" w:color="auto" w:fill="FFFFFF"/>
        </w:rPr>
        <w:t>3</w:t>
      </w:r>
      <w:r>
        <w:rPr>
          <w:rFonts w:ascii="Times New Roman" w:eastAsia="宋体" w:hAnsi="Times New Roman"/>
          <w:sz w:val="20"/>
          <w:szCs w:val="20"/>
        </w:rPr>
        <w:t>% of our worldwide MAP. At our scale, it is very difficult to attribute multiple user accounts within and across products to individual peopl</w:t>
      </w:r>
      <w:r>
        <w:rPr>
          <w:rFonts w:ascii="Times New Roman" w:eastAsia="宋体" w:hAnsi="Times New Roman"/>
          <w:sz w:val="20"/>
          <w:szCs w:val="20"/>
        </w:rPr>
        <w:t>e, and it is possible that the actual numbers of unique people using our products may vary significantly from our estimates, potentially beyond our estimated error margins. As a result, it is also possible that our Family metrics may indicate changes or tr</w:t>
      </w:r>
      <w:r>
        <w:rPr>
          <w:rFonts w:ascii="Times New Roman" w:eastAsia="宋体" w:hAnsi="Times New Roman"/>
          <w:sz w:val="20"/>
          <w:szCs w:val="20"/>
        </w:rPr>
        <w:t>ends in user numbers that do not match actual changes or trends.</w:t>
      </w:r>
    </w:p>
    <w:p w14:paraId="1446E0FA" w14:textId="77777777" w:rsidR="00FE42B5" w:rsidRDefault="00FE42B5">
      <w:pPr>
        <w:spacing w:line="288" w:lineRule="auto"/>
        <w:ind w:firstLine="720"/>
        <w:jc w:val="both"/>
        <w:rPr>
          <w:rFonts w:ascii="Times New Roman" w:hAnsi="Times New Roman"/>
          <w:sz w:val="20"/>
          <w:szCs w:val="20"/>
        </w:rPr>
      </w:pPr>
    </w:p>
    <w:p w14:paraId="1446E0F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To calculate our estimates of Family DAP and MAP, we currently use a series of machine learning models that are developed based on internal reviews of limited samples of user accounts and ca</w:t>
      </w:r>
      <w:r>
        <w:rPr>
          <w:rFonts w:ascii="Times New Roman" w:eastAsia="宋体" w:hAnsi="Times New Roman"/>
          <w:sz w:val="20"/>
          <w:szCs w:val="20"/>
        </w:rPr>
        <w:t>librated against user survey data. We apply significant judgment in designing these models and calculating these estimates. For example, to match user accounts within individual products and across multiple products, we use data signals such as similar dev</w:t>
      </w:r>
      <w:r>
        <w:rPr>
          <w:rFonts w:ascii="Times New Roman" w:eastAsia="宋体" w:hAnsi="Times New Roman"/>
          <w:sz w:val="20"/>
          <w:szCs w:val="20"/>
        </w:rPr>
        <w:t xml:space="preserve">ice information, IP addresses, and user names. We also calibrate our models against data from periodic user surveys of varying sizes and frequency across our products, which are inherently subject to error. In addition, our data limitations may affect our </w:t>
      </w:r>
      <w:r>
        <w:rPr>
          <w:rFonts w:ascii="Times New Roman" w:eastAsia="宋体" w:hAnsi="Times New Roman"/>
          <w:sz w:val="20"/>
          <w:szCs w:val="20"/>
        </w:rPr>
        <w:t>understanding of certain details of our business and increase the risk of error for our Family metrics estimates. Our techniques and models rely on a variety of data signals from different products, and we rely on more limited data signals for some product</w:t>
      </w:r>
      <w:r>
        <w:rPr>
          <w:rFonts w:ascii="Times New Roman" w:eastAsia="宋体" w:hAnsi="Times New Roman"/>
          <w:sz w:val="20"/>
          <w:szCs w:val="20"/>
        </w:rPr>
        <w:t>s compared to others. For example, as a result of limited visibility into encrypted products, we have fewer data signals from WhatsApp user accounts and primarily rely on phone numbers and device information to match WhatsApp user accounts with accounts on</w:t>
      </w:r>
      <w:r>
        <w:rPr>
          <w:rFonts w:ascii="Times New Roman" w:eastAsia="宋体" w:hAnsi="Times New Roman"/>
          <w:sz w:val="20"/>
          <w:szCs w:val="20"/>
        </w:rPr>
        <w:t xml:space="preserve"> our other products. Similarly, although Messenger Kids users are included in our Family metrics, we do not seek to match their accounts with accounts on our other applications for purposes of calculating DAP and MAP. Any loss of access to data signals we </w:t>
      </w:r>
      <w:r>
        <w:rPr>
          <w:rFonts w:ascii="Times New Roman" w:eastAsia="宋体" w:hAnsi="Times New Roman"/>
          <w:sz w:val="20"/>
          <w:szCs w:val="20"/>
        </w:rPr>
        <w:t>use in our process for calculating Family metrics, whether as a result of our own product decisions, actions by third-party browser or mobile platforms, regulatory or legislative requirements, limitations while our personnel work remotely during the COVID-</w:t>
      </w:r>
      <w:r>
        <w:rPr>
          <w:rFonts w:ascii="Times New Roman" w:eastAsia="宋体" w:hAnsi="Times New Roman"/>
          <w:sz w:val="20"/>
          <w:szCs w:val="20"/>
        </w:rPr>
        <w:t>19 pandemic, or other factors, also may impact the stability or accuracy of our reported Family metrics. Our estimates of Family metrics also may change as our methodologies evolve, including through the application of new data signals or technologies, pro</w:t>
      </w:r>
      <w:r>
        <w:rPr>
          <w:rFonts w:ascii="Times New Roman" w:eastAsia="宋体" w:hAnsi="Times New Roman"/>
          <w:sz w:val="20"/>
          <w:szCs w:val="20"/>
        </w:rPr>
        <w:t xml:space="preserve">duct changes, or other improvements in our user surveys, algorithms, or machine learning that may improve our ability to match accounts within and across our products or otherwise evaluate the broad population of our users. In addition, such evolution may </w:t>
      </w:r>
      <w:r>
        <w:rPr>
          <w:rFonts w:ascii="Times New Roman" w:eastAsia="宋体" w:hAnsi="Times New Roman"/>
          <w:sz w:val="20"/>
          <w:szCs w:val="20"/>
        </w:rPr>
        <w:t>allow us to identify previously undetected violating accounts (as defined below).</w:t>
      </w:r>
    </w:p>
    <w:p w14:paraId="1446E0FC" w14:textId="77777777" w:rsidR="00FE42B5" w:rsidRDefault="00FE42B5">
      <w:pPr>
        <w:spacing w:line="288" w:lineRule="auto"/>
        <w:ind w:firstLine="720"/>
        <w:jc w:val="both"/>
        <w:rPr>
          <w:rFonts w:ascii="Times New Roman" w:hAnsi="Times New Roman"/>
          <w:sz w:val="20"/>
          <w:szCs w:val="20"/>
        </w:rPr>
      </w:pPr>
    </w:p>
    <w:p w14:paraId="1446E0F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 our Family metrics to estimate the percentage of our MAP consisting solely of "violating" accounts. We define "violating" accounts as accounts which we</w:t>
      </w:r>
      <w:r>
        <w:rPr>
          <w:rFonts w:ascii="Times New Roman" w:eastAsia="宋体" w:hAnsi="Times New Roman"/>
          <w:sz w:val="20"/>
          <w:szCs w:val="20"/>
        </w:rPr>
        <w:t xml:space="preserve"> believe are intended to be used for purposes that violate our terms of service, including bots and spam. In the fourth quarter of 2019, we estimated that approximately 3% of our worldwide MAP consisted solely of violating accounts. Such estimation is base</w:t>
      </w:r>
      <w:r>
        <w:rPr>
          <w:rFonts w:ascii="Times New Roman" w:eastAsia="宋体" w:hAnsi="Times New Roman"/>
          <w:sz w:val="20"/>
          <w:szCs w:val="20"/>
        </w:rPr>
        <w:t>d on an internal review of a limited sample of accounts, and we apply significant judgment in making this determination. For example, we look for account information and behaviors associated with Facebook and Instagram accounts that appear to be inauthenti</w:t>
      </w:r>
      <w:r>
        <w:rPr>
          <w:rFonts w:ascii="Times New Roman" w:eastAsia="宋体" w:hAnsi="Times New Roman"/>
          <w:sz w:val="20"/>
          <w:szCs w:val="20"/>
        </w:rPr>
        <w:t>c to the reviewers, but we have limited visibility into WhatsApp user activity due to encryption. In addition, if we believe an individual person has one or more violating accounts, we do not include such person in our violating accounts estimation as long</w:t>
      </w:r>
      <w:r>
        <w:rPr>
          <w:rFonts w:ascii="Times New Roman" w:eastAsia="宋体" w:hAnsi="Times New Roman"/>
          <w:sz w:val="20"/>
          <w:szCs w:val="20"/>
        </w:rPr>
        <w:t xml:space="preserve"> as we believe they have one account that does not constitute a violating account. From time to time, we disable certain user accounts, make product changes, or take other actions to reduce the number of violating accounts among our users, which may also r</w:t>
      </w:r>
      <w:r>
        <w:rPr>
          <w:rFonts w:ascii="Times New Roman" w:eastAsia="宋体" w:hAnsi="Times New Roman"/>
          <w:sz w:val="20"/>
          <w:szCs w:val="20"/>
        </w:rPr>
        <w:t>educe our DAP and MAP estimates in a particular period. We intend to disclose our estimates of the percentage of our MAP consisting solely of violating accounts on an annual basis. Violating accounts are very difficult to measure at our scale, and it is po</w:t>
      </w:r>
      <w:r>
        <w:rPr>
          <w:rFonts w:ascii="Times New Roman" w:eastAsia="宋体" w:hAnsi="Times New Roman"/>
          <w:sz w:val="20"/>
          <w:szCs w:val="20"/>
        </w:rPr>
        <w:t>ssible that the actual number of violating accounts may vary significantly from our estimates.</w:t>
      </w:r>
    </w:p>
    <w:p w14:paraId="1446E0FE" w14:textId="77777777" w:rsidR="00FE42B5" w:rsidRDefault="00FE42B5">
      <w:pPr>
        <w:spacing w:line="288" w:lineRule="auto"/>
        <w:ind w:firstLine="720"/>
        <w:jc w:val="both"/>
        <w:rPr>
          <w:rFonts w:ascii="Times New Roman" w:hAnsi="Times New Roman"/>
          <w:sz w:val="20"/>
          <w:szCs w:val="20"/>
        </w:rPr>
      </w:pPr>
    </w:p>
    <w:p w14:paraId="1446E0F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of Family DAP and MAP discussed in this Quarterly Report on Form 10-Q, as well as ARPP, do not include users on our other products, unless they woul</w:t>
      </w:r>
      <w:r>
        <w:rPr>
          <w:rFonts w:ascii="Times New Roman" w:eastAsia="宋体" w:hAnsi="Times New Roman"/>
          <w:sz w:val="20"/>
          <w:szCs w:val="20"/>
        </w:rPr>
        <w:t>d otherwise qualify as DAP or MAP, respectively, based on their other activities on our Family products.</w:t>
      </w:r>
    </w:p>
    <w:p w14:paraId="1446E100" w14:textId="77777777" w:rsidR="00FE42B5" w:rsidRDefault="00FE42B5">
      <w:pPr>
        <w:spacing w:line="288" w:lineRule="auto"/>
        <w:ind w:firstLine="720"/>
        <w:jc w:val="both"/>
        <w:rPr>
          <w:rFonts w:ascii="Times New Roman" w:hAnsi="Times New Roman"/>
          <w:sz w:val="20"/>
          <w:szCs w:val="20"/>
        </w:rPr>
      </w:pPr>
    </w:p>
    <w:p w14:paraId="1446E101" w14:textId="77777777" w:rsidR="00FE42B5" w:rsidRDefault="00FE42B5">
      <w:pPr>
        <w:rPr>
          <w:rFonts w:ascii="Times New Roman" w:hAnsi="Times New Roman"/>
          <w:sz w:val="20"/>
          <w:szCs w:val="20"/>
        </w:rPr>
      </w:pPr>
    </w:p>
    <w:p w14:paraId="1446E102"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5</w:t>
      </w:r>
    </w:p>
    <w:p w14:paraId="1446E103" w14:textId="77777777" w:rsidR="00FE42B5" w:rsidRDefault="009213DC">
      <w:r>
        <w:rPr>
          <w:rFonts w:ascii="Times New Roman" w:hAnsi="Times New Roman"/>
          <w:sz w:val="20"/>
          <w:szCs w:val="20"/>
        </w:rPr>
        <w:pict w14:anchorId="1446FABD">
          <v:rect id="_x0000_i1029" style="width:415.3pt;height:1.5pt" o:hralign="center" o:hrstd="t" o:hr="t" fillcolor="#a0a0a0" stroked="f"/>
        </w:pict>
      </w:r>
    </w:p>
    <w:p w14:paraId="1446E104" w14:textId="77777777" w:rsidR="00FE42B5" w:rsidRDefault="009213DC">
      <w:pPr>
        <w:spacing w:line="288" w:lineRule="auto"/>
        <w:rPr>
          <w:rFonts w:ascii="Times New Roman" w:hAnsi="Times New Roman"/>
          <w:sz w:val="20"/>
          <w:szCs w:val="20"/>
        </w:rPr>
      </w:pPr>
      <w:hyperlink r:id="rId47" w:anchor="sBB4BED1571A45A16AF3DC2E3B69C901C" w:history="1">
        <w:r>
          <w:rPr>
            <w:rStyle w:val="a5"/>
            <w:rFonts w:ascii="Times New Roman" w:eastAsia="宋体" w:hAnsi="Times New Roman"/>
            <w:sz w:val="20"/>
            <w:szCs w:val="20"/>
          </w:rPr>
          <w:t>Table of Contents</w:t>
        </w:r>
      </w:hyperlink>
    </w:p>
    <w:p w14:paraId="1446E105" w14:textId="77777777" w:rsidR="00FE42B5" w:rsidRDefault="00FE42B5">
      <w:pPr>
        <w:rPr>
          <w:rFonts w:ascii="Times New Roman" w:hAnsi="Times New Roman"/>
          <w:sz w:val="20"/>
          <w:szCs w:val="20"/>
        </w:rPr>
      </w:pPr>
    </w:p>
    <w:p w14:paraId="1446E106"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User Geography</w:t>
      </w:r>
    </w:p>
    <w:p w14:paraId="1446E107" w14:textId="77777777" w:rsidR="00FE42B5" w:rsidRDefault="00FE42B5">
      <w:pPr>
        <w:spacing w:line="288" w:lineRule="auto"/>
        <w:rPr>
          <w:rFonts w:ascii="Times New Roman" w:hAnsi="Times New Roman"/>
          <w:sz w:val="20"/>
          <w:szCs w:val="20"/>
        </w:rPr>
      </w:pPr>
    </w:p>
    <w:p w14:paraId="1446E10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data regarding the geographic location of our users is estimated based on a number of factors, such as the user's IP address and self-disclosed location. These factors may not always accurately reflect the </w:t>
      </w:r>
      <w:r>
        <w:rPr>
          <w:rFonts w:ascii="Times New Roman" w:eastAsia="宋体" w:hAnsi="Times New Roman"/>
          <w:sz w:val="20"/>
          <w:szCs w:val="20"/>
        </w:rPr>
        <w:t xml:space="preserve">user's actual location. For example, a user may appear to be accessing Facebook from the location of the proxy server that the user connects to rather than from the user's actual location. The methodologies used to measure our metrics are also susceptible </w:t>
      </w:r>
      <w:r>
        <w:rPr>
          <w:rFonts w:ascii="Times New Roman" w:eastAsia="宋体" w:hAnsi="Times New Roman"/>
          <w:sz w:val="20"/>
          <w:szCs w:val="20"/>
        </w:rPr>
        <w:t>to algorithm or other technical errors, and our estimates for revenue by user location and revenue by user device are also affected by these factors.</w:t>
      </w:r>
    </w:p>
    <w:p w14:paraId="1446E109" w14:textId="77777777" w:rsidR="00FE42B5" w:rsidRDefault="00FE42B5">
      <w:pPr>
        <w:spacing w:line="288" w:lineRule="auto"/>
        <w:ind w:firstLine="720"/>
        <w:jc w:val="both"/>
        <w:rPr>
          <w:rFonts w:ascii="Times New Roman" w:hAnsi="Times New Roman"/>
          <w:sz w:val="20"/>
          <w:szCs w:val="20"/>
        </w:rPr>
      </w:pPr>
    </w:p>
    <w:p w14:paraId="1446E10A" w14:textId="77777777" w:rsidR="00FE42B5" w:rsidRDefault="00FE42B5">
      <w:pPr>
        <w:rPr>
          <w:rFonts w:ascii="Times New Roman" w:hAnsi="Times New Roman"/>
          <w:sz w:val="20"/>
          <w:szCs w:val="20"/>
        </w:rPr>
      </w:pPr>
    </w:p>
    <w:p w14:paraId="1446E10B"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6</w:t>
      </w:r>
    </w:p>
    <w:p w14:paraId="1446E10C" w14:textId="77777777" w:rsidR="00FE42B5" w:rsidRDefault="009213DC">
      <w:r>
        <w:rPr>
          <w:rFonts w:ascii="Times New Roman" w:hAnsi="Times New Roman"/>
          <w:sz w:val="20"/>
          <w:szCs w:val="20"/>
        </w:rPr>
        <w:pict w14:anchorId="1446FABE">
          <v:rect id="_x0000_i1030" style="width:415.3pt;height:1.5pt" o:hralign="center" o:hrstd="t" o:hr="t" fillcolor="#a0a0a0" stroked="f"/>
        </w:pict>
      </w:r>
    </w:p>
    <w:p w14:paraId="1446E10D" w14:textId="77777777" w:rsidR="00FE42B5" w:rsidRDefault="009213DC">
      <w:pPr>
        <w:spacing w:line="288" w:lineRule="auto"/>
        <w:rPr>
          <w:rFonts w:ascii="Times New Roman" w:hAnsi="Times New Roman"/>
          <w:sz w:val="20"/>
          <w:szCs w:val="20"/>
        </w:rPr>
      </w:pPr>
      <w:hyperlink r:id="rId48" w:anchor="sBB4BED1571A45A16AF3DC2E3B69C901C" w:history="1">
        <w:r>
          <w:rPr>
            <w:rStyle w:val="a5"/>
            <w:rFonts w:ascii="Times New Roman" w:eastAsia="宋体" w:hAnsi="Times New Roman"/>
            <w:sz w:val="20"/>
            <w:szCs w:val="20"/>
          </w:rPr>
          <w:t>Table of Contents</w:t>
        </w:r>
      </w:hyperlink>
    </w:p>
    <w:p w14:paraId="1446E10E" w14:textId="77777777" w:rsidR="00FE42B5" w:rsidRDefault="00FE42B5">
      <w:pPr>
        <w:rPr>
          <w:rFonts w:ascii="Times New Roman" w:hAnsi="Times New Roman"/>
          <w:sz w:val="20"/>
          <w:szCs w:val="20"/>
        </w:rPr>
      </w:pPr>
    </w:p>
    <w:p w14:paraId="1446E10F"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PART I—FINANCIAL INFORMATION</w:t>
      </w:r>
    </w:p>
    <w:tbl>
      <w:tblPr>
        <w:tblW w:w="0" w:type="auto"/>
        <w:tblCellSpacing w:w="0" w:type="dxa"/>
        <w:tblCellMar>
          <w:left w:w="0" w:type="dxa"/>
          <w:right w:w="0" w:type="dxa"/>
        </w:tblCellMar>
        <w:tblLook w:val="04A0" w:firstRow="1" w:lastRow="0" w:firstColumn="1" w:lastColumn="0" w:noHBand="0" w:noVBand="1"/>
      </w:tblPr>
      <w:tblGrid>
        <w:gridCol w:w="960"/>
        <w:gridCol w:w="1795"/>
      </w:tblGrid>
      <w:tr w:rsidR="00FE42B5" w14:paraId="1446E112" w14:textId="77777777">
        <w:trPr>
          <w:tblCellSpacing w:w="0" w:type="dxa"/>
        </w:trPr>
        <w:tc>
          <w:tcPr>
            <w:tcW w:w="960" w:type="dxa"/>
            <w:shd w:val="clear" w:color="auto" w:fill="auto"/>
            <w:vAlign w:val="center"/>
          </w:tcPr>
          <w:p w14:paraId="1446E110" w14:textId="77777777" w:rsidR="00FE42B5" w:rsidRDefault="00FE42B5">
            <w:pPr>
              <w:rPr>
                <w:rFonts w:ascii="Times New Roman" w:hAnsi="Times New Roman"/>
                <w:sz w:val="20"/>
                <w:szCs w:val="20"/>
              </w:rPr>
            </w:pPr>
          </w:p>
        </w:tc>
        <w:tc>
          <w:tcPr>
            <w:tcW w:w="0" w:type="auto"/>
            <w:shd w:val="clear" w:color="auto" w:fill="auto"/>
            <w:vAlign w:val="center"/>
          </w:tcPr>
          <w:p w14:paraId="1446E111" w14:textId="77777777" w:rsidR="00FE42B5" w:rsidRDefault="00FE42B5">
            <w:pPr>
              <w:rPr>
                <w:rFonts w:ascii="Times New Roman" w:hAnsi="Times New Roman"/>
                <w:sz w:val="20"/>
                <w:szCs w:val="20"/>
              </w:rPr>
            </w:pPr>
          </w:p>
        </w:tc>
      </w:tr>
      <w:tr w:rsidR="00FE42B5" w14:paraId="1446E115" w14:textId="77777777">
        <w:trPr>
          <w:tblCellSpacing w:w="0" w:type="dxa"/>
        </w:trPr>
        <w:tc>
          <w:tcPr>
            <w:tcW w:w="0" w:type="auto"/>
            <w:shd w:val="clear" w:color="auto" w:fill="auto"/>
          </w:tcPr>
          <w:p w14:paraId="1446E11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Item 1.</w:t>
            </w:r>
          </w:p>
        </w:tc>
        <w:tc>
          <w:tcPr>
            <w:tcW w:w="0" w:type="auto"/>
            <w:shd w:val="clear" w:color="auto" w:fill="auto"/>
          </w:tcPr>
          <w:p w14:paraId="1446E11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Financial Statements</w:t>
            </w:r>
          </w:p>
        </w:tc>
      </w:tr>
    </w:tbl>
    <w:p w14:paraId="1446E116"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1446E117"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BALANCE SHEETS</w:t>
      </w:r>
    </w:p>
    <w:p w14:paraId="1446E118" w14:textId="77777777" w:rsidR="00FE42B5" w:rsidRDefault="009213DC">
      <w:pPr>
        <w:spacing w:line="288" w:lineRule="auto"/>
        <w:jc w:val="center"/>
        <w:rPr>
          <w:rFonts w:ascii="Times New Roman" w:hAnsi="Times New Roman"/>
          <w:sz w:val="20"/>
          <w:szCs w:val="20"/>
        </w:rPr>
      </w:pPr>
      <w:r>
        <w:rPr>
          <w:rFonts w:ascii="Times New Roman" w:eastAsia="宋体" w:hAnsi="Times New Roman"/>
          <w:i/>
          <w:iCs/>
          <w:sz w:val="20"/>
          <w:szCs w:val="20"/>
        </w:rPr>
        <w:t>(In millions, except for number of shares and par value)</w:t>
      </w:r>
    </w:p>
    <w:p w14:paraId="1446E119" w14:textId="77777777" w:rsidR="00FE42B5" w:rsidRDefault="009213DC">
      <w:pPr>
        <w:spacing w:line="288" w:lineRule="auto"/>
        <w:jc w:val="center"/>
        <w:rPr>
          <w:rFonts w:ascii="Times New Roman" w:hAnsi="Times New Roman"/>
          <w:sz w:val="20"/>
          <w:szCs w:val="20"/>
        </w:rPr>
      </w:pPr>
      <w:r>
        <w:rPr>
          <w:rFonts w:ascii="Times New Roman" w:eastAsia="宋体" w:hAnsi="Times New Roman"/>
          <w:i/>
          <w:iCs/>
          <w:sz w:val="20"/>
          <w:szCs w:val="20"/>
        </w:rPr>
        <w:t>(Unaudited)</w:t>
      </w:r>
    </w:p>
    <w:tbl>
      <w:tblPr>
        <w:tblW w:w="5000" w:type="pct"/>
        <w:jc w:val="center"/>
        <w:tblCellMar>
          <w:left w:w="0" w:type="dxa"/>
          <w:right w:w="0" w:type="dxa"/>
        </w:tblCellMar>
        <w:tblLook w:val="04A0" w:firstRow="1" w:lastRow="0" w:firstColumn="1" w:lastColumn="0" w:noHBand="0" w:noVBand="1"/>
      </w:tblPr>
      <w:tblGrid>
        <w:gridCol w:w="5986"/>
        <w:gridCol w:w="140"/>
        <w:gridCol w:w="837"/>
        <w:gridCol w:w="107"/>
        <w:gridCol w:w="130"/>
        <w:gridCol w:w="141"/>
        <w:gridCol w:w="858"/>
        <w:gridCol w:w="107"/>
      </w:tblGrid>
      <w:tr w:rsidR="00FE42B5" w14:paraId="1446E11B" w14:textId="77777777">
        <w:trPr>
          <w:jc w:val="center"/>
        </w:trPr>
        <w:tc>
          <w:tcPr>
            <w:tcW w:w="0" w:type="auto"/>
            <w:gridSpan w:val="8"/>
            <w:shd w:val="clear" w:color="auto" w:fill="auto"/>
            <w:vAlign w:val="center"/>
          </w:tcPr>
          <w:p w14:paraId="1446E11A" w14:textId="77777777" w:rsidR="00FE42B5" w:rsidRDefault="00FE42B5">
            <w:pPr>
              <w:rPr>
                <w:rFonts w:ascii="Times New Roman" w:hAnsi="Times New Roman"/>
                <w:sz w:val="20"/>
                <w:szCs w:val="20"/>
              </w:rPr>
            </w:pPr>
          </w:p>
        </w:tc>
      </w:tr>
      <w:tr w:rsidR="00FE42B5" w14:paraId="1446E124" w14:textId="77777777">
        <w:trPr>
          <w:jc w:val="center"/>
        </w:trPr>
        <w:tc>
          <w:tcPr>
            <w:tcW w:w="3650" w:type="pct"/>
            <w:shd w:val="clear" w:color="auto" w:fill="auto"/>
            <w:vAlign w:val="center"/>
          </w:tcPr>
          <w:p w14:paraId="1446E11C" w14:textId="77777777" w:rsidR="00FE42B5" w:rsidRDefault="00FE42B5">
            <w:pPr>
              <w:rPr>
                <w:rFonts w:ascii="Times New Roman" w:hAnsi="Times New Roman"/>
                <w:sz w:val="20"/>
                <w:szCs w:val="20"/>
              </w:rPr>
            </w:pPr>
          </w:p>
        </w:tc>
        <w:tc>
          <w:tcPr>
            <w:tcW w:w="50" w:type="pct"/>
            <w:shd w:val="clear" w:color="auto" w:fill="auto"/>
            <w:vAlign w:val="center"/>
          </w:tcPr>
          <w:p w14:paraId="1446E11D" w14:textId="77777777" w:rsidR="00FE42B5" w:rsidRDefault="00FE42B5">
            <w:pPr>
              <w:rPr>
                <w:rFonts w:ascii="Times New Roman" w:hAnsi="Times New Roman"/>
                <w:sz w:val="20"/>
                <w:szCs w:val="20"/>
              </w:rPr>
            </w:pPr>
          </w:p>
        </w:tc>
        <w:tc>
          <w:tcPr>
            <w:tcW w:w="550" w:type="pct"/>
            <w:shd w:val="clear" w:color="auto" w:fill="auto"/>
            <w:vAlign w:val="center"/>
          </w:tcPr>
          <w:p w14:paraId="1446E11E" w14:textId="77777777" w:rsidR="00FE42B5" w:rsidRDefault="00FE42B5">
            <w:pPr>
              <w:rPr>
                <w:rFonts w:ascii="Times New Roman" w:hAnsi="Times New Roman"/>
                <w:sz w:val="20"/>
                <w:szCs w:val="20"/>
              </w:rPr>
            </w:pPr>
          </w:p>
        </w:tc>
        <w:tc>
          <w:tcPr>
            <w:tcW w:w="50" w:type="pct"/>
            <w:shd w:val="clear" w:color="auto" w:fill="auto"/>
            <w:vAlign w:val="center"/>
          </w:tcPr>
          <w:p w14:paraId="1446E11F" w14:textId="77777777" w:rsidR="00FE42B5" w:rsidRDefault="00FE42B5">
            <w:pPr>
              <w:rPr>
                <w:rFonts w:ascii="Times New Roman" w:hAnsi="Times New Roman"/>
                <w:sz w:val="20"/>
                <w:szCs w:val="20"/>
              </w:rPr>
            </w:pPr>
          </w:p>
        </w:tc>
        <w:tc>
          <w:tcPr>
            <w:tcW w:w="50" w:type="pct"/>
            <w:shd w:val="clear" w:color="auto" w:fill="auto"/>
            <w:vAlign w:val="center"/>
          </w:tcPr>
          <w:p w14:paraId="1446E120" w14:textId="77777777" w:rsidR="00FE42B5" w:rsidRDefault="00FE42B5">
            <w:pPr>
              <w:rPr>
                <w:rFonts w:ascii="Times New Roman" w:hAnsi="Times New Roman"/>
                <w:sz w:val="20"/>
                <w:szCs w:val="20"/>
              </w:rPr>
            </w:pPr>
          </w:p>
        </w:tc>
        <w:tc>
          <w:tcPr>
            <w:tcW w:w="50" w:type="pct"/>
            <w:shd w:val="clear" w:color="auto" w:fill="auto"/>
            <w:vAlign w:val="center"/>
          </w:tcPr>
          <w:p w14:paraId="1446E121" w14:textId="77777777" w:rsidR="00FE42B5" w:rsidRDefault="00FE42B5">
            <w:pPr>
              <w:rPr>
                <w:rFonts w:ascii="Times New Roman" w:hAnsi="Times New Roman"/>
                <w:sz w:val="20"/>
                <w:szCs w:val="20"/>
              </w:rPr>
            </w:pPr>
          </w:p>
        </w:tc>
        <w:tc>
          <w:tcPr>
            <w:tcW w:w="550" w:type="pct"/>
            <w:shd w:val="clear" w:color="auto" w:fill="auto"/>
            <w:vAlign w:val="center"/>
          </w:tcPr>
          <w:p w14:paraId="1446E122" w14:textId="77777777" w:rsidR="00FE42B5" w:rsidRDefault="00FE42B5">
            <w:pPr>
              <w:rPr>
                <w:rFonts w:ascii="Times New Roman" w:hAnsi="Times New Roman"/>
                <w:sz w:val="20"/>
                <w:szCs w:val="20"/>
              </w:rPr>
            </w:pPr>
          </w:p>
        </w:tc>
        <w:tc>
          <w:tcPr>
            <w:tcW w:w="50" w:type="pct"/>
            <w:shd w:val="clear" w:color="auto" w:fill="auto"/>
            <w:vAlign w:val="center"/>
          </w:tcPr>
          <w:p w14:paraId="1446E123" w14:textId="77777777" w:rsidR="00FE42B5" w:rsidRDefault="00FE42B5">
            <w:pPr>
              <w:rPr>
                <w:rFonts w:ascii="Times New Roman" w:hAnsi="Times New Roman"/>
                <w:sz w:val="20"/>
                <w:szCs w:val="20"/>
              </w:rPr>
            </w:pPr>
          </w:p>
        </w:tc>
      </w:tr>
      <w:tr w:rsidR="00FE42B5" w14:paraId="1446E129" w14:textId="77777777">
        <w:trPr>
          <w:jc w:val="center"/>
        </w:trPr>
        <w:tc>
          <w:tcPr>
            <w:tcW w:w="0" w:type="auto"/>
            <w:shd w:val="clear" w:color="auto" w:fill="auto"/>
            <w:tcMar>
              <w:top w:w="40" w:type="dxa"/>
              <w:left w:w="40" w:type="dxa"/>
              <w:bottom w:w="40" w:type="dxa"/>
              <w:right w:w="40" w:type="dxa"/>
            </w:tcMar>
            <w:vAlign w:val="bottom"/>
          </w:tcPr>
          <w:p w14:paraId="1446E12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126"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xml:space="preserve">March 31, </w:t>
            </w:r>
            <w:r>
              <w:rPr>
                <w:rFonts w:ascii="Times New Roman" w:eastAsia="宋体" w:hAnsi="Times New Roman"/>
                <w:b/>
                <w:bCs/>
                <w:sz w:val="16"/>
                <w:szCs w:val="16"/>
              </w:rPr>
              <w:br/>
              <w:t>2020</w:t>
            </w:r>
          </w:p>
        </w:tc>
        <w:tc>
          <w:tcPr>
            <w:tcW w:w="0" w:type="auto"/>
            <w:shd w:val="clear" w:color="auto" w:fill="auto"/>
            <w:tcMar>
              <w:top w:w="40" w:type="dxa"/>
              <w:left w:w="40" w:type="dxa"/>
              <w:bottom w:w="40" w:type="dxa"/>
              <w:right w:w="40" w:type="dxa"/>
            </w:tcMar>
            <w:vAlign w:val="bottom"/>
          </w:tcPr>
          <w:p w14:paraId="1446E12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128"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xml:space="preserve">December 31, </w:t>
            </w:r>
            <w:r>
              <w:rPr>
                <w:rFonts w:ascii="Times New Roman" w:eastAsia="宋体" w:hAnsi="Times New Roman"/>
                <w:b/>
                <w:bCs/>
                <w:sz w:val="16"/>
                <w:szCs w:val="16"/>
              </w:rPr>
              <w:br/>
              <w:t>2019</w:t>
            </w:r>
          </w:p>
        </w:tc>
      </w:tr>
      <w:tr w:rsidR="00FE42B5" w14:paraId="1446E12E" w14:textId="77777777">
        <w:trPr>
          <w:jc w:val="center"/>
        </w:trPr>
        <w:tc>
          <w:tcPr>
            <w:tcW w:w="0" w:type="auto"/>
            <w:shd w:val="clear" w:color="auto" w:fill="CCEEFF"/>
            <w:tcMar>
              <w:top w:w="40" w:type="dxa"/>
              <w:left w:w="40" w:type="dxa"/>
              <w:bottom w:w="40" w:type="dxa"/>
              <w:right w:w="40" w:type="dxa"/>
            </w:tcMar>
          </w:tcPr>
          <w:p w14:paraId="1446E12A"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Assets</w:t>
            </w:r>
          </w:p>
        </w:tc>
        <w:tc>
          <w:tcPr>
            <w:tcW w:w="0" w:type="auto"/>
            <w:gridSpan w:val="3"/>
            <w:shd w:val="clear" w:color="auto" w:fill="CCEEFF"/>
            <w:tcMar>
              <w:top w:w="40" w:type="dxa"/>
              <w:left w:w="40" w:type="dxa"/>
              <w:bottom w:w="40" w:type="dxa"/>
              <w:right w:w="40" w:type="dxa"/>
            </w:tcMar>
            <w:vAlign w:val="bottom"/>
          </w:tcPr>
          <w:p w14:paraId="1446E12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12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12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133" w14:textId="77777777">
        <w:trPr>
          <w:jc w:val="center"/>
        </w:trPr>
        <w:tc>
          <w:tcPr>
            <w:tcW w:w="0" w:type="auto"/>
            <w:shd w:val="clear" w:color="auto" w:fill="auto"/>
            <w:tcMar>
              <w:top w:w="40" w:type="dxa"/>
              <w:left w:w="40" w:type="dxa"/>
              <w:bottom w:w="40" w:type="dxa"/>
              <w:right w:w="40" w:type="dxa"/>
            </w:tcMar>
          </w:tcPr>
          <w:p w14:paraId="1446E12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Current assets:</w:t>
            </w:r>
          </w:p>
        </w:tc>
        <w:tc>
          <w:tcPr>
            <w:tcW w:w="0" w:type="auto"/>
            <w:gridSpan w:val="3"/>
            <w:shd w:val="clear" w:color="auto" w:fill="auto"/>
            <w:tcMar>
              <w:top w:w="40" w:type="dxa"/>
              <w:left w:w="40" w:type="dxa"/>
              <w:bottom w:w="40" w:type="dxa"/>
              <w:right w:w="40" w:type="dxa"/>
            </w:tcMar>
            <w:vAlign w:val="bottom"/>
          </w:tcPr>
          <w:p w14:paraId="1446E13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13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13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13C" w14:textId="77777777">
        <w:trPr>
          <w:jc w:val="center"/>
        </w:trPr>
        <w:tc>
          <w:tcPr>
            <w:tcW w:w="0" w:type="auto"/>
            <w:shd w:val="clear" w:color="auto" w:fill="CCEEFF"/>
            <w:tcMar>
              <w:top w:w="40" w:type="dxa"/>
              <w:left w:w="560" w:type="dxa"/>
              <w:bottom w:w="40" w:type="dxa"/>
              <w:right w:w="40" w:type="dxa"/>
            </w:tcMar>
          </w:tcPr>
          <w:p w14:paraId="1446E13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tcMar>
            <w:vAlign w:val="bottom"/>
          </w:tcPr>
          <w:p w14:paraId="1446E13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13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23,618</w:t>
            </w:r>
          </w:p>
        </w:tc>
        <w:tc>
          <w:tcPr>
            <w:tcW w:w="0" w:type="auto"/>
            <w:shd w:val="clear" w:color="auto" w:fill="CCEEFF"/>
            <w:vAlign w:val="bottom"/>
          </w:tcPr>
          <w:p w14:paraId="1446E13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3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13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13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19,079</w:t>
            </w:r>
          </w:p>
        </w:tc>
        <w:tc>
          <w:tcPr>
            <w:tcW w:w="0" w:type="auto"/>
            <w:shd w:val="clear" w:color="auto" w:fill="CCEEFF"/>
            <w:vAlign w:val="bottom"/>
          </w:tcPr>
          <w:p w14:paraId="1446E13B" w14:textId="77777777" w:rsidR="00FE42B5" w:rsidRDefault="00FE42B5">
            <w:pPr>
              <w:textAlignment w:val="bottom"/>
              <w:rPr>
                <w:rFonts w:ascii="Times New Roman" w:hAnsi="Times New Roman"/>
                <w:sz w:val="20"/>
                <w:szCs w:val="20"/>
              </w:rPr>
            </w:pPr>
          </w:p>
        </w:tc>
      </w:tr>
      <w:tr w:rsidR="00FE42B5" w14:paraId="1446E143" w14:textId="77777777">
        <w:trPr>
          <w:jc w:val="center"/>
        </w:trPr>
        <w:tc>
          <w:tcPr>
            <w:tcW w:w="0" w:type="auto"/>
            <w:shd w:val="clear" w:color="auto" w:fill="auto"/>
            <w:tcMar>
              <w:top w:w="40" w:type="dxa"/>
              <w:left w:w="560" w:type="dxa"/>
              <w:bottom w:w="40" w:type="dxa"/>
              <w:right w:w="40" w:type="dxa"/>
            </w:tcMar>
          </w:tcPr>
          <w:p w14:paraId="1446E13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Marketable securities</w:t>
            </w:r>
          </w:p>
        </w:tc>
        <w:tc>
          <w:tcPr>
            <w:tcW w:w="0" w:type="auto"/>
            <w:gridSpan w:val="2"/>
            <w:shd w:val="clear" w:color="auto" w:fill="auto"/>
            <w:tcMar>
              <w:top w:w="40" w:type="dxa"/>
              <w:left w:w="40" w:type="dxa"/>
              <w:bottom w:w="40" w:type="dxa"/>
            </w:tcMar>
            <w:vAlign w:val="bottom"/>
          </w:tcPr>
          <w:p w14:paraId="1446E13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36,671</w:t>
            </w:r>
          </w:p>
        </w:tc>
        <w:tc>
          <w:tcPr>
            <w:tcW w:w="0" w:type="auto"/>
            <w:shd w:val="clear" w:color="auto" w:fill="auto"/>
            <w:vAlign w:val="bottom"/>
          </w:tcPr>
          <w:p w14:paraId="1446E13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14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14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35,776</w:t>
            </w:r>
          </w:p>
        </w:tc>
        <w:tc>
          <w:tcPr>
            <w:tcW w:w="0" w:type="auto"/>
            <w:shd w:val="clear" w:color="auto" w:fill="auto"/>
            <w:vAlign w:val="bottom"/>
          </w:tcPr>
          <w:p w14:paraId="1446E142" w14:textId="77777777" w:rsidR="00FE42B5" w:rsidRDefault="00FE42B5">
            <w:pPr>
              <w:textAlignment w:val="bottom"/>
              <w:rPr>
                <w:rFonts w:ascii="Times New Roman" w:hAnsi="Times New Roman"/>
                <w:sz w:val="20"/>
                <w:szCs w:val="20"/>
              </w:rPr>
            </w:pPr>
          </w:p>
        </w:tc>
      </w:tr>
      <w:tr w:rsidR="00FE42B5" w14:paraId="1446E14A" w14:textId="77777777">
        <w:trPr>
          <w:jc w:val="center"/>
        </w:trPr>
        <w:tc>
          <w:tcPr>
            <w:tcW w:w="0" w:type="auto"/>
            <w:shd w:val="clear" w:color="auto" w:fill="CCEEFF"/>
            <w:tcMar>
              <w:top w:w="40" w:type="dxa"/>
              <w:left w:w="560" w:type="dxa"/>
              <w:bottom w:w="40" w:type="dxa"/>
              <w:right w:w="40" w:type="dxa"/>
            </w:tcMar>
          </w:tcPr>
          <w:p w14:paraId="1446E14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Accounts receivable, net of allowances of $370 and $206 as of </w:t>
            </w:r>
            <w:r>
              <w:rPr>
                <w:rFonts w:ascii="Times New Roman" w:eastAsia="宋体" w:hAnsi="Times New Roman"/>
                <w:sz w:val="20"/>
                <w:szCs w:val="20"/>
              </w:rPr>
              <w:t>March 31, 2020 and December 31, 2019, respectively</w:t>
            </w:r>
          </w:p>
        </w:tc>
        <w:tc>
          <w:tcPr>
            <w:tcW w:w="0" w:type="auto"/>
            <w:gridSpan w:val="2"/>
            <w:shd w:val="clear" w:color="auto" w:fill="CCEEFF"/>
            <w:tcMar>
              <w:top w:w="40" w:type="dxa"/>
              <w:left w:w="40" w:type="dxa"/>
              <w:bottom w:w="40" w:type="dxa"/>
            </w:tcMar>
            <w:vAlign w:val="bottom"/>
          </w:tcPr>
          <w:p w14:paraId="1446E14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7,289</w:t>
            </w:r>
          </w:p>
        </w:tc>
        <w:tc>
          <w:tcPr>
            <w:tcW w:w="0" w:type="auto"/>
            <w:shd w:val="clear" w:color="auto" w:fill="CCEEFF"/>
            <w:vAlign w:val="bottom"/>
          </w:tcPr>
          <w:p w14:paraId="1446E14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4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14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9,518</w:t>
            </w:r>
          </w:p>
        </w:tc>
        <w:tc>
          <w:tcPr>
            <w:tcW w:w="0" w:type="auto"/>
            <w:shd w:val="clear" w:color="auto" w:fill="CCEEFF"/>
            <w:vAlign w:val="bottom"/>
          </w:tcPr>
          <w:p w14:paraId="1446E149" w14:textId="77777777" w:rsidR="00FE42B5" w:rsidRDefault="00FE42B5">
            <w:pPr>
              <w:textAlignment w:val="bottom"/>
              <w:rPr>
                <w:rFonts w:ascii="Times New Roman" w:hAnsi="Times New Roman"/>
                <w:sz w:val="20"/>
                <w:szCs w:val="20"/>
              </w:rPr>
            </w:pPr>
          </w:p>
        </w:tc>
      </w:tr>
      <w:tr w:rsidR="00FE42B5" w14:paraId="1446E151" w14:textId="77777777">
        <w:trPr>
          <w:jc w:val="center"/>
        </w:trPr>
        <w:tc>
          <w:tcPr>
            <w:tcW w:w="0" w:type="auto"/>
            <w:shd w:val="clear" w:color="auto" w:fill="auto"/>
            <w:tcMar>
              <w:top w:w="40" w:type="dxa"/>
              <w:left w:w="560" w:type="dxa"/>
              <w:bottom w:w="40" w:type="dxa"/>
              <w:right w:w="40" w:type="dxa"/>
            </w:tcMar>
          </w:tcPr>
          <w:p w14:paraId="1446E14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Prepaid expenses and other current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1446E14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1,771</w:t>
            </w:r>
          </w:p>
        </w:tc>
        <w:tc>
          <w:tcPr>
            <w:tcW w:w="0" w:type="auto"/>
            <w:tcBorders>
              <w:bottom w:val="single" w:sz="8" w:space="0" w:color="000000"/>
            </w:tcBorders>
            <w:shd w:val="clear" w:color="auto" w:fill="auto"/>
            <w:vAlign w:val="bottom"/>
          </w:tcPr>
          <w:p w14:paraId="1446E14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14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14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1,852</w:t>
            </w:r>
          </w:p>
        </w:tc>
        <w:tc>
          <w:tcPr>
            <w:tcW w:w="0" w:type="auto"/>
            <w:tcBorders>
              <w:bottom w:val="single" w:sz="8" w:space="0" w:color="000000"/>
            </w:tcBorders>
            <w:shd w:val="clear" w:color="auto" w:fill="auto"/>
            <w:vAlign w:val="bottom"/>
          </w:tcPr>
          <w:p w14:paraId="1446E150" w14:textId="77777777" w:rsidR="00FE42B5" w:rsidRDefault="00FE42B5">
            <w:pPr>
              <w:textAlignment w:val="bottom"/>
              <w:rPr>
                <w:rFonts w:ascii="Times New Roman" w:hAnsi="Times New Roman"/>
                <w:sz w:val="20"/>
                <w:szCs w:val="20"/>
              </w:rPr>
            </w:pPr>
          </w:p>
        </w:tc>
      </w:tr>
      <w:tr w:rsidR="00FE42B5" w14:paraId="1446E158" w14:textId="77777777">
        <w:trPr>
          <w:jc w:val="center"/>
        </w:trPr>
        <w:tc>
          <w:tcPr>
            <w:tcW w:w="0" w:type="auto"/>
            <w:shd w:val="clear" w:color="auto" w:fill="CCEEFF"/>
            <w:tcMar>
              <w:top w:w="40" w:type="dxa"/>
              <w:left w:w="1040" w:type="dxa"/>
              <w:bottom w:w="40" w:type="dxa"/>
              <w:right w:w="40" w:type="dxa"/>
            </w:tcMar>
          </w:tcPr>
          <w:p w14:paraId="1446E15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 current assets</w:t>
            </w:r>
          </w:p>
        </w:tc>
        <w:tc>
          <w:tcPr>
            <w:tcW w:w="0" w:type="auto"/>
            <w:gridSpan w:val="2"/>
            <w:shd w:val="clear" w:color="auto" w:fill="CCEEFF"/>
            <w:tcMar>
              <w:top w:w="40" w:type="dxa"/>
              <w:left w:w="40" w:type="dxa"/>
              <w:bottom w:w="40" w:type="dxa"/>
            </w:tcMar>
            <w:vAlign w:val="bottom"/>
          </w:tcPr>
          <w:p w14:paraId="1446E15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69,349</w:t>
            </w:r>
          </w:p>
        </w:tc>
        <w:tc>
          <w:tcPr>
            <w:tcW w:w="0" w:type="auto"/>
            <w:shd w:val="clear" w:color="auto" w:fill="CCEEFF"/>
            <w:vAlign w:val="bottom"/>
          </w:tcPr>
          <w:p w14:paraId="1446E154"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5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15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66,225</w:t>
            </w:r>
          </w:p>
        </w:tc>
        <w:tc>
          <w:tcPr>
            <w:tcW w:w="0" w:type="auto"/>
            <w:shd w:val="clear" w:color="auto" w:fill="CCEEFF"/>
            <w:vAlign w:val="bottom"/>
          </w:tcPr>
          <w:p w14:paraId="1446E157" w14:textId="77777777" w:rsidR="00FE42B5" w:rsidRDefault="00FE42B5">
            <w:pPr>
              <w:textAlignment w:val="bottom"/>
              <w:rPr>
                <w:rFonts w:ascii="Times New Roman" w:hAnsi="Times New Roman"/>
                <w:sz w:val="20"/>
                <w:szCs w:val="20"/>
              </w:rPr>
            </w:pPr>
          </w:p>
        </w:tc>
      </w:tr>
      <w:tr w:rsidR="00FE42B5" w14:paraId="1446E15F" w14:textId="77777777">
        <w:trPr>
          <w:jc w:val="center"/>
        </w:trPr>
        <w:tc>
          <w:tcPr>
            <w:tcW w:w="0" w:type="auto"/>
            <w:shd w:val="clear" w:color="auto" w:fill="auto"/>
            <w:tcMar>
              <w:top w:w="40" w:type="dxa"/>
              <w:left w:w="40" w:type="dxa"/>
              <w:bottom w:w="40" w:type="dxa"/>
              <w:right w:w="40" w:type="dxa"/>
            </w:tcMar>
          </w:tcPr>
          <w:p w14:paraId="1446E159"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Property and equipment, net</w:t>
            </w:r>
          </w:p>
        </w:tc>
        <w:tc>
          <w:tcPr>
            <w:tcW w:w="0" w:type="auto"/>
            <w:gridSpan w:val="2"/>
            <w:shd w:val="clear" w:color="auto" w:fill="auto"/>
            <w:tcMar>
              <w:top w:w="40" w:type="dxa"/>
              <w:left w:w="40" w:type="dxa"/>
              <w:bottom w:w="40" w:type="dxa"/>
            </w:tcMar>
            <w:vAlign w:val="bottom"/>
          </w:tcPr>
          <w:p w14:paraId="1446E15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37,127</w:t>
            </w:r>
          </w:p>
        </w:tc>
        <w:tc>
          <w:tcPr>
            <w:tcW w:w="0" w:type="auto"/>
            <w:shd w:val="clear" w:color="auto" w:fill="auto"/>
            <w:vAlign w:val="bottom"/>
          </w:tcPr>
          <w:p w14:paraId="1446E15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15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15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35,323</w:t>
            </w:r>
          </w:p>
        </w:tc>
        <w:tc>
          <w:tcPr>
            <w:tcW w:w="0" w:type="auto"/>
            <w:shd w:val="clear" w:color="auto" w:fill="auto"/>
            <w:vAlign w:val="bottom"/>
          </w:tcPr>
          <w:p w14:paraId="1446E15E" w14:textId="77777777" w:rsidR="00FE42B5" w:rsidRDefault="00FE42B5">
            <w:pPr>
              <w:textAlignment w:val="bottom"/>
              <w:rPr>
                <w:rFonts w:ascii="Times New Roman" w:hAnsi="Times New Roman"/>
                <w:sz w:val="20"/>
                <w:szCs w:val="20"/>
              </w:rPr>
            </w:pPr>
          </w:p>
        </w:tc>
      </w:tr>
      <w:tr w:rsidR="00FE42B5" w14:paraId="1446E166" w14:textId="77777777">
        <w:trPr>
          <w:jc w:val="center"/>
        </w:trPr>
        <w:tc>
          <w:tcPr>
            <w:tcW w:w="0" w:type="auto"/>
            <w:shd w:val="clear" w:color="auto" w:fill="CCEEFF"/>
            <w:tcMar>
              <w:top w:w="40" w:type="dxa"/>
              <w:left w:w="40" w:type="dxa"/>
              <w:bottom w:w="40" w:type="dxa"/>
              <w:right w:w="40" w:type="dxa"/>
            </w:tcMar>
            <w:vAlign w:val="bottom"/>
          </w:tcPr>
          <w:p w14:paraId="1446E16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xml:space="preserve">Operating lease right-of-use </w:t>
            </w:r>
            <w:r>
              <w:rPr>
                <w:rFonts w:ascii="Times New Roman" w:eastAsia="宋体" w:hAnsi="Times New Roman"/>
                <w:sz w:val="20"/>
                <w:szCs w:val="20"/>
              </w:rPr>
              <w:t>assets, net</w:t>
            </w:r>
          </w:p>
        </w:tc>
        <w:tc>
          <w:tcPr>
            <w:tcW w:w="0" w:type="auto"/>
            <w:gridSpan w:val="2"/>
            <w:shd w:val="clear" w:color="auto" w:fill="CCEEFF"/>
            <w:tcMar>
              <w:top w:w="40" w:type="dxa"/>
              <w:left w:w="40" w:type="dxa"/>
              <w:bottom w:w="40" w:type="dxa"/>
            </w:tcMar>
            <w:vAlign w:val="bottom"/>
          </w:tcPr>
          <w:p w14:paraId="1446E16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9,359</w:t>
            </w:r>
          </w:p>
        </w:tc>
        <w:tc>
          <w:tcPr>
            <w:tcW w:w="0" w:type="auto"/>
            <w:shd w:val="clear" w:color="auto" w:fill="CCEEFF"/>
            <w:vAlign w:val="bottom"/>
          </w:tcPr>
          <w:p w14:paraId="1446E16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6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16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9,460</w:t>
            </w:r>
          </w:p>
        </w:tc>
        <w:tc>
          <w:tcPr>
            <w:tcW w:w="0" w:type="auto"/>
            <w:shd w:val="clear" w:color="auto" w:fill="CCEEFF"/>
            <w:vAlign w:val="bottom"/>
          </w:tcPr>
          <w:p w14:paraId="1446E165" w14:textId="77777777" w:rsidR="00FE42B5" w:rsidRDefault="00FE42B5">
            <w:pPr>
              <w:textAlignment w:val="bottom"/>
              <w:rPr>
                <w:rFonts w:ascii="Times New Roman" w:hAnsi="Times New Roman"/>
                <w:sz w:val="20"/>
                <w:szCs w:val="20"/>
              </w:rPr>
            </w:pPr>
          </w:p>
        </w:tc>
      </w:tr>
      <w:tr w:rsidR="00FE42B5" w14:paraId="1446E16D" w14:textId="77777777">
        <w:trPr>
          <w:jc w:val="center"/>
        </w:trPr>
        <w:tc>
          <w:tcPr>
            <w:tcW w:w="0" w:type="auto"/>
            <w:shd w:val="clear" w:color="auto" w:fill="auto"/>
            <w:tcMar>
              <w:top w:w="40" w:type="dxa"/>
              <w:left w:w="40" w:type="dxa"/>
              <w:bottom w:w="40" w:type="dxa"/>
              <w:right w:w="40" w:type="dxa"/>
            </w:tcMar>
          </w:tcPr>
          <w:p w14:paraId="1446E16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Intangible assets, net</w:t>
            </w:r>
          </w:p>
        </w:tc>
        <w:tc>
          <w:tcPr>
            <w:tcW w:w="0" w:type="auto"/>
            <w:gridSpan w:val="2"/>
            <w:shd w:val="clear" w:color="auto" w:fill="auto"/>
            <w:tcMar>
              <w:top w:w="40" w:type="dxa"/>
              <w:left w:w="40" w:type="dxa"/>
              <w:bottom w:w="40" w:type="dxa"/>
            </w:tcMar>
            <w:vAlign w:val="bottom"/>
          </w:tcPr>
          <w:p w14:paraId="1446E16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838</w:t>
            </w:r>
          </w:p>
        </w:tc>
        <w:tc>
          <w:tcPr>
            <w:tcW w:w="0" w:type="auto"/>
            <w:shd w:val="clear" w:color="auto" w:fill="auto"/>
            <w:vAlign w:val="bottom"/>
          </w:tcPr>
          <w:p w14:paraId="1446E169"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16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16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894</w:t>
            </w:r>
          </w:p>
        </w:tc>
        <w:tc>
          <w:tcPr>
            <w:tcW w:w="0" w:type="auto"/>
            <w:shd w:val="clear" w:color="auto" w:fill="auto"/>
            <w:vAlign w:val="bottom"/>
          </w:tcPr>
          <w:p w14:paraId="1446E16C" w14:textId="77777777" w:rsidR="00FE42B5" w:rsidRDefault="00FE42B5">
            <w:pPr>
              <w:textAlignment w:val="bottom"/>
              <w:rPr>
                <w:rFonts w:ascii="Times New Roman" w:hAnsi="Times New Roman"/>
                <w:sz w:val="20"/>
                <w:szCs w:val="20"/>
              </w:rPr>
            </w:pPr>
          </w:p>
        </w:tc>
      </w:tr>
      <w:tr w:rsidR="00FE42B5" w14:paraId="1446E174" w14:textId="77777777">
        <w:trPr>
          <w:jc w:val="center"/>
        </w:trPr>
        <w:tc>
          <w:tcPr>
            <w:tcW w:w="0" w:type="auto"/>
            <w:shd w:val="clear" w:color="auto" w:fill="CCEEFF"/>
            <w:tcMar>
              <w:top w:w="40" w:type="dxa"/>
              <w:left w:w="40" w:type="dxa"/>
              <w:bottom w:w="40" w:type="dxa"/>
              <w:right w:w="40" w:type="dxa"/>
            </w:tcMar>
          </w:tcPr>
          <w:p w14:paraId="1446E16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Goodwill</w:t>
            </w:r>
          </w:p>
        </w:tc>
        <w:tc>
          <w:tcPr>
            <w:tcW w:w="0" w:type="auto"/>
            <w:gridSpan w:val="2"/>
            <w:shd w:val="clear" w:color="auto" w:fill="CCEEFF"/>
            <w:tcMar>
              <w:top w:w="40" w:type="dxa"/>
              <w:left w:w="40" w:type="dxa"/>
              <w:bottom w:w="40" w:type="dxa"/>
            </w:tcMar>
            <w:vAlign w:val="bottom"/>
          </w:tcPr>
          <w:p w14:paraId="1446E16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18,811</w:t>
            </w:r>
          </w:p>
        </w:tc>
        <w:tc>
          <w:tcPr>
            <w:tcW w:w="0" w:type="auto"/>
            <w:shd w:val="clear" w:color="auto" w:fill="CCEEFF"/>
            <w:vAlign w:val="bottom"/>
          </w:tcPr>
          <w:p w14:paraId="1446E170"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7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17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18,715</w:t>
            </w:r>
          </w:p>
        </w:tc>
        <w:tc>
          <w:tcPr>
            <w:tcW w:w="0" w:type="auto"/>
            <w:shd w:val="clear" w:color="auto" w:fill="CCEEFF"/>
            <w:vAlign w:val="bottom"/>
          </w:tcPr>
          <w:p w14:paraId="1446E173" w14:textId="77777777" w:rsidR="00FE42B5" w:rsidRDefault="00FE42B5">
            <w:pPr>
              <w:textAlignment w:val="bottom"/>
              <w:rPr>
                <w:rFonts w:ascii="Times New Roman" w:hAnsi="Times New Roman"/>
                <w:sz w:val="20"/>
                <w:szCs w:val="20"/>
              </w:rPr>
            </w:pPr>
          </w:p>
        </w:tc>
      </w:tr>
      <w:tr w:rsidR="00FE42B5" w14:paraId="1446E17B" w14:textId="77777777">
        <w:trPr>
          <w:jc w:val="center"/>
        </w:trPr>
        <w:tc>
          <w:tcPr>
            <w:tcW w:w="0" w:type="auto"/>
            <w:shd w:val="clear" w:color="auto" w:fill="auto"/>
            <w:tcMar>
              <w:top w:w="40" w:type="dxa"/>
              <w:left w:w="40" w:type="dxa"/>
              <w:bottom w:w="40" w:type="dxa"/>
              <w:right w:w="40" w:type="dxa"/>
            </w:tcMar>
          </w:tcPr>
          <w:p w14:paraId="1446E17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Other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1446E17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2,887</w:t>
            </w:r>
          </w:p>
        </w:tc>
        <w:tc>
          <w:tcPr>
            <w:tcW w:w="0" w:type="auto"/>
            <w:tcBorders>
              <w:bottom w:val="single" w:sz="8" w:space="0" w:color="000000"/>
            </w:tcBorders>
            <w:shd w:val="clear" w:color="auto" w:fill="auto"/>
            <w:vAlign w:val="bottom"/>
          </w:tcPr>
          <w:p w14:paraId="1446E177"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17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17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2,759</w:t>
            </w:r>
          </w:p>
        </w:tc>
        <w:tc>
          <w:tcPr>
            <w:tcW w:w="0" w:type="auto"/>
            <w:tcBorders>
              <w:bottom w:val="single" w:sz="8" w:space="0" w:color="000000"/>
            </w:tcBorders>
            <w:shd w:val="clear" w:color="auto" w:fill="auto"/>
            <w:vAlign w:val="bottom"/>
          </w:tcPr>
          <w:p w14:paraId="1446E17A" w14:textId="77777777" w:rsidR="00FE42B5" w:rsidRDefault="00FE42B5">
            <w:pPr>
              <w:textAlignment w:val="bottom"/>
              <w:rPr>
                <w:rFonts w:ascii="Times New Roman" w:hAnsi="Times New Roman"/>
                <w:sz w:val="20"/>
                <w:szCs w:val="20"/>
              </w:rPr>
            </w:pPr>
          </w:p>
        </w:tc>
      </w:tr>
      <w:tr w:rsidR="00FE42B5" w14:paraId="1446E184" w14:textId="77777777">
        <w:trPr>
          <w:jc w:val="center"/>
        </w:trPr>
        <w:tc>
          <w:tcPr>
            <w:tcW w:w="0" w:type="auto"/>
            <w:shd w:val="clear" w:color="auto" w:fill="CCEEFF"/>
            <w:tcMar>
              <w:top w:w="40" w:type="dxa"/>
              <w:left w:w="40" w:type="dxa"/>
              <w:bottom w:w="40" w:type="dxa"/>
              <w:right w:w="40" w:type="dxa"/>
            </w:tcMar>
          </w:tcPr>
          <w:p w14:paraId="1446E17C"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Total assets</w:t>
            </w:r>
          </w:p>
        </w:tc>
        <w:tc>
          <w:tcPr>
            <w:tcW w:w="0" w:type="auto"/>
            <w:tcBorders>
              <w:bottom w:val="double" w:sz="6" w:space="0" w:color="000000"/>
            </w:tcBorders>
            <w:shd w:val="clear" w:color="auto" w:fill="CCEEFF"/>
            <w:tcMar>
              <w:top w:w="40" w:type="dxa"/>
              <w:left w:w="40" w:type="dxa"/>
              <w:bottom w:w="40" w:type="dxa"/>
            </w:tcMar>
            <w:vAlign w:val="bottom"/>
          </w:tcPr>
          <w:p w14:paraId="1446E17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17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138,371</w:t>
            </w:r>
          </w:p>
        </w:tc>
        <w:tc>
          <w:tcPr>
            <w:tcW w:w="0" w:type="auto"/>
            <w:tcBorders>
              <w:bottom w:val="double" w:sz="6" w:space="0" w:color="000000"/>
            </w:tcBorders>
            <w:shd w:val="clear" w:color="auto" w:fill="CCEEFF"/>
            <w:vAlign w:val="bottom"/>
          </w:tcPr>
          <w:p w14:paraId="1446E17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8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446E18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18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133,376</w:t>
            </w:r>
          </w:p>
        </w:tc>
        <w:tc>
          <w:tcPr>
            <w:tcW w:w="0" w:type="auto"/>
            <w:tcBorders>
              <w:bottom w:val="double" w:sz="6" w:space="0" w:color="000000"/>
            </w:tcBorders>
            <w:shd w:val="clear" w:color="auto" w:fill="CCEEFF"/>
            <w:vAlign w:val="bottom"/>
          </w:tcPr>
          <w:p w14:paraId="1446E183" w14:textId="77777777" w:rsidR="00FE42B5" w:rsidRDefault="00FE42B5">
            <w:pPr>
              <w:textAlignment w:val="bottom"/>
              <w:rPr>
                <w:rFonts w:ascii="Times New Roman" w:hAnsi="Times New Roman"/>
                <w:sz w:val="20"/>
                <w:szCs w:val="20"/>
              </w:rPr>
            </w:pPr>
          </w:p>
        </w:tc>
      </w:tr>
      <w:tr w:rsidR="00FE42B5" w14:paraId="1446E189" w14:textId="77777777">
        <w:trPr>
          <w:jc w:val="center"/>
        </w:trPr>
        <w:tc>
          <w:tcPr>
            <w:tcW w:w="0" w:type="auto"/>
            <w:shd w:val="clear" w:color="auto" w:fill="auto"/>
            <w:tcMar>
              <w:top w:w="40" w:type="dxa"/>
              <w:left w:w="40" w:type="dxa"/>
              <w:bottom w:w="40" w:type="dxa"/>
              <w:right w:w="40" w:type="dxa"/>
            </w:tcMar>
            <w:vAlign w:val="bottom"/>
          </w:tcPr>
          <w:p w14:paraId="1446E18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18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18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18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18E" w14:textId="77777777">
        <w:trPr>
          <w:jc w:val="center"/>
        </w:trPr>
        <w:tc>
          <w:tcPr>
            <w:tcW w:w="0" w:type="auto"/>
            <w:shd w:val="clear" w:color="auto" w:fill="CCEEFF"/>
            <w:tcMar>
              <w:top w:w="40" w:type="dxa"/>
              <w:left w:w="40" w:type="dxa"/>
              <w:bottom w:w="40" w:type="dxa"/>
              <w:right w:w="40" w:type="dxa"/>
            </w:tcMar>
          </w:tcPr>
          <w:p w14:paraId="1446E18A"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Liabilities and stockholders' equity</w:t>
            </w:r>
          </w:p>
        </w:tc>
        <w:tc>
          <w:tcPr>
            <w:tcW w:w="0" w:type="auto"/>
            <w:gridSpan w:val="3"/>
            <w:shd w:val="clear" w:color="auto" w:fill="CCEEFF"/>
            <w:tcMar>
              <w:top w:w="40" w:type="dxa"/>
              <w:left w:w="40" w:type="dxa"/>
              <w:bottom w:w="40" w:type="dxa"/>
              <w:right w:w="40" w:type="dxa"/>
            </w:tcMar>
            <w:vAlign w:val="bottom"/>
          </w:tcPr>
          <w:p w14:paraId="1446E18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18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18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193" w14:textId="77777777">
        <w:trPr>
          <w:jc w:val="center"/>
        </w:trPr>
        <w:tc>
          <w:tcPr>
            <w:tcW w:w="0" w:type="auto"/>
            <w:shd w:val="clear" w:color="auto" w:fill="auto"/>
            <w:tcMar>
              <w:top w:w="40" w:type="dxa"/>
              <w:left w:w="40" w:type="dxa"/>
              <w:bottom w:w="40" w:type="dxa"/>
              <w:right w:w="40" w:type="dxa"/>
            </w:tcMar>
          </w:tcPr>
          <w:p w14:paraId="1446E18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Current liabilities:</w:t>
            </w:r>
          </w:p>
        </w:tc>
        <w:tc>
          <w:tcPr>
            <w:tcW w:w="0" w:type="auto"/>
            <w:gridSpan w:val="3"/>
            <w:shd w:val="clear" w:color="auto" w:fill="auto"/>
            <w:tcMar>
              <w:top w:w="40" w:type="dxa"/>
              <w:left w:w="40" w:type="dxa"/>
              <w:bottom w:w="40" w:type="dxa"/>
              <w:right w:w="40" w:type="dxa"/>
            </w:tcMar>
            <w:vAlign w:val="bottom"/>
          </w:tcPr>
          <w:p w14:paraId="1446E19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19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19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19C" w14:textId="77777777">
        <w:trPr>
          <w:jc w:val="center"/>
        </w:trPr>
        <w:tc>
          <w:tcPr>
            <w:tcW w:w="0" w:type="auto"/>
            <w:shd w:val="clear" w:color="auto" w:fill="CCEEFF"/>
            <w:tcMar>
              <w:top w:w="40" w:type="dxa"/>
              <w:left w:w="560" w:type="dxa"/>
              <w:bottom w:w="40" w:type="dxa"/>
              <w:right w:w="40" w:type="dxa"/>
            </w:tcMar>
          </w:tcPr>
          <w:p w14:paraId="1446E19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Accounts payable</w:t>
            </w:r>
          </w:p>
        </w:tc>
        <w:tc>
          <w:tcPr>
            <w:tcW w:w="0" w:type="auto"/>
            <w:shd w:val="clear" w:color="auto" w:fill="CCEEFF"/>
            <w:tcMar>
              <w:top w:w="40" w:type="dxa"/>
              <w:left w:w="40" w:type="dxa"/>
              <w:bottom w:w="40" w:type="dxa"/>
            </w:tcMar>
            <w:vAlign w:val="bottom"/>
          </w:tcPr>
          <w:p w14:paraId="1446E19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19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829</w:t>
            </w:r>
          </w:p>
        </w:tc>
        <w:tc>
          <w:tcPr>
            <w:tcW w:w="0" w:type="auto"/>
            <w:shd w:val="clear" w:color="auto" w:fill="CCEEFF"/>
            <w:vAlign w:val="bottom"/>
          </w:tcPr>
          <w:p w14:paraId="1446E19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9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19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19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1,363</w:t>
            </w:r>
          </w:p>
        </w:tc>
        <w:tc>
          <w:tcPr>
            <w:tcW w:w="0" w:type="auto"/>
            <w:shd w:val="clear" w:color="auto" w:fill="CCEEFF"/>
            <w:vAlign w:val="bottom"/>
          </w:tcPr>
          <w:p w14:paraId="1446E19B" w14:textId="77777777" w:rsidR="00FE42B5" w:rsidRDefault="00FE42B5">
            <w:pPr>
              <w:textAlignment w:val="bottom"/>
              <w:rPr>
                <w:rFonts w:ascii="Times New Roman" w:hAnsi="Times New Roman"/>
                <w:sz w:val="20"/>
                <w:szCs w:val="20"/>
              </w:rPr>
            </w:pPr>
          </w:p>
        </w:tc>
      </w:tr>
      <w:tr w:rsidR="00FE42B5" w14:paraId="1446E1A3" w14:textId="77777777">
        <w:trPr>
          <w:jc w:val="center"/>
        </w:trPr>
        <w:tc>
          <w:tcPr>
            <w:tcW w:w="0" w:type="auto"/>
            <w:shd w:val="clear" w:color="auto" w:fill="auto"/>
            <w:tcMar>
              <w:top w:w="40" w:type="dxa"/>
              <w:left w:w="560" w:type="dxa"/>
              <w:bottom w:w="40" w:type="dxa"/>
              <w:right w:w="40" w:type="dxa"/>
            </w:tcMar>
          </w:tcPr>
          <w:p w14:paraId="1446E19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Partners payable</w:t>
            </w:r>
          </w:p>
        </w:tc>
        <w:tc>
          <w:tcPr>
            <w:tcW w:w="0" w:type="auto"/>
            <w:gridSpan w:val="2"/>
            <w:shd w:val="clear" w:color="auto" w:fill="auto"/>
            <w:tcMar>
              <w:top w:w="40" w:type="dxa"/>
              <w:left w:w="40" w:type="dxa"/>
              <w:bottom w:w="40" w:type="dxa"/>
            </w:tcMar>
            <w:vAlign w:val="bottom"/>
          </w:tcPr>
          <w:p w14:paraId="1446E19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712</w:t>
            </w:r>
          </w:p>
        </w:tc>
        <w:tc>
          <w:tcPr>
            <w:tcW w:w="0" w:type="auto"/>
            <w:shd w:val="clear" w:color="auto" w:fill="auto"/>
            <w:vAlign w:val="bottom"/>
          </w:tcPr>
          <w:p w14:paraId="1446E19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1A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1A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886</w:t>
            </w:r>
          </w:p>
        </w:tc>
        <w:tc>
          <w:tcPr>
            <w:tcW w:w="0" w:type="auto"/>
            <w:shd w:val="clear" w:color="auto" w:fill="auto"/>
            <w:vAlign w:val="bottom"/>
          </w:tcPr>
          <w:p w14:paraId="1446E1A2" w14:textId="77777777" w:rsidR="00FE42B5" w:rsidRDefault="00FE42B5">
            <w:pPr>
              <w:textAlignment w:val="bottom"/>
              <w:rPr>
                <w:rFonts w:ascii="Times New Roman" w:hAnsi="Times New Roman"/>
                <w:sz w:val="20"/>
                <w:szCs w:val="20"/>
              </w:rPr>
            </w:pPr>
          </w:p>
        </w:tc>
      </w:tr>
      <w:tr w:rsidR="00FE42B5" w14:paraId="1446E1AA" w14:textId="77777777">
        <w:trPr>
          <w:jc w:val="center"/>
        </w:trPr>
        <w:tc>
          <w:tcPr>
            <w:tcW w:w="0" w:type="auto"/>
            <w:shd w:val="clear" w:color="auto" w:fill="CCEEFF"/>
            <w:tcMar>
              <w:top w:w="40" w:type="dxa"/>
              <w:left w:w="560" w:type="dxa"/>
              <w:bottom w:w="40" w:type="dxa"/>
              <w:right w:w="40" w:type="dxa"/>
            </w:tcMar>
            <w:vAlign w:val="bottom"/>
          </w:tcPr>
          <w:p w14:paraId="1446E1A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Operating lease liabilities, current</w:t>
            </w:r>
          </w:p>
        </w:tc>
        <w:tc>
          <w:tcPr>
            <w:tcW w:w="0" w:type="auto"/>
            <w:gridSpan w:val="2"/>
            <w:shd w:val="clear" w:color="auto" w:fill="CCEEFF"/>
            <w:tcMar>
              <w:top w:w="40" w:type="dxa"/>
              <w:left w:w="40" w:type="dxa"/>
              <w:bottom w:w="40" w:type="dxa"/>
            </w:tcMar>
            <w:vAlign w:val="bottom"/>
          </w:tcPr>
          <w:p w14:paraId="1446E1A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835</w:t>
            </w:r>
          </w:p>
        </w:tc>
        <w:tc>
          <w:tcPr>
            <w:tcW w:w="0" w:type="auto"/>
            <w:shd w:val="clear" w:color="auto" w:fill="CCEEFF"/>
            <w:vAlign w:val="bottom"/>
          </w:tcPr>
          <w:p w14:paraId="1446E1A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A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1A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800</w:t>
            </w:r>
          </w:p>
        </w:tc>
        <w:tc>
          <w:tcPr>
            <w:tcW w:w="0" w:type="auto"/>
            <w:shd w:val="clear" w:color="auto" w:fill="CCEEFF"/>
            <w:vAlign w:val="bottom"/>
          </w:tcPr>
          <w:p w14:paraId="1446E1A9" w14:textId="77777777" w:rsidR="00FE42B5" w:rsidRDefault="00FE42B5">
            <w:pPr>
              <w:textAlignment w:val="bottom"/>
              <w:rPr>
                <w:rFonts w:ascii="Times New Roman" w:hAnsi="Times New Roman"/>
                <w:sz w:val="20"/>
                <w:szCs w:val="20"/>
              </w:rPr>
            </w:pPr>
          </w:p>
        </w:tc>
      </w:tr>
      <w:tr w:rsidR="00FE42B5" w14:paraId="1446E1B1" w14:textId="77777777">
        <w:trPr>
          <w:jc w:val="center"/>
        </w:trPr>
        <w:tc>
          <w:tcPr>
            <w:tcW w:w="0" w:type="auto"/>
            <w:shd w:val="clear" w:color="auto" w:fill="auto"/>
            <w:tcMar>
              <w:top w:w="40" w:type="dxa"/>
              <w:left w:w="560" w:type="dxa"/>
              <w:bottom w:w="40" w:type="dxa"/>
              <w:right w:w="40" w:type="dxa"/>
            </w:tcMar>
          </w:tcPr>
          <w:p w14:paraId="1446E1A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Accrued expenses and other current liabilities</w:t>
            </w:r>
          </w:p>
        </w:tc>
        <w:tc>
          <w:tcPr>
            <w:tcW w:w="0" w:type="auto"/>
            <w:gridSpan w:val="2"/>
            <w:shd w:val="clear" w:color="auto" w:fill="auto"/>
            <w:tcMar>
              <w:top w:w="40" w:type="dxa"/>
              <w:left w:w="40" w:type="dxa"/>
              <w:bottom w:w="40" w:type="dxa"/>
            </w:tcMar>
            <w:vAlign w:val="bottom"/>
          </w:tcPr>
          <w:p w14:paraId="1446E1A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12,446</w:t>
            </w:r>
          </w:p>
        </w:tc>
        <w:tc>
          <w:tcPr>
            <w:tcW w:w="0" w:type="auto"/>
            <w:shd w:val="clear" w:color="auto" w:fill="auto"/>
            <w:vAlign w:val="bottom"/>
          </w:tcPr>
          <w:p w14:paraId="1446E1A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1A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1A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11,735</w:t>
            </w:r>
          </w:p>
        </w:tc>
        <w:tc>
          <w:tcPr>
            <w:tcW w:w="0" w:type="auto"/>
            <w:shd w:val="clear" w:color="auto" w:fill="auto"/>
            <w:vAlign w:val="bottom"/>
          </w:tcPr>
          <w:p w14:paraId="1446E1B0" w14:textId="77777777" w:rsidR="00FE42B5" w:rsidRDefault="00FE42B5">
            <w:pPr>
              <w:textAlignment w:val="bottom"/>
              <w:rPr>
                <w:rFonts w:ascii="Times New Roman" w:hAnsi="Times New Roman"/>
                <w:sz w:val="20"/>
                <w:szCs w:val="20"/>
              </w:rPr>
            </w:pPr>
          </w:p>
        </w:tc>
      </w:tr>
      <w:tr w:rsidR="00FE42B5" w14:paraId="1446E1B8" w14:textId="77777777">
        <w:trPr>
          <w:jc w:val="center"/>
        </w:trPr>
        <w:tc>
          <w:tcPr>
            <w:tcW w:w="0" w:type="auto"/>
            <w:shd w:val="clear" w:color="auto" w:fill="CCEEFF"/>
            <w:tcMar>
              <w:top w:w="40" w:type="dxa"/>
              <w:left w:w="560" w:type="dxa"/>
              <w:bottom w:w="40" w:type="dxa"/>
              <w:right w:w="40" w:type="dxa"/>
            </w:tcMar>
          </w:tcPr>
          <w:p w14:paraId="1446E1B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Deferred revenue and deposits</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1B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247</w:t>
            </w:r>
          </w:p>
        </w:tc>
        <w:tc>
          <w:tcPr>
            <w:tcW w:w="0" w:type="auto"/>
            <w:tcBorders>
              <w:bottom w:val="single" w:sz="8" w:space="0" w:color="000000"/>
            </w:tcBorders>
            <w:shd w:val="clear" w:color="auto" w:fill="CCEEFF"/>
            <w:vAlign w:val="bottom"/>
          </w:tcPr>
          <w:p w14:paraId="1446E1B4"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B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1B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tcBorders>
              <w:bottom w:val="single" w:sz="8" w:space="0" w:color="000000"/>
            </w:tcBorders>
            <w:shd w:val="clear" w:color="auto" w:fill="CCEEFF"/>
            <w:vAlign w:val="bottom"/>
          </w:tcPr>
          <w:p w14:paraId="1446E1B7" w14:textId="77777777" w:rsidR="00FE42B5" w:rsidRDefault="00FE42B5">
            <w:pPr>
              <w:textAlignment w:val="bottom"/>
              <w:rPr>
                <w:rFonts w:ascii="Times New Roman" w:hAnsi="Times New Roman"/>
                <w:sz w:val="20"/>
                <w:szCs w:val="20"/>
              </w:rPr>
            </w:pPr>
          </w:p>
        </w:tc>
      </w:tr>
      <w:tr w:rsidR="00FE42B5" w14:paraId="1446E1BF" w14:textId="77777777">
        <w:trPr>
          <w:jc w:val="center"/>
        </w:trPr>
        <w:tc>
          <w:tcPr>
            <w:tcW w:w="0" w:type="auto"/>
            <w:shd w:val="clear" w:color="auto" w:fill="auto"/>
            <w:tcMar>
              <w:top w:w="40" w:type="dxa"/>
              <w:left w:w="1040" w:type="dxa"/>
              <w:bottom w:w="40" w:type="dxa"/>
              <w:right w:w="40" w:type="dxa"/>
            </w:tcMar>
          </w:tcPr>
          <w:p w14:paraId="1446E1B9"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Total current </w:t>
            </w:r>
            <w:r>
              <w:rPr>
                <w:rFonts w:ascii="Times New Roman" w:eastAsia="宋体" w:hAnsi="Times New Roman"/>
                <w:sz w:val="20"/>
                <w:szCs w:val="20"/>
              </w:rPr>
              <w:t>liabilities</w:t>
            </w:r>
          </w:p>
        </w:tc>
        <w:tc>
          <w:tcPr>
            <w:tcW w:w="0" w:type="auto"/>
            <w:gridSpan w:val="2"/>
            <w:shd w:val="clear" w:color="auto" w:fill="auto"/>
            <w:tcMar>
              <w:top w:w="40" w:type="dxa"/>
              <w:left w:w="40" w:type="dxa"/>
              <w:bottom w:w="40" w:type="dxa"/>
            </w:tcMar>
            <w:vAlign w:val="bottom"/>
          </w:tcPr>
          <w:p w14:paraId="1446E1B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15,069</w:t>
            </w:r>
          </w:p>
        </w:tc>
        <w:tc>
          <w:tcPr>
            <w:tcW w:w="0" w:type="auto"/>
            <w:shd w:val="clear" w:color="auto" w:fill="auto"/>
            <w:vAlign w:val="bottom"/>
          </w:tcPr>
          <w:p w14:paraId="1446E1B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1B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1B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15,053</w:t>
            </w:r>
          </w:p>
        </w:tc>
        <w:tc>
          <w:tcPr>
            <w:tcW w:w="0" w:type="auto"/>
            <w:shd w:val="clear" w:color="auto" w:fill="auto"/>
            <w:vAlign w:val="bottom"/>
          </w:tcPr>
          <w:p w14:paraId="1446E1BE" w14:textId="77777777" w:rsidR="00FE42B5" w:rsidRDefault="00FE42B5">
            <w:pPr>
              <w:textAlignment w:val="bottom"/>
              <w:rPr>
                <w:rFonts w:ascii="Times New Roman" w:hAnsi="Times New Roman"/>
                <w:sz w:val="20"/>
                <w:szCs w:val="20"/>
              </w:rPr>
            </w:pPr>
          </w:p>
        </w:tc>
      </w:tr>
      <w:tr w:rsidR="00FE42B5" w14:paraId="1446E1C6" w14:textId="77777777">
        <w:trPr>
          <w:jc w:val="center"/>
        </w:trPr>
        <w:tc>
          <w:tcPr>
            <w:tcW w:w="0" w:type="auto"/>
            <w:shd w:val="clear" w:color="auto" w:fill="CCEEFF"/>
            <w:tcMar>
              <w:top w:w="40" w:type="dxa"/>
              <w:left w:w="40" w:type="dxa"/>
              <w:bottom w:w="40" w:type="dxa"/>
              <w:right w:w="40" w:type="dxa"/>
            </w:tcMar>
          </w:tcPr>
          <w:p w14:paraId="1446E1C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Operating lease liabilities, non-current</w:t>
            </w:r>
          </w:p>
        </w:tc>
        <w:tc>
          <w:tcPr>
            <w:tcW w:w="0" w:type="auto"/>
            <w:gridSpan w:val="2"/>
            <w:shd w:val="clear" w:color="auto" w:fill="CCEEFF"/>
            <w:tcMar>
              <w:top w:w="40" w:type="dxa"/>
              <w:left w:w="40" w:type="dxa"/>
              <w:bottom w:w="40" w:type="dxa"/>
            </w:tcMar>
            <w:vAlign w:val="bottom"/>
          </w:tcPr>
          <w:p w14:paraId="1446E1C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9,509</w:t>
            </w:r>
          </w:p>
        </w:tc>
        <w:tc>
          <w:tcPr>
            <w:tcW w:w="0" w:type="auto"/>
            <w:shd w:val="clear" w:color="auto" w:fill="CCEEFF"/>
            <w:vAlign w:val="bottom"/>
          </w:tcPr>
          <w:p w14:paraId="1446E1C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C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1C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9,524</w:t>
            </w:r>
          </w:p>
        </w:tc>
        <w:tc>
          <w:tcPr>
            <w:tcW w:w="0" w:type="auto"/>
            <w:shd w:val="clear" w:color="auto" w:fill="CCEEFF"/>
            <w:vAlign w:val="bottom"/>
          </w:tcPr>
          <w:p w14:paraId="1446E1C5" w14:textId="77777777" w:rsidR="00FE42B5" w:rsidRDefault="00FE42B5">
            <w:pPr>
              <w:textAlignment w:val="bottom"/>
              <w:rPr>
                <w:rFonts w:ascii="Times New Roman" w:hAnsi="Times New Roman"/>
                <w:sz w:val="20"/>
                <w:szCs w:val="20"/>
              </w:rPr>
            </w:pPr>
          </w:p>
        </w:tc>
      </w:tr>
      <w:tr w:rsidR="00FE42B5" w14:paraId="1446E1CD" w14:textId="77777777">
        <w:trPr>
          <w:jc w:val="center"/>
        </w:trPr>
        <w:tc>
          <w:tcPr>
            <w:tcW w:w="0" w:type="auto"/>
            <w:shd w:val="clear" w:color="auto" w:fill="auto"/>
            <w:tcMar>
              <w:top w:w="40" w:type="dxa"/>
              <w:left w:w="40" w:type="dxa"/>
              <w:bottom w:w="40" w:type="dxa"/>
              <w:right w:w="40" w:type="dxa"/>
            </w:tcMar>
          </w:tcPr>
          <w:p w14:paraId="1446E1C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Other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1446E1C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8,489</w:t>
            </w:r>
          </w:p>
        </w:tc>
        <w:tc>
          <w:tcPr>
            <w:tcW w:w="0" w:type="auto"/>
            <w:tcBorders>
              <w:bottom w:val="single" w:sz="8" w:space="0" w:color="000000"/>
            </w:tcBorders>
            <w:shd w:val="clear" w:color="auto" w:fill="auto"/>
            <w:vAlign w:val="bottom"/>
          </w:tcPr>
          <w:p w14:paraId="1446E1C9"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1C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1C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7,745</w:t>
            </w:r>
          </w:p>
        </w:tc>
        <w:tc>
          <w:tcPr>
            <w:tcW w:w="0" w:type="auto"/>
            <w:tcBorders>
              <w:bottom w:val="single" w:sz="8" w:space="0" w:color="000000"/>
            </w:tcBorders>
            <w:shd w:val="clear" w:color="auto" w:fill="auto"/>
            <w:vAlign w:val="bottom"/>
          </w:tcPr>
          <w:p w14:paraId="1446E1CC" w14:textId="77777777" w:rsidR="00FE42B5" w:rsidRDefault="00FE42B5">
            <w:pPr>
              <w:textAlignment w:val="bottom"/>
              <w:rPr>
                <w:rFonts w:ascii="Times New Roman" w:hAnsi="Times New Roman"/>
                <w:sz w:val="20"/>
                <w:szCs w:val="20"/>
              </w:rPr>
            </w:pPr>
          </w:p>
        </w:tc>
      </w:tr>
      <w:tr w:rsidR="00FE42B5" w14:paraId="1446E1D4" w14:textId="77777777">
        <w:trPr>
          <w:jc w:val="center"/>
        </w:trPr>
        <w:tc>
          <w:tcPr>
            <w:tcW w:w="0" w:type="auto"/>
            <w:shd w:val="clear" w:color="auto" w:fill="CCEEFF"/>
            <w:tcMar>
              <w:top w:w="40" w:type="dxa"/>
              <w:left w:w="1040" w:type="dxa"/>
              <w:bottom w:w="40" w:type="dxa"/>
              <w:right w:w="40" w:type="dxa"/>
            </w:tcMar>
          </w:tcPr>
          <w:p w14:paraId="1446E1C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 liabilities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1C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33,067</w:t>
            </w:r>
          </w:p>
        </w:tc>
        <w:tc>
          <w:tcPr>
            <w:tcW w:w="0" w:type="auto"/>
            <w:tcBorders>
              <w:bottom w:val="single" w:sz="8" w:space="0" w:color="000000"/>
            </w:tcBorders>
            <w:shd w:val="clear" w:color="auto" w:fill="CCEEFF"/>
            <w:vAlign w:val="bottom"/>
          </w:tcPr>
          <w:p w14:paraId="1446E1D0"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D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1D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32,322</w:t>
            </w:r>
          </w:p>
        </w:tc>
        <w:tc>
          <w:tcPr>
            <w:tcW w:w="0" w:type="auto"/>
            <w:tcBorders>
              <w:bottom w:val="single" w:sz="8" w:space="0" w:color="000000"/>
            </w:tcBorders>
            <w:shd w:val="clear" w:color="auto" w:fill="CCEEFF"/>
            <w:vAlign w:val="bottom"/>
          </w:tcPr>
          <w:p w14:paraId="1446E1D3" w14:textId="77777777" w:rsidR="00FE42B5" w:rsidRDefault="00FE42B5">
            <w:pPr>
              <w:textAlignment w:val="bottom"/>
              <w:rPr>
                <w:rFonts w:ascii="Times New Roman" w:hAnsi="Times New Roman"/>
                <w:sz w:val="20"/>
                <w:szCs w:val="20"/>
              </w:rPr>
            </w:pPr>
          </w:p>
        </w:tc>
      </w:tr>
      <w:tr w:rsidR="00FE42B5" w14:paraId="1446E1D9" w14:textId="77777777">
        <w:trPr>
          <w:jc w:val="center"/>
        </w:trPr>
        <w:tc>
          <w:tcPr>
            <w:tcW w:w="0" w:type="auto"/>
            <w:shd w:val="clear" w:color="auto" w:fill="auto"/>
            <w:tcMar>
              <w:top w:w="40" w:type="dxa"/>
              <w:left w:w="40" w:type="dxa"/>
              <w:bottom w:w="40" w:type="dxa"/>
              <w:right w:w="40" w:type="dxa"/>
            </w:tcMar>
          </w:tcPr>
          <w:p w14:paraId="1446E1D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Commitments and contingencies</w:t>
            </w:r>
          </w:p>
        </w:tc>
        <w:tc>
          <w:tcPr>
            <w:tcW w:w="0" w:type="auto"/>
            <w:gridSpan w:val="3"/>
            <w:shd w:val="clear" w:color="auto" w:fill="auto"/>
            <w:tcMar>
              <w:top w:w="40" w:type="dxa"/>
              <w:left w:w="40" w:type="dxa"/>
              <w:bottom w:w="40" w:type="dxa"/>
              <w:right w:w="40" w:type="dxa"/>
            </w:tcMar>
            <w:vAlign w:val="bottom"/>
          </w:tcPr>
          <w:p w14:paraId="1446E1D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1D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1D8" w14:textId="77777777" w:rsidR="00FE42B5" w:rsidRDefault="00FE42B5">
            <w:pPr>
              <w:textAlignment w:val="bottom"/>
              <w:rPr>
                <w:rFonts w:ascii="Times New Roman" w:hAnsi="Times New Roman"/>
                <w:sz w:val="20"/>
                <w:szCs w:val="20"/>
              </w:rPr>
            </w:pPr>
          </w:p>
        </w:tc>
      </w:tr>
      <w:tr w:rsidR="00FE42B5" w14:paraId="1446E1DE" w14:textId="77777777">
        <w:trPr>
          <w:jc w:val="center"/>
        </w:trPr>
        <w:tc>
          <w:tcPr>
            <w:tcW w:w="0" w:type="auto"/>
            <w:shd w:val="clear" w:color="auto" w:fill="CCEEFF"/>
            <w:tcMar>
              <w:top w:w="40" w:type="dxa"/>
              <w:left w:w="40" w:type="dxa"/>
              <w:bottom w:w="40" w:type="dxa"/>
              <w:right w:w="40" w:type="dxa"/>
            </w:tcMar>
          </w:tcPr>
          <w:p w14:paraId="1446E1D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Stockholders' equity:</w:t>
            </w:r>
          </w:p>
        </w:tc>
        <w:tc>
          <w:tcPr>
            <w:tcW w:w="0" w:type="auto"/>
            <w:gridSpan w:val="3"/>
            <w:shd w:val="clear" w:color="auto" w:fill="CCEEFF"/>
            <w:tcMar>
              <w:top w:w="40" w:type="dxa"/>
              <w:left w:w="40" w:type="dxa"/>
              <w:bottom w:w="40" w:type="dxa"/>
              <w:right w:w="40" w:type="dxa"/>
            </w:tcMar>
            <w:vAlign w:val="bottom"/>
          </w:tcPr>
          <w:p w14:paraId="1446E1D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1D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1D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1E5" w14:textId="77777777">
        <w:trPr>
          <w:jc w:val="center"/>
        </w:trPr>
        <w:tc>
          <w:tcPr>
            <w:tcW w:w="0" w:type="auto"/>
            <w:shd w:val="clear" w:color="auto" w:fill="auto"/>
            <w:tcMar>
              <w:top w:w="40" w:type="dxa"/>
              <w:left w:w="560" w:type="dxa"/>
              <w:bottom w:w="40" w:type="dxa"/>
              <w:right w:w="40" w:type="dxa"/>
            </w:tcMar>
          </w:tcPr>
          <w:p w14:paraId="1446E1D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Common stock, </w:t>
            </w:r>
            <w:r>
              <w:rPr>
                <w:rFonts w:ascii="Times New Roman" w:eastAsia="宋体" w:hAnsi="Times New Roman"/>
                <w:sz w:val="20"/>
                <w:szCs w:val="20"/>
              </w:rPr>
              <w:t>$0.000006 par value; 5,000 million Class A shares authorized, 2,406 million and 2,407 million shares issued and outstanding, as of March 31, 2020 and December 31, 2019, respectively; 4,141 million Class B shares authorized, 445 million shares issued and ou</w:t>
            </w:r>
            <w:r>
              <w:rPr>
                <w:rFonts w:ascii="Times New Roman" w:eastAsia="宋体" w:hAnsi="Times New Roman"/>
                <w:sz w:val="20"/>
                <w:szCs w:val="20"/>
              </w:rPr>
              <w:t>tstanding, as of March 31, 2020 and December 31, 2019</w:t>
            </w:r>
          </w:p>
        </w:tc>
        <w:tc>
          <w:tcPr>
            <w:tcW w:w="0" w:type="auto"/>
            <w:gridSpan w:val="2"/>
            <w:shd w:val="clear" w:color="auto" w:fill="auto"/>
            <w:tcMar>
              <w:top w:w="40" w:type="dxa"/>
              <w:left w:w="40" w:type="dxa"/>
              <w:bottom w:w="40" w:type="dxa"/>
            </w:tcMar>
            <w:vAlign w:val="bottom"/>
          </w:tcPr>
          <w:p w14:paraId="1446E1E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1E1"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1E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1E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1E4" w14:textId="77777777" w:rsidR="00FE42B5" w:rsidRDefault="00FE42B5">
            <w:pPr>
              <w:textAlignment w:val="bottom"/>
              <w:rPr>
                <w:rFonts w:ascii="Times New Roman" w:hAnsi="Times New Roman"/>
                <w:sz w:val="20"/>
                <w:szCs w:val="20"/>
              </w:rPr>
            </w:pPr>
          </w:p>
        </w:tc>
      </w:tr>
      <w:tr w:rsidR="00FE42B5" w14:paraId="1446E1EC" w14:textId="77777777">
        <w:trPr>
          <w:jc w:val="center"/>
        </w:trPr>
        <w:tc>
          <w:tcPr>
            <w:tcW w:w="0" w:type="auto"/>
            <w:shd w:val="clear" w:color="auto" w:fill="CCEEFF"/>
            <w:tcMar>
              <w:top w:w="40" w:type="dxa"/>
              <w:left w:w="560" w:type="dxa"/>
              <w:bottom w:w="40" w:type="dxa"/>
              <w:right w:w="40" w:type="dxa"/>
            </w:tcMar>
          </w:tcPr>
          <w:p w14:paraId="1446E1E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Additional paid-in capital</w:t>
            </w:r>
          </w:p>
        </w:tc>
        <w:tc>
          <w:tcPr>
            <w:tcW w:w="0" w:type="auto"/>
            <w:gridSpan w:val="2"/>
            <w:shd w:val="clear" w:color="auto" w:fill="CCEEFF"/>
            <w:tcMar>
              <w:top w:w="40" w:type="dxa"/>
              <w:left w:w="40" w:type="dxa"/>
              <w:bottom w:w="40" w:type="dxa"/>
            </w:tcMar>
            <w:vAlign w:val="bottom"/>
          </w:tcPr>
          <w:p w14:paraId="1446E1E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46,688</w:t>
            </w:r>
          </w:p>
        </w:tc>
        <w:tc>
          <w:tcPr>
            <w:tcW w:w="0" w:type="auto"/>
            <w:shd w:val="clear" w:color="auto" w:fill="CCEEFF"/>
            <w:vAlign w:val="bottom"/>
          </w:tcPr>
          <w:p w14:paraId="1446E1E8"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E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1E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45,851</w:t>
            </w:r>
          </w:p>
        </w:tc>
        <w:tc>
          <w:tcPr>
            <w:tcW w:w="0" w:type="auto"/>
            <w:shd w:val="clear" w:color="auto" w:fill="CCEEFF"/>
            <w:vAlign w:val="bottom"/>
          </w:tcPr>
          <w:p w14:paraId="1446E1EB" w14:textId="77777777" w:rsidR="00FE42B5" w:rsidRDefault="00FE42B5">
            <w:pPr>
              <w:textAlignment w:val="bottom"/>
              <w:rPr>
                <w:rFonts w:ascii="Times New Roman" w:hAnsi="Times New Roman"/>
                <w:sz w:val="20"/>
                <w:szCs w:val="20"/>
              </w:rPr>
            </w:pPr>
          </w:p>
        </w:tc>
      </w:tr>
      <w:tr w:rsidR="00FE42B5" w14:paraId="1446E1F3" w14:textId="77777777">
        <w:trPr>
          <w:jc w:val="center"/>
        </w:trPr>
        <w:tc>
          <w:tcPr>
            <w:tcW w:w="0" w:type="auto"/>
            <w:shd w:val="clear" w:color="auto" w:fill="auto"/>
            <w:tcMar>
              <w:top w:w="40" w:type="dxa"/>
              <w:left w:w="560" w:type="dxa"/>
              <w:bottom w:w="40" w:type="dxa"/>
              <w:right w:w="40" w:type="dxa"/>
            </w:tcMar>
          </w:tcPr>
          <w:p w14:paraId="1446E1E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Accumulated other comprehensive loss</w:t>
            </w:r>
          </w:p>
        </w:tc>
        <w:tc>
          <w:tcPr>
            <w:tcW w:w="0" w:type="auto"/>
            <w:gridSpan w:val="2"/>
            <w:shd w:val="clear" w:color="auto" w:fill="auto"/>
            <w:tcMar>
              <w:top w:w="40" w:type="dxa"/>
              <w:left w:w="40" w:type="dxa"/>
              <w:bottom w:w="40" w:type="dxa"/>
            </w:tcMar>
            <w:vAlign w:val="bottom"/>
          </w:tcPr>
          <w:p w14:paraId="1446E1E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(544</w:t>
            </w:r>
          </w:p>
        </w:tc>
        <w:tc>
          <w:tcPr>
            <w:tcW w:w="0" w:type="auto"/>
            <w:shd w:val="clear" w:color="auto" w:fill="auto"/>
            <w:tcMar>
              <w:top w:w="40" w:type="dxa"/>
              <w:bottom w:w="40" w:type="dxa"/>
              <w:right w:w="40" w:type="dxa"/>
            </w:tcMar>
            <w:vAlign w:val="bottom"/>
          </w:tcPr>
          <w:p w14:paraId="1446E1E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1F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1F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(489</w:t>
            </w:r>
          </w:p>
        </w:tc>
        <w:tc>
          <w:tcPr>
            <w:tcW w:w="0" w:type="auto"/>
            <w:shd w:val="clear" w:color="auto" w:fill="auto"/>
            <w:tcMar>
              <w:top w:w="40" w:type="dxa"/>
              <w:bottom w:w="40" w:type="dxa"/>
              <w:right w:w="40" w:type="dxa"/>
            </w:tcMar>
            <w:vAlign w:val="bottom"/>
          </w:tcPr>
          <w:p w14:paraId="1446E1F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1FA" w14:textId="77777777">
        <w:trPr>
          <w:jc w:val="center"/>
        </w:trPr>
        <w:tc>
          <w:tcPr>
            <w:tcW w:w="0" w:type="auto"/>
            <w:shd w:val="clear" w:color="auto" w:fill="CCEEFF"/>
            <w:tcMar>
              <w:top w:w="40" w:type="dxa"/>
              <w:left w:w="560" w:type="dxa"/>
              <w:bottom w:w="40" w:type="dxa"/>
              <w:right w:w="40" w:type="dxa"/>
            </w:tcMar>
          </w:tcPr>
          <w:p w14:paraId="1446E1F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Retained earnings</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1F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59,160</w:t>
            </w:r>
          </w:p>
        </w:tc>
        <w:tc>
          <w:tcPr>
            <w:tcW w:w="0" w:type="auto"/>
            <w:tcBorders>
              <w:bottom w:val="single" w:sz="8" w:space="0" w:color="000000"/>
            </w:tcBorders>
            <w:shd w:val="clear" w:color="auto" w:fill="CCEEFF"/>
            <w:vAlign w:val="bottom"/>
          </w:tcPr>
          <w:p w14:paraId="1446E1F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1F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1F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55,692</w:t>
            </w:r>
          </w:p>
        </w:tc>
        <w:tc>
          <w:tcPr>
            <w:tcW w:w="0" w:type="auto"/>
            <w:tcBorders>
              <w:bottom w:val="single" w:sz="8" w:space="0" w:color="000000"/>
            </w:tcBorders>
            <w:shd w:val="clear" w:color="auto" w:fill="CCEEFF"/>
            <w:vAlign w:val="bottom"/>
          </w:tcPr>
          <w:p w14:paraId="1446E1F9" w14:textId="77777777" w:rsidR="00FE42B5" w:rsidRDefault="00FE42B5">
            <w:pPr>
              <w:textAlignment w:val="bottom"/>
              <w:rPr>
                <w:rFonts w:ascii="Times New Roman" w:hAnsi="Times New Roman"/>
                <w:sz w:val="20"/>
                <w:szCs w:val="20"/>
              </w:rPr>
            </w:pPr>
          </w:p>
        </w:tc>
      </w:tr>
      <w:tr w:rsidR="00FE42B5" w14:paraId="1446E201" w14:textId="77777777">
        <w:trPr>
          <w:jc w:val="center"/>
        </w:trPr>
        <w:tc>
          <w:tcPr>
            <w:tcW w:w="0" w:type="auto"/>
            <w:shd w:val="clear" w:color="auto" w:fill="auto"/>
            <w:tcMar>
              <w:top w:w="40" w:type="dxa"/>
              <w:left w:w="1040" w:type="dxa"/>
              <w:bottom w:w="40" w:type="dxa"/>
              <w:right w:w="40" w:type="dxa"/>
            </w:tcMar>
          </w:tcPr>
          <w:p w14:paraId="1446E1F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 stockholders' equity</w:t>
            </w:r>
          </w:p>
        </w:tc>
        <w:tc>
          <w:tcPr>
            <w:tcW w:w="0" w:type="auto"/>
            <w:gridSpan w:val="2"/>
            <w:tcBorders>
              <w:bottom w:val="single" w:sz="8" w:space="0" w:color="000000"/>
            </w:tcBorders>
            <w:shd w:val="clear" w:color="auto" w:fill="auto"/>
            <w:tcMar>
              <w:top w:w="40" w:type="dxa"/>
              <w:left w:w="40" w:type="dxa"/>
              <w:bottom w:w="40" w:type="dxa"/>
            </w:tcMar>
            <w:vAlign w:val="bottom"/>
          </w:tcPr>
          <w:p w14:paraId="1446E1F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105,304</w:t>
            </w:r>
          </w:p>
        </w:tc>
        <w:tc>
          <w:tcPr>
            <w:tcW w:w="0" w:type="auto"/>
            <w:tcBorders>
              <w:bottom w:val="single" w:sz="8" w:space="0" w:color="000000"/>
            </w:tcBorders>
            <w:shd w:val="clear" w:color="auto" w:fill="auto"/>
            <w:vAlign w:val="bottom"/>
          </w:tcPr>
          <w:p w14:paraId="1446E1F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1F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1F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101,054</w:t>
            </w:r>
          </w:p>
        </w:tc>
        <w:tc>
          <w:tcPr>
            <w:tcW w:w="0" w:type="auto"/>
            <w:tcBorders>
              <w:bottom w:val="single" w:sz="8" w:space="0" w:color="000000"/>
            </w:tcBorders>
            <w:shd w:val="clear" w:color="auto" w:fill="auto"/>
            <w:vAlign w:val="bottom"/>
          </w:tcPr>
          <w:p w14:paraId="1446E200" w14:textId="77777777" w:rsidR="00FE42B5" w:rsidRDefault="00FE42B5">
            <w:pPr>
              <w:textAlignment w:val="bottom"/>
              <w:rPr>
                <w:rFonts w:ascii="Times New Roman" w:hAnsi="Times New Roman"/>
                <w:sz w:val="20"/>
                <w:szCs w:val="20"/>
              </w:rPr>
            </w:pPr>
          </w:p>
        </w:tc>
      </w:tr>
      <w:tr w:rsidR="00FE42B5" w14:paraId="1446E20A" w14:textId="77777777">
        <w:trPr>
          <w:jc w:val="center"/>
        </w:trPr>
        <w:tc>
          <w:tcPr>
            <w:tcW w:w="0" w:type="auto"/>
            <w:shd w:val="clear" w:color="auto" w:fill="CCEEFF"/>
            <w:tcMar>
              <w:top w:w="40" w:type="dxa"/>
              <w:left w:w="40" w:type="dxa"/>
              <w:bottom w:w="40" w:type="dxa"/>
              <w:right w:w="40" w:type="dxa"/>
            </w:tcMar>
          </w:tcPr>
          <w:p w14:paraId="1446E202"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Total liabilities and stockholders' equity</w:t>
            </w:r>
          </w:p>
        </w:tc>
        <w:tc>
          <w:tcPr>
            <w:tcW w:w="0" w:type="auto"/>
            <w:tcBorders>
              <w:bottom w:val="double" w:sz="6" w:space="0" w:color="000000"/>
            </w:tcBorders>
            <w:shd w:val="clear" w:color="auto" w:fill="CCEEFF"/>
            <w:tcMar>
              <w:top w:w="40" w:type="dxa"/>
              <w:left w:w="40" w:type="dxa"/>
              <w:bottom w:w="40" w:type="dxa"/>
            </w:tcMar>
            <w:vAlign w:val="bottom"/>
          </w:tcPr>
          <w:p w14:paraId="1446E20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20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138,371</w:t>
            </w:r>
          </w:p>
        </w:tc>
        <w:tc>
          <w:tcPr>
            <w:tcW w:w="0" w:type="auto"/>
            <w:tcBorders>
              <w:bottom w:val="double" w:sz="6" w:space="0" w:color="000000"/>
            </w:tcBorders>
            <w:shd w:val="clear" w:color="auto" w:fill="CCEEFF"/>
            <w:vAlign w:val="bottom"/>
          </w:tcPr>
          <w:p w14:paraId="1446E20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20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446E20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20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133,376</w:t>
            </w:r>
          </w:p>
        </w:tc>
        <w:tc>
          <w:tcPr>
            <w:tcW w:w="0" w:type="auto"/>
            <w:tcBorders>
              <w:bottom w:val="double" w:sz="6" w:space="0" w:color="000000"/>
            </w:tcBorders>
            <w:shd w:val="clear" w:color="auto" w:fill="CCEEFF"/>
            <w:vAlign w:val="bottom"/>
          </w:tcPr>
          <w:p w14:paraId="1446E209" w14:textId="77777777" w:rsidR="00FE42B5" w:rsidRDefault="00FE42B5">
            <w:pPr>
              <w:textAlignment w:val="bottom"/>
              <w:rPr>
                <w:rFonts w:ascii="Times New Roman" w:hAnsi="Times New Roman"/>
                <w:sz w:val="20"/>
                <w:szCs w:val="20"/>
              </w:rPr>
            </w:pPr>
          </w:p>
        </w:tc>
      </w:tr>
    </w:tbl>
    <w:p w14:paraId="1446E20B" w14:textId="77777777" w:rsidR="00FE42B5" w:rsidRDefault="00FE42B5">
      <w:pPr>
        <w:spacing w:line="288" w:lineRule="auto"/>
        <w:jc w:val="center"/>
        <w:rPr>
          <w:rFonts w:ascii="Times New Roman" w:hAnsi="Times New Roman"/>
          <w:sz w:val="18"/>
          <w:szCs w:val="18"/>
        </w:rPr>
      </w:pPr>
    </w:p>
    <w:p w14:paraId="1446E20C"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See Accompanying Notes to Condensed Consolidated Financial Statements.</w:t>
      </w:r>
    </w:p>
    <w:p w14:paraId="1446E20D" w14:textId="77777777" w:rsidR="00FE42B5" w:rsidRDefault="00FE42B5">
      <w:pPr>
        <w:rPr>
          <w:rFonts w:ascii="Times New Roman" w:hAnsi="Times New Roman"/>
          <w:sz w:val="20"/>
          <w:szCs w:val="20"/>
        </w:rPr>
      </w:pPr>
    </w:p>
    <w:p w14:paraId="1446E20E"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7</w:t>
      </w:r>
    </w:p>
    <w:p w14:paraId="1446E20F" w14:textId="77777777" w:rsidR="00FE42B5" w:rsidRDefault="009213DC">
      <w:r>
        <w:rPr>
          <w:rFonts w:ascii="Times New Roman" w:hAnsi="Times New Roman"/>
          <w:sz w:val="20"/>
          <w:szCs w:val="20"/>
        </w:rPr>
        <w:pict w14:anchorId="1446FABF">
          <v:rect id="_x0000_i1031" style="width:415.3pt;height:1.5pt" o:hralign="center" o:hrstd="t" o:hr="t" fillcolor="#a0a0a0" stroked="f"/>
        </w:pict>
      </w:r>
    </w:p>
    <w:p w14:paraId="1446E210" w14:textId="77777777" w:rsidR="00FE42B5" w:rsidRDefault="009213DC">
      <w:pPr>
        <w:spacing w:line="288" w:lineRule="auto"/>
        <w:rPr>
          <w:rFonts w:ascii="Times New Roman" w:hAnsi="Times New Roman"/>
          <w:sz w:val="20"/>
          <w:szCs w:val="20"/>
        </w:rPr>
      </w:pPr>
      <w:hyperlink r:id="rId49" w:anchor="sBB4BED1571A45A16AF3DC2E3B69C901C" w:history="1">
        <w:r>
          <w:rPr>
            <w:rStyle w:val="a5"/>
            <w:rFonts w:ascii="Times New Roman" w:eastAsia="宋体" w:hAnsi="Times New Roman"/>
            <w:sz w:val="20"/>
            <w:szCs w:val="20"/>
          </w:rPr>
          <w:t>Table of Contents</w:t>
        </w:r>
      </w:hyperlink>
    </w:p>
    <w:p w14:paraId="1446E211" w14:textId="77777777" w:rsidR="00FE42B5" w:rsidRDefault="00FE42B5">
      <w:pPr>
        <w:rPr>
          <w:rFonts w:ascii="Times New Roman" w:hAnsi="Times New Roman"/>
          <w:sz w:val="20"/>
          <w:szCs w:val="20"/>
        </w:rPr>
      </w:pPr>
    </w:p>
    <w:p w14:paraId="1446E212"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1446E213"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INCOME</w:t>
      </w:r>
    </w:p>
    <w:p w14:paraId="1446E214"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 xml:space="preserve">(In millions, except per </w:t>
      </w:r>
      <w:r>
        <w:rPr>
          <w:rFonts w:ascii="Times New Roman" w:eastAsia="宋体" w:hAnsi="Times New Roman"/>
          <w:i/>
          <w:iCs/>
          <w:sz w:val="18"/>
          <w:szCs w:val="18"/>
        </w:rPr>
        <w:t>share amounts)</w:t>
      </w:r>
    </w:p>
    <w:p w14:paraId="1446E215"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(Unaudited)</w:t>
      </w:r>
    </w:p>
    <w:p w14:paraId="1446E216" w14:textId="77777777" w:rsidR="00FE42B5" w:rsidRDefault="009213DC">
      <w:pPr>
        <w:spacing w:line="288" w:lineRule="auto"/>
        <w:rPr>
          <w:rFonts w:ascii="Times New Roman" w:hAnsi="Times New Roman"/>
          <w:sz w:val="20"/>
          <w:szCs w:val="20"/>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6016"/>
        <w:gridCol w:w="140"/>
        <w:gridCol w:w="868"/>
        <w:gridCol w:w="107"/>
        <w:gridCol w:w="130"/>
        <w:gridCol w:w="140"/>
        <w:gridCol w:w="868"/>
        <w:gridCol w:w="37"/>
      </w:tblGrid>
      <w:tr w:rsidR="00FE42B5" w14:paraId="1446E218" w14:textId="77777777">
        <w:tc>
          <w:tcPr>
            <w:tcW w:w="0" w:type="auto"/>
            <w:gridSpan w:val="8"/>
            <w:shd w:val="clear" w:color="auto" w:fill="auto"/>
            <w:vAlign w:val="center"/>
          </w:tcPr>
          <w:p w14:paraId="1446E217" w14:textId="77777777" w:rsidR="00FE42B5" w:rsidRDefault="00FE42B5">
            <w:pPr>
              <w:rPr>
                <w:rFonts w:ascii="Times New Roman" w:hAnsi="Times New Roman"/>
                <w:sz w:val="20"/>
                <w:szCs w:val="20"/>
              </w:rPr>
            </w:pPr>
          </w:p>
        </w:tc>
      </w:tr>
      <w:tr w:rsidR="00FE42B5" w14:paraId="1446E221" w14:textId="77777777">
        <w:tc>
          <w:tcPr>
            <w:tcW w:w="3650" w:type="pct"/>
            <w:shd w:val="clear" w:color="auto" w:fill="auto"/>
            <w:vAlign w:val="center"/>
          </w:tcPr>
          <w:p w14:paraId="1446E219" w14:textId="77777777" w:rsidR="00FE42B5" w:rsidRDefault="00FE42B5">
            <w:pPr>
              <w:rPr>
                <w:rFonts w:ascii="Times New Roman" w:hAnsi="Times New Roman"/>
                <w:sz w:val="20"/>
                <w:szCs w:val="20"/>
              </w:rPr>
            </w:pPr>
          </w:p>
        </w:tc>
        <w:tc>
          <w:tcPr>
            <w:tcW w:w="50" w:type="pct"/>
            <w:shd w:val="clear" w:color="auto" w:fill="auto"/>
            <w:vAlign w:val="center"/>
          </w:tcPr>
          <w:p w14:paraId="1446E21A" w14:textId="77777777" w:rsidR="00FE42B5" w:rsidRDefault="00FE42B5">
            <w:pPr>
              <w:rPr>
                <w:rFonts w:ascii="Times New Roman" w:hAnsi="Times New Roman"/>
                <w:sz w:val="20"/>
                <w:szCs w:val="20"/>
              </w:rPr>
            </w:pPr>
          </w:p>
        </w:tc>
        <w:tc>
          <w:tcPr>
            <w:tcW w:w="550" w:type="pct"/>
            <w:shd w:val="clear" w:color="auto" w:fill="auto"/>
            <w:vAlign w:val="center"/>
          </w:tcPr>
          <w:p w14:paraId="1446E21B" w14:textId="77777777" w:rsidR="00FE42B5" w:rsidRDefault="00FE42B5">
            <w:pPr>
              <w:rPr>
                <w:rFonts w:ascii="Times New Roman" w:hAnsi="Times New Roman"/>
                <w:sz w:val="20"/>
                <w:szCs w:val="20"/>
              </w:rPr>
            </w:pPr>
          </w:p>
        </w:tc>
        <w:tc>
          <w:tcPr>
            <w:tcW w:w="50" w:type="pct"/>
            <w:shd w:val="clear" w:color="auto" w:fill="auto"/>
            <w:vAlign w:val="center"/>
          </w:tcPr>
          <w:p w14:paraId="1446E21C" w14:textId="77777777" w:rsidR="00FE42B5" w:rsidRDefault="00FE42B5">
            <w:pPr>
              <w:rPr>
                <w:rFonts w:ascii="Times New Roman" w:hAnsi="Times New Roman"/>
                <w:sz w:val="20"/>
                <w:szCs w:val="20"/>
              </w:rPr>
            </w:pPr>
          </w:p>
        </w:tc>
        <w:tc>
          <w:tcPr>
            <w:tcW w:w="50" w:type="pct"/>
            <w:shd w:val="clear" w:color="auto" w:fill="auto"/>
            <w:vAlign w:val="center"/>
          </w:tcPr>
          <w:p w14:paraId="1446E21D" w14:textId="77777777" w:rsidR="00FE42B5" w:rsidRDefault="00FE42B5">
            <w:pPr>
              <w:rPr>
                <w:rFonts w:ascii="Times New Roman" w:hAnsi="Times New Roman"/>
                <w:sz w:val="20"/>
                <w:szCs w:val="20"/>
              </w:rPr>
            </w:pPr>
          </w:p>
        </w:tc>
        <w:tc>
          <w:tcPr>
            <w:tcW w:w="50" w:type="pct"/>
            <w:shd w:val="clear" w:color="auto" w:fill="auto"/>
            <w:vAlign w:val="center"/>
          </w:tcPr>
          <w:p w14:paraId="1446E21E" w14:textId="77777777" w:rsidR="00FE42B5" w:rsidRDefault="00FE42B5">
            <w:pPr>
              <w:rPr>
                <w:rFonts w:ascii="Times New Roman" w:hAnsi="Times New Roman"/>
                <w:sz w:val="20"/>
                <w:szCs w:val="20"/>
              </w:rPr>
            </w:pPr>
          </w:p>
        </w:tc>
        <w:tc>
          <w:tcPr>
            <w:tcW w:w="550" w:type="pct"/>
            <w:shd w:val="clear" w:color="auto" w:fill="auto"/>
            <w:vAlign w:val="center"/>
          </w:tcPr>
          <w:p w14:paraId="1446E21F" w14:textId="77777777" w:rsidR="00FE42B5" w:rsidRDefault="00FE42B5">
            <w:pPr>
              <w:rPr>
                <w:rFonts w:ascii="Times New Roman" w:hAnsi="Times New Roman"/>
                <w:sz w:val="20"/>
                <w:szCs w:val="20"/>
              </w:rPr>
            </w:pPr>
          </w:p>
        </w:tc>
        <w:tc>
          <w:tcPr>
            <w:tcW w:w="50" w:type="pct"/>
            <w:shd w:val="clear" w:color="auto" w:fill="auto"/>
            <w:vAlign w:val="center"/>
          </w:tcPr>
          <w:p w14:paraId="1446E220" w14:textId="77777777" w:rsidR="00FE42B5" w:rsidRDefault="00FE42B5">
            <w:pPr>
              <w:rPr>
                <w:rFonts w:ascii="Times New Roman" w:hAnsi="Times New Roman"/>
                <w:sz w:val="20"/>
                <w:szCs w:val="20"/>
              </w:rPr>
            </w:pPr>
          </w:p>
        </w:tc>
      </w:tr>
      <w:tr w:rsidR="00FE42B5" w14:paraId="1446E224" w14:textId="77777777">
        <w:tc>
          <w:tcPr>
            <w:tcW w:w="0" w:type="auto"/>
            <w:shd w:val="clear" w:color="auto" w:fill="auto"/>
            <w:tcMar>
              <w:top w:w="40" w:type="dxa"/>
              <w:left w:w="40" w:type="dxa"/>
              <w:bottom w:w="40" w:type="dxa"/>
              <w:right w:w="40" w:type="dxa"/>
            </w:tcMar>
            <w:vAlign w:val="bottom"/>
          </w:tcPr>
          <w:p w14:paraId="1446E222"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E223"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r>
      <w:tr w:rsidR="00FE42B5" w14:paraId="1446E229" w14:textId="77777777">
        <w:tc>
          <w:tcPr>
            <w:tcW w:w="0" w:type="auto"/>
            <w:shd w:val="clear" w:color="auto" w:fill="auto"/>
            <w:tcMar>
              <w:top w:w="40" w:type="dxa"/>
              <w:left w:w="40" w:type="dxa"/>
              <w:bottom w:w="40" w:type="dxa"/>
              <w:right w:w="40" w:type="dxa"/>
            </w:tcMar>
            <w:vAlign w:val="bottom"/>
          </w:tcPr>
          <w:p w14:paraId="1446E225"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226"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1446E22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228"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E42B5" w14:paraId="1446E232" w14:textId="77777777">
        <w:tc>
          <w:tcPr>
            <w:tcW w:w="0" w:type="auto"/>
            <w:shd w:val="clear" w:color="auto" w:fill="CCEEFF"/>
            <w:tcMar>
              <w:top w:w="40" w:type="dxa"/>
              <w:left w:w="40" w:type="dxa"/>
              <w:bottom w:w="40" w:type="dxa"/>
              <w:right w:w="40" w:type="dxa"/>
            </w:tcMar>
          </w:tcPr>
          <w:p w14:paraId="1446E22A"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Revenue</w:t>
            </w:r>
          </w:p>
        </w:tc>
        <w:tc>
          <w:tcPr>
            <w:tcW w:w="0" w:type="auto"/>
            <w:shd w:val="clear" w:color="auto" w:fill="CCEEFF"/>
            <w:tcMar>
              <w:top w:w="40" w:type="dxa"/>
              <w:left w:w="40" w:type="dxa"/>
              <w:bottom w:w="40" w:type="dxa"/>
            </w:tcMar>
            <w:vAlign w:val="bottom"/>
          </w:tcPr>
          <w:p w14:paraId="1446E22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22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17,737</w:t>
            </w:r>
          </w:p>
        </w:tc>
        <w:tc>
          <w:tcPr>
            <w:tcW w:w="0" w:type="auto"/>
            <w:shd w:val="clear" w:color="auto" w:fill="CCEEFF"/>
            <w:vAlign w:val="bottom"/>
          </w:tcPr>
          <w:p w14:paraId="1446E22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22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22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23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15,077</w:t>
            </w:r>
          </w:p>
        </w:tc>
        <w:tc>
          <w:tcPr>
            <w:tcW w:w="0" w:type="auto"/>
            <w:shd w:val="clear" w:color="auto" w:fill="CCEEFF"/>
            <w:vAlign w:val="bottom"/>
          </w:tcPr>
          <w:p w14:paraId="1446E231" w14:textId="77777777" w:rsidR="00FE42B5" w:rsidRDefault="00FE42B5">
            <w:pPr>
              <w:textAlignment w:val="bottom"/>
              <w:rPr>
                <w:rFonts w:ascii="Times New Roman" w:hAnsi="Times New Roman"/>
                <w:sz w:val="20"/>
                <w:szCs w:val="20"/>
              </w:rPr>
            </w:pPr>
          </w:p>
        </w:tc>
      </w:tr>
      <w:tr w:rsidR="00FE42B5" w14:paraId="1446E237" w14:textId="77777777">
        <w:tc>
          <w:tcPr>
            <w:tcW w:w="0" w:type="auto"/>
            <w:shd w:val="clear" w:color="auto" w:fill="auto"/>
            <w:tcMar>
              <w:top w:w="40" w:type="dxa"/>
              <w:left w:w="40" w:type="dxa"/>
              <w:bottom w:w="40" w:type="dxa"/>
              <w:right w:w="40" w:type="dxa"/>
            </w:tcMar>
          </w:tcPr>
          <w:p w14:paraId="1446E233"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Costs and expenses:</w:t>
            </w:r>
          </w:p>
        </w:tc>
        <w:tc>
          <w:tcPr>
            <w:tcW w:w="0" w:type="auto"/>
            <w:gridSpan w:val="3"/>
            <w:shd w:val="clear" w:color="auto" w:fill="auto"/>
            <w:tcMar>
              <w:top w:w="40" w:type="dxa"/>
              <w:left w:w="40" w:type="dxa"/>
              <w:bottom w:w="40" w:type="dxa"/>
              <w:right w:w="40" w:type="dxa"/>
            </w:tcMar>
            <w:vAlign w:val="bottom"/>
          </w:tcPr>
          <w:p w14:paraId="1446E23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23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23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23E" w14:textId="77777777">
        <w:tc>
          <w:tcPr>
            <w:tcW w:w="0" w:type="auto"/>
            <w:shd w:val="clear" w:color="auto" w:fill="CCEEFF"/>
            <w:tcMar>
              <w:top w:w="40" w:type="dxa"/>
              <w:left w:w="560" w:type="dxa"/>
              <w:bottom w:w="40" w:type="dxa"/>
              <w:right w:w="40" w:type="dxa"/>
            </w:tcMar>
          </w:tcPr>
          <w:p w14:paraId="1446E23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gridSpan w:val="2"/>
            <w:shd w:val="clear" w:color="auto" w:fill="CCEEFF"/>
            <w:tcMar>
              <w:top w:w="40" w:type="dxa"/>
              <w:left w:w="40" w:type="dxa"/>
              <w:bottom w:w="40" w:type="dxa"/>
            </w:tcMar>
            <w:vAlign w:val="bottom"/>
          </w:tcPr>
          <w:p w14:paraId="1446E23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3,459</w:t>
            </w:r>
          </w:p>
        </w:tc>
        <w:tc>
          <w:tcPr>
            <w:tcW w:w="0" w:type="auto"/>
            <w:shd w:val="clear" w:color="auto" w:fill="CCEEFF"/>
            <w:vAlign w:val="bottom"/>
          </w:tcPr>
          <w:p w14:paraId="1446E23A"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23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23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2,816</w:t>
            </w:r>
          </w:p>
        </w:tc>
        <w:tc>
          <w:tcPr>
            <w:tcW w:w="0" w:type="auto"/>
            <w:shd w:val="clear" w:color="auto" w:fill="CCEEFF"/>
            <w:vAlign w:val="bottom"/>
          </w:tcPr>
          <w:p w14:paraId="1446E23D" w14:textId="77777777" w:rsidR="00FE42B5" w:rsidRDefault="00FE42B5">
            <w:pPr>
              <w:textAlignment w:val="bottom"/>
              <w:rPr>
                <w:rFonts w:ascii="Times New Roman" w:hAnsi="Times New Roman"/>
                <w:sz w:val="20"/>
                <w:szCs w:val="20"/>
              </w:rPr>
            </w:pPr>
          </w:p>
        </w:tc>
      </w:tr>
      <w:tr w:rsidR="00FE42B5" w14:paraId="1446E245" w14:textId="77777777">
        <w:tc>
          <w:tcPr>
            <w:tcW w:w="0" w:type="auto"/>
            <w:shd w:val="clear" w:color="auto" w:fill="auto"/>
            <w:tcMar>
              <w:top w:w="40" w:type="dxa"/>
              <w:left w:w="560" w:type="dxa"/>
              <w:bottom w:w="40" w:type="dxa"/>
              <w:right w:w="40" w:type="dxa"/>
            </w:tcMar>
          </w:tcPr>
          <w:p w14:paraId="1446E23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1446E24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4,015</w:t>
            </w:r>
          </w:p>
        </w:tc>
        <w:tc>
          <w:tcPr>
            <w:tcW w:w="0" w:type="auto"/>
            <w:shd w:val="clear" w:color="auto" w:fill="auto"/>
            <w:vAlign w:val="bottom"/>
          </w:tcPr>
          <w:p w14:paraId="1446E241"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24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24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2,860</w:t>
            </w:r>
          </w:p>
        </w:tc>
        <w:tc>
          <w:tcPr>
            <w:tcW w:w="0" w:type="auto"/>
            <w:shd w:val="clear" w:color="auto" w:fill="auto"/>
            <w:vAlign w:val="bottom"/>
          </w:tcPr>
          <w:p w14:paraId="1446E244" w14:textId="77777777" w:rsidR="00FE42B5" w:rsidRDefault="00FE42B5">
            <w:pPr>
              <w:textAlignment w:val="bottom"/>
              <w:rPr>
                <w:rFonts w:ascii="Times New Roman" w:hAnsi="Times New Roman"/>
                <w:sz w:val="20"/>
                <w:szCs w:val="20"/>
              </w:rPr>
            </w:pPr>
          </w:p>
        </w:tc>
      </w:tr>
      <w:tr w:rsidR="00FE42B5" w14:paraId="1446E24C" w14:textId="77777777">
        <w:tc>
          <w:tcPr>
            <w:tcW w:w="0" w:type="auto"/>
            <w:shd w:val="clear" w:color="auto" w:fill="CCEEFF"/>
            <w:tcMar>
              <w:top w:w="40" w:type="dxa"/>
              <w:left w:w="560" w:type="dxa"/>
              <w:bottom w:w="40" w:type="dxa"/>
              <w:right w:w="40" w:type="dxa"/>
            </w:tcMar>
          </w:tcPr>
          <w:p w14:paraId="1446E24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1446E24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2,787</w:t>
            </w:r>
          </w:p>
        </w:tc>
        <w:tc>
          <w:tcPr>
            <w:tcW w:w="0" w:type="auto"/>
            <w:shd w:val="clear" w:color="auto" w:fill="CCEEFF"/>
            <w:vAlign w:val="bottom"/>
          </w:tcPr>
          <w:p w14:paraId="1446E248"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24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24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2,020</w:t>
            </w:r>
          </w:p>
        </w:tc>
        <w:tc>
          <w:tcPr>
            <w:tcW w:w="0" w:type="auto"/>
            <w:shd w:val="clear" w:color="auto" w:fill="CCEEFF"/>
            <w:vAlign w:val="bottom"/>
          </w:tcPr>
          <w:p w14:paraId="1446E24B" w14:textId="77777777" w:rsidR="00FE42B5" w:rsidRDefault="00FE42B5">
            <w:pPr>
              <w:textAlignment w:val="bottom"/>
              <w:rPr>
                <w:rFonts w:ascii="Times New Roman" w:hAnsi="Times New Roman"/>
                <w:sz w:val="20"/>
                <w:szCs w:val="20"/>
              </w:rPr>
            </w:pPr>
          </w:p>
        </w:tc>
      </w:tr>
      <w:tr w:rsidR="00FE42B5" w14:paraId="1446E253" w14:textId="77777777">
        <w:tc>
          <w:tcPr>
            <w:tcW w:w="0" w:type="auto"/>
            <w:shd w:val="clear" w:color="auto" w:fill="auto"/>
            <w:tcMar>
              <w:top w:w="40" w:type="dxa"/>
              <w:left w:w="560" w:type="dxa"/>
              <w:bottom w:w="40" w:type="dxa"/>
              <w:right w:w="40" w:type="dxa"/>
            </w:tcMar>
          </w:tcPr>
          <w:p w14:paraId="1446E24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1446E24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1,583</w:t>
            </w:r>
          </w:p>
        </w:tc>
        <w:tc>
          <w:tcPr>
            <w:tcW w:w="0" w:type="auto"/>
            <w:tcBorders>
              <w:bottom w:val="single" w:sz="8" w:space="0" w:color="000000"/>
            </w:tcBorders>
            <w:shd w:val="clear" w:color="auto" w:fill="auto"/>
            <w:vAlign w:val="bottom"/>
          </w:tcPr>
          <w:p w14:paraId="1446E24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25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25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4,064</w:t>
            </w:r>
          </w:p>
        </w:tc>
        <w:tc>
          <w:tcPr>
            <w:tcW w:w="0" w:type="auto"/>
            <w:tcBorders>
              <w:bottom w:val="single" w:sz="8" w:space="0" w:color="000000"/>
            </w:tcBorders>
            <w:shd w:val="clear" w:color="auto" w:fill="auto"/>
            <w:vAlign w:val="bottom"/>
          </w:tcPr>
          <w:p w14:paraId="1446E252" w14:textId="77777777" w:rsidR="00FE42B5" w:rsidRDefault="00FE42B5">
            <w:pPr>
              <w:textAlignment w:val="bottom"/>
              <w:rPr>
                <w:rFonts w:ascii="Times New Roman" w:hAnsi="Times New Roman"/>
                <w:sz w:val="20"/>
                <w:szCs w:val="20"/>
              </w:rPr>
            </w:pPr>
          </w:p>
        </w:tc>
      </w:tr>
      <w:tr w:rsidR="00FE42B5" w14:paraId="1446E25A" w14:textId="77777777">
        <w:tc>
          <w:tcPr>
            <w:tcW w:w="0" w:type="auto"/>
            <w:shd w:val="clear" w:color="auto" w:fill="CCEEFF"/>
            <w:tcMar>
              <w:top w:w="40" w:type="dxa"/>
              <w:left w:w="880" w:type="dxa"/>
              <w:bottom w:w="40" w:type="dxa"/>
              <w:right w:w="40" w:type="dxa"/>
            </w:tcMar>
          </w:tcPr>
          <w:p w14:paraId="1446E254"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Total costs and expenses</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25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11,844</w:t>
            </w:r>
          </w:p>
        </w:tc>
        <w:tc>
          <w:tcPr>
            <w:tcW w:w="0" w:type="auto"/>
            <w:tcBorders>
              <w:bottom w:val="single" w:sz="8" w:space="0" w:color="000000"/>
            </w:tcBorders>
            <w:shd w:val="clear" w:color="auto" w:fill="CCEEFF"/>
            <w:vAlign w:val="bottom"/>
          </w:tcPr>
          <w:p w14:paraId="1446E25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25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25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11,760</w:t>
            </w:r>
          </w:p>
        </w:tc>
        <w:tc>
          <w:tcPr>
            <w:tcW w:w="0" w:type="auto"/>
            <w:tcBorders>
              <w:bottom w:val="single" w:sz="8" w:space="0" w:color="000000"/>
            </w:tcBorders>
            <w:shd w:val="clear" w:color="auto" w:fill="CCEEFF"/>
            <w:vAlign w:val="bottom"/>
          </w:tcPr>
          <w:p w14:paraId="1446E259" w14:textId="77777777" w:rsidR="00FE42B5" w:rsidRDefault="00FE42B5">
            <w:pPr>
              <w:textAlignment w:val="bottom"/>
              <w:rPr>
                <w:rFonts w:ascii="Times New Roman" w:hAnsi="Times New Roman"/>
                <w:sz w:val="20"/>
                <w:szCs w:val="20"/>
              </w:rPr>
            </w:pPr>
          </w:p>
        </w:tc>
      </w:tr>
      <w:tr w:rsidR="00FE42B5" w14:paraId="1446E261" w14:textId="77777777">
        <w:tc>
          <w:tcPr>
            <w:tcW w:w="0" w:type="auto"/>
            <w:shd w:val="clear" w:color="auto" w:fill="auto"/>
            <w:tcMar>
              <w:top w:w="40" w:type="dxa"/>
              <w:left w:w="40" w:type="dxa"/>
              <w:bottom w:w="40" w:type="dxa"/>
              <w:right w:w="40" w:type="dxa"/>
            </w:tcMar>
          </w:tcPr>
          <w:p w14:paraId="1446E25B"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Income from operations</w:t>
            </w:r>
          </w:p>
        </w:tc>
        <w:tc>
          <w:tcPr>
            <w:tcW w:w="0" w:type="auto"/>
            <w:gridSpan w:val="2"/>
            <w:shd w:val="clear" w:color="auto" w:fill="auto"/>
            <w:tcMar>
              <w:top w:w="40" w:type="dxa"/>
              <w:left w:w="40" w:type="dxa"/>
              <w:bottom w:w="40" w:type="dxa"/>
            </w:tcMar>
            <w:vAlign w:val="bottom"/>
          </w:tcPr>
          <w:p w14:paraId="1446E25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5,893</w:t>
            </w:r>
          </w:p>
        </w:tc>
        <w:tc>
          <w:tcPr>
            <w:tcW w:w="0" w:type="auto"/>
            <w:shd w:val="clear" w:color="auto" w:fill="auto"/>
            <w:vAlign w:val="bottom"/>
          </w:tcPr>
          <w:p w14:paraId="1446E25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25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25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3,317</w:t>
            </w:r>
          </w:p>
        </w:tc>
        <w:tc>
          <w:tcPr>
            <w:tcW w:w="0" w:type="auto"/>
            <w:shd w:val="clear" w:color="auto" w:fill="auto"/>
            <w:vAlign w:val="bottom"/>
          </w:tcPr>
          <w:p w14:paraId="1446E260" w14:textId="77777777" w:rsidR="00FE42B5" w:rsidRDefault="00FE42B5">
            <w:pPr>
              <w:textAlignment w:val="bottom"/>
              <w:rPr>
                <w:rFonts w:ascii="Times New Roman" w:hAnsi="Times New Roman"/>
                <w:sz w:val="20"/>
                <w:szCs w:val="20"/>
              </w:rPr>
            </w:pPr>
          </w:p>
        </w:tc>
      </w:tr>
      <w:tr w:rsidR="00FE42B5" w14:paraId="1446E268" w14:textId="77777777">
        <w:tc>
          <w:tcPr>
            <w:tcW w:w="0" w:type="auto"/>
            <w:shd w:val="clear" w:color="auto" w:fill="CCEEFF"/>
            <w:tcMar>
              <w:top w:w="40" w:type="dxa"/>
              <w:left w:w="40" w:type="dxa"/>
              <w:bottom w:w="40" w:type="dxa"/>
              <w:right w:w="40" w:type="dxa"/>
            </w:tcMar>
          </w:tcPr>
          <w:p w14:paraId="1446E26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Interest and other income (expense), net</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26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bottom w:val="single" w:sz="8" w:space="0" w:color="000000"/>
            </w:tcBorders>
            <w:shd w:val="clear" w:color="auto" w:fill="CCEEFF"/>
            <w:tcMar>
              <w:top w:w="40" w:type="dxa"/>
              <w:bottom w:w="40" w:type="dxa"/>
              <w:right w:w="40" w:type="dxa"/>
            </w:tcMar>
            <w:vAlign w:val="bottom"/>
          </w:tcPr>
          <w:p w14:paraId="1446E26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26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26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tcBorders>
              <w:bottom w:val="single" w:sz="8" w:space="0" w:color="000000"/>
            </w:tcBorders>
            <w:shd w:val="clear" w:color="auto" w:fill="CCEEFF"/>
            <w:vAlign w:val="bottom"/>
          </w:tcPr>
          <w:p w14:paraId="1446E267" w14:textId="77777777" w:rsidR="00FE42B5" w:rsidRDefault="00FE42B5">
            <w:pPr>
              <w:textAlignment w:val="bottom"/>
              <w:rPr>
                <w:rFonts w:ascii="Times New Roman" w:hAnsi="Times New Roman"/>
                <w:sz w:val="20"/>
                <w:szCs w:val="20"/>
              </w:rPr>
            </w:pPr>
          </w:p>
        </w:tc>
      </w:tr>
      <w:tr w:rsidR="00FE42B5" w14:paraId="1446E26F" w14:textId="77777777">
        <w:tc>
          <w:tcPr>
            <w:tcW w:w="0" w:type="auto"/>
            <w:shd w:val="clear" w:color="auto" w:fill="auto"/>
            <w:tcMar>
              <w:top w:w="40" w:type="dxa"/>
              <w:left w:w="40" w:type="dxa"/>
              <w:bottom w:w="40" w:type="dxa"/>
              <w:right w:w="40" w:type="dxa"/>
            </w:tcMar>
          </w:tcPr>
          <w:p w14:paraId="1446E269"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gridSpan w:val="2"/>
            <w:tcBorders>
              <w:top w:val="single" w:sz="8" w:space="0" w:color="000000"/>
            </w:tcBorders>
            <w:shd w:val="clear" w:color="auto" w:fill="auto"/>
            <w:tcMar>
              <w:top w:w="40" w:type="dxa"/>
              <w:left w:w="40" w:type="dxa"/>
              <w:bottom w:w="40" w:type="dxa"/>
            </w:tcMar>
            <w:vAlign w:val="bottom"/>
          </w:tcPr>
          <w:p w14:paraId="1446E26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5,861</w:t>
            </w:r>
          </w:p>
        </w:tc>
        <w:tc>
          <w:tcPr>
            <w:tcW w:w="0" w:type="auto"/>
            <w:tcBorders>
              <w:top w:val="single" w:sz="8" w:space="0" w:color="000000"/>
            </w:tcBorders>
            <w:shd w:val="clear" w:color="auto" w:fill="auto"/>
            <w:vAlign w:val="bottom"/>
          </w:tcPr>
          <w:p w14:paraId="1446E26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26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446E26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3,482</w:t>
            </w:r>
          </w:p>
        </w:tc>
        <w:tc>
          <w:tcPr>
            <w:tcW w:w="0" w:type="auto"/>
            <w:tcBorders>
              <w:top w:val="single" w:sz="8" w:space="0" w:color="000000"/>
            </w:tcBorders>
            <w:shd w:val="clear" w:color="auto" w:fill="auto"/>
            <w:vAlign w:val="bottom"/>
          </w:tcPr>
          <w:p w14:paraId="1446E26E" w14:textId="77777777" w:rsidR="00FE42B5" w:rsidRDefault="00FE42B5">
            <w:pPr>
              <w:textAlignment w:val="bottom"/>
              <w:rPr>
                <w:rFonts w:ascii="Times New Roman" w:hAnsi="Times New Roman"/>
                <w:sz w:val="20"/>
                <w:szCs w:val="20"/>
              </w:rPr>
            </w:pPr>
          </w:p>
        </w:tc>
      </w:tr>
      <w:tr w:rsidR="00FE42B5" w14:paraId="1446E276" w14:textId="77777777">
        <w:tc>
          <w:tcPr>
            <w:tcW w:w="0" w:type="auto"/>
            <w:shd w:val="clear" w:color="auto" w:fill="CCEEFF"/>
            <w:tcMar>
              <w:top w:w="40" w:type="dxa"/>
              <w:left w:w="40" w:type="dxa"/>
              <w:bottom w:w="40" w:type="dxa"/>
              <w:right w:w="40" w:type="dxa"/>
            </w:tcMar>
          </w:tcPr>
          <w:p w14:paraId="1446E27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Provision for income taxes</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27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959</w:t>
            </w:r>
          </w:p>
        </w:tc>
        <w:tc>
          <w:tcPr>
            <w:tcW w:w="0" w:type="auto"/>
            <w:tcBorders>
              <w:bottom w:val="single" w:sz="8" w:space="0" w:color="000000"/>
            </w:tcBorders>
            <w:shd w:val="clear" w:color="auto" w:fill="CCEEFF"/>
            <w:vAlign w:val="bottom"/>
          </w:tcPr>
          <w:p w14:paraId="1446E27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27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27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1,053</w:t>
            </w:r>
          </w:p>
        </w:tc>
        <w:tc>
          <w:tcPr>
            <w:tcW w:w="0" w:type="auto"/>
            <w:tcBorders>
              <w:bottom w:val="single" w:sz="8" w:space="0" w:color="000000"/>
            </w:tcBorders>
            <w:shd w:val="clear" w:color="auto" w:fill="CCEEFF"/>
            <w:vAlign w:val="bottom"/>
          </w:tcPr>
          <w:p w14:paraId="1446E275" w14:textId="77777777" w:rsidR="00FE42B5" w:rsidRDefault="00FE42B5">
            <w:pPr>
              <w:textAlignment w:val="bottom"/>
              <w:rPr>
                <w:rFonts w:ascii="Times New Roman" w:hAnsi="Times New Roman"/>
                <w:sz w:val="20"/>
                <w:szCs w:val="20"/>
              </w:rPr>
            </w:pPr>
          </w:p>
        </w:tc>
      </w:tr>
      <w:tr w:rsidR="00FE42B5" w14:paraId="1446E27F" w14:textId="77777777">
        <w:tc>
          <w:tcPr>
            <w:tcW w:w="0" w:type="auto"/>
            <w:shd w:val="clear" w:color="auto" w:fill="auto"/>
            <w:tcMar>
              <w:top w:w="40" w:type="dxa"/>
              <w:left w:w="40" w:type="dxa"/>
              <w:bottom w:w="40" w:type="dxa"/>
              <w:right w:w="40" w:type="dxa"/>
            </w:tcMar>
          </w:tcPr>
          <w:p w14:paraId="1446E277"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27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27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4,902</w:t>
            </w:r>
          </w:p>
        </w:tc>
        <w:tc>
          <w:tcPr>
            <w:tcW w:w="0" w:type="auto"/>
            <w:tcBorders>
              <w:top w:val="single" w:sz="8" w:space="0" w:color="000000"/>
              <w:bottom w:val="double" w:sz="6" w:space="0" w:color="000000"/>
            </w:tcBorders>
            <w:shd w:val="clear" w:color="auto" w:fill="auto"/>
            <w:vAlign w:val="bottom"/>
          </w:tcPr>
          <w:p w14:paraId="1446E27A"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27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27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27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2,429</w:t>
            </w:r>
          </w:p>
        </w:tc>
        <w:tc>
          <w:tcPr>
            <w:tcW w:w="0" w:type="auto"/>
            <w:tcBorders>
              <w:top w:val="single" w:sz="8" w:space="0" w:color="000000"/>
              <w:bottom w:val="double" w:sz="6" w:space="0" w:color="000000"/>
            </w:tcBorders>
            <w:shd w:val="clear" w:color="auto" w:fill="auto"/>
            <w:vAlign w:val="bottom"/>
          </w:tcPr>
          <w:p w14:paraId="1446E27E" w14:textId="77777777" w:rsidR="00FE42B5" w:rsidRDefault="00FE42B5">
            <w:pPr>
              <w:textAlignment w:val="bottom"/>
              <w:rPr>
                <w:rFonts w:ascii="Times New Roman" w:hAnsi="Times New Roman"/>
                <w:sz w:val="20"/>
                <w:szCs w:val="20"/>
              </w:rPr>
            </w:pPr>
          </w:p>
        </w:tc>
      </w:tr>
      <w:tr w:rsidR="00FE42B5" w14:paraId="1446E284" w14:textId="77777777">
        <w:tc>
          <w:tcPr>
            <w:tcW w:w="0" w:type="auto"/>
            <w:shd w:val="clear" w:color="auto" w:fill="CCEEFF"/>
            <w:tcMar>
              <w:top w:w="40" w:type="dxa"/>
              <w:left w:w="40" w:type="dxa"/>
              <w:bottom w:w="40" w:type="dxa"/>
              <w:right w:w="40" w:type="dxa"/>
            </w:tcMar>
          </w:tcPr>
          <w:p w14:paraId="1446E280"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Earnings per share attributable to Class A and Class B common stockholders:</w:t>
            </w:r>
          </w:p>
        </w:tc>
        <w:tc>
          <w:tcPr>
            <w:tcW w:w="0" w:type="auto"/>
            <w:gridSpan w:val="3"/>
            <w:shd w:val="clear" w:color="auto" w:fill="CCEEFF"/>
            <w:tcMar>
              <w:top w:w="40" w:type="dxa"/>
              <w:left w:w="40" w:type="dxa"/>
              <w:bottom w:w="40" w:type="dxa"/>
              <w:right w:w="40" w:type="dxa"/>
            </w:tcMar>
            <w:vAlign w:val="bottom"/>
          </w:tcPr>
          <w:p w14:paraId="1446E28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28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28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28D" w14:textId="77777777">
        <w:tc>
          <w:tcPr>
            <w:tcW w:w="0" w:type="auto"/>
            <w:shd w:val="clear" w:color="auto" w:fill="auto"/>
            <w:tcMar>
              <w:top w:w="40" w:type="dxa"/>
              <w:left w:w="560" w:type="dxa"/>
              <w:bottom w:w="40" w:type="dxa"/>
              <w:right w:w="40" w:type="dxa"/>
            </w:tcMar>
          </w:tcPr>
          <w:p w14:paraId="1446E28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Basic</w:t>
            </w:r>
          </w:p>
        </w:tc>
        <w:tc>
          <w:tcPr>
            <w:tcW w:w="0" w:type="auto"/>
            <w:tcBorders>
              <w:bottom w:val="double" w:sz="6" w:space="0" w:color="000000"/>
            </w:tcBorders>
            <w:shd w:val="clear" w:color="auto" w:fill="auto"/>
            <w:tcMar>
              <w:top w:w="40" w:type="dxa"/>
              <w:left w:w="40" w:type="dxa"/>
              <w:bottom w:w="40" w:type="dxa"/>
            </w:tcMar>
            <w:vAlign w:val="bottom"/>
          </w:tcPr>
          <w:p w14:paraId="1446E28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1446E28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tcBorders>
              <w:bottom w:val="double" w:sz="6" w:space="0" w:color="000000"/>
            </w:tcBorders>
            <w:shd w:val="clear" w:color="auto" w:fill="auto"/>
            <w:vAlign w:val="bottom"/>
          </w:tcPr>
          <w:p w14:paraId="1446E288"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28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446E28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1446E28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0.85</w:t>
            </w:r>
          </w:p>
        </w:tc>
        <w:tc>
          <w:tcPr>
            <w:tcW w:w="0" w:type="auto"/>
            <w:tcBorders>
              <w:bottom w:val="double" w:sz="6" w:space="0" w:color="000000"/>
            </w:tcBorders>
            <w:shd w:val="clear" w:color="auto" w:fill="auto"/>
            <w:vAlign w:val="bottom"/>
          </w:tcPr>
          <w:p w14:paraId="1446E28C" w14:textId="77777777" w:rsidR="00FE42B5" w:rsidRDefault="00FE42B5">
            <w:pPr>
              <w:textAlignment w:val="bottom"/>
              <w:rPr>
                <w:rFonts w:ascii="Times New Roman" w:hAnsi="Times New Roman"/>
                <w:sz w:val="20"/>
                <w:szCs w:val="20"/>
              </w:rPr>
            </w:pPr>
          </w:p>
        </w:tc>
      </w:tr>
      <w:tr w:rsidR="00FE42B5" w14:paraId="1446E296" w14:textId="77777777">
        <w:tc>
          <w:tcPr>
            <w:tcW w:w="0" w:type="auto"/>
            <w:shd w:val="clear" w:color="auto" w:fill="CCEEFF"/>
            <w:tcMar>
              <w:top w:w="40" w:type="dxa"/>
              <w:left w:w="560" w:type="dxa"/>
              <w:bottom w:w="40" w:type="dxa"/>
              <w:right w:w="40" w:type="dxa"/>
            </w:tcMar>
          </w:tcPr>
          <w:p w14:paraId="1446E28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Diluted</w:t>
            </w:r>
          </w:p>
        </w:tc>
        <w:tc>
          <w:tcPr>
            <w:tcW w:w="0" w:type="auto"/>
            <w:tcBorders>
              <w:bottom w:val="double" w:sz="6" w:space="0" w:color="000000"/>
            </w:tcBorders>
            <w:shd w:val="clear" w:color="auto" w:fill="CCEEFF"/>
            <w:tcMar>
              <w:top w:w="40" w:type="dxa"/>
              <w:left w:w="40" w:type="dxa"/>
              <w:bottom w:w="40" w:type="dxa"/>
            </w:tcMar>
            <w:vAlign w:val="bottom"/>
          </w:tcPr>
          <w:p w14:paraId="1446E28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29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1.71</w:t>
            </w:r>
          </w:p>
        </w:tc>
        <w:tc>
          <w:tcPr>
            <w:tcW w:w="0" w:type="auto"/>
            <w:tcBorders>
              <w:bottom w:val="double" w:sz="6" w:space="0" w:color="000000"/>
            </w:tcBorders>
            <w:shd w:val="clear" w:color="auto" w:fill="CCEEFF"/>
            <w:vAlign w:val="bottom"/>
          </w:tcPr>
          <w:p w14:paraId="1446E29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29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446E29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29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0.85</w:t>
            </w:r>
          </w:p>
        </w:tc>
        <w:tc>
          <w:tcPr>
            <w:tcW w:w="0" w:type="auto"/>
            <w:tcBorders>
              <w:bottom w:val="double" w:sz="6" w:space="0" w:color="000000"/>
            </w:tcBorders>
            <w:shd w:val="clear" w:color="auto" w:fill="CCEEFF"/>
            <w:vAlign w:val="bottom"/>
          </w:tcPr>
          <w:p w14:paraId="1446E295" w14:textId="77777777" w:rsidR="00FE42B5" w:rsidRDefault="00FE42B5">
            <w:pPr>
              <w:textAlignment w:val="bottom"/>
              <w:rPr>
                <w:rFonts w:ascii="Times New Roman" w:hAnsi="Times New Roman"/>
                <w:sz w:val="20"/>
                <w:szCs w:val="20"/>
              </w:rPr>
            </w:pPr>
          </w:p>
        </w:tc>
      </w:tr>
      <w:tr w:rsidR="00FE42B5" w14:paraId="1446E29B" w14:textId="77777777">
        <w:tc>
          <w:tcPr>
            <w:tcW w:w="0" w:type="auto"/>
            <w:shd w:val="clear" w:color="auto" w:fill="auto"/>
            <w:tcMar>
              <w:top w:w="40" w:type="dxa"/>
              <w:left w:w="40" w:type="dxa"/>
              <w:bottom w:w="40" w:type="dxa"/>
              <w:right w:w="40" w:type="dxa"/>
            </w:tcMar>
          </w:tcPr>
          <w:p w14:paraId="1446E297"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 xml:space="preserve">Weighted-average shares used to compute </w:t>
            </w:r>
            <w:r>
              <w:rPr>
                <w:rFonts w:ascii="Times New Roman" w:eastAsia="宋体" w:hAnsi="Times New Roman"/>
                <w:b/>
                <w:bCs/>
                <w:sz w:val="20"/>
                <w:szCs w:val="20"/>
              </w:rPr>
              <w:t>earnings per share attributable to Class A and Class B common stockholders:</w:t>
            </w:r>
          </w:p>
        </w:tc>
        <w:tc>
          <w:tcPr>
            <w:tcW w:w="0" w:type="auto"/>
            <w:gridSpan w:val="3"/>
            <w:shd w:val="clear" w:color="auto" w:fill="auto"/>
            <w:tcMar>
              <w:top w:w="40" w:type="dxa"/>
              <w:left w:w="40" w:type="dxa"/>
              <w:bottom w:w="40" w:type="dxa"/>
              <w:right w:w="40" w:type="dxa"/>
            </w:tcMar>
            <w:vAlign w:val="bottom"/>
          </w:tcPr>
          <w:p w14:paraId="1446E29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29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29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2A2" w14:textId="77777777">
        <w:tc>
          <w:tcPr>
            <w:tcW w:w="0" w:type="auto"/>
            <w:shd w:val="clear" w:color="auto" w:fill="CCEEFF"/>
            <w:tcMar>
              <w:top w:w="40" w:type="dxa"/>
              <w:left w:w="560" w:type="dxa"/>
              <w:bottom w:w="40" w:type="dxa"/>
              <w:right w:w="40" w:type="dxa"/>
            </w:tcMar>
          </w:tcPr>
          <w:p w14:paraId="1446E29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Basic</w:t>
            </w:r>
          </w:p>
        </w:tc>
        <w:tc>
          <w:tcPr>
            <w:tcW w:w="0" w:type="auto"/>
            <w:gridSpan w:val="2"/>
            <w:tcBorders>
              <w:bottom w:val="double" w:sz="6" w:space="0" w:color="000000"/>
            </w:tcBorders>
            <w:shd w:val="clear" w:color="auto" w:fill="CCEEFF"/>
            <w:tcMar>
              <w:top w:w="40" w:type="dxa"/>
              <w:left w:w="40" w:type="dxa"/>
              <w:bottom w:w="40" w:type="dxa"/>
            </w:tcMar>
            <w:vAlign w:val="bottom"/>
          </w:tcPr>
          <w:p w14:paraId="1446E29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2,851</w:t>
            </w:r>
          </w:p>
        </w:tc>
        <w:tc>
          <w:tcPr>
            <w:tcW w:w="0" w:type="auto"/>
            <w:tcBorders>
              <w:bottom w:val="double" w:sz="6" w:space="0" w:color="000000"/>
            </w:tcBorders>
            <w:shd w:val="clear" w:color="auto" w:fill="CCEEFF"/>
            <w:vAlign w:val="bottom"/>
          </w:tcPr>
          <w:p w14:paraId="1446E29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29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1446E2A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2,856</w:t>
            </w:r>
          </w:p>
        </w:tc>
        <w:tc>
          <w:tcPr>
            <w:tcW w:w="0" w:type="auto"/>
            <w:tcBorders>
              <w:bottom w:val="double" w:sz="6" w:space="0" w:color="000000"/>
            </w:tcBorders>
            <w:shd w:val="clear" w:color="auto" w:fill="CCEEFF"/>
            <w:vAlign w:val="bottom"/>
          </w:tcPr>
          <w:p w14:paraId="1446E2A1" w14:textId="77777777" w:rsidR="00FE42B5" w:rsidRDefault="00FE42B5">
            <w:pPr>
              <w:textAlignment w:val="bottom"/>
              <w:rPr>
                <w:rFonts w:ascii="Times New Roman" w:hAnsi="Times New Roman"/>
                <w:sz w:val="20"/>
                <w:szCs w:val="20"/>
              </w:rPr>
            </w:pPr>
          </w:p>
        </w:tc>
      </w:tr>
      <w:tr w:rsidR="00FE42B5" w14:paraId="1446E2A9" w14:textId="77777777">
        <w:tc>
          <w:tcPr>
            <w:tcW w:w="0" w:type="auto"/>
            <w:shd w:val="clear" w:color="auto" w:fill="auto"/>
            <w:tcMar>
              <w:top w:w="40" w:type="dxa"/>
              <w:left w:w="560" w:type="dxa"/>
              <w:bottom w:w="40" w:type="dxa"/>
              <w:right w:w="40" w:type="dxa"/>
            </w:tcMar>
          </w:tcPr>
          <w:p w14:paraId="1446E2A3"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Diluted</w:t>
            </w:r>
          </w:p>
        </w:tc>
        <w:tc>
          <w:tcPr>
            <w:tcW w:w="0" w:type="auto"/>
            <w:gridSpan w:val="2"/>
            <w:tcBorders>
              <w:bottom w:val="double" w:sz="6" w:space="0" w:color="000000"/>
            </w:tcBorders>
            <w:shd w:val="clear" w:color="auto" w:fill="auto"/>
            <w:tcMar>
              <w:top w:w="40" w:type="dxa"/>
              <w:left w:w="40" w:type="dxa"/>
              <w:bottom w:w="40" w:type="dxa"/>
            </w:tcMar>
            <w:vAlign w:val="bottom"/>
          </w:tcPr>
          <w:p w14:paraId="1446E2A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2,868</w:t>
            </w:r>
          </w:p>
        </w:tc>
        <w:tc>
          <w:tcPr>
            <w:tcW w:w="0" w:type="auto"/>
            <w:tcBorders>
              <w:bottom w:val="double" w:sz="6" w:space="0" w:color="000000"/>
            </w:tcBorders>
            <w:shd w:val="clear" w:color="auto" w:fill="auto"/>
            <w:vAlign w:val="bottom"/>
          </w:tcPr>
          <w:p w14:paraId="1446E2A5"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2A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1446E2A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2,869</w:t>
            </w:r>
          </w:p>
        </w:tc>
        <w:tc>
          <w:tcPr>
            <w:tcW w:w="0" w:type="auto"/>
            <w:tcBorders>
              <w:bottom w:val="double" w:sz="6" w:space="0" w:color="000000"/>
            </w:tcBorders>
            <w:shd w:val="clear" w:color="auto" w:fill="auto"/>
            <w:vAlign w:val="bottom"/>
          </w:tcPr>
          <w:p w14:paraId="1446E2A8" w14:textId="77777777" w:rsidR="00FE42B5" w:rsidRDefault="00FE42B5">
            <w:pPr>
              <w:textAlignment w:val="bottom"/>
              <w:rPr>
                <w:rFonts w:ascii="Times New Roman" w:hAnsi="Times New Roman"/>
                <w:sz w:val="20"/>
                <w:szCs w:val="20"/>
              </w:rPr>
            </w:pPr>
          </w:p>
        </w:tc>
      </w:tr>
      <w:tr w:rsidR="00FE42B5" w14:paraId="1446E2AE" w14:textId="77777777">
        <w:tc>
          <w:tcPr>
            <w:tcW w:w="0" w:type="auto"/>
            <w:shd w:val="clear" w:color="auto" w:fill="CCEEFF"/>
            <w:tcMar>
              <w:top w:w="40" w:type="dxa"/>
              <w:left w:w="40" w:type="dxa"/>
              <w:bottom w:w="40" w:type="dxa"/>
              <w:right w:w="40" w:type="dxa"/>
            </w:tcMar>
          </w:tcPr>
          <w:p w14:paraId="1446E2AA"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Share-based compensation expense included in costs and expenses:</w:t>
            </w:r>
          </w:p>
        </w:tc>
        <w:tc>
          <w:tcPr>
            <w:tcW w:w="0" w:type="auto"/>
            <w:gridSpan w:val="3"/>
            <w:shd w:val="clear" w:color="auto" w:fill="CCEEFF"/>
            <w:tcMar>
              <w:top w:w="40" w:type="dxa"/>
              <w:left w:w="40" w:type="dxa"/>
              <w:bottom w:w="40" w:type="dxa"/>
              <w:right w:w="40" w:type="dxa"/>
            </w:tcMar>
            <w:vAlign w:val="bottom"/>
          </w:tcPr>
          <w:p w14:paraId="1446E2A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2A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2A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2B7" w14:textId="77777777">
        <w:tc>
          <w:tcPr>
            <w:tcW w:w="0" w:type="auto"/>
            <w:shd w:val="clear" w:color="auto" w:fill="auto"/>
            <w:tcMar>
              <w:top w:w="40" w:type="dxa"/>
              <w:left w:w="560" w:type="dxa"/>
              <w:bottom w:w="40" w:type="dxa"/>
              <w:right w:w="40" w:type="dxa"/>
            </w:tcMar>
          </w:tcPr>
          <w:p w14:paraId="1446E2A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auto"/>
            <w:tcMar>
              <w:top w:w="40" w:type="dxa"/>
              <w:left w:w="40" w:type="dxa"/>
              <w:bottom w:w="40" w:type="dxa"/>
            </w:tcMar>
            <w:vAlign w:val="bottom"/>
          </w:tcPr>
          <w:p w14:paraId="1446E2B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2B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shd w:val="clear" w:color="auto" w:fill="auto"/>
            <w:vAlign w:val="bottom"/>
          </w:tcPr>
          <w:p w14:paraId="1446E2B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2B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2B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2B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shd w:val="clear" w:color="auto" w:fill="auto"/>
            <w:vAlign w:val="bottom"/>
          </w:tcPr>
          <w:p w14:paraId="1446E2B6" w14:textId="77777777" w:rsidR="00FE42B5" w:rsidRDefault="00FE42B5">
            <w:pPr>
              <w:textAlignment w:val="bottom"/>
              <w:rPr>
                <w:rFonts w:ascii="Times New Roman" w:hAnsi="Times New Roman"/>
                <w:sz w:val="20"/>
                <w:szCs w:val="20"/>
              </w:rPr>
            </w:pPr>
          </w:p>
        </w:tc>
      </w:tr>
      <w:tr w:rsidR="00FE42B5" w14:paraId="1446E2BE" w14:textId="77777777">
        <w:tc>
          <w:tcPr>
            <w:tcW w:w="0" w:type="auto"/>
            <w:shd w:val="clear" w:color="auto" w:fill="CCEEFF"/>
            <w:tcMar>
              <w:top w:w="40" w:type="dxa"/>
              <w:left w:w="560" w:type="dxa"/>
              <w:bottom w:w="40" w:type="dxa"/>
              <w:right w:w="40" w:type="dxa"/>
            </w:tcMar>
          </w:tcPr>
          <w:p w14:paraId="1446E2B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Research and </w:t>
            </w:r>
            <w:r>
              <w:rPr>
                <w:rFonts w:ascii="Times New Roman" w:eastAsia="宋体" w:hAnsi="Times New Roman"/>
                <w:sz w:val="20"/>
                <w:szCs w:val="20"/>
              </w:rPr>
              <w:t>development</w:t>
            </w:r>
          </w:p>
        </w:tc>
        <w:tc>
          <w:tcPr>
            <w:tcW w:w="0" w:type="auto"/>
            <w:gridSpan w:val="2"/>
            <w:shd w:val="clear" w:color="auto" w:fill="CCEEFF"/>
            <w:tcMar>
              <w:top w:w="40" w:type="dxa"/>
              <w:left w:w="40" w:type="dxa"/>
              <w:bottom w:w="40" w:type="dxa"/>
            </w:tcMar>
            <w:vAlign w:val="bottom"/>
          </w:tcPr>
          <w:p w14:paraId="1446E2B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999</w:t>
            </w:r>
          </w:p>
        </w:tc>
        <w:tc>
          <w:tcPr>
            <w:tcW w:w="0" w:type="auto"/>
            <w:shd w:val="clear" w:color="auto" w:fill="CCEEFF"/>
            <w:vAlign w:val="bottom"/>
          </w:tcPr>
          <w:p w14:paraId="1446E2BA"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2B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2B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723</w:t>
            </w:r>
          </w:p>
        </w:tc>
        <w:tc>
          <w:tcPr>
            <w:tcW w:w="0" w:type="auto"/>
            <w:shd w:val="clear" w:color="auto" w:fill="CCEEFF"/>
            <w:vAlign w:val="bottom"/>
          </w:tcPr>
          <w:p w14:paraId="1446E2BD" w14:textId="77777777" w:rsidR="00FE42B5" w:rsidRDefault="00FE42B5">
            <w:pPr>
              <w:textAlignment w:val="bottom"/>
              <w:rPr>
                <w:rFonts w:ascii="Times New Roman" w:hAnsi="Times New Roman"/>
                <w:sz w:val="20"/>
                <w:szCs w:val="20"/>
              </w:rPr>
            </w:pPr>
          </w:p>
        </w:tc>
      </w:tr>
      <w:tr w:rsidR="00FE42B5" w14:paraId="1446E2C5" w14:textId="77777777">
        <w:tc>
          <w:tcPr>
            <w:tcW w:w="0" w:type="auto"/>
            <w:shd w:val="clear" w:color="auto" w:fill="auto"/>
            <w:tcMar>
              <w:top w:w="40" w:type="dxa"/>
              <w:left w:w="560" w:type="dxa"/>
              <w:bottom w:w="40" w:type="dxa"/>
              <w:right w:w="40" w:type="dxa"/>
            </w:tcMar>
          </w:tcPr>
          <w:p w14:paraId="1446E2B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auto"/>
            <w:tcMar>
              <w:top w:w="40" w:type="dxa"/>
              <w:left w:w="40" w:type="dxa"/>
              <w:bottom w:w="40" w:type="dxa"/>
            </w:tcMar>
            <w:vAlign w:val="bottom"/>
          </w:tcPr>
          <w:p w14:paraId="1446E2C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149</w:t>
            </w:r>
          </w:p>
        </w:tc>
        <w:tc>
          <w:tcPr>
            <w:tcW w:w="0" w:type="auto"/>
            <w:shd w:val="clear" w:color="auto" w:fill="auto"/>
            <w:vAlign w:val="bottom"/>
          </w:tcPr>
          <w:p w14:paraId="1446E2C1"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2C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2C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113</w:t>
            </w:r>
          </w:p>
        </w:tc>
        <w:tc>
          <w:tcPr>
            <w:tcW w:w="0" w:type="auto"/>
            <w:shd w:val="clear" w:color="auto" w:fill="auto"/>
            <w:vAlign w:val="bottom"/>
          </w:tcPr>
          <w:p w14:paraId="1446E2C4" w14:textId="77777777" w:rsidR="00FE42B5" w:rsidRDefault="00FE42B5">
            <w:pPr>
              <w:textAlignment w:val="bottom"/>
              <w:rPr>
                <w:rFonts w:ascii="Times New Roman" w:hAnsi="Times New Roman"/>
                <w:sz w:val="20"/>
                <w:szCs w:val="20"/>
              </w:rPr>
            </w:pPr>
          </w:p>
        </w:tc>
      </w:tr>
      <w:tr w:rsidR="00FE42B5" w14:paraId="1446E2CC" w14:textId="77777777">
        <w:tc>
          <w:tcPr>
            <w:tcW w:w="0" w:type="auto"/>
            <w:shd w:val="clear" w:color="auto" w:fill="CCEEFF"/>
            <w:tcMar>
              <w:top w:w="40" w:type="dxa"/>
              <w:left w:w="560" w:type="dxa"/>
              <w:bottom w:w="40" w:type="dxa"/>
              <w:right w:w="40" w:type="dxa"/>
            </w:tcMar>
          </w:tcPr>
          <w:p w14:paraId="1446E2C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2C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93</w:t>
            </w:r>
          </w:p>
        </w:tc>
        <w:tc>
          <w:tcPr>
            <w:tcW w:w="0" w:type="auto"/>
            <w:tcBorders>
              <w:bottom w:val="single" w:sz="8" w:space="0" w:color="000000"/>
            </w:tcBorders>
            <w:shd w:val="clear" w:color="auto" w:fill="CCEEFF"/>
            <w:vAlign w:val="bottom"/>
          </w:tcPr>
          <w:p w14:paraId="1446E2C8"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2C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2C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tcBorders>
              <w:bottom w:val="single" w:sz="8" w:space="0" w:color="000000"/>
            </w:tcBorders>
            <w:shd w:val="clear" w:color="auto" w:fill="CCEEFF"/>
            <w:vAlign w:val="bottom"/>
          </w:tcPr>
          <w:p w14:paraId="1446E2CB" w14:textId="77777777" w:rsidR="00FE42B5" w:rsidRDefault="00FE42B5">
            <w:pPr>
              <w:textAlignment w:val="bottom"/>
              <w:rPr>
                <w:rFonts w:ascii="Times New Roman" w:hAnsi="Times New Roman"/>
                <w:sz w:val="20"/>
                <w:szCs w:val="20"/>
              </w:rPr>
            </w:pPr>
          </w:p>
        </w:tc>
      </w:tr>
      <w:tr w:rsidR="00FE42B5" w14:paraId="1446E2D5" w14:textId="77777777">
        <w:tc>
          <w:tcPr>
            <w:tcW w:w="0" w:type="auto"/>
            <w:shd w:val="clear" w:color="auto" w:fill="auto"/>
            <w:tcMar>
              <w:top w:w="40" w:type="dxa"/>
              <w:left w:w="880" w:type="dxa"/>
              <w:bottom w:w="40" w:type="dxa"/>
              <w:right w:w="40" w:type="dxa"/>
            </w:tcMar>
          </w:tcPr>
          <w:p w14:paraId="1446E2CD"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Total share-based compensation expense</w:t>
            </w:r>
          </w:p>
        </w:tc>
        <w:tc>
          <w:tcPr>
            <w:tcW w:w="0" w:type="auto"/>
            <w:tcBorders>
              <w:bottom w:val="double" w:sz="6" w:space="0" w:color="000000"/>
            </w:tcBorders>
            <w:shd w:val="clear" w:color="auto" w:fill="auto"/>
            <w:tcMar>
              <w:top w:w="40" w:type="dxa"/>
              <w:left w:w="40" w:type="dxa"/>
              <w:bottom w:w="40" w:type="dxa"/>
            </w:tcMar>
            <w:vAlign w:val="bottom"/>
          </w:tcPr>
          <w:p w14:paraId="1446E2C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1446E2C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1,335</w:t>
            </w:r>
          </w:p>
        </w:tc>
        <w:tc>
          <w:tcPr>
            <w:tcW w:w="0" w:type="auto"/>
            <w:tcBorders>
              <w:bottom w:val="double" w:sz="6" w:space="0" w:color="000000"/>
            </w:tcBorders>
            <w:shd w:val="clear" w:color="auto" w:fill="auto"/>
            <w:vAlign w:val="bottom"/>
          </w:tcPr>
          <w:p w14:paraId="1446E2D0"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2D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446E2D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1446E2D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1,010</w:t>
            </w:r>
          </w:p>
        </w:tc>
        <w:tc>
          <w:tcPr>
            <w:tcW w:w="0" w:type="auto"/>
            <w:tcBorders>
              <w:bottom w:val="double" w:sz="6" w:space="0" w:color="000000"/>
            </w:tcBorders>
            <w:shd w:val="clear" w:color="auto" w:fill="auto"/>
            <w:vAlign w:val="bottom"/>
          </w:tcPr>
          <w:p w14:paraId="1446E2D4" w14:textId="77777777" w:rsidR="00FE42B5" w:rsidRDefault="00FE42B5">
            <w:pPr>
              <w:textAlignment w:val="bottom"/>
              <w:rPr>
                <w:rFonts w:ascii="Times New Roman" w:hAnsi="Times New Roman"/>
                <w:sz w:val="20"/>
                <w:szCs w:val="20"/>
              </w:rPr>
            </w:pPr>
          </w:p>
        </w:tc>
      </w:tr>
    </w:tbl>
    <w:p w14:paraId="1446E2D6"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See Accompanying Notes to Condensed Consolidated Financial Statements.</w:t>
      </w:r>
    </w:p>
    <w:p w14:paraId="1446E2D7" w14:textId="77777777" w:rsidR="00FE42B5" w:rsidRDefault="00FE42B5">
      <w:pPr>
        <w:spacing w:line="288" w:lineRule="auto"/>
        <w:rPr>
          <w:rFonts w:ascii="Times New Roman" w:hAnsi="Times New Roman"/>
          <w:sz w:val="18"/>
          <w:szCs w:val="18"/>
        </w:rPr>
      </w:pPr>
    </w:p>
    <w:p w14:paraId="1446E2D8" w14:textId="77777777" w:rsidR="00FE42B5" w:rsidRDefault="00FE42B5">
      <w:pPr>
        <w:rPr>
          <w:rFonts w:ascii="Times New Roman" w:hAnsi="Times New Roman"/>
          <w:sz w:val="20"/>
          <w:szCs w:val="20"/>
        </w:rPr>
      </w:pPr>
    </w:p>
    <w:p w14:paraId="1446E2D9"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8</w:t>
      </w:r>
    </w:p>
    <w:p w14:paraId="1446E2DA" w14:textId="77777777" w:rsidR="00FE42B5" w:rsidRDefault="009213DC">
      <w:r>
        <w:rPr>
          <w:rFonts w:ascii="Times New Roman" w:hAnsi="Times New Roman"/>
          <w:sz w:val="20"/>
          <w:szCs w:val="20"/>
        </w:rPr>
        <w:pict w14:anchorId="1446FAC0">
          <v:rect id="_x0000_i1032" style="width:415.3pt;height:1.5pt" o:hralign="center" o:hrstd="t" o:hr="t" fillcolor="#a0a0a0" stroked="f"/>
        </w:pict>
      </w:r>
    </w:p>
    <w:p w14:paraId="1446E2DB" w14:textId="77777777" w:rsidR="00FE42B5" w:rsidRDefault="009213DC">
      <w:pPr>
        <w:spacing w:line="288" w:lineRule="auto"/>
        <w:rPr>
          <w:rFonts w:ascii="Times New Roman" w:hAnsi="Times New Roman"/>
          <w:sz w:val="20"/>
          <w:szCs w:val="20"/>
        </w:rPr>
      </w:pPr>
      <w:hyperlink r:id="rId50" w:anchor="sBB4BED1571A45A16AF3DC2E3B69C901C" w:history="1">
        <w:r>
          <w:rPr>
            <w:rStyle w:val="a5"/>
            <w:rFonts w:ascii="Times New Roman" w:eastAsia="宋体" w:hAnsi="Times New Roman"/>
            <w:sz w:val="20"/>
            <w:szCs w:val="20"/>
          </w:rPr>
          <w:t>Table of Contents</w:t>
        </w:r>
      </w:hyperlink>
    </w:p>
    <w:p w14:paraId="1446E2DC" w14:textId="77777777" w:rsidR="00FE42B5" w:rsidRDefault="00FE42B5">
      <w:pPr>
        <w:rPr>
          <w:rFonts w:ascii="Times New Roman" w:hAnsi="Times New Roman"/>
          <w:sz w:val="20"/>
          <w:szCs w:val="20"/>
        </w:rPr>
      </w:pPr>
    </w:p>
    <w:p w14:paraId="1446E2DD"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1446E2DE"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COMPREHENSIVE INCOME</w:t>
      </w:r>
    </w:p>
    <w:p w14:paraId="1446E2DF"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(In million</w:t>
      </w:r>
      <w:r>
        <w:rPr>
          <w:rFonts w:ascii="Times New Roman" w:eastAsia="宋体" w:hAnsi="Times New Roman"/>
          <w:i/>
          <w:iCs/>
          <w:sz w:val="18"/>
          <w:szCs w:val="18"/>
        </w:rPr>
        <w:t>s)</w:t>
      </w:r>
    </w:p>
    <w:p w14:paraId="1446E2E0"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(Unaudited)</w:t>
      </w:r>
    </w:p>
    <w:p w14:paraId="1446E2E1" w14:textId="77777777" w:rsidR="00FE42B5" w:rsidRDefault="009213DC">
      <w:pPr>
        <w:spacing w:line="288" w:lineRule="auto"/>
        <w:rPr>
          <w:rFonts w:ascii="Times New Roman" w:hAnsi="Times New Roman"/>
          <w:sz w:val="20"/>
          <w:szCs w:val="20"/>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5993"/>
        <w:gridCol w:w="140"/>
        <w:gridCol w:w="844"/>
        <w:gridCol w:w="107"/>
        <w:gridCol w:w="130"/>
        <w:gridCol w:w="140"/>
        <w:gridCol w:w="845"/>
        <w:gridCol w:w="107"/>
      </w:tblGrid>
      <w:tr w:rsidR="00FE42B5" w14:paraId="1446E2E3" w14:textId="77777777">
        <w:tc>
          <w:tcPr>
            <w:tcW w:w="0" w:type="auto"/>
            <w:gridSpan w:val="8"/>
            <w:shd w:val="clear" w:color="auto" w:fill="auto"/>
            <w:vAlign w:val="center"/>
          </w:tcPr>
          <w:p w14:paraId="1446E2E2" w14:textId="77777777" w:rsidR="00FE42B5" w:rsidRDefault="00FE42B5">
            <w:pPr>
              <w:rPr>
                <w:rFonts w:ascii="Times New Roman" w:hAnsi="Times New Roman"/>
                <w:sz w:val="20"/>
                <w:szCs w:val="20"/>
              </w:rPr>
            </w:pPr>
          </w:p>
        </w:tc>
      </w:tr>
      <w:tr w:rsidR="00FE42B5" w14:paraId="1446E2EC" w14:textId="77777777">
        <w:tc>
          <w:tcPr>
            <w:tcW w:w="3650" w:type="pct"/>
            <w:shd w:val="clear" w:color="auto" w:fill="auto"/>
            <w:vAlign w:val="center"/>
          </w:tcPr>
          <w:p w14:paraId="1446E2E4" w14:textId="77777777" w:rsidR="00FE42B5" w:rsidRDefault="00FE42B5">
            <w:pPr>
              <w:rPr>
                <w:rFonts w:ascii="Times New Roman" w:hAnsi="Times New Roman"/>
                <w:sz w:val="20"/>
                <w:szCs w:val="20"/>
              </w:rPr>
            </w:pPr>
          </w:p>
        </w:tc>
        <w:tc>
          <w:tcPr>
            <w:tcW w:w="50" w:type="pct"/>
            <w:shd w:val="clear" w:color="auto" w:fill="auto"/>
            <w:vAlign w:val="center"/>
          </w:tcPr>
          <w:p w14:paraId="1446E2E5" w14:textId="77777777" w:rsidR="00FE42B5" w:rsidRDefault="00FE42B5">
            <w:pPr>
              <w:rPr>
                <w:rFonts w:ascii="Times New Roman" w:hAnsi="Times New Roman"/>
                <w:sz w:val="20"/>
                <w:szCs w:val="20"/>
              </w:rPr>
            </w:pPr>
          </w:p>
        </w:tc>
        <w:tc>
          <w:tcPr>
            <w:tcW w:w="550" w:type="pct"/>
            <w:shd w:val="clear" w:color="auto" w:fill="auto"/>
            <w:vAlign w:val="center"/>
          </w:tcPr>
          <w:p w14:paraId="1446E2E6" w14:textId="77777777" w:rsidR="00FE42B5" w:rsidRDefault="00FE42B5">
            <w:pPr>
              <w:rPr>
                <w:rFonts w:ascii="Times New Roman" w:hAnsi="Times New Roman"/>
                <w:sz w:val="20"/>
                <w:szCs w:val="20"/>
              </w:rPr>
            </w:pPr>
          </w:p>
        </w:tc>
        <w:tc>
          <w:tcPr>
            <w:tcW w:w="50" w:type="pct"/>
            <w:shd w:val="clear" w:color="auto" w:fill="auto"/>
            <w:vAlign w:val="center"/>
          </w:tcPr>
          <w:p w14:paraId="1446E2E7" w14:textId="77777777" w:rsidR="00FE42B5" w:rsidRDefault="00FE42B5">
            <w:pPr>
              <w:rPr>
                <w:rFonts w:ascii="Times New Roman" w:hAnsi="Times New Roman"/>
                <w:sz w:val="20"/>
                <w:szCs w:val="20"/>
              </w:rPr>
            </w:pPr>
          </w:p>
        </w:tc>
        <w:tc>
          <w:tcPr>
            <w:tcW w:w="50" w:type="pct"/>
            <w:shd w:val="clear" w:color="auto" w:fill="auto"/>
            <w:vAlign w:val="center"/>
          </w:tcPr>
          <w:p w14:paraId="1446E2E8" w14:textId="77777777" w:rsidR="00FE42B5" w:rsidRDefault="00FE42B5">
            <w:pPr>
              <w:rPr>
                <w:rFonts w:ascii="Times New Roman" w:hAnsi="Times New Roman"/>
                <w:sz w:val="20"/>
                <w:szCs w:val="20"/>
              </w:rPr>
            </w:pPr>
          </w:p>
        </w:tc>
        <w:tc>
          <w:tcPr>
            <w:tcW w:w="50" w:type="pct"/>
            <w:shd w:val="clear" w:color="auto" w:fill="auto"/>
            <w:vAlign w:val="center"/>
          </w:tcPr>
          <w:p w14:paraId="1446E2E9" w14:textId="77777777" w:rsidR="00FE42B5" w:rsidRDefault="00FE42B5">
            <w:pPr>
              <w:rPr>
                <w:rFonts w:ascii="Times New Roman" w:hAnsi="Times New Roman"/>
                <w:sz w:val="20"/>
                <w:szCs w:val="20"/>
              </w:rPr>
            </w:pPr>
          </w:p>
        </w:tc>
        <w:tc>
          <w:tcPr>
            <w:tcW w:w="550" w:type="pct"/>
            <w:shd w:val="clear" w:color="auto" w:fill="auto"/>
            <w:vAlign w:val="center"/>
          </w:tcPr>
          <w:p w14:paraId="1446E2EA" w14:textId="77777777" w:rsidR="00FE42B5" w:rsidRDefault="00FE42B5">
            <w:pPr>
              <w:rPr>
                <w:rFonts w:ascii="Times New Roman" w:hAnsi="Times New Roman"/>
                <w:sz w:val="20"/>
                <w:szCs w:val="20"/>
              </w:rPr>
            </w:pPr>
          </w:p>
        </w:tc>
        <w:tc>
          <w:tcPr>
            <w:tcW w:w="50" w:type="pct"/>
            <w:shd w:val="clear" w:color="auto" w:fill="auto"/>
            <w:vAlign w:val="center"/>
          </w:tcPr>
          <w:p w14:paraId="1446E2EB" w14:textId="77777777" w:rsidR="00FE42B5" w:rsidRDefault="00FE42B5">
            <w:pPr>
              <w:rPr>
                <w:rFonts w:ascii="Times New Roman" w:hAnsi="Times New Roman"/>
                <w:sz w:val="20"/>
                <w:szCs w:val="20"/>
              </w:rPr>
            </w:pPr>
          </w:p>
        </w:tc>
      </w:tr>
      <w:tr w:rsidR="00FE42B5" w14:paraId="1446E2EF" w14:textId="77777777">
        <w:tc>
          <w:tcPr>
            <w:tcW w:w="0" w:type="auto"/>
            <w:shd w:val="clear" w:color="auto" w:fill="auto"/>
            <w:tcMar>
              <w:top w:w="40" w:type="dxa"/>
              <w:left w:w="40" w:type="dxa"/>
              <w:bottom w:w="40" w:type="dxa"/>
              <w:right w:w="40" w:type="dxa"/>
            </w:tcMar>
            <w:vAlign w:val="bottom"/>
          </w:tcPr>
          <w:p w14:paraId="1446E2ED"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E2EE"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r>
      <w:tr w:rsidR="00FE42B5" w14:paraId="1446E2F4" w14:textId="77777777">
        <w:tc>
          <w:tcPr>
            <w:tcW w:w="0" w:type="auto"/>
            <w:shd w:val="clear" w:color="auto" w:fill="auto"/>
            <w:tcMar>
              <w:top w:w="40" w:type="dxa"/>
              <w:left w:w="40" w:type="dxa"/>
              <w:bottom w:w="40" w:type="dxa"/>
              <w:right w:w="40" w:type="dxa"/>
            </w:tcMar>
            <w:vAlign w:val="bottom"/>
          </w:tcPr>
          <w:p w14:paraId="1446E2F0"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2F1"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1446E2F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2F3"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E42B5" w14:paraId="1446E2FD" w14:textId="77777777">
        <w:tc>
          <w:tcPr>
            <w:tcW w:w="0" w:type="auto"/>
            <w:shd w:val="clear" w:color="auto" w:fill="CCEEFF"/>
            <w:tcMar>
              <w:top w:w="40" w:type="dxa"/>
              <w:left w:w="40" w:type="dxa"/>
              <w:bottom w:w="40" w:type="dxa"/>
              <w:right w:w="40" w:type="dxa"/>
            </w:tcMar>
          </w:tcPr>
          <w:p w14:paraId="1446E2F5"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Net income</w:t>
            </w:r>
          </w:p>
        </w:tc>
        <w:tc>
          <w:tcPr>
            <w:tcW w:w="0" w:type="auto"/>
            <w:tcBorders>
              <w:top w:val="single" w:sz="8" w:space="0" w:color="000000"/>
            </w:tcBorders>
            <w:shd w:val="clear" w:color="auto" w:fill="CCEEFF"/>
            <w:tcMar>
              <w:top w:w="40" w:type="dxa"/>
              <w:left w:w="40" w:type="dxa"/>
              <w:bottom w:w="40" w:type="dxa"/>
            </w:tcMar>
            <w:vAlign w:val="bottom"/>
          </w:tcPr>
          <w:p w14:paraId="1446E2F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446E2F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4,902</w:t>
            </w:r>
          </w:p>
        </w:tc>
        <w:tc>
          <w:tcPr>
            <w:tcW w:w="0" w:type="auto"/>
            <w:tcBorders>
              <w:top w:val="single" w:sz="8" w:space="0" w:color="000000"/>
            </w:tcBorders>
            <w:shd w:val="clear" w:color="auto" w:fill="CCEEFF"/>
            <w:vAlign w:val="bottom"/>
          </w:tcPr>
          <w:p w14:paraId="1446E2F8"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2F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2F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446E2F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2,429</w:t>
            </w:r>
          </w:p>
        </w:tc>
        <w:tc>
          <w:tcPr>
            <w:tcW w:w="0" w:type="auto"/>
            <w:tcBorders>
              <w:top w:val="single" w:sz="8" w:space="0" w:color="000000"/>
            </w:tcBorders>
            <w:shd w:val="clear" w:color="auto" w:fill="CCEEFF"/>
            <w:vAlign w:val="bottom"/>
          </w:tcPr>
          <w:p w14:paraId="1446E2FC" w14:textId="77777777" w:rsidR="00FE42B5" w:rsidRDefault="00FE42B5">
            <w:pPr>
              <w:textAlignment w:val="bottom"/>
              <w:rPr>
                <w:rFonts w:ascii="Times New Roman" w:hAnsi="Times New Roman"/>
                <w:sz w:val="20"/>
                <w:szCs w:val="20"/>
              </w:rPr>
            </w:pPr>
          </w:p>
        </w:tc>
      </w:tr>
      <w:tr w:rsidR="00FE42B5" w14:paraId="1446E302" w14:textId="77777777">
        <w:tc>
          <w:tcPr>
            <w:tcW w:w="0" w:type="auto"/>
            <w:shd w:val="clear" w:color="auto" w:fill="auto"/>
            <w:tcMar>
              <w:top w:w="40" w:type="dxa"/>
              <w:left w:w="40" w:type="dxa"/>
              <w:bottom w:w="40" w:type="dxa"/>
              <w:right w:w="40" w:type="dxa"/>
            </w:tcMar>
          </w:tcPr>
          <w:p w14:paraId="1446E2FE"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Other comprehensive income (loss):</w:t>
            </w:r>
          </w:p>
        </w:tc>
        <w:tc>
          <w:tcPr>
            <w:tcW w:w="0" w:type="auto"/>
            <w:gridSpan w:val="3"/>
            <w:shd w:val="clear" w:color="auto" w:fill="auto"/>
            <w:tcMar>
              <w:top w:w="40" w:type="dxa"/>
              <w:left w:w="40" w:type="dxa"/>
              <w:bottom w:w="40" w:type="dxa"/>
              <w:right w:w="40" w:type="dxa"/>
            </w:tcMar>
            <w:vAlign w:val="bottom"/>
          </w:tcPr>
          <w:p w14:paraId="1446E2F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30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30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309" w14:textId="77777777">
        <w:tc>
          <w:tcPr>
            <w:tcW w:w="0" w:type="auto"/>
            <w:shd w:val="clear" w:color="auto" w:fill="CCEEFF"/>
            <w:tcMar>
              <w:top w:w="40" w:type="dxa"/>
              <w:left w:w="560" w:type="dxa"/>
              <w:bottom w:w="40" w:type="dxa"/>
              <w:right w:w="40" w:type="dxa"/>
            </w:tcMar>
          </w:tcPr>
          <w:p w14:paraId="1446E303"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Change in foreign currency translation adjustment, net of tax</w:t>
            </w:r>
          </w:p>
        </w:tc>
        <w:tc>
          <w:tcPr>
            <w:tcW w:w="0" w:type="auto"/>
            <w:gridSpan w:val="2"/>
            <w:shd w:val="clear" w:color="auto" w:fill="CCEEFF"/>
            <w:tcMar>
              <w:top w:w="40" w:type="dxa"/>
              <w:left w:w="40" w:type="dxa"/>
              <w:bottom w:w="40" w:type="dxa"/>
            </w:tcMar>
            <w:vAlign w:val="bottom"/>
          </w:tcPr>
          <w:p w14:paraId="1446E30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(376</w:t>
            </w:r>
          </w:p>
        </w:tc>
        <w:tc>
          <w:tcPr>
            <w:tcW w:w="0" w:type="auto"/>
            <w:shd w:val="clear" w:color="auto" w:fill="CCEEFF"/>
            <w:tcMar>
              <w:top w:w="40" w:type="dxa"/>
              <w:bottom w:w="40" w:type="dxa"/>
              <w:right w:w="40" w:type="dxa"/>
            </w:tcMar>
            <w:vAlign w:val="bottom"/>
          </w:tcPr>
          <w:p w14:paraId="1446E30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30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30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shd w:val="clear" w:color="auto" w:fill="CCEEFF"/>
            <w:tcMar>
              <w:top w:w="40" w:type="dxa"/>
              <w:bottom w:w="40" w:type="dxa"/>
              <w:right w:w="40" w:type="dxa"/>
            </w:tcMar>
            <w:vAlign w:val="bottom"/>
          </w:tcPr>
          <w:p w14:paraId="1446E30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310" w14:textId="77777777">
        <w:tc>
          <w:tcPr>
            <w:tcW w:w="0" w:type="auto"/>
            <w:shd w:val="clear" w:color="auto" w:fill="auto"/>
            <w:tcMar>
              <w:top w:w="40" w:type="dxa"/>
              <w:left w:w="560" w:type="dxa"/>
              <w:bottom w:w="40" w:type="dxa"/>
              <w:right w:w="40" w:type="dxa"/>
            </w:tcMar>
          </w:tcPr>
          <w:p w14:paraId="1446E30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Change in </w:t>
            </w:r>
            <w:r>
              <w:rPr>
                <w:rFonts w:ascii="Times New Roman" w:eastAsia="宋体" w:hAnsi="Times New Roman"/>
                <w:sz w:val="20"/>
                <w:szCs w:val="20"/>
              </w:rPr>
              <w:t>unrealized gain/loss on available-for-sale investments and other, net of tax</w:t>
            </w:r>
          </w:p>
        </w:tc>
        <w:tc>
          <w:tcPr>
            <w:tcW w:w="0" w:type="auto"/>
            <w:gridSpan w:val="2"/>
            <w:tcBorders>
              <w:bottom w:val="single" w:sz="8" w:space="0" w:color="000000"/>
            </w:tcBorders>
            <w:shd w:val="clear" w:color="auto" w:fill="auto"/>
            <w:tcMar>
              <w:top w:w="40" w:type="dxa"/>
              <w:left w:w="40" w:type="dxa"/>
              <w:bottom w:w="40" w:type="dxa"/>
            </w:tcMar>
            <w:vAlign w:val="bottom"/>
          </w:tcPr>
          <w:p w14:paraId="1446E30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321</w:t>
            </w:r>
          </w:p>
        </w:tc>
        <w:tc>
          <w:tcPr>
            <w:tcW w:w="0" w:type="auto"/>
            <w:tcBorders>
              <w:bottom w:val="single" w:sz="8" w:space="0" w:color="000000"/>
            </w:tcBorders>
            <w:shd w:val="clear" w:color="auto" w:fill="auto"/>
            <w:vAlign w:val="bottom"/>
          </w:tcPr>
          <w:p w14:paraId="1446E30C"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0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30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154</w:t>
            </w:r>
          </w:p>
        </w:tc>
        <w:tc>
          <w:tcPr>
            <w:tcW w:w="0" w:type="auto"/>
            <w:shd w:val="clear" w:color="auto" w:fill="auto"/>
            <w:vAlign w:val="bottom"/>
          </w:tcPr>
          <w:p w14:paraId="1446E30F" w14:textId="77777777" w:rsidR="00FE42B5" w:rsidRDefault="00FE42B5">
            <w:pPr>
              <w:textAlignment w:val="bottom"/>
              <w:rPr>
                <w:rFonts w:ascii="Times New Roman" w:hAnsi="Times New Roman"/>
                <w:sz w:val="20"/>
                <w:szCs w:val="20"/>
              </w:rPr>
            </w:pPr>
          </w:p>
        </w:tc>
      </w:tr>
      <w:tr w:rsidR="00FE42B5" w14:paraId="1446E319" w14:textId="77777777">
        <w:tc>
          <w:tcPr>
            <w:tcW w:w="0" w:type="auto"/>
            <w:shd w:val="clear" w:color="auto" w:fill="CCEEFF"/>
            <w:tcMar>
              <w:top w:w="40" w:type="dxa"/>
              <w:left w:w="40" w:type="dxa"/>
              <w:bottom w:w="40" w:type="dxa"/>
              <w:right w:w="40" w:type="dxa"/>
            </w:tcMar>
          </w:tcPr>
          <w:p w14:paraId="1446E311"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Comprehensive income</w:t>
            </w:r>
          </w:p>
        </w:tc>
        <w:tc>
          <w:tcPr>
            <w:tcW w:w="0" w:type="auto"/>
            <w:tcBorders>
              <w:bottom w:val="double" w:sz="6" w:space="0" w:color="000000"/>
            </w:tcBorders>
            <w:shd w:val="clear" w:color="auto" w:fill="CCEEFF"/>
            <w:tcMar>
              <w:top w:w="40" w:type="dxa"/>
              <w:left w:w="40" w:type="dxa"/>
              <w:bottom w:w="40" w:type="dxa"/>
            </w:tcMar>
            <w:vAlign w:val="bottom"/>
          </w:tcPr>
          <w:p w14:paraId="1446E31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31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4,847</w:t>
            </w:r>
          </w:p>
        </w:tc>
        <w:tc>
          <w:tcPr>
            <w:tcW w:w="0" w:type="auto"/>
            <w:tcBorders>
              <w:bottom w:val="double" w:sz="6" w:space="0" w:color="000000"/>
            </w:tcBorders>
            <w:shd w:val="clear" w:color="auto" w:fill="CCEEFF"/>
            <w:vAlign w:val="bottom"/>
          </w:tcPr>
          <w:p w14:paraId="1446E314"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1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E31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E31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2,408</w:t>
            </w:r>
          </w:p>
        </w:tc>
        <w:tc>
          <w:tcPr>
            <w:tcW w:w="0" w:type="auto"/>
            <w:tcBorders>
              <w:top w:val="single" w:sz="8" w:space="0" w:color="000000"/>
              <w:bottom w:val="double" w:sz="6" w:space="0" w:color="000000"/>
            </w:tcBorders>
            <w:shd w:val="clear" w:color="auto" w:fill="CCEEFF"/>
            <w:vAlign w:val="bottom"/>
          </w:tcPr>
          <w:p w14:paraId="1446E318" w14:textId="77777777" w:rsidR="00FE42B5" w:rsidRDefault="00FE42B5">
            <w:pPr>
              <w:textAlignment w:val="bottom"/>
              <w:rPr>
                <w:rFonts w:ascii="Times New Roman" w:hAnsi="Times New Roman"/>
                <w:sz w:val="20"/>
                <w:szCs w:val="20"/>
              </w:rPr>
            </w:pPr>
          </w:p>
        </w:tc>
      </w:tr>
    </w:tbl>
    <w:p w14:paraId="1446E31A"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See Accompanying Notes to Condensed Consolidated Financial Statements.</w:t>
      </w:r>
    </w:p>
    <w:p w14:paraId="1446E31B" w14:textId="77777777" w:rsidR="00FE42B5" w:rsidRDefault="00FE42B5">
      <w:pPr>
        <w:rPr>
          <w:rFonts w:ascii="Times New Roman" w:hAnsi="Times New Roman"/>
          <w:sz w:val="20"/>
          <w:szCs w:val="20"/>
        </w:rPr>
      </w:pPr>
    </w:p>
    <w:p w14:paraId="1446E31C"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9</w:t>
      </w:r>
    </w:p>
    <w:p w14:paraId="1446E31D" w14:textId="77777777" w:rsidR="00FE42B5" w:rsidRDefault="009213DC">
      <w:r>
        <w:rPr>
          <w:rFonts w:ascii="Times New Roman" w:hAnsi="Times New Roman"/>
          <w:sz w:val="20"/>
          <w:szCs w:val="20"/>
        </w:rPr>
        <w:pict w14:anchorId="1446FAC1">
          <v:rect id="_x0000_i1033" style="width:415.3pt;height:1.5pt" o:hralign="center" o:hrstd="t" o:hr="t" fillcolor="#a0a0a0" stroked="f"/>
        </w:pict>
      </w:r>
    </w:p>
    <w:p w14:paraId="1446E31E" w14:textId="77777777" w:rsidR="00FE42B5" w:rsidRDefault="009213DC">
      <w:pPr>
        <w:spacing w:line="288" w:lineRule="auto"/>
        <w:rPr>
          <w:rFonts w:ascii="Times New Roman" w:hAnsi="Times New Roman"/>
          <w:sz w:val="20"/>
          <w:szCs w:val="20"/>
        </w:rPr>
      </w:pPr>
      <w:hyperlink r:id="rId51" w:anchor="sBB4BED1571A45A16AF3DC2E3B69C901C" w:history="1">
        <w:r>
          <w:rPr>
            <w:rStyle w:val="a5"/>
            <w:rFonts w:ascii="Times New Roman" w:eastAsia="宋体" w:hAnsi="Times New Roman"/>
            <w:sz w:val="20"/>
            <w:szCs w:val="20"/>
          </w:rPr>
          <w:t>Table of Contents</w:t>
        </w:r>
      </w:hyperlink>
    </w:p>
    <w:p w14:paraId="1446E31F" w14:textId="77777777" w:rsidR="00FE42B5" w:rsidRDefault="00FE42B5">
      <w:pPr>
        <w:rPr>
          <w:rFonts w:ascii="Times New Roman" w:hAnsi="Times New Roman"/>
          <w:sz w:val="20"/>
          <w:szCs w:val="20"/>
        </w:rPr>
      </w:pPr>
    </w:p>
    <w:p w14:paraId="1446E320"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1446E321"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STOCKHOLDERS' EQUITY</w:t>
      </w:r>
    </w:p>
    <w:p w14:paraId="1446E322"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(In million</w:t>
      </w:r>
      <w:r>
        <w:rPr>
          <w:rFonts w:ascii="Times New Roman" w:eastAsia="宋体" w:hAnsi="Times New Roman"/>
          <w:i/>
          <w:iCs/>
          <w:sz w:val="18"/>
          <w:szCs w:val="18"/>
        </w:rPr>
        <w:t>s)</w:t>
      </w:r>
    </w:p>
    <w:p w14:paraId="1446E323"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(Unaudited)</w:t>
      </w:r>
      <w:r>
        <w:rPr>
          <w:rFonts w:ascii="Times New Roman" w:eastAsia="宋体" w:hAnsi="Times New Roman"/>
          <w:sz w:val="18"/>
          <w:szCs w:val="18"/>
        </w:rPr>
        <w:t> </w:t>
      </w:r>
    </w:p>
    <w:p w14:paraId="1446E324" w14:textId="77777777" w:rsidR="00FE42B5" w:rsidRDefault="00FE42B5">
      <w:pPr>
        <w:spacing w:line="288" w:lineRule="auto"/>
        <w:jc w:val="center"/>
        <w:rPr>
          <w:rFonts w:ascii="Times New Roman" w:hAnsi="Times New Roman"/>
          <w:sz w:val="18"/>
          <w:szCs w:val="18"/>
        </w:rPr>
      </w:pPr>
    </w:p>
    <w:tbl>
      <w:tblPr>
        <w:tblW w:w="5000" w:type="pct"/>
        <w:jc w:val="center"/>
        <w:tblCellMar>
          <w:left w:w="0" w:type="dxa"/>
          <w:right w:w="0" w:type="dxa"/>
        </w:tblCellMar>
        <w:tblLook w:val="04A0" w:firstRow="1" w:lastRow="0" w:firstColumn="1" w:lastColumn="0" w:noHBand="0" w:noVBand="1"/>
      </w:tblPr>
      <w:tblGrid>
        <w:gridCol w:w="744"/>
        <w:gridCol w:w="304"/>
        <w:gridCol w:w="78"/>
        <w:gridCol w:w="112"/>
        <w:gridCol w:w="111"/>
        <w:gridCol w:w="182"/>
        <w:gridCol w:w="61"/>
        <w:gridCol w:w="110"/>
        <w:gridCol w:w="113"/>
        <w:gridCol w:w="329"/>
        <w:gridCol w:w="98"/>
        <w:gridCol w:w="110"/>
        <w:gridCol w:w="111"/>
        <w:gridCol w:w="543"/>
        <w:gridCol w:w="93"/>
        <w:gridCol w:w="110"/>
        <w:gridCol w:w="110"/>
        <w:gridCol w:w="301"/>
        <w:gridCol w:w="77"/>
        <w:gridCol w:w="110"/>
        <w:gridCol w:w="111"/>
        <w:gridCol w:w="463"/>
        <w:gridCol w:w="92"/>
        <w:gridCol w:w="110"/>
        <w:gridCol w:w="303"/>
        <w:gridCol w:w="77"/>
        <w:gridCol w:w="111"/>
        <w:gridCol w:w="110"/>
        <w:gridCol w:w="181"/>
        <w:gridCol w:w="60"/>
        <w:gridCol w:w="110"/>
        <w:gridCol w:w="113"/>
        <w:gridCol w:w="329"/>
        <w:gridCol w:w="98"/>
        <w:gridCol w:w="110"/>
        <w:gridCol w:w="111"/>
        <w:gridCol w:w="543"/>
        <w:gridCol w:w="93"/>
        <w:gridCol w:w="110"/>
        <w:gridCol w:w="110"/>
        <w:gridCol w:w="301"/>
        <w:gridCol w:w="77"/>
        <w:gridCol w:w="110"/>
        <w:gridCol w:w="111"/>
        <w:gridCol w:w="463"/>
        <w:gridCol w:w="92"/>
      </w:tblGrid>
      <w:tr w:rsidR="00FE42B5" w14:paraId="1446E326" w14:textId="77777777">
        <w:trPr>
          <w:jc w:val="center"/>
        </w:trPr>
        <w:tc>
          <w:tcPr>
            <w:tcW w:w="0" w:type="auto"/>
            <w:gridSpan w:val="46"/>
            <w:shd w:val="clear" w:color="auto" w:fill="auto"/>
            <w:vAlign w:val="center"/>
          </w:tcPr>
          <w:p w14:paraId="1446E325" w14:textId="77777777" w:rsidR="00FE42B5" w:rsidRDefault="00FE42B5">
            <w:pPr>
              <w:rPr>
                <w:rFonts w:ascii="Times New Roman" w:hAnsi="Times New Roman"/>
                <w:sz w:val="20"/>
                <w:szCs w:val="20"/>
              </w:rPr>
            </w:pPr>
          </w:p>
        </w:tc>
      </w:tr>
      <w:tr w:rsidR="00FE42B5" w14:paraId="1446E355" w14:textId="77777777">
        <w:trPr>
          <w:jc w:val="center"/>
        </w:trPr>
        <w:tc>
          <w:tcPr>
            <w:tcW w:w="550" w:type="pct"/>
            <w:shd w:val="clear" w:color="auto" w:fill="auto"/>
            <w:vAlign w:val="center"/>
          </w:tcPr>
          <w:p w14:paraId="1446E327" w14:textId="77777777" w:rsidR="00FE42B5" w:rsidRDefault="00FE42B5">
            <w:pPr>
              <w:rPr>
                <w:rFonts w:ascii="Times New Roman" w:hAnsi="Times New Roman"/>
                <w:sz w:val="20"/>
                <w:szCs w:val="20"/>
              </w:rPr>
            </w:pPr>
          </w:p>
        </w:tc>
        <w:tc>
          <w:tcPr>
            <w:tcW w:w="200" w:type="pct"/>
            <w:shd w:val="clear" w:color="auto" w:fill="auto"/>
            <w:vAlign w:val="center"/>
          </w:tcPr>
          <w:p w14:paraId="1446E328" w14:textId="77777777" w:rsidR="00FE42B5" w:rsidRDefault="00FE42B5">
            <w:pPr>
              <w:rPr>
                <w:rFonts w:ascii="Times New Roman" w:hAnsi="Times New Roman"/>
                <w:sz w:val="20"/>
                <w:szCs w:val="20"/>
              </w:rPr>
            </w:pPr>
          </w:p>
        </w:tc>
        <w:tc>
          <w:tcPr>
            <w:tcW w:w="50" w:type="pct"/>
            <w:shd w:val="clear" w:color="auto" w:fill="auto"/>
            <w:vAlign w:val="center"/>
          </w:tcPr>
          <w:p w14:paraId="1446E329" w14:textId="77777777" w:rsidR="00FE42B5" w:rsidRDefault="00FE42B5">
            <w:pPr>
              <w:rPr>
                <w:rFonts w:ascii="Times New Roman" w:hAnsi="Times New Roman"/>
                <w:sz w:val="20"/>
                <w:szCs w:val="20"/>
              </w:rPr>
            </w:pPr>
          </w:p>
        </w:tc>
        <w:tc>
          <w:tcPr>
            <w:tcW w:w="50" w:type="pct"/>
            <w:shd w:val="clear" w:color="auto" w:fill="auto"/>
            <w:vAlign w:val="center"/>
          </w:tcPr>
          <w:p w14:paraId="1446E32A" w14:textId="77777777" w:rsidR="00FE42B5" w:rsidRDefault="00FE42B5">
            <w:pPr>
              <w:rPr>
                <w:rFonts w:ascii="Times New Roman" w:hAnsi="Times New Roman"/>
                <w:sz w:val="20"/>
                <w:szCs w:val="20"/>
              </w:rPr>
            </w:pPr>
          </w:p>
        </w:tc>
        <w:tc>
          <w:tcPr>
            <w:tcW w:w="50" w:type="pct"/>
            <w:shd w:val="clear" w:color="auto" w:fill="auto"/>
            <w:vAlign w:val="center"/>
          </w:tcPr>
          <w:p w14:paraId="1446E32B" w14:textId="77777777" w:rsidR="00FE42B5" w:rsidRDefault="00FE42B5">
            <w:pPr>
              <w:rPr>
                <w:rFonts w:ascii="Times New Roman" w:hAnsi="Times New Roman"/>
                <w:sz w:val="20"/>
                <w:szCs w:val="20"/>
              </w:rPr>
            </w:pPr>
          </w:p>
        </w:tc>
        <w:tc>
          <w:tcPr>
            <w:tcW w:w="150" w:type="pct"/>
            <w:shd w:val="clear" w:color="auto" w:fill="auto"/>
            <w:vAlign w:val="center"/>
          </w:tcPr>
          <w:p w14:paraId="1446E32C" w14:textId="77777777" w:rsidR="00FE42B5" w:rsidRDefault="00FE42B5">
            <w:pPr>
              <w:rPr>
                <w:rFonts w:ascii="Times New Roman" w:hAnsi="Times New Roman"/>
                <w:sz w:val="20"/>
                <w:szCs w:val="20"/>
              </w:rPr>
            </w:pPr>
          </w:p>
        </w:tc>
        <w:tc>
          <w:tcPr>
            <w:tcW w:w="50" w:type="pct"/>
            <w:shd w:val="clear" w:color="auto" w:fill="auto"/>
            <w:vAlign w:val="center"/>
          </w:tcPr>
          <w:p w14:paraId="1446E32D" w14:textId="77777777" w:rsidR="00FE42B5" w:rsidRDefault="00FE42B5">
            <w:pPr>
              <w:rPr>
                <w:rFonts w:ascii="Times New Roman" w:hAnsi="Times New Roman"/>
                <w:sz w:val="20"/>
                <w:szCs w:val="20"/>
              </w:rPr>
            </w:pPr>
          </w:p>
        </w:tc>
        <w:tc>
          <w:tcPr>
            <w:tcW w:w="50" w:type="pct"/>
            <w:shd w:val="clear" w:color="auto" w:fill="auto"/>
            <w:vAlign w:val="center"/>
          </w:tcPr>
          <w:p w14:paraId="1446E32E" w14:textId="77777777" w:rsidR="00FE42B5" w:rsidRDefault="00FE42B5">
            <w:pPr>
              <w:rPr>
                <w:rFonts w:ascii="Times New Roman" w:hAnsi="Times New Roman"/>
                <w:sz w:val="20"/>
                <w:szCs w:val="20"/>
              </w:rPr>
            </w:pPr>
          </w:p>
        </w:tc>
        <w:tc>
          <w:tcPr>
            <w:tcW w:w="50" w:type="pct"/>
            <w:shd w:val="clear" w:color="auto" w:fill="auto"/>
            <w:vAlign w:val="center"/>
          </w:tcPr>
          <w:p w14:paraId="1446E32F" w14:textId="77777777" w:rsidR="00FE42B5" w:rsidRDefault="00FE42B5">
            <w:pPr>
              <w:rPr>
                <w:rFonts w:ascii="Times New Roman" w:hAnsi="Times New Roman"/>
                <w:sz w:val="20"/>
                <w:szCs w:val="20"/>
              </w:rPr>
            </w:pPr>
          </w:p>
        </w:tc>
        <w:tc>
          <w:tcPr>
            <w:tcW w:w="200" w:type="pct"/>
            <w:shd w:val="clear" w:color="auto" w:fill="auto"/>
            <w:vAlign w:val="center"/>
          </w:tcPr>
          <w:p w14:paraId="1446E330" w14:textId="77777777" w:rsidR="00FE42B5" w:rsidRDefault="00FE42B5">
            <w:pPr>
              <w:rPr>
                <w:rFonts w:ascii="Times New Roman" w:hAnsi="Times New Roman"/>
                <w:sz w:val="20"/>
                <w:szCs w:val="20"/>
              </w:rPr>
            </w:pPr>
          </w:p>
        </w:tc>
        <w:tc>
          <w:tcPr>
            <w:tcW w:w="50" w:type="pct"/>
            <w:shd w:val="clear" w:color="auto" w:fill="auto"/>
            <w:vAlign w:val="center"/>
          </w:tcPr>
          <w:p w14:paraId="1446E331" w14:textId="77777777" w:rsidR="00FE42B5" w:rsidRDefault="00FE42B5">
            <w:pPr>
              <w:rPr>
                <w:rFonts w:ascii="Times New Roman" w:hAnsi="Times New Roman"/>
                <w:sz w:val="20"/>
                <w:szCs w:val="20"/>
              </w:rPr>
            </w:pPr>
          </w:p>
        </w:tc>
        <w:tc>
          <w:tcPr>
            <w:tcW w:w="50" w:type="pct"/>
            <w:shd w:val="clear" w:color="auto" w:fill="auto"/>
            <w:vAlign w:val="center"/>
          </w:tcPr>
          <w:p w14:paraId="1446E332" w14:textId="77777777" w:rsidR="00FE42B5" w:rsidRDefault="00FE42B5">
            <w:pPr>
              <w:rPr>
                <w:rFonts w:ascii="Times New Roman" w:hAnsi="Times New Roman"/>
                <w:sz w:val="20"/>
                <w:szCs w:val="20"/>
              </w:rPr>
            </w:pPr>
          </w:p>
        </w:tc>
        <w:tc>
          <w:tcPr>
            <w:tcW w:w="50" w:type="pct"/>
            <w:shd w:val="clear" w:color="auto" w:fill="auto"/>
            <w:vAlign w:val="center"/>
          </w:tcPr>
          <w:p w14:paraId="1446E333" w14:textId="77777777" w:rsidR="00FE42B5" w:rsidRDefault="00FE42B5">
            <w:pPr>
              <w:rPr>
                <w:rFonts w:ascii="Times New Roman" w:hAnsi="Times New Roman"/>
                <w:sz w:val="20"/>
                <w:szCs w:val="20"/>
              </w:rPr>
            </w:pPr>
          </w:p>
        </w:tc>
        <w:tc>
          <w:tcPr>
            <w:tcW w:w="350" w:type="pct"/>
            <w:shd w:val="clear" w:color="auto" w:fill="auto"/>
            <w:vAlign w:val="center"/>
          </w:tcPr>
          <w:p w14:paraId="1446E334" w14:textId="77777777" w:rsidR="00FE42B5" w:rsidRDefault="00FE42B5">
            <w:pPr>
              <w:rPr>
                <w:rFonts w:ascii="Times New Roman" w:hAnsi="Times New Roman"/>
                <w:sz w:val="20"/>
                <w:szCs w:val="20"/>
              </w:rPr>
            </w:pPr>
          </w:p>
        </w:tc>
        <w:tc>
          <w:tcPr>
            <w:tcW w:w="50" w:type="pct"/>
            <w:shd w:val="clear" w:color="auto" w:fill="auto"/>
            <w:vAlign w:val="center"/>
          </w:tcPr>
          <w:p w14:paraId="1446E335" w14:textId="77777777" w:rsidR="00FE42B5" w:rsidRDefault="00FE42B5">
            <w:pPr>
              <w:rPr>
                <w:rFonts w:ascii="Times New Roman" w:hAnsi="Times New Roman"/>
                <w:sz w:val="20"/>
                <w:szCs w:val="20"/>
              </w:rPr>
            </w:pPr>
          </w:p>
        </w:tc>
        <w:tc>
          <w:tcPr>
            <w:tcW w:w="50" w:type="pct"/>
            <w:shd w:val="clear" w:color="auto" w:fill="auto"/>
            <w:vAlign w:val="center"/>
          </w:tcPr>
          <w:p w14:paraId="1446E336" w14:textId="77777777" w:rsidR="00FE42B5" w:rsidRDefault="00FE42B5">
            <w:pPr>
              <w:rPr>
                <w:rFonts w:ascii="Times New Roman" w:hAnsi="Times New Roman"/>
                <w:sz w:val="20"/>
                <w:szCs w:val="20"/>
              </w:rPr>
            </w:pPr>
          </w:p>
        </w:tc>
        <w:tc>
          <w:tcPr>
            <w:tcW w:w="50" w:type="pct"/>
            <w:shd w:val="clear" w:color="auto" w:fill="auto"/>
            <w:vAlign w:val="center"/>
          </w:tcPr>
          <w:p w14:paraId="1446E337" w14:textId="77777777" w:rsidR="00FE42B5" w:rsidRDefault="00FE42B5">
            <w:pPr>
              <w:rPr>
                <w:rFonts w:ascii="Times New Roman" w:hAnsi="Times New Roman"/>
                <w:sz w:val="20"/>
                <w:szCs w:val="20"/>
              </w:rPr>
            </w:pPr>
          </w:p>
        </w:tc>
        <w:tc>
          <w:tcPr>
            <w:tcW w:w="200" w:type="pct"/>
            <w:shd w:val="clear" w:color="auto" w:fill="auto"/>
            <w:vAlign w:val="center"/>
          </w:tcPr>
          <w:p w14:paraId="1446E338" w14:textId="77777777" w:rsidR="00FE42B5" w:rsidRDefault="00FE42B5">
            <w:pPr>
              <w:rPr>
                <w:rFonts w:ascii="Times New Roman" w:hAnsi="Times New Roman"/>
                <w:sz w:val="20"/>
                <w:szCs w:val="20"/>
              </w:rPr>
            </w:pPr>
          </w:p>
        </w:tc>
        <w:tc>
          <w:tcPr>
            <w:tcW w:w="50" w:type="pct"/>
            <w:shd w:val="clear" w:color="auto" w:fill="auto"/>
            <w:vAlign w:val="center"/>
          </w:tcPr>
          <w:p w14:paraId="1446E339" w14:textId="77777777" w:rsidR="00FE42B5" w:rsidRDefault="00FE42B5">
            <w:pPr>
              <w:rPr>
                <w:rFonts w:ascii="Times New Roman" w:hAnsi="Times New Roman"/>
                <w:sz w:val="20"/>
                <w:szCs w:val="20"/>
              </w:rPr>
            </w:pPr>
          </w:p>
        </w:tc>
        <w:tc>
          <w:tcPr>
            <w:tcW w:w="50" w:type="pct"/>
            <w:shd w:val="clear" w:color="auto" w:fill="auto"/>
            <w:vAlign w:val="center"/>
          </w:tcPr>
          <w:p w14:paraId="1446E33A" w14:textId="77777777" w:rsidR="00FE42B5" w:rsidRDefault="00FE42B5">
            <w:pPr>
              <w:rPr>
                <w:rFonts w:ascii="Times New Roman" w:hAnsi="Times New Roman"/>
                <w:sz w:val="20"/>
                <w:szCs w:val="20"/>
              </w:rPr>
            </w:pPr>
          </w:p>
        </w:tc>
        <w:tc>
          <w:tcPr>
            <w:tcW w:w="50" w:type="pct"/>
            <w:shd w:val="clear" w:color="auto" w:fill="auto"/>
            <w:vAlign w:val="center"/>
          </w:tcPr>
          <w:p w14:paraId="1446E33B" w14:textId="77777777" w:rsidR="00FE42B5" w:rsidRDefault="00FE42B5">
            <w:pPr>
              <w:rPr>
                <w:rFonts w:ascii="Times New Roman" w:hAnsi="Times New Roman"/>
                <w:sz w:val="20"/>
                <w:szCs w:val="20"/>
              </w:rPr>
            </w:pPr>
          </w:p>
        </w:tc>
        <w:tc>
          <w:tcPr>
            <w:tcW w:w="300" w:type="pct"/>
            <w:shd w:val="clear" w:color="auto" w:fill="auto"/>
            <w:vAlign w:val="center"/>
          </w:tcPr>
          <w:p w14:paraId="1446E33C" w14:textId="77777777" w:rsidR="00FE42B5" w:rsidRDefault="00FE42B5">
            <w:pPr>
              <w:rPr>
                <w:rFonts w:ascii="Times New Roman" w:hAnsi="Times New Roman"/>
                <w:sz w:val="20"/>
                <w:szCs w:val="20"/>
              </w:rPr>
            </w:pPr>
          </w:p>
        </w:tc>
        <w:tc>
          <w:tcPr>
            <w:tcW w:w="50" w:type="pct"/>
            <w:shd w:val="clear" w:color="auto" w:fill="auto"/>
            <w:vAlign w:val="center"/>
          </w:tcPr>
          <w:p w14:paraId="1446E33D" w14:textId="77777777" w:rsidR="00FE42B5" w:rsidRDefault="00FE42B5">
            <w:pPr>
              <w:rPr>
                <w:rFonts w:ascii="Times New Roman" w:hAnsi="Times New Roman"/>
                <w:sz w:val="20"/>
                <w:szCs w:val="20"/>
              </w:rPr>
            </w:pPr>
          </w:p>
        </w:tc>
        <w:tc>
          <w:tcPr>
            <w:tcW w:w="50" w:type="pct"/>
            <w:shd w:val="clear" w:color="auto" w:fill="auto"/>
            <w:vAlign w:val="center"/>
          </w:tcPr>
          <w:p w14:paraId="1446E33E" w14:textId="77777777" w:rsidR="00FE42B5" w:rsidRDefault="00FE42B5">
            <w:pPr>
              <w:rPr>
                <w:rFonts w:ascii="Times New Roman" w:hAnsi="Times New Roman"/>
                <w:sz w:val="20"/>
                <w:szCs w:val="20"/>
              </w:rPr>
            </w:pPr>
          </w:p>
        </w:tc>
        <w:tc>
          <w:tcPr>
            <w:tcW w:w="200" w:type="pct"/>
            <w:shd w:val="clear" w:color="auto" w:fill="auto"/>
            <w:vAlign w:val="center"/>
          </w:tcPr>
          <w:p w14:paraId="1446E33F" w14:textId="77777777" w:rsidR="00FE42B5" w:rsidRDefault="00FE42B5">
            <w:pPr>
              <w:rPr>
                <w:rFonts w:ascii="Times New Roman" w:hAnsi="Times New Roman"/>
                <w:sz w:val="20"/>
                <w:szCs w:val="20"/>
              </w:rPr>
            </w:pPr>
          </w:p>
        </w:tc>
        <w:tc>
          <w:tcPr>
            <w:tcW w:w="50" w:type="pct"/>
            <w:shd w:val="clear" w:color="auto" w:fill="auto"/>
            <w:vAlign w:val="center"/>
          </w:tcPr>
          <w:p w14:paraId="1446E340" w14:textId="77777777" w:rsidR="00FE42B5" w:rsidRDefault="00FE42B5">
            <w:pPr>
              <w:rPr>
                <w:rFonts w:ascii="Times New Roman" w:hAnsi="Times New Roman"/>
                <w:sz w:val="20"/>
                <w:szCs w:val="20"/>
              </w:rPr>
            </w:pPr>
          </w:p>
        </w:tc>
        <w:tc>
          <w:tcPr>
            <w:tcW w:w="50" w:type="pct"/>
            <w:shd w:val="clear" w:color="auto" w:fill="auto"/>
            <w:vAlign w:val="center"/>
          </w:tcPr>
          <w:p w14:paraId="1446E341" w14:textId="77777777" w:rsidR="00FE42B5" w:rsidRDefault="00FE42B5">
            <w:pPr>
              <w:rPr>
                <w:rFonts w:ascii="Times New Roman" w:hAnsi="Times New Roman"/>
                <w:sz w:val="20"/>
                <w:szCs w:val="20"/>
              </w:rPr>
            </w:pPr>
          </w:p>
        </w:tc>
        <w:tc>
          <w:tcPr>
            <w:tcW w:w="50" w:type="pct"/>
            <w:shd w:val="clear" w:color="auto" w:fill="auto"/>
            <w:vAlign w:val="center"/>
          </w:tcPr>
          <w:p w14:paraId="1446E342" w14:textId="77777777" w:rsidR="00FE42B5" w:rsidRDefault="00FE42B5">
            <w:pPr>
              <w:rPr>
                <w:rFonts w:ascii="Times New Roman" w:hAnsi="Times New Roman"/>
                <w:sz w:val="20"/>
                <w:szCs w:val="20"/>
              </w:rPr>
            </w:pPr>
          </w:p>
        </w:tc>
        <w:tc>
          <w:tcPr>
            <w:tcW w:w="150" w:type="pct"/>
            <w:shd w:val="clear" w:color="auto" w:fill="auto"/>
            <w:vAlign w:val="center"/>
          </w:tcPr>
          <w:p w14:paraId="1446E343" w14:textId="77777777" w:rsidR="00FE42B5" w:rsidRDefault="00FE42B5">
            <w:pPr>
              <w:rPr>
                <w:rFonts w:ascii="Times New Roman" w:hAnsi="Times New Roman"/>
                <w:sz w:val="20"/>
                <w:szCs w:val="20"/>
              </w:rPr>
            </w:pPr>
          </w:p>
        </w:tc>
        <w:tc>
          <w:tcPr>
            <w:tcW w:w="50" w:type="pct"/>
            <w:shd w:val="clear" w:color="auto" w:fill="auto"/>
            <w:vAlign w:val="center"/>
          </w:tcPr>
          <w:p w14:paraId="1446E344" w14:textId="77777777" w:rsidR="00FE42B5" w:rsidRDefault="00FE42B5">
            <w:pPr>
              <w:rPr>
                <w:rFonts w:ascii="Times New Roman" w:hAnsi="Times New Roman"/>
                <w:sz w:val="20"/>
                <w:szCs w:val="20"/>
              </w:rPr>
            </w:pPr>
          </w:p>
        </w:tc>
        <w:tc>
          <w:tcPr>
            <w:tcW w:w="50" w:type="pct"/>
            <w:shd w:val="clear" w:color="auto" w:fill="auto"/>
            <w:vAlign w:val="center"/>
          </w:tcPr>
          <w:p w14:paraId="1446E345" w14:textId="77777777" w:rsidR="00FE42B5" w:rsidRDefault="00FE42B5">
            <w:pPr>
              <w:rPr>
                <w:rFonts w:ascii="Times New Roman" w:hAnsi="Times New Roman"/>
                <w:sz w:val="20"/>
                <w:szCs w:val="20"/>
              </w:rPr>
            </w:pPr>
          </w:p>
        </w:tc>
        <w:tc>
          <w:tcPr>
            <w:tcW w:w="50" w:type="pct"/>
            <w:shd w:val="clear" w:color="auto" w:fill="auto"/>
            <w:vAlign w:val="center"/>
          </w:tcPr>
          <w:p w14:paraId="1446E346" w14:textId="77777777" w:rsidR="00FE42B5" w:rsidRDefault="00FE42B5">
            <w:pPr>
              <w:rPr>
                <w:rFonts w:ascii="Times New Roman" w:hAnsi="Times New Roman"/>
                <w:sz w:val="20"/>
                <w:szCs w:val="20"/>
              </w:rPr>
            </w:pPr>
          </w:p>
        </w:tc>
        <w:tc>
          <w:tcPr>
            <w:tcW w:w="200" w:type="pct"/>
            <w:shd w:val="clear" w:color="auto" w:fill="auto"/>
            <w:vAlign w:val="center"/>
          </w:tcPr>
          <w:p w14:paraId="1446E347" w14:textId="77777777" w:rsidR="00FE42B5" w:rsidRDefault="00FE42B5">
            <w:pPr>
              <w:rPr>
                <w:rFonts w:ascii="Times New Roman" w:hAnsi="Times New Roman"/>
                <w:sz w:val="20"/>
                <w:szCs w:val="20"/>
              </w:rPr>
            </w:pPr>
          </w:p>
        </w:tc>
        <w:tc>
          <w:tcPr>
            <w:tcW w:w="50" w:type="pct"/>
            <w:shd w:val="clear" w:color="auto" w:fill="auto"/>
            <w:vAlign w:val="center"/>
          </w:tcPr>
          <w:p w14:paraId="1446E348" w14:textId="77777777" w:rsidR="00FE42B5" w:rsidRDefault="00FE42B5">
            <w:pPr>
              <w:rPr>
                <w:rFonts w:ascii="Times New Roman" w:hAnsi="Times New Roman"/>
                <w:sz w:val="20"/>
                <w:szCs w:val="20"/>
              </w:rPr>
            </w:pPr>
          </w:p>
        </w:tc>
        <w:tc>
          <w:tcPr>
            <w:tcW w:w="50" w:type="pct"/>
            <w:shd w:val="clear" w:color="auto" w:fill="auto"/>
            <w:vAlign w:val="center"/>
          </w:tcPr>
          <w:p w14:paraId="1446E349" w14:textId="77777777" w:rsidR="00FE42B5" w:rsidRDefault="00FE42B5">
            <w:pPr>
              <w:rPr>
                <w:rFonts w:ascii="Times New Roman" w:hAnsi="Times New Roman"/>
                <w:sz w:val="20"/>
                <w:szCs w:val="20"/>
              </w:rPr>
            </w:pPr>
          </w:p>
        </w:tc>
        <w:tc>
          <w:tcPr>
            <w:tcW w:w="50" w:type="pct"/>
            <w:shd w:val="clear" w:color="auto" w:fill="auto"/>
            <w:vAlign w:val="center"/>
          </w:tcPr>
          <w:p w14:paraId="1446E34A" w14:textId="77777777" w:rsidR="00FE42B5" w:rsidRDefault="00FE42B5">
            <w:pPr>
              <w:rPr>
                <w:rFonts w:ascii="Times New Roman" w:hAnsi="Times New Roman"/>
                <w:sz w:val="20"/>
                <w:szCs w:val="20"/>
              </w:rPr>
            </w:pPr>
          </w:p>
        </w:tc>
        <w:tc>
          <w:tcPr>
            <w:tcW w:w="350" w:type="pct"/>
            <w:shd w:val="clear" w:color="auto" w:fill="auto"/>
            <w:vAlign w:val="center"/>
          </w:tcPr>
          <w:p w14:paraId="1446E34B" w14:textId="77777777" w:rsidR="00FE42B5" w:rsidRDefault="00FE42B5">
            <w:pPr>
              <w:rPr>
                <w:rFonts w:ascii="Times New Roman" w:hAnsi="Times New Roman"/>
                <w:sz w:val="20"/>
                <w:szCs w:val="20"/>
              </w:rPr>
            </w:pPr>
          </w:p>
        </w:tc>
        <w:tc>
          <w:tcPr>
            <w:tcW w:w="50" w:type="pct"/>
            <w:shd w:val="clear" w:color="auto" w:fill="auto"/>
            <w:vAlign w:val="center"/>
          </w:tcPr>
          <w:p w14:paraId="1446E34C" w14:textId="77777777" w:rsidR="00FE42B5" w:rsidRDefault="00FE42B5">
            <w:pPr>
              <w:rPr>
                <w:rFonts w:ascii="Times New Roman" w:hAnsi="Times New Roman"/>
                <w:sz w:val="20"/>
                <w:szCs w:val="20"/>
              </w:rPr>
            </w:pPr>
          </w:p>
        </w:tc>
        <w:tc>
          <w:tcPr>
            <w:tcW w:w="50" w:type="pct"/>
            <w:shd w:val="clear" w:color="auto" w:fill="auto"/>
            <w:vAlign w:val="center"/>
          </w:tcPr>
          <w:p w14:paraId="1446E34D" w14:textId="77777777" w:rsidR="00FE42B5" w:rsidRDefault="00FE42B5">
            <w:pPr>
              <w:rPr>
                <w:rFonts w:ascii="Times New Roman" w:hAnsi="Times New Roman"/>
                <w:sz w:val="20"/>
                <w:szCs w:val="20"/>
              </w:rPr>
            </w:pPr>
          </w:p>
        </w:tc>
        <w:tc>
          <w:tcPr>
            <w:tcW w:w="50" w:type="pct"/>
            <w:shd w:val="clear" w:color="auto" w:fill="auto"/>
            <w:vAlign w:val="center"/>
          </w:tcPr>
          <w:p w14:paraId="1446E34E" w14:textId="77777777" w:rsidR="00FE42B5" w:rsidRDefault="00FE42B5">
            <w:pPr>
              <w:rPr>
                <w:rFonts w:ascii="Times New Roman" w:hAnsi="Times New Roman"/>
                <w:sz w:val="20"/>
                <w:szCs w:val="20"/>
              </w:rPr>
            </w:pPr>
          </w:p>
        </w:tc>
        <w:tc>
          <w:tcPr>
            <w:tcW w:w="200" w:type="pct"/>
            <w:shd w:val="clear" w:color="auto" w:fill="auto"/>
            <w:vAlign w:val="center"/>
          </w:tcPr>
          <w:p w14:paraId="1446E34F" w14:textId="77777777" w:rsidR="00FE42B5" w:rsidRDefault="00FE42B5">
            <w:pPr>
              <w:rPr>
                <w:rFonts w:ascii="Times New Roman" w:hAnsi="Times New Roman"/>
                <w:sz w:val="20"/>
                <w:szCs w:val="20"/>
              </w:rPr>
            </w:pPr>
          </w:p>
        </w:tc>
        <w:tc>
          <w:tcPr>
            <w:tcW w:w="50" w:type="pct"/>
            <w:shd w:val="clear" w:color="auto" w:fill="auto"/>
            <w:vAlign w:val="center"/>
          </w:tcPr>
          <w:p w14:paraId="1446E350" w14:textId="77777777" w:rsidR="00FE42B5" w:rsidRDefault="00FE42B5">
            <w:pPr>
              <w:rPr>
                <w:rFonts w:ascii="Times New Roman" w:hAnsi="Times New Roman"/>
                <w:sz w:val="20"/>
                <w:szCs w:val="20"/>
              </w:rPr>
            </w:pPr>
          </w:p>
        </w:tc>
        <w:tc>
          <w:tcPr>
            <w:tcW w:w="50" w:type="pct"/>
            <w:shd w:val="clear" w:color="auto" w:fill="auto"/>
            <w:vAlign w:val="center"/>
          </w:tcPr>
          <w:p w14:paraId="1446E351" w14:textId="77777777" w:rsidR="00FE42B5" w:rsidRDefault="00FE42B5">
            <w:pPr>
              <w:rPr>
                <w:rFonts w:ascii="Times New Roman" w:hAnsi="Times New Roman"/>
                <w:sz w:val="20"/>
                <w:szCs w:val="20"/>
              </w:rPr>
            </w:pPr>
          </w:p>
        </w:tc>
        <w:tc>
          <w:tcPr>
            <w:tcW w:w="50" w:type="pct"/>
            <w:shd w:val="clear" w:color="auto" w:fill="auto"/>
            <w:vAlign w:val="center"/>
          </w:tcPr>
          <w:p w14:paraId="1446E352" w14:textId="77777777" w:rsidR="00FE42B5" w:rsidRDefault="00FE42B5">
            <w:pPr>
              <w:rPr>
                <w:rFonts w:ascii="Times New Roman" w:hAnsi="Times New Roman"/>
                <w:sz w:val="20"/>
                <w:szCs w:val="20"/>
              </w:rPr>
            </w:pPr>
          </w:p>
        </w:tc>
        <w:tc>
          <w:tcPr>
            <w:tcW w:w="300" w:type="pct"/>
            <w:shd w:val="clear" w:color="auto" w:fill="auto"/>
            <w:vAlign w:val="center"/>
          </w:tcPr>
          <w:p w14:paraId="1446E353" w14:textId="77777777" w:rsidR="00FE42B5" w:rsidRDefault="00FE42B5">
            <w:pPr>
              <w:rPr>
                <w:rFonts w:ascii="Times New Roman" w:hAnsi="Times New Roman"/>
                <w:sz w:val="20"/>
                <w:szCs w:val="20"/>
              </w:rPr>
            </w:pPr>
          </w:p>
        </w:tc>
        <w:tc>
          <w:tcPr>
            <w:tcW w:w="50" w:type="pct"/>
            <w:shd w:val="clear" w:color="auto" w:fill="auto"/>
            <w:vAlign w:val="center"/>
          </w:tcPr>
          <w:p w14:paraId="1446E354" w14:textId="77777777" w:rsidR="00FE42B5" w:rsidRDefault="00FE42B5">
            <w:pPr>
              <w:rPr>
                <w:rFonts w:ascii="Times New Roman" w:hAnsi="Times New Roman"/>
                <w:sz w:val="20"/>
                <w:szCs w:val="20"/>
              </w:rPr>
            </w:pPr>
          </w:p>
        </w:tc>
      </w:tr>
      <w:tr w:rsidR="00FE42B5" w14:paraId="1446E35A" w14:textId="77777777">
        <w:trPr>
          <w:jc w:val="center"/>
        </w:trPr>
        <w:tc>
          <w:tcPr>
            <w:tcW w:w="0" w:type="auto"/>
            <w:shd w:val="clear" w:color="auto" w:fill="auto"/>
            <w:tcMar>
              <w:top w:w="40" w:type="dxa"/>
              <w:left w:w="40" w:type="dxa"/>
              <w:bottom w:w="40" w:type="dxa"/>
              <w:right w:w="40" w:type="dxa"/>
            </w:tcMar>
            <w:vAlign w:val="bottom"/>
          </w:tcPr>
          <w:p w14:paraId="1446E35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2"/>
            <w:tcBorders>
              <w:bottom w:val="single" w:sz="8" w:space="0" w:color="000000"/>
            </w:tcBorders>
            <w:shd w:val="clear" w:color="auto" w:fill="auto"/>
            <w:tcMar>
              <w:top w:w="40" w:type="dxa"/>
              <w:left w:w="40" w:type="dxa"/>
              <w:bottom w:w="40" w:type="dxa"/>
            </w:tcMar>
            <w:vAlign w:val="bottom"/>
          </w:tcPr>
          <w:p w14:paraId="1446E357"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 2020</w:t>
            </w:r>
          </w:p>
        </w:tc>
        <w:tc>
          <w:tcPr>
            <w:tcW w:w="0" w:type="auto"/>
            <w:shd w:val="clear" w:color="auto" w:fill="auto"/>
            <w:tcMar>
              <w:top w:w="40" w:type="dxa"/>
              <w:left w:w="40" w:type="dxa"/>
              <w:bottom w:w="40" w:type="dxa"/>
              <w:right w:w="40" w:type="dxa"/>
            </w:tcMar>
            <w:vAlign w:val="bottom"/>
          </w:tcPr>
          <w:p w14:paraId="1446E35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2"/>
            <w:tcBorders>
              <w:bottom w:val="single" w:sz="8" w:space="0" w:color="000000"/>
            </w:tcBorders>
            <w:shd w:val="clear" w:color="auto" w:fill="auto"/>
            <w:tcMar>
              <w:top w:w="40" w:type="dxa"/>
              <w:left w:w="40" w:type="dxa"/>
              <w:bottom w:w="40" w:type="dxa"/>
            </w:tcMar>
            <w:vAlign w:val="bottom"/>
          </w:tcPr>
          <w:p w14:paraId="1446E359"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 2019</w:t>
            </w:r>
          </w:p>
        </w:tc>
      </w:tr>
      <w:tr w:rsidR="00FE42B5" w14:paraId="1446E370" w14:textId="77777777">
        <w:trPr>
          <w:jc w:val="center"/>
        </w:trPr>
        <w:tc>
          <w:tcPr>
            <w:tcW w:w="0" w:type="auto"/>
            <w:shd w:val="clear" w:color="auto" w:fill="auto"/>
            <w:tcMar>
              <w:top w:w="40" w:type="dxa"/>
              <w:left w:w="40" w:type="dxa"/>
              <w:bottom w:w="40" w:type="dxa"/>
              <w:right w:w="40" w:type="dxa"/>
            </w:tcMar>
            <w:vAlign w:val="bottom"/>
          </w:tcPr>
          <w:p w14:paraId="1446E35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1446E35C"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Class A and Class B Common Stock</w:t>
            </w:r>
          </w:p>
        </w:tc>
        <w:tc>
          <w:tcPr>
            <w:tcW w:w="0" w:type="auto"/>
            <w:shd w:val="clear" w:color="auto" w:fill="auto"/>
            <w:tcMar>
              <w:top w:w="40" w:type="dxa"/>
              <w:left w:w="40" w:type="dxa"/>
              <w:bottom w:w="40" w:type="dxa"/>
              <w:right w:w="40" w:type="dxa"/>
            </w:tcMar>
            <w:vAlign w:val="bottom"/>
          </w:tcPr>
          <w:p w14:paraId="1446E35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1446E35E"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xml:space="preserve">Additional </w:t>
            </w:r>
          </w:p>
          <w:p w14:paraId="1446E35F"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Paid-In Capital</w:t>
            </w:r>
          </w:p>
        </w:tc>
        <w:tc>
          <w:tcPr>
            <w:tcW w:w="0" w:type="auto"/>
            <w:vMerge w:val="restart"/>
            <w:shd w:val="clear" w:color="auto" w:fill="auto"/>
            <w:tcMar>
              <w:top w:w="40" w:type="dxa"/>
              <w:left w:w="40" w:type="dxa"/>
              <w:bottom w:w="40" w:type="dxa"/>
              <w:right w:w="40" w:type="dxa"/>
            </w:tcMar>
            <w:vAlign w:val="bottom"/>
          </w:tcPr>
          <w:p w14:paraId="1446E36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1446E361"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Accumulated Other Comprehensive Loss</w:t>
            </w:r>
          </w:p>
        </w:tc>
        <w:tc>
          <w:tcPr>
            <w:tcW w:w="0" w:type="auto"/>
            <w:vMerge w:val="restart"/>
            <w:shd w:val="clear" w:color="auto" w:fill="auto"/>
            <w:tcMar>
              <w:top w:w="40" w:type="dxa"/>
              <w:left w:w="40" w:type="dxa"/>
              <w:bottom w:w="40" w:type="dxa"/>
              <w:right w:w="40" w:type="dxa"/>
            </w:tcMar>
            <w:vAlign w:val="bottom"/>
          </w:tcPr>
          <w:p w14:paraId="1446E36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1446E363"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Retained Earnings</w:t>
            </w:r>
          </w:p>
        </w:tc>
        <w:tc>
          <w:tcPr>
            <w:tcW w:w="0" w:type="auto"/>
            <w:vMerge w:val="restart"/>
            <w:shd w:val="clear" w:color="auto" w:fill="auto"/>
            <w:tcMar>
              <w:top w:w="40" w:type="dxa"/>
              <w:left w:w="40" w:type="dxa"/>
              <w:bottom w:w="40" w:type="dxa"/>
              <w:right w:w="40" w:type="dxa"/>
            </w:tcMar>
            <w:vAlign w:val="bottom"/>
          </w:tcPr>
          <w:p w14:paraId="1446E36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1446E365"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Total Stockholders' Equity</w:t>
            </w:r>
          </w:p>
        </w:tc>
        <w:tc>
          <w:tcPr>
            <w:tcW w:w="0" w:type="auto"/>
            <w:shd w:val="clear" w:color="auto" w:fill="auto"/>
            <w:tcMar>
              <w:top w:w="40" w:type="dxa"/>
              <w:left w:w="40" w:type="dxa"/>
              <w:bottom w:w="40" w:type="dxa"/>
              <w:right w:w="40" w:type="dxa"/>
            </w:tcMar>
            <w:vAlign w:val="bottom"/>
          </w:tcPr>
          <w:p w14:paraId="1446E36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1446E367"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xml:space="preserve">Class A and Class B </w:t>
            </w:r>
            <w:r>
              <w:rPr>
                <w:rFonts w:ascii="Times New Roman" w:eastAsia="宋体" w:hAnsi="Times New Roman"/>
                <w:b/>
                <w:bCs/>
                <w:sz w:val="16"/>
                <w:szCs w:val="16"/>
              </w:rPr>
              <w:t>Common Stock</w:t>
            </w:r>
          </w:p>
        </w:tc>
        <w:tc>
          <w:tcPr>
            <w:tcW w:w="0" w:type="auto"/>
            <w:shd w:val="clear" w:color="auto" w:fill="auto"/>
            <w:tcMar>
              <w:top w:w="40" w:type="dxa"/>
              <w:left w:w="40" w:type="dxa"/>
              <w:bottom w:w="40" w:type="dxa"/>
              <w:right w:w="40" w:type="dxa"/>
            </w:tcMar>
            <w:vAlign w:val="bottom"/>
          </w:tcPr>
          <w:p w14:paraId="1446E36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1446E369"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Additional Paid-In Capital</w:t>
            </w:r>
          </w:p>
        </w:tc>
        <w:tc>
          <w:tcPr>
            <w:tcW w:w="0" w:type="auto"/>
            <w:vMerge w:val="restart"/>
            <w:shd w:val="clear" w:color="auto" w:fill="auto"/>
            <w:tcMar>
              <w:top w:w="40" w:type="dxa"/>
              <w:left w:w="40" w:type="dxa"/>
              <w:bottom w:w="40" w:type="dxa"/>
              <w:right w:w="40" w:type="dxa"/>
            </w:tcMar>
            <w:vAlign w:val="bottom"/>
          </w:tcPr>
          <w:p w14:paraId="1446E36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1446E36B"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Accumulated Other Comprehensive Loss</w:t>
            </w:r>
          </w:p>
        </w:tc>
        <w:tc>
          <w:tcPr>
            <w:tcW w:w="0" w:type="auto"/>
            <w:vMerge w:val="restart"/>
            <w:shd w:val="clear" w:color="auto" w:fill="auto"/>
            <w:tcMar>
              <w:top w:w="40" w:type="dxa"/>
              <w:left w:w="40" w:type="dxa"/>
              <w:bottom w:w="40" w:type="dxa"/>
              <w:right w:w="40" w:type="dxa"/>
            </w:tcMar>
            <w:vAlign w:val="bottom"/>
          </w:tcPr>
          <w:p w14:paraId="1446E36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1446E36D"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Retained Earnings</w:t>
            </w:r>
          </w:p>
        </w:tc>
        <w:tc>
          <w:tcPr>
            <w:tcW w:w="0" w:type="auto"/>
            <w:vMerge w:val="restart"/>
            <w:shd w:val="clear" w:color="auto" w:fill="auto"/>
            <w:tcMar>
              <w:top w:w="40" w:type="dxa"/>
              <w:left w:w="40" w:type="dxa"/>
              <w:bottom w:w="40" w:type="dxa"/>
              <w:right w:w="40" w:type="dxa"/>
            </w:tcMar>
            <w:vAlign w:val="bottom"/>
          </w:tcPr>
          <w:p w14:paraId="1446E36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1446E36F"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Total Stockholders' Equity</w:t>
            </w:r>
          </w:p>
        </w:tc>
      </w:tr>
      <w:tr w:rsidR="00FE42B5" w14:paraId="1446E38B" w14:textId="77777777">
        <w:trPr>
          <w:jc w:val="center"/>
        </w:trPr>
        <w:tc>
          <w:tcPr>
            <w:tcW w:w="0" w:type="auto"/>
            <w:shd w:val="clear" w:color="auto" w:fill="auto"/>
            <w:tcMar>
              <w:top w:w="40" w:type="dxa"/>
              <w:left w:w="40" w:type="dxa"/>
              <w:bottom w:w="40" w:type="dxa"/>
              <w:right w:w="40" w:type="dxa"/>
            </w:tcMar>
            <w:vAlign w:val="bottom"/>
          </w:tcPr>
          <w:p w14:paraId="1446E37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446E372"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1446E37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374"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Par </w:t>
            </w:r>
          </w:p>
          <w:p w14:paraId="1446E375"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Value</w:t>
            </w:r>
          </w:p>
        </w:tc>
        <w:tc>
          <w:tcPr>
            <w:tcW w:w="0" w:type="auto"/>
            <w:shd w:val="clear" w:color="auto" w:fill="auto"/>
            <w:tcMar>
              <w:top w:w="40" w:type="dxa"/>
              <w:left w:w="40" w:type="dxa"/>
              <w:bottom w:w="40" w:type="dxa"/>
              <w:right w:w="40" w:type="dxa"/>
            </w:tcMar>
            <w:vAlign w:val="bottom"/>
          </w:tcPr>
          <w:p w14:paraId="1446E37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1446E377" w14:textId="77777777" w:rsidR="00FE42B5" w:rsidRDefault="00FE42B5">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1446E378" w14:textId="77777777" w:rsidR="00FE42B5" w:rsidRDefault="00FE42B5">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1446E379" w14:textId="77777777" w:rsidR="00FE42B5" w:rsidRDefault="00FE42B5">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1446E37A" w14:textId="77777777" w:rsidR="00FE42B5" w:rsidRDefault="00FE42B5">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1446E37B" w14:textId="77777777" w:rsidR="00FE42B5" w:rsidRDefault="00FE42B5">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1446E37C" w14:textId="77777777" w:rsidR="00FE42B5" w:rsidRDefault="00FE42B5">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1446E37D" w14:textId="77777777" w:rsidR="00FE42B5" w:rsidRDefault="00FE42B5">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7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446E37F"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1446E38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381"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Par </w:t>
            </w:r>
          </w:p>
          <w:p w14:paraId="1446E382"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Value</w:t>
            </w:r>
          </w:p>
        </w:tc>
        <w:tc>
          <w:tcPr>
            <w:tcW w:w="0" w:type="auto"/>
            <w:shd w:val="clear" w:color="auto" w:fill="auto"/>
            <w:tcMar>
              <w:top w:w="40" w:type="dxa"/>
              <w:left w:w="40" w:type="dxa"/>
              <w:bottom w:w="40" w:type="dxa"/>
              <w:right w:w="40" w:type="dxa"/>
            </w:tcMar>
            <w:vAlign w:val="bottom"/>
          </w:tcPr>
          <w:p w14:paraId="1446E38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1446E384" w14:textId="77777777" w:rsidR="00FE42B5" w:rsidRDefault="00FE42B5">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1446E385" w14:textId="77777777" w:rsidR="00FE42B5" w:rsidRDefault="00FE42B5">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1446E386" w14:textId="77777777" w:rsidR="00FE42B5" w:rsidRDefault="00FE42B5">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1446E387" w14:textId="77777777" w:rsidR="00FE42B5" w:rsidRDefault="00FE42B5">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1446E388" w14:textId="77777777" w:rsidR="00FE42B5" w:rsidRDefault="00FE42B5">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1446E389" w14:textId="77777777" w:rsidR="00FE42B5" w:rsidRDefault="00FE42B5">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1446E38A" w14:textId="77777777" w:rsidR="00FE42B5" w:rsidRDefault="00FE42B5">
            <w:pPr>
              <w:rPr>
                <w:rFonts w:ascii="Times New Roman" w:hAnsi="Times New Roman"/>
                <w:sz w:val="20"/>
                <w:szCs w:val="20"/>
              </w:rPr>
            </w:pPr>
          </w:p>
        </w:tc>
      </w:tr>
      <w:tr w:rsidR="009213DC" w14:paraId="1446E3BA" w14:textId="77777777">
        <w:trPr>
          <w:jc w:val="center"/>
        </w:trPr>
        <w:tc>
          <w:tcPr>
            <w:tcW w:w="0" w:type="auto"/>
            <w:shd w:val="clear" w:color="auto" w:fill="CCEEFF"/>
            <w:tcMar>
              <w:top w:w="40" w:type="dxa"/>
              <w:left w:w="40" w:type="dxa"/>
              <w:bottom w:w="40" w:type="dxa"/>
              <w:right w:w="40" w:type="dxa"/>
            </w:tcMar>
            <w:vAlign w:val="bottom"/>
          </w:tcPr>
          <w:p w14:paraId="1446E38C"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Balances at beginning of period</w:t>
            </w:r>
          </w:p>
        </w:tc>
        <w:tc>
          <w:tcPr>
            <w:tcW w:w="0" w:type="auto"/>
            <w:tcBorders>
              <w:top w:val="single" w:sz="8" w:space="0" w:color="000000"/>
            </w:tcBorders>
            <w:shd w:val="clear" w:color="auto" w:fill="CCEEFF"/>
            <w:tcMar>
              <w:top w:w="40" w:type="dxa"/>
              <w:left w:w="40" w:type="dxa"/>
              <w:bottom w:w="40" w:type="dxa"/>
            </w:tcMar>
            <w:vAlign w:val="bottom"/>
          </w:tcPr>
          <w:p w14:paraId="1446E38D"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2,852</w:t>
            </w:r>
          </w:p>
        </w:tc>
        <w:tc>
          <w:tcPr>
            <w:tcW w:w="0" w:type="auto"/>
            <w:tcBorders>
              <w:top w:val="single" w:sz="8" w:space="0" w:color="000000"/>
            </w:tcBorders>
            <w:shd w:val="clear" w:color="auto" w:fill="CCEEFF"/>
            <w:vAlign w:val="bottom"/>
          </w:tcPr>
          <w:p w14:paraId="1446E38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8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390"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1446E391"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vAlign w:val="bottom"/>
          </w:tcPr>
          <w:p w14:paraId="1446E39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9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394"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1446E395"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45,851</w:t>
            </w:r>
          </w:p>
        </w:tc>
        <w:tc>
          <w:tcPr>
            <w:tcW w:w="0" w:type="auto"/>
            <w:tcBorders>
              <w:top w:val="single" w:sz="8" w:space="0" w:color="000000"/>
            </w:tcBorders>
            <w:shd w:val="clear" w:color="auto" w:fill="CCEEFF"/>
            <w:vAlign w:val="bottom"/>
          </w:tcPr>
          <w:p w14:paraId="1446E39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9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398"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1446E399"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(489</w:t>
            </w:r>
          </w:p>
        </w:tc>
        <w:tc>
          <w:tcPr>
            <w:tcW w:w="0" w:type="auto"/>
            <w:tcBorders>
              <w:top w:val="single" w:sz="8" w:space="0" w:color="000000"/>
            </w:tcBorders>
            <w:shd w:val="clear" w:color="auto" w:fill="CCEEFF"/>
            <w:tcMar>
              <w:top w:w="40" w:type="dxa"/>
              <w:bottom w:w="40" w:type="dxa"/>
              <w:right w:w="40" w:type="dxa"/>
            </w:tcMar>
            <w:vAlign w:val="bottom"/>
          </w:tcPr>
          <w:p w14:paraId="1446E39A"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39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39C"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1446E39D"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55,692</w:t>
            </w:r>
          </w:p>
        </w:tc>
        <w:tc>
          <w:tcPr>
            <w:tcW w:w="0" w:type="auto"/>
            <w:tcBorders>
              <w:top w:val="single" w:sz="8" w:space="0" w:color="000000"/>
            </w:tcBorders>
            <w:shd w:val="clear" w:color="auto" w:fill="CCEEFF"/>
            <w:vAlign w:val="bottom"/>
          </w:tcPr>
          <w:p w14:paraId="1446E39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9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3A0"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1446E3A1"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101,054</w:t>
            </w:r>
          </w:p>
        </w:tc>
        <w:tc>
          <w:tcPr>
            <w:tcW w:w="0" w:type="auto"/>
            <w:tcBorders>
              <w:top w:val="single" w:sz="8" w:space="0" w:color="000000"/>
            </w:tcBorders>
            <w:shd w:val="clear" w:color="auto" w:fill="CCEEFF"/>
            <w:vAlign w:val="bottom"/>
          </w:tcPr>
          <w:p w14:paraId="1446E3A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A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3A4"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2,854</w:t>
            </w:r>
          </w:p>
        </w:tc>
        <w:tc>
          <w:tcPr>
            <w:tcW w:w="0" w:type="auto"/>
            <w:tcBorders>
              <w:top w:val="single" w:sz="8" w:space="0" w:color="000000"/>
            </w:tcBorders>
            <w:shd w:val="clear" w:color="auto" w:fill="CCEEFF"/>
            <w:vAlign w:val="bottom"/>
          </w:tcPr>
          <w:p w14:paraId="1446E3A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A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3A7"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1446E3A8"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vAlign w:val="bottom"/>
          </w:tcPr>
          <w:p w14:paraId="1446E3A9"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A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3AB"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1446E3AC"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42,906</w:t>
            </w:r>
          </w:p>
        </w:tc>
        <w:tc>
          <w:tcPr>
            <w:tcW w:w="0" w:type="auto"/>
            <w:tcBorders>
              <w:top w:val="single" w:sz="8" w:space="0" w:color="000000"/>
            </w:tcBorders>
            <w:shd w:val="clear" w:color="auto" w:fill="CCEEFF"/>
            <w:vAlign w:val="bottom"/>
          </w:tcPr>
          <w:p w14:paraId="1446E3A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A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3AF"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1446E3B0"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(760</w:t>
            </w:r>
          </w:p>
        </w:tc>
        <w:tc>
          <w:tcPr>
            <w:tcW w:w="0" w:type="auto"/>
            <w:tcBorders>
              <w:top w:val="single" w:sz="8" w:space="0" w:color="000000"/>
            </w:tcBorders>
            <w:shd w:val="clear" w:color="auto" w:fill="CCEEFF"/>
            <w:tcMar>
              <w:top w:w="40" w:type="dxa"/>
              <w:bottom w:w="40" w:type="dxa"/>
              <w:right w:w="40" w:type="dxa"/>
            </w:tcMar>
            <w:vAlign w:val="bottom"/>
          </w:tcPr>
          <w:p w14:paraId="1446E3B1"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3B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3B3"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1446E3B4"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41,981</w:t>
            </w:r>
          </w:p>
        </w:tc>
        <w:tc>
          <w:tcPr>
            <w:tcW w:w="0" w:type="auto"/>
            <w:tcBorders>
              <w:top w:val="single" w:sz="8" w:space="0" w:color="000000"/>
            </w:tcBorders>
            <w:shd w:val="clear" w:color="auto" w:fill="CCEEFF"/>
            <w:vAlign w:val="bottom"/>
          </w:tcPr>
          <w:p w14:paraId="1446E3B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B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3B7"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1446E3B8"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84,127</w:t>
            </w:r>
          </w:p>
        </w:tc>
        <w:tc>
          <w:tcPr>
            <w:tcW w:w="0" w:type="auto"/>
            <w:tcBorders>
              <w:top w:val="single" w:sz="8" w:space="0" w:color="000000"/>
            </w:tcBorders>
            <w:shd w:val="clear" w:color="auto" w:fill="CCEEFF"/>
            <w:vAlign w:val="bottom"/>
          </w:tcPr>
          <w:p w14:paraId="1446E3B9" w14:textId="77777777" w:rsidR="00FE42B5" w:rsidRDefault="00FE42B5">
            <w:pPr>
              <w:textAlignment w:val="bottom"/>
              <w:rPr>
                <w:rFonts w:ascii="Times New Roman" w:hAnsi="Times New Roman"/>
                <w:sz w:val="20"/>
                <w:szCs w:val="20"/>
              </w:rPr>
            </w:pPr>
          </w:p>
        </w:tc>
      </w:tr>
      <w:tr w:rsidR="00FE42B5" w14:paraId="1446E3DF" w14:textId="77777777">
        <w:trPr>
          <w:jc w:val="center"/>
        </w:trPr>
        <w:tc>
          <w:tcPr>
            <w:tcW w:w="0" w:type="auto"/>
            <w:shd w:val="clear" w:color="auto" w:fill="auto"/>
            <w:tcMar>
              <w:top w:w="40" w:type="dxa"/>
              <w:left w:w="40" w:type="dxa"/>
              <w:bottom w:w="40" w:type="dxa"/>
              <w:right w:w="40" w:type="dxa"/>
            </w:tcMar>
            <w:vAlign w:val="bottom"/>
          </w:tcPr>
          <w:p w14:paraId="1446E3BB"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Issuance of common stock</w:t>
            </w:r>
          </w:p>
        </w:tc>
        <w:tc>
          <w:tcPr>
            <w:tcW w:w="0" w:type="auto"/>
            <w:shd w:val="clear" w:color="auto" w:fill="auto"/>
            <w:tcMar>
              <w:top w:w="40" w:type="dxa"/>
              <w:left w:w="40" w:type="dxa"/>
              <w:bottom w:w="40" w:type="dxa"/>
            </w:tcMar>
            <w:vAlign w:val="bottom"/>
          </w:tcPr>
          <w:p w14:paraId="1446E3BC"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8</w:t>
            </w:r>
          </w:p>
        </w:tc>
        <w:tc>
          <w:tcPr>
            <w:tcW w:w="0" w:type="auto"/>
            <w:shd w:val="clear" w:color="auto" w:fill="auto"/>
            <w:vAlign w:val="bottom"/>
          </w:tcPr>
          <w:p w14:paraId="1446E3B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B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3BF"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3C0"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C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3C2"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3C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C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3C5"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3C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C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3C8"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3C9"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C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3CB"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3CC"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C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3CE"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8</w:t>
            </w:r>
          </w:p>
        </w:tc>
        <w:tc>
          <w:tcPr>
            <w:tcW w:w="0" w:type="auto"/>
            <w:shd w:val="clear" w:color="auto" w:fill="auto"/>
            <w:vAlign w:val="bottom"/>
          </w:tcPr>
          <w:p w14:paraId="1446E3C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D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3D1"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3D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D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3D4"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shd w:val="clear" w:color="auto" w:fill="auto"/>
            <w:vAlign w:val="bottom"/>
          </w:tcPr>
          <w:p w14:paraId="1446E3D5"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D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3D7"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3D8"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D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3DA"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3D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3D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3DD"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shd w:val="clear" w:color="auto" w:fill="auto"/>
            <w:vAlign w:val="bottom"/>
          </w:tcPr>
          <w:p w14:paraId="1446E3DE" w14:textId="77777777" w:rsidR="00FE42B5" w:rsidRDefault="00FE42B5">
            <w:pPr>
              <w:textAlignment w:val="bottom"/>
              <w:rPr>
                <w:rFonts w:ascii="Times New Roman" w:hAnsi="Times New Roman"/>
                <w:sz w:val="20"/>
                <w:szCs w:val="20"/>
              </w:rPr>
            </w:pPr>
          </w:p>
        </w:tc>
      </w:tr>
      <w:tr w:rsidR="009213DC" w14:paraId="1446E404" w14:textId="77777777">
        <w:trPr>
          <w:jc w:val="center"/>
        </w:trPr>
        <w:tc>
          <w:tcPr>
            <w:tcW w:w="0" w:type="auto"/>
            <w:shd w:val="clear" w:color="auto" w:fill="CCEEFF"/>
            <w:tcMar>
              <w:top w:w="40" w:type="dxa"/>
              <w:left w:w="40" w:type="dxa"/>
              <w:bottom w:w="40" w:type="dxa"/>
              <w:right w:w="40" w:type="dxa"/>
            </w:tcMar>
            <w:vAlign w:val="bottom"/>
          </w:tcPr>
          <w:p w14:paraId="1446E3E0"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 xml:space="preserve">Shares withheld related to net share settlement </w:t>
            </w:r>
          </w:p>
        </w:tc>
        <w:tc>
          <w:tcPr>
            <w:tcW w:w="0" w:type="auto"/>
            <w:shd w:val="clear" w:color="auto" w:fill="CCEEFF"/>
            <w:tcMar>
              <w:top w:w="40" w:type="dxa"/>
              <w:left w:w="40" w:type="dxa"/>
              <w:bottom w:w="40" w:type="dxa"/>
            </w:tcMar>
            <w:vAlign w:val="bottom"/>
          </w:tcPr>
          <w:p w14:paraId="1446E3E1"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shd w:val="clear" w:color="auto" w:fill="CCEEFF"/>
            <w:tcMar>
              <w:top w:w="40" w:type="dxa"/>
              <w:bottom w:w="40" w:type="dxa"/>
              <w:right w:w="40" w:type="dxa"/>
            </w:tcMar>
            <w:vAlign w:val="bottom"/>
          </w:tcPr>
          <w:p w14:paraId="1446E3E2"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3E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3E4"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1446E3E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E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3E7"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(498</w:t>
            </w:r>
          </w:p>
        </w:tc>
        <w:tc>
          <w:tcPr>
            <w:tcW w:w="0" w:type="auto"/>
            <w:shd w:val="clear" w:color="auto" w:fill="CCEEFF"/>
            <w:tcMar>
              <w:top w:w="40" w:type="dxa"/>
              <w:bottom w:w="40" w:type="dxa"/>
              <w:right w:w="40" w:type="dxa"/>
            </w:tcMar>
            <w:vAlign w:val="bottom"/>
          </w:tcPr>
          <w:p w14:paraId="1446E3E8"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3E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3EA"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1446E3EB"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E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3ED"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(192</w:t>
            </w:r>
          </w:p>
        </w:tc>
        <w:tc>
          <w:tcPr>
            <w:tcW w:w="0" w:type="auto"/>
            <w:shd w:val="clear" w:color="auto" w:fill="CCEEFF"/>
            <w:tcMar>
              <w:top w:w="40" w:type="dxa"/>
              <w:bottom w:w="40" w:type="dxa"/>
              <w:right w:w="40" w:type="dxa"/>
            </w:tcMar>
            <w:vAlign w:val="bottom"/>
          </w:tcPr>
          <w:p w14:paraId="1446E3EE"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3E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3F0"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(690</w:t>
            </w:r>
          </w:p>
        </w:tc>
        <w:tc>
          <w:tcPr>
            <w:tcW w:w="0" w:type="auto"/>
            <w:shd w:val="clear" w:color="auto" w:fill="CCEEFF"/>
            <w:tcMar>
              <w:top w:w="40" w:type="dxa"/>
              <w:bottom w:w="40" w:type="dxa"/>
              <w:right w:w="40" w:type="dxa"/>
            </w:tcMar>
            <w:vAlign w:val="bottom"/>
          </w:tcPr>
          <w:p w14:paraId="1446E3F1"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3F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3F3"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shd w:val="clear" w:color="auto" w:fill="CCEEFF"/>
            <w:tcMar>
              <w:top w:w="40" w:type="dxa"/>
              <w:bottom w:w="40" w:type="dxa"/>
              <w:right w:w="40" w:type="dxa"/>
            </w:tcMar>
            <w:vAlign w:val="bottom"/>
          </w:tcPr>
          <w:p w14:paraId="1446E3F4"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3F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3F6"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1446E3F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F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3F9"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(387</w:t>
            </w:r>
          </w:p>
        </w:tc>
        <w:tc>
          <w:tcPr>
            <w:tcW w:w="0" w:type="auto"/>
            <w:shd w:val="clear" w:color="auto" w:fill="CCEEFF"/>
            <w:tcMar>
              <w:top w:w="40" w:type="dxa"/>
              <w:bottom w:w="40" w:type="dxa"/>
              <w:right w:w="40" w:type="dxa"/>
            </w:tcMar>
            <w:vAlign w:val="bottom"/>
          </w:tcPr>
          <w:p w14:paraId="1446E3FA"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3F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3FC"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1446E3F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3F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3FF"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(125</w:t>
            </w:r>
          </w:p>
        </w:tc>
        <w:tc>
          <w:tcPr>
            <w:tcW w:w="0" w:type="auto"/>
            <w:shd w:val="clear" w:color="auto" w:fill="CCEEFF"/>
            <w:tcMar>
              <w:top w:w="40" w:type="dxa"/>
              <w:bottom w:w="40" w:type="dxa"/>
              <w:right w:w="40" w:type="dxa"/>
            </w:tcMar>
            <w:vAlign w:val="bottom"/>
          </w:tcPr>
          <w:p w14:paraId="1446E400"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40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02"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(512</w:t>
            </w:r>
          </w:p>
        </w:tc>
        <w:tc>
          <w:tcPr>
            <w:tcW w:w="0" w:type="auto"/>
            <w:shd w:val="clear" w:color="auto" w:fill="CCEEFF"/>
            <w:tcMar>
              <w:top w:w="40" w:type="dxa"/>
              <w:bottom w:w="40" w:type="dxa"/>
              <w:right w:w="40" w:type="dxa"/>
            </w:tcMar>
            <w:vAlign w:val="bottom"/>
          </w:tcPr>
          <w:p w14:paraId="1446E403"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r>
      <w:tr w:rsidR="00FE42B5" w14:paraId="1446E429" w14:textId="77777777">
        <w:trPr>
          <w:jc w:val="center"/>
        </w:trPr>
        <w:tc>
          <w:tcPr>
            <w:tcW w:w="0" w:type="auto"/>
            <w:shd w:val="clear" w:color="auto" w:fill="auto"/>
            <w:tcMar>
              <w:top w:w="40" w:type="dxa"/>
              <w:left w:w="40" w:type="dxa"/>
              <w:bottom w:w="40" w:type="dxa"/>
              <w:right w:w="40" w:type="dxa"/>
            </w:tcMar>
            <w:vAlign w:val="bottom"/>
          </w:tcPr>
          <w:p w14:paraId="1446E405"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Share-based compensation</w:t>
            </w:r>
          </w:p>
        </w:tc>
        <w:tc>
          <w:tcPr>
            <w:tcW w:w="0" w:type="auto"/>
            <w:shd w:val="clear" w:color="auto" w:fill="auto"/>
            <w:tcMar>
              <w:top w:w="40" w:type="dxa"/>
              <w:left w:w="40" w:type="dxa"/>
              <w:bottom w:w="40" w:type="dxa"/>
            </w:tcMar>
            <w:vAlign w:val="bottom"/>
          </w:tcPr>
          <w:p w14:paraId="1446E406"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07"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0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09"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0A"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0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0C"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1,335</w:t>
            </w:r>
          </w:p>
        </w:tc>
        <w:tc>
          <w:tcPr>
            <w:tcW w:w="0" w:type="auto"/>
            <w:shd w:val="clear" w:color="auto" w:fill="auto"/>
            <w:vAlign w:val="bottom"/>
          </w:tcPr>
          <w:p w14:paraId="1446E40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0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0F"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10"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1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12"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1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1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15"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1,335</w:t>
            </w:r>
          </w:p>
        </w:tc>
        <w:tc>
          <w:tcPr>
            <w:tcW w:w="0" w:type="auto"/>
            <w:shd w:val="clear" w:color="auto" w:fill="auto"/>
            <w:vAlign w:val="bottom"/>
          </w:tcPr>
          <w:p w14:paraId="1446E41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1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418"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19"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1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1B"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1C"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1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1E"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1,010</w:t>
            </w:r>
          </w:p>
        </w:tc>
        <w:tc>
          <w:tcPr>
            <w:tcW w:w="0" w:type="auto"/>
            <w:shd w:val="clear" w:color="auto" w:fill="auto"/>
            <w:vAlign w:val="bottom"/>
          </w:tcPr>
          <w:p w14:paraId="1446E41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2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21"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2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2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24"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25"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2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27"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1,010</w:t>
            </w:r>
          </w:p>
        </w:tc>
        <w:tc>
          <w:tcPr>
            <w:tcW w:w="0" w:type="auto"/>
            <w:shd w:val="clear" w:color="auto" w:fill="auto"/>
            <w:vAlign w:val="bottom"/>
          </w:tcPr>
          <w:p w14:paraId="1446E428" w14:textId="77777777" w:rsidR="00FE42B5" w:rsidRDefault="00FE42B5">
            <w:pPr>
              <w:textAlignment w:val="bottom"/>
              <w:rPr>
                <w:rFonts w:ascii="Times New Roman" w:hAnsi="Times New Roman"/>
                <w:sz w:val="20"/>
                <w:szCs w:val="20"/>
              </w:rPr>
            </w:pPr>
          </w:p>
        </w:tc>
      </w:tr>
      <w:tr w:rsidR="009213DC" w14:paraId="1446E44E" w14:textId="77777777">
        <w:trPr>
          <w:jc w:val="center"/>
        </w:trPr>
        <w:tc>
          <w:tcPr>
            <w:tcW w:w="0" w:type="auto"/>
            <w:shd w:val="clear" w:color="auto" w:fill="CCEEFF"/>
            <w:tcMar>
              <w:top w:w="40" w:type="dxa"/>
              <w:left w:w="40" w:type="dxa"/>
              <w:bottom w:w="40" w:type="dxa"/>
              <w:right w:w="40" w:type="dxa"/>
            </w:tcMar>
            <w:vAlign w:val="bottom"/>
          </w:tcPr>
          <w:p w14:paraId="1446E42A"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Share repurchases</w:t>
            </w:r>
          </w:p>
        </w:tc>
        <w:tc>
          <w:tcPr>
            <w:tcW w:w="0" w:type="auto"/>
            <w:shd w:val="clear" w:color="auto" w:fill="CCEEFF"/>
            <w:tcMar>
              <w:top w:w="40" w:type="dxa"/>
              <w:left w:w="40" w:type="dxa"/>
              <w:bottom w:w="40" w:type="dxa"/>
            </w:tcMar>
            <w:vAlign w:val="bottom"/>
          </w:tcPr>
          <w:p w14:paraId="1446E42B"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(6</w:t>
            </w:r>
          </w:p>
        </w:tc>
        <w:tc>
          <w:tcPr>
            <w:tcW w:w="0" w:type="auto"/>
            <w:shd w:val="clear" w:color="auto" w:fill="CCEEFF"/>
            <w:tcMar>
              <w:top w:w="40" w:type="dxa"/>
              <w:bottom w:w="40" w:type="dxa"/>
              <w:right w:w="40" w:type="dxa"/>
            </w:tcMar>
            <w:vAlign w:val="bottom"/>
          </w:tcPr>
          <w:p w14:paraId="1446E42C"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42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2E"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1446E42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3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31"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1446E43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3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34"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1446E43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3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37"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(1,242</w:t>
            </w:r>
          </w:p>
        </w:tc>
        <w:tc>
          <w:tcPr>
            <w:tcW w:w="0" w:type="auto"/>
            <w:shd w:val="clear" w:color="auto" w:fill="CCEEFF"/>
            <w:tcMar>
              <w:top w:w="40" w:type="dxa"/>
              <w:bottom w:w="40" w:type="dxa"/>
              <w:right w:w="40" w:type="dxa"/>
            </w:tcMar>
            <w:vAlign w:val="bottom"/>
          </w:tcPr>
          <w:p w14:paraId="1446E438"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43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3A"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(1,242</w:t>
            </w:r>
          </w:p>
        </w:tc>
        <w:tc>
          <w:tcPr>
            <w:tcW w:w="0" w:type="auto"/>
            <w:shd w:val="clear" w:color="auto" w:fill="CCEEFF"/>
            <w:tcMar>
              <w:top w:w="40" w:type="dxa"/>
              <w:bottom w:w="40" w:type="dxa"/>
              <w:right w:w="40" w:type="dxa"/>
            </w:tcMar>
            <w:vAlign w:val="bottom"/>
          </w:tcPr>
          <w:p w14:paraId="1446E43B"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43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43D"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shd w:val="clear" w:color="auto" w:fill="CCEEFF"/>
            <w:tcMar>
              <w:top w:w="40" w:type="dxa"/>
              <w:bottom w:w="40" w:type="dxa"/>
              <w:right w:w="40" w:type="dxa"/>
            </w:tcMar>
            <w:vAlign w:val="bottom"/>
          </w:tcPr>
          <w:p w14:paraId="1446E43E"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43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40"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1446E44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4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43"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1446E444"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4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46"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1446E44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4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49"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(521</w:t>
            </w:r>
          </w:p>
        </w:tc>
        <w:tc>
          <w:tcPr>
            <w:tcW w:w="0" w:type="auto"/>
            <w:shd w:val="clear" w:color="auto" w:fill="CCEEFF"/>
            <w:tcMar>
              <w:top w:w="40" w:type="dxa"/>
              <w:bottom w:w="40" w:type="dxa"/>
              <w:right w:w="40" w:type="dxa"/>
            </w:tcMar>
            <w:vAlign w:val="bottom"/>
          </w:tcPr>
          <w:p w14:paraId="1446E44A"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1446E44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4C"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(521</w:t>
            </w:r>
          </w:p>
        </w:tc>
        <w:tc>
          <w:tcPr>
            <w:tcW w:w="0" w:type="auto"/>
            <w:shd w:val="clear" w:color="auto" w:fill="CCEEFF"/>
            <w:tcMar>
              <w:top w:w="40" w:type="dxa"/>
              <w:bottom w:w="40" w:type="dxa"/>
              <w:right w:w="40" w:type="dxa"/>
            </w:tcMar>
            <w:vAlign w:val="bottom"/>
          </w:tcPr>
          <w:p w14:paraId="1446E44D"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r>
      <w:tr w:rsidR="00FE42B5" w14:paraId="1446E473" w14:textId="77777777">
        <w:trPr>
          <w:jc w:val="center"/>
        </w:trPr>
        <w:tc>
          <w:tcPr>
            <w:tcW w:w="0" w:type="auto"/>
            <w:shd w:val="clear" w:color="auto" w:fill="auto"/>
            <w:tcMar>
              <w:top w:w="40" w:type="dxa"/>
              <w:left w:w="40" w:type="dxa"/>
              <w:bottom w:w="40" w:type="dxa"/>
              <w:right w:w="40" w:type="dxa"/>
            </w:tcMar>
            <w:vAlign w:val="bottom"/>
          </w:tcPr>
          <w:p w14:paraId="1446E44F"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Other comprehensive loss</w:t>
            </w:r>
          </w:p>
        </w:tc>
        <w:tc>
          <w:tcPr>
            <w:tcW w:w="0" w:type="auto"/>
            <w:shd w:val="clear" w:color="auto" w:fill="auto"/>
            <w:tcMar>
              <w:top w:w="40" w:type="dxa"/>
              <w:left w:w="40" w:type="dxa"/>
              <w:bottom w:w="40" w:type="dxa"/>
            </w:tcMar>
            <w:vAlign w:val="bottom"/>
          </w:tcPr>
          <w:p w14:paraId="1446E450"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51"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5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53"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54"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5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56"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57"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5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59"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(55</w:t>
            </w:r>
          </w:p>
        </w:tc>
        <w:tc>
          <w:tcPr>
            <w:tcW w:w="0" w:type="auto"/>
            <w:shd w:val="clear" w:color="auto" w:fill="auto"/>
            <w:tcMar>
              <w:top w:w="40" w:type="dxa"/>
              <w:bottom w:w="40" w:type="dxa"/>
              <w:right w:w="40" w:type="dxa"/>
            </w:tcMar>
            <w:vAlign w:val="bottom"/>
          </w:tcPr>
          <w:p w14:paraId="1446E45A"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1446E45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5C"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5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5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5F"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(55</w:t>
            </w:r>
          </w:p>
        </w:tc>
        <w:tc>
          <w:tcPr>
            <w:tcW w:w="0" w:type="auto"/>
            <w:shd w:val="clear" w:color="auto" w:fill="auto"/>
            <w:tcMar>
              <w:top w:w="40" w:type="dxa"/>
              <w:bottom w:w="40" w:type="dxa"/>
              <w:right w:w="40" w:type="dxa"/>
            </w:tcMar>
            <w:vAlign w:val="bottom"/>
          </w:tcPr>
          <w:p w14:paraId="1446E460"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1446E46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462"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6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6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65"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6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6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68"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69"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6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6B"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(21</w:t>
            </w:r>
          </w:p>
        </w:tc>
        <w:tc>
          <w:tcPr>
            <w:tcW w:w="0" w:type="auto"/>
            <w:shd w:val="clear" w:color="auto" w:fill="auto"/>
            <w:tcMar>
              <w:top w:w="40" w:type="dxa"/>
              <w:bottom w:w="40" w:type="dxa"/>
              <w:right w:w="40" w:type="dxa"/>
            </w:tcMar>
            <w:vAlign w:val="bottom"/>
          </w:tcPr>
          <w:p w14:paraId="1446E46C"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1446E46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6E"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1446E46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7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71"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(21</w:t>
            </w:r>
          </w:p>
        </w:tc>
        <w:tc>
          <w:tcPr>
            <w:tcW w:w="0" w:type="auto"/>
            <w:shd w:val="clear" w:color="auto" w:fill="auto"/>
            <w:tcMar>
              <w:top w:w="40" w:type="dxa"/>
              <w:bottom w:w="40" w:type="dxa"/>
              <w:right w:w="40" w:type="dxa"/>
            </w:tcMar>
            <w:vAlign w:val="bottom"/>
          </w:tcPr>
          <w:p w14:paraId="1446E472"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r>
      <w:tr w:rsidR="009213DC" w14:paraId="1446E498" w14:textId="77777777">
        <w:trPr>
          <w:jc w:val="center"/>
        </w:trPr>
        <w:tc>
          <w:tcPr>
            <w:tcW w:w="0" w:type="auto"/>
            <w:shd w:val="clear" w:color="auto" w:fill="CCEEFF"/>
            <w:tcMar>
              <w:top w:w="40" w:type="dxa"/>
              <w:left w:w="40" w:type="dxa"/>
              <w:bottom w:w="40" w:type="dxa"/>
              <w:right w:w="40" w:type="dxa"/>
            </w:tcMar>
            <w:vAlign w:val="bottom"/>
          </w:tcPr>
          <w:p w14:paraId="1446E474"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Net income</w:t>
            </w:r>
          </w:p>
        </w:tc>
        <w:tc>
          <w:tcPr>
            <w:tcW w:w="0" w:type="auto"/>
            <w:tcBorders>
              <w:bottom w:val="single" w:sz="8" w:space="0" w:color="000000"/>
            </w:tcBorders>
            <w:shd w:val="clear" w:color="auto" w:fill="CCEEFF"/>
            <w:tcMar>
              <w:top w:w="40" w:type="dxa"/>
              <w:left w:w="40" w:type="dxa"/>
              <w:bottom w:w="40" w:type="dxa"/>
            </w:tcMar>
            <w:vAlign w:val="bottom"/>
          </w:tcPr>
          <w:p w14:paraId="1446E475"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1446E47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7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478"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1446E479"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7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47B"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1446E47C"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7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47E"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1446E47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8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481"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4,902</w:t>
            </w:r>
          </w:p>
        </w:tc>
        <w:tc>
          <w:tcPr>
            <w:tcW w:w="0" w:type="auto"/>
            <w:tcBorders>
              <w:bottom w:val="single" w:sz="8" w:space="0" w:color="000000"/>
            </w:tcBorders>
            <w:shd w:val="clear" w:color="auto" w:fill="CCEEFF"/>
            <w:vAlign w:val="bottom"/>
          </w:tcPr>
          <w:p w14:paraId="1446E48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8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84"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4,902</w:t>
            </w:r>
          </w:p>
        </w:tc>
        <w:tc>
          <w:tcPr>
            <w:tcW w:w="0" w:type="auto"/>
            <w:shd w:val="clear" w:color="auto" w:fill="CCEEFF"/>
            <w:vAlign w:val="bottom"/>
          </w:tcPr>
          <w:p w14:paraId="1446E48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8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1446E487"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1446E488"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8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48A"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1446E48B"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8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48D"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1446E48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8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490"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1446E49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9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493"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2,429</w:t>
            </w:r>
          </w:p>
        </w:tc>
        <w:tc>
          <w:tcPr>
            <w:tcW w:w="0" w:type="auto"/>
            <w:tcBorders>
              <w:bottom w:val="single" w:sz="8" w:space="0" w:color="000000"/>
            </w:tcBorders>
            <w:shd w:val="clear" w:color="auto" w:fill="CCEEFF"/>
            <w:vAlign w:val="bottom"/>
          </w:tcPr>
          <w:p w14:paraId="1446E494"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49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496"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2,429</w:t>
            </w:r>
          </w:p>
        </w:tc>
        <w:tc>
          <w:tcPr>
            <w:tcW w:w="0" w:type="auto"/>
            <w:shd w:val="clear" w:color="auto" w:fill="CCEEFF"/>
            <w:vAlign w:val="bottom"/>
          </w:tcPr>
          <w:p w14:paraId="1446E497" w14:textId="77777777" w:rsidR="00FE42B5" w:rsidRDefault="00FE42B5">
            <w:pPr>
              <w:textAlignment w:val="bottom"/>
              <w:rPr>
                <w:rFonts w:ascii="Times New Roman" w:hAnsi="Times New Roman"/>
                <w:sz w:val="20"/>
                <w:szCs w:val="20"/>
              </w:rPr>
            </w:pPr>
          </w:p>
        </w:tc>
      </w:tr>
      <w:tr w:rsidR="00FE42B5" w14:paraId="1446E4C7" w14:textId="77777777">
        <w:trPr>
          <w:jc w:val="center"/>
        </w:trPr>
        <w:tc>
          <w:tcPr>
            <w:tcW w:w="0" w:type="auto"/>
            <w:shd w:val="clear" w:color="auto" w:fill="auto"/>
            <w:tcMar>
              <w:top w:w="40" w:type="dxa"/>
              <w:left w:w="40" w:type="dxa"/>
              <w:bottom w:w="40" w:type="dxa"/>
              <w:right w:w="40" w:type="dxa"/>
            </w:tcMar>
            <w:vAlign w:val="bottom"/>
          </w:tcPr>
          <w:p w14:paraId="1446E499"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 xml:space="preserve">Balances </w:t>
            </w:r>
            <w:r>
              <w:rPr>
                <w:rFonts w:ascii="Times New Roman" w:eastAsia="宋体" w:hAnsi="Times New Roman"/>
                <w:sz w:val="18"/>
                <w:szCs w:val="18"/>
              </w:rPr>
              <w:t>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49A"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2,851</w:t>
            </w:r>
          </w:p>
        </w:tc>
        <w:tc>
          <w:tcPr>
            <w:tcW w:w="0" w:type="auto"/>
            <w:tcBorders>
              <w:top w:val="single" w:sz="8" w:space="0" w:color="000000"/>
              <w:bottom w:val="double" w:sz="6" w:space="0" w:color="000000"/>
            </w:tcBorders>
            <w:shd w:val="clear" w:color="auto" w:fill="auto"/>
            <w:vAlign w:val="bottom"/>
          </w:tcPr>
          <w:p w14:paraId="1446E49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9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49D"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49E"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vAlign w:val="bottom"/>
          </w:tcPr>
          <w:p w14:paraId="1446E49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A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4A1"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4A2"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46,688</w:t>
            </w:r>
          </w:p>
        </w:tc>
        <w:tc>
          <w:tcPr>
            <w:tcW w:w="0" w:type="auto"/>
            <w:tcBorders>
              <w:top w:val="single" w:sz="8" w:space="0" w:color="000000"/>
              <w:bottom w:val="double" w:sz="6" w:space="0" w:color="000000"/>
            </w:tcBorders>
            <w:shd w:val="clear" w:color="auto" w:fill="auto"/>
            <w:vAlign w:val="bottom"/>
          </w:tcPr>
          <w:p w14:paraId="1446E4A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A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4A5"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4A6"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(544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446E4A7"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1446E4A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4A9"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4AA"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59,160</w:t>
            </w:r>
          </w:p>
        </w:tc>
        <w:tc>
          <w:tcPr>
            <w:tcW w:w="0" w:type="auto"/>
            <w:tcBorders>
              <w:top w:val="single" w:sz="8" w:space="0" w:color="000000"/>
              <w:bottom w:val="double" w:sz="6" w:space="0" w:color="000000"/>
            </w:tcBorders>
            <w:shd w:val="clear" w:color="auto" w:fill="auto"/>
            <w:vAlign w:val="bottom"/>
          </w:tcPr>
          <w:p w14:paraId="1446E4A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A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4AD"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4AE"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105,304</w:t>
            </w:r>
          </w:p>
        </w:tc>
        <w:tc>
          <w:tcPr>
            <w:tcW w:w="0" w:type="auto"/>
            <w:tcBorders>
              <w:top w:val="single" w:sz="8" w:space="0" w:color="000000"/>
              <w:bottom w:val="double" w:sz="6" w:space="0" w:color="000000"/>
            </w:tcBorders>
            <w:shd w:val="clear" w:color="auto" w:fill="auto"/>
            <w:vAlign w:val="bottom"/>
          </w:tcPr>
          <w:p w14:paraId="1446E4A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B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4B1"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2,856</w:t>
            </w:r>
          </w:p>
        </w:tc>
        <w:tc>
          <w:tcPr>
            <w:tcW w:w="0" w:type="auto"/>
            <w:tcBorders>
              <w:top w:val="single" w:sz="8" w:space="0" w:color="000000"/>
              <w:bottom w:val="double" w:sz="6" w:space="0" w:color="000000"/>
            </w:tcBorders>
            <w:shd w:val="clear" w:color="auto" w:fill="auto"/>
            <w:vAlign w:val="bottom"/>
          </w:tcPr>
          <w:p w14:paraId="1446E4B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B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4B4"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4B5"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vAlign w:val="bottom"/>
          </w:tcPr>
          <w:p w14:paraId="1446E4B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B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4B8"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4B9"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43,533</w:t>
            </w:r>
          </w:p>
        </w:tc>
        <w:tc>
          <w:tcPr>
            <w:tcW w:w="0" w:type="auto"/>
            <w:tcBorders>
              <w:top w:val="single" w:sz="8" w:space="0" w:color="000000"/>
              <w:bottom w:val="double" w:sz="6" w:space="0" w:color="000000"/>
            </w:tcBorders>
            <w:shd w:val="clear" w:color="auto" w:fill="auto"/>
            <w:vAlign w:val="bottom"/>
          </w:tcPr>
          <w:p w14:paraId="1446E4BA"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B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4BC"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4BD"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(781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446E4BE"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1446E4B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4C0"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4C1"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43,764</w:t>
            </w:r>
          </w:p>
        </w:tc>
        <w:tc>
          <w:tcPr>
            <w:tcW w:w="0" w:type="auto"/>
            <w:tcBorders>
              <w:top w:val="single" w:sz="8" w:space="0" w:color="000000"/>
              <w:bottom w:val="double" w:sz="6" w:space="0" w:color="000000"/>
            </w:tcBorders>
            <w:shd w:val="clear" w:color="auto" w:fill="auto"/>
            <w:vAlign w:val="bottom"/>
          </w:tcPr>
          <w:p w14:paraId="1446E4C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C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4C4" w14:textId="77777777" w:rsidR="00FE42B5" w:rsidRDefault="009213D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4C5" w14:textId="77777777" w:rsidR="00FE42B5" w:rsidRDefault="009213DC">
            <w:pPr>
              <w:jc w:val="right"/>
              <w:textAlignment w:val="bottom"/>
              <w:rPr>
                <w:rFonts w:ascii="Times New Roman" w:hAnsi="Times New Roman"/>
                <w:sz w:val="18"/>
                <w:szCs w:val="18"/>
              </w:rPr>
            </w:pPr>
            <w:r>
              <w:rPr>
                <w:rFonts w:ascii="Times New Roman" w:eastAsia="宋体" w:hAnsi="Times New Roman"/>
                <w:sz w:val="18"/>
                <w:szCs w:val="18"/>
              </w:rPr>
              <w:t>86,516</w:t>
            </w:r>
          </w:p>
        </w:tc>
        <w:tc>
          <w:tcPr>
            <w:tcW w:w="0" w:type="auto"/>
            <w:tcBorders>
              <w:top w:val="single" w:sz="8" w:space="0" w:color="000000"/>
              <w:bottom w:val="double" w:sz="6" w:space="0" w:color="000000"/>
            </w:tcBorders>
            <w:shd w:val="clear" w:color="auto" w:fill="auto"/>
            <w:vAlign w:val="bottom"/>
          </w:tcPr>
          <w:p w14:paraId="1446E4C6" w14:textId="77777777" w:rsidR="00FE42B5" w:rsidRDefault="00FE42B5">
            <w:pPr>
              <w:textAlignment w:val="bottom"/>
              <w:rPr>
                <w:rFonts w:ascii="Times New Roman" w:hAnsi="Times New Roman"/>
                <w:sz w:val="20"/>
                <w:szCs w:val="20"/>
              </w:rPr>
            </w:pPr>
          </w:p>
        </w:tc>
      </w:tr>
    </w:tbl>
    <w:p w14:paraId="1446E4C8" w14:textId="77777777" w:rsidR="00FE42B5" w:rsidRDefault="00FE42B5">
      <w:pPr>
        <w:spacing w:line="288" w:lineRule="auto"/>
        <w:jc w:val="center"/>
        <w:rPr>
          <w:rFonts w:ascii="Times New Roman" w:hAnsi="Times New Roman"/>
          <w:sz w:val="18"/>
          <w:szCs w:val="18"/>
        </w:rPr>
      </w:pPr>
    </w:p>
    <w:p w14:paraId="1446E4C9" w14:textId="77777777" w:rsidR="00FE42B5" w:rsidRDefault="00FE42B5">
      <w:pPr>
        <w:spacing w:line="288" w:lineRule="auto"/>
        <w:jc w:val="center"/>
        <w:rPr>
          <w:rFonts w:ascii="Times New Roman" w:hAnsi="Times New Roman"/>
          <w:sz w:val="18"/>
          <w:szCs w:val="18"/>
        </w:rPr>
      </w:pPr>
    </w:p>
    <w:p w14:paraId="1446E4CA"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See Accompanying Notes to Cond</w:t>
      </w:r>
      <w:r>
        <w:rPr>
          <w:rFonts w:ascii="Times New Roman" w:eastAsia="宋体" w:hAnsi="Times New Roman"/>
          <w:i/>
          <w:iCs/>
          <w:sz w:val="18"/>
          <w:szCs w:val="18"/>
        </w:rPr>
        <w:t>ensed Consolidated Financial Statements.</w:t>
      </w:r>
    </w:p>
    <w:p w14:paraId="1446E4CB" w14:textId="77777777" w:rsidR="00FE42B5" w:rsidRDefault="00FE42B5">
      <w:pPr>
        <w:rPr>
          <w:rFonts w:ascii="Times New Roman" w:hAnsi="Times New Roman"/>
          <w:sz w:val="20"/>
          <w:szCs w:val="20"/>
        </w:rPr>
      </w:pPr>
    </w:p>
    <w:p w14:paraId="1446E4CC"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10</w:t>
      </w:r>
    </w:p>
    <w:p w14:paraId="1446E4CD" w14:textId="77777777" w:rsidR="00FE42B5" w:rsidRDefault="009213DC">
      <w:r>
        <w:rPr>
          <w:rFonts w:ascii="Times New Roman" w:hAnsi="Times New Roman"/>
          <w:sz w:val="20"/>
          <w:szCs w:val="20"/>
        </w:rPr>
        <w:pict w14:anchorId="1446FAC2">
          <v:rect id="_x0000_i1034" style="width:415.3pt;height:1.5pt" o:hralign="center" o:hrstd="t" o:hr="t" fillcolor="#a0a0a0" stroked="f"/>
        </w:pict>
      </w:r>
    </w:p>
    <w:p w14:paraId="1446E4CE" w14:textId="77777777" w:rsidR="00FE42B5" w:rsidRDefault="009213DC">
      <w:pPr>
        <w:spacing w:line="288" w:lineRule="auto"/>
        <w:rPr>
          <w:rFonts w:ascii="Times New Roman" w:hAnsi="Times New Roman"/>
          <w:sz w:val="20"/>
          <w:szCs w:val="20"/>
        </w:rPr>
      </w:pPr>
      <w:hyperlink r:id="rId52" w:anchor="sBB4BED1571A45A16AF3DC2E3B69C901C" w:history="1">
        <w:r>
          <w:rPr>
            <w:rStyle w:val="a5"/>
            <w:rFonts w:ascii="Times New Roman" w:eastAsia="宋体" w:hAnsi="Times New Roman"/>
            <w:sz w:val="20"/>
            <w:szCs w:val="20"/>
          </w:rPr>
          <w:t>Table of Contents</w:t>
        </w:r>
      </w:hyperlink>
    </w:p>
    <w:p w14:paraId="1446E4CF" w14:textId="77777777" w:rsidR="00FE42B5" w:rsidRDefault="00FE42B5">
      <w:pPr>
        <w:rPr>
          <w:rFonts w:ascii="Times New Roman" w:hAnsi="Times New Roman"/>
          <w:sz w:val="20"/>
          <w:szCs w:val="20"/>
        </w:rPr>
      </w:pPr>
    </w:p>
    <w:p w14:paraId="1446E4D0"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1446E4D1"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w:t>
      </w:r>
      <w:r>
        <w:rPr>
          <w:rFonts w:ascii="Times New Roman" w:eastAsia="宋体" w:hAnsi="Times New Roman"/>
          <w:b/>
          <w:bCs/>
          <w:sz w:val="20"/>
          <w:szCs w:val="20"/>
        </w:rPr>
        <w:t xml:space="preserve"> STATEMENTS OF CASH FLOWS</w:t>
      </w:r>
    </w:p>
    <w:p w14:paraId="1446E4D2"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(In millions)</w:t>
      </w:r>
    </w:p>
    <w:p w14:paraId="1446E4D3" w14:textId="77777777" w:rsidR="00FE42B5" w:rsidRDefault="009213DC">
      <w:pPr>
        <w:spacing w:line="288" w:lineRule="auto"/>
        <w:jc w:val="center"/>
        <w:rPr>
          <w:rFonts w:ascii="Times New Roman" w:hAnsi="Times New Roman"/>
          <w:sz w:val="20"/>
          <w:szCs w:val="20"/>
        </w:rPr>
      </w:pPr>
      <w:r>
        <w:rPr>
          <w:rFonts w:ascii="Times New Roman" w:eastAsia="宋体" w:hAnsi="Times New Roman"/>
          <w:i/>
          <w:iCs/>
          <w:sz w:val="18"/>
          <w:szCs w:val="18"/>
        </w:rPr>
        <w:t>(Unaudited)</w:t>
      </w:r>
    </w:p>
    <w:tbl>
      <w:tblPr>
        <w:tblW w:w="5000" w:type="pct"/>
        <w:jc w:val="center"/>
        <w:tblCellMar>
          <w:left w:w="0" w:type="dxa"/>
          <w:right w:w="0" w:type="dxa"/>
        </w:tblCellMar>
        <w:tblLook w:val="04A0" w:firstRow="1" w:lastRow="0" w:firstColumn="1" w:lastColumn="0" w:noHBand="0" w:noVBand="1"/>
      </w:tblPr>
      <w:tblGrid>
        <w:gridCol w:w="5993"/>
        <w:gridCol w:w="140"/>
        <w:gridCol w:w="844"/>
        <w:gridCol w:w="107"/>
        <w:gridCol w:w="130"/>
        <w:gridCol w:w="140"/>
        <w:gridCol w:w="845"/>
        <w:gridCol w:w="107"/>
      </w:tblGrid>
      <w:tr w:rsidR="00FE42B5" w14:paraId="1446E4D5" w14:textId="77777777">
        <w:trPr>
          <w:jc w:val="center"/>
        </w:trPr>
        <w:tc>
          <w:tcPr>
            <w:tcW w:w="0" w:type="auto"/>
            <w:gridSpan w:val="8"/>
            <w:shd w:val="clear" w:color="auto" w:fill="auto"/>
            <w:vAlign w:val="center"/>
          </w:tcPr>
          <w:p w14:paraId="1446E4D4" w14:textId="77777777" w:rsidR="00FE42B5" w:rsidRDefault="00FE42B5">
            <w:pPr>
              <w:rPr>
                <w:rFonts w:ascii="Times New Roman" w:hAnsi="Times New Roman"/>
                <w:sz w:val="20"/>
                <w:szCs w:val="20"/>
              </w:rPr>
            </w:pPr>
          </w:p>
        </w:tc>
      </w:tr>
      <w:tr w:rsidR="00FE42B5" w14:paraId="1446E4DE" w14:textId="77777777">
        <w:trPr>
          <w:jc w:val="center"/>
        </w:trPr>
        <w:tc>
          <w:tcPr>
            <w:tcW w:w="3650" w:type="pct"/>
            <w:shd w:val="clear" w:color="auto" w:fill="auto"/>
            <w:vAlign w:val="center"/>
          </w:tcPr>
          <w:p w14:paraId="1446E4D6" w14:textId="77777777" w:rsidR="00FE42B5" w:rsidRDefault="00FE42B5">
            <w:pPr>
              <w:rPr>
                <w:rFonts w:ascii="Times New Roman" w:hAnsi="Times New Roman"/>
                <w:sz w:val="20"/>
                <w:szCs w:val="20"/>
              </w:rPr>
            </w:pPr>
          </w:p>
        </w:tc>
        <w:tc>
          <w:tcPr>
            <w:tcW w:w="50" w:type="pct"/>
            <w:shd w:val="clear" w:color="auto" w:fill="auto"/>
            <w:vAlign w:val="center"/>
          </w:tcPr>
          <w:p w14:paraId="1446E4D7" w14:textId="77777777" w:rsidR="00FE42B5" w:rsidRDefault="00FE42B5">
            <w:pPr>
              <w:rPr>
                <w:rFonts w:ascii="Times New Roman" w:hAnsi="Times New Roman"/>
                <w:sz w:val="20"/>
                <w:szCs w:val="20"/>
              </w:rPr>
            </w:pPr>
          </w:p>
        </w:tc>
        <w:tc>
          <w:tcPr>
            <w:tcW w:w="550" w:type="pct"/>
            <w:shd w:val="clear" w:color="auto" w:fill="auto"/>
            <w:vAlign w:val="center"/>
          </w:tcPr>
          <w:p w14:paraId="1446E4D8" w14:textId="77777777" w:rsidR="00FE42B5" w:rsidRDefault="00FE42B5">
            <w:pPr>
              <w:rPr>
                <w:rFonts w:ascii="Times New Roman" w:hAnsi="Times New Roman"/>
                <w:sz w:val="20"/>
                <w:szCs w:val="20"/>
              </w:rPr>
            </w:pPr>
          </w:p>
        </w:tc>
        <w:tc>
          <w:tcPr>
            <w:tcW w:w="50" w:type="pct"/>
            <w:shd w:val="clear" w:color="auto" w:fill="auto"/>
            <w:vAlign w:val="center"/>
          </w:tcPr>
          <w:p w14:paraId="1446E4D9" w14:textId="77777777" w:rsidR="00FE42B5" w:rsidRDefault="00FE42B5">
            <w:pPr>
              <w:rPr>
                <w:rFonts w:ascii="Times New Roman" w:hAnsi="Times New Roman"/>
                <w:sz w:val="20"/>
                <w:szCs w:val="20"/>
              </w:rPr>
            </w:pPr>
          </w:p>
        </w:tc>
        <w:tc>
          <w:tcPr>
            <w:tcW w:w="50" w:type="pct"/>
            <w:shd w:val="clear" w:color="auto" w:fill="auto"/>
            <w:vAlign w:val="center"/>
          </w:tcPr>
          <w:p w14:paraId="1446E4DA" w14:textId="77777777" w:rsidR="00FE42B5" w:rsidRDefault="00FE42B5">
            <w:pPr>
              <w:rPr>
                <w:rFonts w:ascii="Times New Roman" w:hAnsi="Times New Roman"/>
                <w:sz w:val="20"/>
                <w:szCs w:val="20"/>
              </w:rPr>
            </w:pPr>
          </w:p>
        </w:tc>
        <w:tc>
          <w:tcPr>
            <w:tcW w:w="50" w:type="pct"/>
            <w:shd w:val="clear" w:color="auto" w:fill="auto"/>
            <w:vAlign w:val="center"/>
          </w:tcPr>
          <w:p w14:paraId="1446E4DB" w14:textId="77777777" w:rsidR="00FE42B5" w:rsidRDefault="00FE42B5">
            <w:pPr>
              <w:rPr>
                <w:rFonts w:ascii="Times New Roman" w:hAnsi="Times New Roman"/>
                <w:sz w:val="20"/>
                <w:szCs w:val="20"/>
              </w:rPr>
            </w:pPr>
          </w:p>
        </w:tc>
        <w:tc>
          <w:tcPr>
            <w:tcW w:w="550" w:type="pct"/>
            <w:shd w:val="clear" w:color="auto" w:fill="auto"/>
            <w:vAlign w:val="center"/>
          </w:tcPr>
          <w:p w14:paraId="1446E4DC" w14:textId="77777777" w:rsidR="00FE42B5" w:rsidRDefault="00FE42B5">
            <w:pPr>
              <w:rPr>
                <w:rFonts w:ascii="Times New Roman" w:hAnsi="Times New Roman"/>
                <w:sz w:val="20"/>
                <w:szCs w:val="20"/>
              </w:rPr>
            </w:pPr>
          </w:p>
        </w:tc>
        <w:tc>
          <w:tcPr>
            <w:tcW w:w="50" w:type="pct"/>
            <w:shd w:val="clear" w:color="auto" w:fill="auto"/>
            <w:vAlign w:val="center"/>
          </w:tcPr>
          <w:p w14:paraId="1446E4DD" w14:textId="77777777" w:rsidR="00FE42B5" w:rsidRDefault="00FE42B5">
            <w:pPr>
              <w:rPr>
                <w:rFonts w:ascii="Times New Roman" w:hAnsi="Times New Roman"/>
                <w:sz w:val="20"/>
                <w:szCs w:val="20"/>
              </w:rPr>
            </w:pPr>
          </w:p>
        </w:tc>
      </w:tr>
      <w:tr w:rsidR="00FE42B5" w14:paraId="1446E4E1" w14:textId="77777777">
        <w:trPr>
          <w:jc w:val="center"/>
        </w:trPr>
        <w:tc>
          <w:tcPr>
            <w:tcW w:w="0" w:type="auto"/>
            <w:shd w:val="clear" w:color="auto" w:fill="auto"/>
            <w:tcMar>
              <w:top w:w="40" w:type="dxa"/>
              <w:left w:w="40" w:type="dxa"/>
              <w:bottom w:w="40" w:type="dxa"/>
              <w:right w:w="40" w:type="dxa"/>
            </w:tcMar>
            <w:vAlign w:val="bottom"/>
          </w:tcPr>
          <w:p w14:paraId="1446E4D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E4E0"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r>
      <w:tr w:rsidR="00FE42B5" w14:paraId="1446E4E6" w14:textId="77777777">
        <w:trPr>
          <w:jc w:val="center"/>
        </w:trPr>
        <w:tc>
          <w:tcPr>
            <w:tcW w:w="0" w:type="auto"/>
            <w:shd w:val="clear" w:color="auto" w:fill="auto"/>
            <w:tcMar>
              <w:top w:w="40" w:type="dxa"/>
              <w:left w:w="40" w:type="dxa"/>
              <w:bottom w:w="40" w:type="dxa"/>
              <w:right w:w="40" w:type="dxa"/>
            </w:tcMar>
            <w:vAlign w:val="bottom"/>
          </w:tcPr>
          <w:p w14:paraId="1446E4E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4E3"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1446E4E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4E5"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E42B5" w14:paraId="1446E4EB" w14:textId="77777777">
        <w:trPr>
          <w:jc w:val="center"/>
        </w:trPr>
        <w:tc>
          <w:tcPr>
            <w:tcW w:w="0" w:type="auto"/>
            <w:shd w:val="clear" w:color="auto" w:fill="CCEEFF"/>
            <w:tcMar>
              <w:top w:w="40" w:type="dxa"/>
              <w:left w:w="40" w:type="dxa"/>
              <w:bottom w:w="40" w:type="dxa"/>
              <w:right w:w="40" w:type="dxa"/>
            </w:tcMar>
          </w:tcPr>
          <w:p w14:paraId="1446E4E7"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Cash flows from operating activities</w:t>
            </w:r>
          </w:p>
        </w:tc>
        <w:tc>
          <w:tcPr>
            <w:tcW w:w="0" w:type="auto"/>
            <w:gridSpan w:val="3"/>
            <w:shd w:val="clear" w:color="auto" w:fill="CCEEFF"/>
            <w:tcMar>
              <w:top w:w="40" w:type="dxa"/>
              <w:left w:w="40" w:type="dxa"/>
              <w:bottom w:w="40" w:type="dxa"/>
              <w:right w:w="40" w:type="dxa"/>
            </w:tcMar>
            <w:vAlign w:val="bottom"/>
          </w:tcPr>
          <w:p w14:paraId="1446E4E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4E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4E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4F4" w14:textId="77777777">
        <w:trPr>
          <w:jc w:val="center"/>
        </w:trPr>
        <w:tc>
          <w:tcPr>
            <w:tcW w:w="0" w:type="auto"/>
            <w:shd w:val="clear" w:color="auto" w:fill="auto"/>
            <w:tcMar>
              <w:top w:w="40" w:type="dxa"/>
              <w:left w:w="560" w:type="dxa"/>
              <w:bottom w:w="40" w:type="dxa"/>
              <w:right w:w="40" w:type="dxa"/>
            </w:tcMar>
          </w:tcPr>
          <w:p w14:paraId="1446E4E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auto"/>
            <w:tcMar>
              <w:top w:w="40" w:type="dxa"/>
              <w:left w:w="40" w:type="dxa"/>
              <w:bottom w:w="40" w:type="dxa"/>
            </w:tcMar>
            <w:vAlign w:val="bottom"/>
          </w:tcPr>
          <w:p w14:paraId="1446E4E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4E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4,902</w:t>
            </w:r>
          </w:p>
        </w:tc>
        <w:tc>
          <w:tcPr>
            <w:tcW w:w="0" w:type="auto"/>
            <w:shd w:val="clear" w:color="auto" w:fill="auto"/>
            <w:vAlign w:val="bottom"/>
          </w:tcPr>
          <w:p w14:paraId="1446E4E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F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4F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4F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2,429</w:t>
            </w:r>
          </w:p>
        </w:tc>
        <w:tc>
          <w:tcPr>
            <w:tcW w:w="0" w:type="auto"/>
            <w:shd w:val="clear" w:color="auto" w:fill="auto"/>
            <w:vAlign w:val="bottom"/>
          </w:tcPr>
          <w:p w14:paraId="1446E4F3" w14:textId="77777777" w:rsidR="00FE42B5" w:rsidRDefault="00FE42B5">
            <w:pPr>
              <w:textAlignment w:val="bottom"/>
              <w:rPr>
                <w:rFonts w:ascii="Times New Roman" w:hAnsi="Times New Roman"/>
                <w:sz w:val="20"/>
                <w:szCs w:val="20"/>
              </w:rPr>
            </w:pPr>
          </w:p>
        </w:tc>
      </w:tr>
      <w:tr w:rsidR="00FE42B5" w14:paraId="1446E4F9" w14:textId="77777777">
        <w:trPr>
          <w:jc w:val="center"/>
        </w:trPr>
        <w:tc>
          <w:tcPr>
            <w:tcW w:w="0" w:type="auto"/>
            <w:shd w:val="clear" w:color="auto" w:fill="CCEEFF"/>
            <w:tcMar>
              <w:top w:w="40" w:type="dxa"/>
              <w:left w:w="560" w:type="dxa"/>
              <w:bottom w:w="40" w:type="dxa"/>
              <w:right w:w="40" w:type="dxa"/>
            </w:tcMar>
          </w:tcPr>
          <w:p w14:paraId="1446E4F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Adjustments to reconcile net income to net cash provided by </w:t>
            </w:r>
            <w:r>
              <w:rPr>
                <w:rFonts w:ascii="Times New Roman" w:eastAsia="宋体" w:hAnsi="Times New Roman"/>
                <w:sz w:val="20"/>
                <w:szCs w:val="20"/>
              </w:rPr>
              <w:t>operating activities:</w:t>
            </w:r>
          </w:p>
        </w:tc>
        <w:tc>
          <w:tcPr>
            <w:tcW w:w="0" w:type="auto"/>
            <w:gridSpan w:val="3"/>
            <w:shd w:val="clear" w:color="auto" w:fill="CCEEFF"/>
            <w:tcMar>
              <w:top w:w="40" w:type="dxa"/>
              <w:left w:w="40" w:type="dxa"/>
              <w:bottom w:w="40" w:type="dxa"/>
              <w:right w:w="40" w:type="dxa"/>
            </w:tcMar>
            <w:vAlign w:val="bottom"/>
          </w:tcPr>
          <w:p w14:paraId="1446E4F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4F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4F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500" w14:textId="77777777">
        <w:trPr>
          <w:jc w:val="center"/>
        </w:trPr>
        <w:tc>
          <w:tcPr>
            <w:tcW w:w="0" w:type="auto"/>
            <w:shd w:val="clear" w:color="auto" w:fill="auto"/>
            <w:tcMar>
              <w:top w:w="40" w:type="dxa"/>
              <w:left w:w="720" w:type="dxa"/>
              <w:bottom w:w="40" w:type="dxa"/>
              <w:right w:w="40" w:type="dxa"/>
            </w:tcMar>
          </w:tcPr>
          <w:p w14:paraId="1446E4F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Depreciation and amortization</w:t>
            </w:r>
          </w:p>
        </w:tc>
        <w:tc>
          <w:tcPr>
            <w:tcW w:w="0" w:type="auto"/>
            <w:gridSpan w:val="2"/>
            <w:shd w:val="clear" w:color="auto" w:fill="auto"/>
            <w:tcMar>
              <w:top w:w="40" w:type="dxa"/>
              <w:left w:w="40" w:type="dxa"/>
              <w:bottom w:w="40" w:type="dxa"/>
            </w:tcMar>
            <w:vAlign w:val="bottom"/>
          </w:tcPr>
          <w:p w14:paraId="1446E4F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1,597</w:t>
            </w:r>
          </w:p>
        </w:tc>
        <w:tc>
          <w:tcPr>
            <w:tcW w:w="0" w:type="auto"/>
            <w:shd w:val="clear" w:color="auto" w:fill="auto"/>
            <w:vAlign w:val="bottom"/>
          </w:tcPr>
          <w:p w14:paraId="1446E4FC"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4F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4F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1,355</w:t>
            </w:r>
          </w:p>
        </w:tc>
        <w:tc>
          <w:tcPr>
            <w:tcW w:w="0" w:type="auto"/>
            <w:shd w:val="clear" w:color="auto" w:fill="auto"/>
            <w:vAlign w:val="bottom"/>
          </w:tcPr>
          <w:p w14:paraId="1446E4FF" w14:textId="77777777" w:rsidR="00FE42B5" w:rsidRDefault="00FE42B5">
            <w:pPr>
              <w:textAlignment w:val="bottom"/>
              <w:rPr>
                <w:rFonts w:ascii="Times New Roman" w:hAnsi="Times New Roman"/>
                <w:sz w:val="20"/>
                <w:szCs w:val="20"/>
              </w:rPr>
            </w:pPr>
          </w:p>
        </w:tc>
      </w:tr>
      <w:tr w:rsidR="00FE42B5" w14:paraId="1446E507" w14:textId="77777777">
        <w:trPr>
          <w:jc w:val="center"/>
        </w:trPr>
        <w:tc>
          <w:tcPr>
            <w:tcW w:w="0" w:type="auto"/>
            <w:shd w:val="clear" w:color="auto" w:fill="CCEEFF"/>
            <w:tcMar>
              <w:top w:w="40" w:type="dxa"/>
              <w:left w:w="720" w:type="dxa"/>
              <w:bottom w:w="40" w:type="dxa"/>
              <w:right w:w="40" w:type="dxa"/>
            </w:tcMar>
          </w:tcPr>
          <w:p w14:paraId="1446E50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Share-based compensation</w:t>
            </w:r>
          </w:p>
        </w:tc>
        <w:tc>
          <w:tcPr>
            <w:tcW w:w="0" w:type="auto"/>
            <w:gridSpan w:val="2"/>
            <w:shd w:val="clear" w:color="auto" w:fill="CCEEFF"/>
            <w:tcMar>
              <w:top w:w="40" w:type="dxa"/>
              <w:left w:w="40" w:type="dxa"/>
              <w:bottom w:w="40" w:type="dxa"/>
            </w:tcMar>
            <w:vAlign w:val="bottom"/>
          </w:tcPr>
          <w:p w14:paraId="1446E50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1,335</w:t>
            </w:r>
          </w:p>
        </w:tc>
        <w:tc>
          <w:tcPr>
            <w:tcW w:w="0" w:type="auto"/>
            <w:shd w:val="clear" w:color="auto" w:fill="CCEEFF"/>
            <w:vAlign w:val="bottom"/>
          </w:tcPr>
          <w:p w14:paraId="1446E503"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50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0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1,010</w:t>
            </w:r>
          </w:p>
        </w:tc>
        <w:tc>
          <w:tcPr>
            <w:tcW w:w="0" w:type="auto"/>
            <w:shd w:val="clear" w:color="auto" w:fill="CCEEFF"/>
            <w:vAlign w:val="bottom"/>
          </w:tcPr>
          <w:p w14:paraId="1446E506" w14:textId="77777777" w:rsidR="00FE42B5" w:rsidRDefault="00FE42B5">
            <w:pPr>
              <w:textAlignment w:val="bottom"/>
              <w:rPr>
                <w:rFonts w:ascii="Times New Roman" w:hAnsi="Times New Roman"/>
                <w:sz w:val="20"/>
                <w:szCs w:val="20"/>
              </w:rPr>
            </w:pPr>
          </w:p>
        </w:tc>
      </w:tr>
      <w:tr w:rsidR="00FE42B5" w14:paraId="1446E50E" w14:textId="77777777">
        <w:trPr>
          <w:jc w:val="center"/>
        </w:trPr>
        <w:tc>
          <w:tcPr>
            <w:tcW w:w="0" w:type="auto"/>
            <w:shd w:val="clear" w:color="auto" w:fill="auto"/>
            <w:tcMar>
              <w:top w:w="40" w:type="dxa"/>
              <w:left w:w="720" w:type="dxa"/>
              <w:bottom w:w="40" w:type="dxa"/>
              <w:right w:w="40" w:type="dxa"/>
            </w:tcMar>
          </w:tcPr>
          <w:p w14:paraId="1446E50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Deferred income taxes</w:t>
            </w:r>
          </w:p>
        </w:tc>
        <w:tc>
          <w:tcPr>
            <w:tcW w:w="0" w:type="auto"/>
            <w:gridSpan w:val="2"/>
            <w:shd w:val="clear" w:color="auto" w:fill="auto"/>
            <w:tcMar>
              <w:top w:w="40" w:type="dxa"/>
              <w:left w:w="40" w:type="dxa"/>
              <w:bottom w:w="40" w:type="dxa"/>
            </w:tcMar>
            <w:vAlign w:val="bottom"/>
          </w:tcPr>
          <w:p w14:paraId="1446E50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477</w:t>
            </w:r>
          </w:p>
        </w:tc>
        <w:tc>
          <w:tcPr>
            <w:tcW w:w="0" w:type="auto"/>
            <w:shd w:val="clear" w:color="auto" w:fill="auto"/>
            <w:vAlign w:val="bottom"/>
          </w:tcPr>
          <w:p w14:paraId="1446E50A"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50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50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183</w:t>
            </w:r>
          </w:p>
        </w:tc>
        <w:tc>
          <w:tcPr>
            <w:tcW w:w="0" w:type="auto"/>
            <w:shd w:val="clear" w:color="auto" w:fill="auto"/>
            <w:vAlign w:val="bottom"/>
          </w:tcPr>
          <w:p w14:paraId="1446E50D" w14:textId="77777777" w:rsidR="00FE42B5" w:rsidRDefault="00FE42B5">
            <w:pPr>
              <w:textAlignment w:val="bottom"/>
              <w:rPr>
                <w:rFonts w:ascii="Times New Roman" w:hAnsi="Times New Roman"/>
                <w:sz w:val="20"/>
                <w:szCs w:val="20"/>
              </w:rPr>
            </w:pPr>
          </w:p>
        </w:tc>
      </w:tr>
      <w:tr w:rsidR="00FE42B5" w14:paraId="1446E515" w14:textId="77777777">
        <w:trPr>
          <w:jc w:val="center"/>
        </w:trPr>
        <w:tc>
          <w:tcPr>
            <w:tcW w:w="0" w:type="auto"/>
            <w:shd w:val="clear" w:color="auto" w:fill="CCEEFF"/>
            <w:tcMar>
              <w:top w:w="40" w:type="dxa"/>
              <w:left w:w="720" w:type="dxa"/>
              <w:bottom w:w="40" w:type="dxa"/>
              <w:right w:w="40" w:type="dxa"/>
            </w:tcMar>
          </w:tcPr>
          <w:p w14:paraId="1446E50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Other</w:t>
            </w:r>
          </w:p>
        </w:tc>
        <w:tc>
          <w:tcPr>
            <w:tcW w:w="0" w:type="auto"/>
            <w:gridSpan w:val="2"/>
            <w:shd w:val="clear" w:color="auto" w:fill="CCEEFF"/>
            <w:tcMar>
              <w:top w:w="40" w:type="dxa"/>
              <w:left w:w="40" w:type="dxa"/>
              <w:bottom w:w="40" w:type="dxa"/>
            </w:tcMar>
            <w:vAlign w:val="bottom"/>
          </w:tcPr>
          <w:p w14:paraId="1446E51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1446E51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51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1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1446E514" w14:textId="77777777" w:rsidR="00FE42B5" w:rsidRDefault="00FE42B5">
            <w:pPr>
              <w:textAlignment w:val="bottom"/>
              <w:rPr>
                <w:rFonts w:ascii="Times New Roman" w:hAnsi="Times New Roman"/>
                <w:sz w:val="20"/>
                <w:szCs w:val="20"/>
              </w:rPr>
            </w:pPr>
          </w:p>
        </w:tc>
      </w:tr>
      <w:tr w:rsidR="00FE42B5" w14:paraId="1446E51A" w14:textId="77777777">
        <w:trPr>
          <w:jc w:val="center"/>
        </w:trPr>
        <w:tc>
          <w:tcPr>
            <w:tcW w:w="0" w:type="auto"/>
            <w:shd w:val="clear" w:color="auto" w:fill="auto"/>
            <w:tcMar>
              <w:top w:w="40" w:type="dxa"/>
              <w:left w:w="560" w:type="dxa"/>
              <w:bottom w:w="40" w:type="dxa"/>
              <w:right w:w="40" w:type="dxa"/>
            </w:tcMar>
          </w:tcPr>
          <w:p w14:paraId="1446E51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Changes in assets and liabilities:</w:t>
            </w:r>
          </w:p>
        </w:tc>
        <w:tc>
          <w:tcPr>
            <w:tcW w:w="0" w:type="auto"/>
            <w:gridSpan w:val="3"/>
            <w:shd w:val="clear" w:color="auto" w:fill="auto"/>
            <w:tcMar>
              <w:top w:w="40" w:type="dxa"/>
              <w:left w:w="40" w:type="dxa"/>
              <w:bottom w:w="40" w:type="dxa"/>
              <w:right w:w="40" w:type="dxa"/>
            </w:tcMar>
            <w:vAlign w:val="bottom"/>
          </w:tcPr>
          <w:p w14:paraId="1446E51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51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51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521" w14:textId="77777777">
        <w:trPr>
          <w:jc w:val="center"/>
        </w:trPr>
        <w:tc>
          <w:tcPr>
            <w:tcW w:w="0" w:type="auto"/>
            <w:shd w:val="clear" w:color="auto" w:fill="CCEEFF"/>
            <w:tcMar>
              <w:top w:w="40" w:type="dxa"/>
              <w:left w:w="720" w:type="dxa"/>
              <w:bottom w:w="40" w:type="dxa"/>
              <w:right w:w="40" w:type="dxa"/>
            </w:tcMar>
          </w:tcPr>
          <w:p w14:paraId="1446E51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Accounts receivable</w:t>
            </w:r>
          </w:p>
        </w:tc>
        <w:tc>
          <w:tcPr>
            <w:tcW w:w="0" w:type="auto"/>
            <w:gridSpan w:val="2"/>
            <w:shd w:val="clear" w:color="auto" w:fill="CCEEFF"/>
            <w:tcMar>
              <w:top w:w="40" w:type="dxa"/>
              <w:left w:w="40" w:type="dxa"/>
              <w:bottom w:w="40" w:type="dxa"/>
            </w:tcMar>
            <w:vAlign w:val="bottom"/>
          </w:tcPr>
          <w:p w14:paraId="1446E51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2,046</w:t>
            </w:r>
          </w:p>
        </w:tc>
        <w:tc>
          <w:tcPr>
            <w:tcW w:w="0" w:type="auto"/>
            <w:shd w:val="clear" w:color="auto" w:fill="CCEEFF"/>
            <w:vAlign w:val="bottom"/>
          </w:tcPr>
          <w:p w14:paraId="1446E51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51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1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1,070</w:t>
            </w:r>
          </w:p>
        </w:tc>
        <w:tc>
          <w:tcPr>
            <w:tcW w:w="0" w:type="auto"/>
            <w:shd w:val="clear" w:color="auto" w:fill="CCEEFF"/>
            <w:vAlign w:val="bottom"/>
          </w:tcPr>
          <w:p w14:paraId="1446E520" w14:textId="77777777" w:rsidR="00FE42B5" w:rsidRDefault="00FE42B5">
            <w:pPr>
              <w:textAlignment w:val="bottom"/>
              <w:rPr>
                <w:rFonts w:ascii="Times New Roman" w:hAnsi="Times New Roman"/>
                <w:sz w:val="20"/>
                <w:szCs w:val="20"/>
              </w:rPr>
            </w:pPr>
          </w:p>
        </w:tc>
      </w:tr>
      <w:tr w:rsidR="00FE42B5" w14:paraId="1446E528" w14:textId="77777777">
        <w:trPr>
          <w:jc w:val="center"/>
        </w:trPr>
        <w:tc>
          <w:tcPr>
            <w:tcW w:w="0" w:type="auto"/>
            <w:shd w:val="clear" w:color="auto" w:fill="auto"/>
            <w:tcMar>
              <w:top w:w="40" w:type="dxa"/>
              <w:left w:w="720" w:type="dxa"/>
              <w:bottom w:w="40" w:type="dxa"/>
              <w:right w:w="40" w:type="dxa"/>
            </w:tcMar>
          </w:tcPr>
          <w:p w14:paraId="1446E52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Prepaid expenses and other current assets</w:t>
            </w:r>
          </w:p>
        </w:tc>
        <w:tc>
          <w:tcPr>
            <w:tcW w:w="0" w:type="auto"/>
            <w:gridSpan w:val="2"/>
            <w:shd w:val="clear" w:color="auto" w:fill="auto"/>
            <w:tcMar>
              <w:top w:w="40" w:type="dxa"/>
              <w:left w:w="40" w:type="dxa"/>
              <w:bottom w:w="40" w:type="dxa"/>
            </w:tcMar>
            <w:vAlign w:val="bottom"/>
          </w:tcPr>
          <w:p w14:paraId="1446E52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tcMar>
              <w:top w:w="40" w:type="dxa"/>
              <w:bottom w:w="40" w:type="dxa"/>
              <w:right w:w="40" w:type="dxa"/>
            </w:tcMar>
            <w:vAlign w:val="bottom"/>
          </w:tcPr>
          <w:p w14:paraId="1446E52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52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52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shd w:val="clear" w:color="auto" w:fill="auto"/>
            <w:vAlign w:val="bottom"/>
          </w:tcPr>
          <w:p w14:paraId="1446E527" w14:textId="77777777" w:rsidR="00FE42B5" w:rsidRDefault="00FE42B5">
            <w:pPr>
              <w:textAlignment w:val="bottom"/>
              <w:rPr>
                <w:rFonts w:ascii="Times New Roman" w:hAnsi="Times New Roman"/>
                <w:sz w:val="20"/>
                <w:szCs w:val="20"/>
              </w:rPr>
            </w:pPr>
          </w:p>
        </w:tc>
      </w:tr>
      <w:tr w:rsidR="00FE42B5" w14:paraId="1446E52F" w14:textId="77777777">
        <w:trPr>
          <w:jc w:val="center"/>
        </w:trPr>
        <w:tc>
          <w:tcPr>
            <w:tcW w:w="0" w:type="auto"/>
            <w:shd w:val="clear" w:color="auto" w:fill="CCEEFF"/>
            <w:tcMar>
              <w:top w:w="40" w:type="dxa"/>
              <w:left w:w="720" w:type="dxa"/>
              <w:bottom w:w="40" w:type="dxa"/>
              <w:right w:w="40" w:type="dxa"/>
            </w:tcMar>
          </w:tcPr>
          <w:p w14:paraId="1446E529"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Other assets</w:t>
            </w:r>
          </w:p>
        </w:tc>
        <w:tc>
          <w:tcPr>
            <w:tcW w:w="0" w:type="auto"/>
            <w:gridSpan w:val="2"/>
            <w:shd w:val="clear" w:color="auto" w:fill="CCEEFF"/>
            <w:tcMar>
              <w:top w:w="40" w:type="dxa"/>
              <w:left w:w="40" w:type="dxa"/>
              <w:bottom w:w="40" w:type="dxa"/>
            </w:tcMar>
            <w:vAlign w:val="bottom"/>
          </w:tcPr>
          <w:p w14:paraId="1446E52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tcMar>
              <w:top w:w="40" w:type="dxa"/>
              <w:bottom w:w="40" w:type="dxa"/>
              <w:right w:w="40" w:type="dxa"/>
            </w:tcMar>
            <w:vAlign w:val="bottom"/>
          </w:tcPr>
          <w:p w14:paraId="1446E52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52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2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shd w:val="clear" w:color="auto" w:fill="CCEEFF"/>
            <w:vAlign w:val="bottom"/>
          </w:tcPr>
          <w:p w14:paraId="1446E52E" w14:textId="77777777" w:rsidR="00FE42B5" w:rsidRDefault="00FE42B5">
            <w:pPr>
              <w:textAlignment w:val="bottom"/>
              <w:rPr>
                <w:rFonts w:ascii="Times New Roman" w:hAnsi="Times New Roman"/>
                <w:sz w:val="20"/>
                <w:szCs w:val="20"/>
              </w:rPr>
            </w:pPr>
          </w:p>
        </w:tc>
      </w:tr>
      <w:tr w:rsidR="00FE42B5" w14:paraId="1446E536" w14:textId="77777777">
        <w:trPr>
          <w:jc w:val="center"/>
        </w:trPr>
        <w:tc>
          <w:tcPr>
            <w:tcW w:w="0" w:type="auto"/>
            <w:shd w:val="clear" w:color="auto" w:fill="auto"/>
            <w:tcMar>
              <w:top w:w="40" w:type="dxa"/>
              <w:left w:w="720" w:type="dxa"/>
              <w:bottom w:w="40" w:type="dxa"/>
              <w:right w:w="40" w:type="dxa"/>
            </w:tcMar>
          </w:tcPr>
          <w:p w14:paraId="1446E53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Accounts payable</w:t>
            </w:r>
          </w:p>
        </w:tc>
        <w:tc>
          <w:tcPr>
            <w:tcW w:w="0" w:type="auto"/>
            <w:gridSpan w:val="2"/>
            <w:shd w:val="clear" w:color="auto" w:fill="auto"/>
            <w:tcMar>
              <w:top w:w="40" w:type="dxa"/>
              <w:left w:w="40" w:type="dxa"/>
              <w:bottom w:w="40" w:type="dxa"/>
            </w:tcMar>
            <w:vAlign w:val="bottom"/>
          </w:tcPr>
          <w:p w14:paraId="1446E53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auto"/>
            <w:tcMar>
              <w:top w:w="40" w:type="dxa"/>
              <w:bottom w:w="40" w:type="dxa"/>
              <w:right w:w="40" w:type="dxa"/>
            </w:tcMar>
            <w:vAlign w:val="bottom"/>
          </w:tcPr>
          <w:p w14:paraId="1446E53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53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53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(96</w:t>
            </w:r>
          </w:p>
        </w:tc>
        <w:tc>
          <w:tcPr>
            <w:tcW w:w="0" w:type="auto"/>
            <w:shd w:val="clear" w:color="auto" w:fill="auto"/>
            <w:tcMar>
              <w:top w:w="40" w:type="dxa"/>
              <w:bottom w:w="40" w:type="dxa"/>
              <w:right w:w="40" w:type="dxa"/>
            </w:tcMar>
            <w:vAlign w:val="bottom"/>
          </w:tcPr>
          <w:p w14:paraId="1446E53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3D" w14:textId="77777777">
        <w:trPr>
          <w:jc w:val="center"/>
        </w:trPr>
        <w:tc>
          <w:tcPr>
            <w:tcW w:w="0" w:type="auto"/>
            <w:shd w:val="clear" w:color="auto" w:fill="CCEEFF"/>
            <w:tcMar>
              <w:top w:w="40" w:type="dxa"/>
              <w:left w:w="720" w:type="dxa"/>
              <w:bottom w:w="40" w:type="dxa"/>
              <w:right w:w="40" w:type="dxa"/>
            </w:tcMar>
          </w:tcPr>
          <w:p w14:paraId="1446E53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Partners payable</w:t>
            </w:r>
          </w:p>
        </w:tc>
        <w:tc>
          <w:tcPr>
            <w:tcW w:w="0" w:type="auto"/>
            <w:gridSpan w:val="2"/>
            <w:shd w:val="clear" w:color="auto" w:fill="CCEEFF"/>
            <w:tcMar>
              <w:top w:w="40" w:type="dxa"/>
              <w:left w:w="40" w:type="dxa"/>
              <w:bottom w:w="40" w:type="dxa"/>
            </w:tcMar>
            <w:vAlign w:val="bottom"/>
          </w:tcPr>
          <w:p w14:paraId="1446E53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CCEEFF"/>
            <w:tcMar>
              <w:top w:w="40" w:type="dxa"/>
              <w:bottom w:w="40" w:type="dxa"/>
              <w:right w:w="40" w:type="dxa"/>
            </w:tcMar>
            <w:vAlign w:val="bottom"/>
          </w:tcPr>
          <w:p w14:paraId="1446E53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53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3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1446E53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44" w14:textId="77777777">
        <w:trPr>
          <w:jc w:val="center"/>
        </w:trPr>
        <w:tc>
          <w:tcPr>
            <w:tcW w:w="0" w:type="auto"/>
            <w:shd w:val="clear" w:color="auto" w:fill="auto"/>
            <w:tcMar>
              <w:top w:w="40" w:type="dxa"/>
              <w:left w:w="720" w:type="dxa"/>
              <w:bottom w:w="40" w:type="dxa"/>
              <w:right w:w="40" w:type="dxa"/>
            </w:tcMar>
          </w:tcPr>
          <w:p w14:paraId="1446E53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Accrued expenses and other current liabilities</w:t>
            </w:r>
          </w:p>
        </w:tc>
        <w:tc>
          <w:tcPr>
            <w:tcW w:w="0" w:type="auto"/>
            <w:gridSpan w:val="2"/>
            <w:shd w:val="clear" w:color="auto" w:fill="auto"/>
            <w:tcMar>
              <w:top w:w="40" w:type="dxa"/>
              <w:left w:w="40" w:type="dxa"/>
              <w:bottom w:w="40" w:type="dxa"/>
            </w:tcMar>
            <w:vAlign w:val="bottom"/>
          </w:tcPr>
          <w:p w14:paraId="1446E53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980</w:t>
            </w:r>
          </w:p>
        </w:tc>
        <w:tc>
          <w:tcPr>
            <w:tcW w:w="0" w:type="auto"/>
            <w:shd w:val="clear" w:color="auto" w:fill="auto"/>
            <w:vAlign w:val="bottom"/>
          </w:tcPr>
          <w:p w14:paraId="1446E540"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54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54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3,154</w:t>
            </w:r>
          </w:p>
        </w:tc>
        <w:tc>
          <w:tcPr>
            <w:tcW w:w="0" w:type="auto"/>
            <w:shd w:val="clear" w:color="auto" w:fill="auto"/>
            <w:vAlign w:val="bottom"/>
          </w:tcPr>
          <w:p w14:paraId="1446E543" w14:textId="77777777" w:rsidR="00FE42B5" w:rsidRDefault="00FE42B5">
            <w:pPr>
              <w:textAlignment w:val="bottom"/>
              <w:rPr>
                <w:rFonts w:ascii="Times New Roman" w:hAnsi="Times New Roman"/>
                <w:sz w:val="20"/>
                <w:szCs w:val="20"/>
              </w:rPr>
            </w:pPr>
          </w:p>
        </w:tc>
      </w:tr>
      <w:tr w:rsidR="00FE42B5" w14:paraId="1446E54B" w14:textId="77777777">
        <w:trPr>
          <w:jc w:val="center"/>
        </w:trPr>
        <w:tc>
          <w:tcPr>
            <w:tcW w:w="0" w:type="auto"/>
            <w:shd w:val="clear" w:color="auto" w:fill="CCEEFF"/>
            <w:tcMar>
              <w:top w:w="40" w:type="dxa"/>
              <w:left w:w="720" w:type="dxa"/>
              <w:bottom w:w="40" w:type="dxa"/>
              <w:right w:w="40" w:type="dxa"/>
            </w:tcMar>
          </w:tcPr>
          <w:p w14:paraId="1446E54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   Deferred revenue and </w:t>
            </w:r>
            <w:r>
              <w:rPr>
                <w:rFonts w:ascii="Times New Roman" w:eastAsia="宋体" w:hAnsi="Times New Roman"/>
                <w:sz w:val="20"/>
                <w:szCs w:val="20"/>
              </w:rPr>
              <w:t>deposits</w:t>
            </w:r>
          </w:p>
        </w:tc>
        <w:tc>
          <w:tcPr>
            <w:tcW w:w="0" w:type="auto"/>
            <w:gridSpan w:val="2"/>
            <w:shd w:val="clear" w:color="auto" w:fill="CCEEFF"/>
            <w:tcMar>
              <w:top w:w="40" w:type="dxa"/>
              <w:left w:w="40" w:type="dxa"/>
              <w:bottom w:w="40" w:type="dxa"/>
            </w:tcMar>
            <w:vAlign w:val="bottom"/>
          </w:tcPr>
          <w:p w14:paraId="1446E54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tcMar>
              <w:top w:w="40" w:type="dxa"/>
              <w:bottom w:w="40" w:type="dxa"/>
              <w:right w:w="40" w:type="dxa"/>
            </w:tcMar>
            <w:vAlign w:val="bottom"/>
          </w:tcPr>
          <w:p w14:paraId="1446E54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54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4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1446E54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52" w14:textId="77777777">
        <w:trPr>
          <w:jc w:val="center"/>
        </w:trPr>
        <w:tc>
          <w:tcPr>
            <w:tcW w:w="0" w:type="auto"/>
            <w:shd w:val="clear" w:color="auto" w:fill="auto"/>
            <w:tcMar>
              <w:top w:w="40" w:type="dxa"/>
              <w:left w:w="720" w:type="dxa"/>
              <w:bottom w:w="40" w:type="dxa"/>
              <w:right w:w="40" w:type="dxa"/>
            </w:tcMar>
          </w:tcPr>
          <w:p w14:paraId="1446E54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Other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1446E54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tcBorders>
              <w:bottom w:val="single" w:sz="8" w:space="0" w:color="000000"/>
            </w:tcBorders>
            <w:shd w:val="clear" w:color="auto" w:fill="auto"/>
            <w:tcMar>
              <w:top w:w="40" w:type="dxa"/>
              <w:bottom w:w="40" w:type="dxa"/>
              <w:right w:w="40" w:type="dxa"/>
            </w:tcMar>
            <w:vAlign w:val="bottom"/>
          </w:tcPr>
          <w:p w14:paraId="1446E54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54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55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77</w:t>
            </w:r>
          </w:p>
        </w:tc>
        <w:tc>
          <w:tcPr>
            <w:tcW w:w="0" w:type="auto"/>
            <w:tcBorders>
              <w:bottom w:val="single" w:sz="8" w:space="0" w:color="000000"/>
            </w:tcBorders>
            <w:shd w:val="clear" w:color="auto" w:fill="auto"/>
            <w:vAlign w:val="bottom"/>
          </w:tcPr>
          <w:p w14:paraId="1446E551" w14:textId="77777777" w:rsidR="00FE42B5" w:rsidRDefault="00FE42B5">
            <w:pPr>
              <w:textAlignment w:val="bottom"/>
              <w:rPr>
                <w:rFonts w:ascii="Times New Roman" w:hAnsi="Times New Roman"/>
                <w:sz w:val="20"/>
                <w:szCs w:val="20"/>
              </w:rPr>
            </w:pPr>
          </w:p>
        </w:tc>
      </w:tr>
      <w:tr w:rsidR="00FE42B5" w14:paraId="1446E559" w14:textId="77777777">
        <w:trPr>
          <w:jc w:val="center"/>
        </w:trPr>
        <w:tc>
          <w:tcPr>
            <w:tcW w:w="0" w:type="auto"/>
            <w:shd w:val="clear" w:color="auto" w:fill="CCEEFF"/>
            <w:tcMar>
              <w:top w:w="40" w:type="dxa"/>
              <w:left w:w="560" w:type="dxa"/>
              <w:bottom w:w="40" w:type="dxa"/>
              <w:right w:w="40" w:type="dxa"/>
            </w:tcMar>
          </w:tcPr>
          <w:p w14:paraId="1446E553"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Net cash provided by operating activities</w:t>
            </w:r>
          </w:p>
        </w:tc>
        <w:tc>
          <w:tcPr>
            <w:tcW w:w="0" w:type="auto"/>
            <w:gridSpan w:val="2"/>
            <w:shd w:val="clear" w:color="auto" w:fill="CCEEFF"/>
            <w:tcMar>
              <w:top w:w="40" w:type="dxa"/>
              <w:left w:w="40" w:type="dxa"/>
              <w:bottom w:w="40" w:type="dxa"/>
            </w:tcMar>
            <w:vAlign w:val="bottom"/>
          </w:tcPr>
          <w:p w14:paraId="1446E55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11,001</w:t>
            </w:r>
          </w:p>
        </w:tc>
        <w:tc>
          <w:tcPr>
            <w:tcW w:w="0" w:type="auto"/>
            <w:shd w:val="clear" w:color="auto" w:fill="CCEEFF"/>
            <w:vAlign w:val="bottom"/>
          </w:tcPr>
          <w:p w14:paraId="1446E55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55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5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9,308</w:t>
            </w:r>
          </w:p>
        </w:tc>
        <w:tc>
          <w:tcPr>
            <w:tcW w:w="0" w:type="auto"/>
            <w:shd w:val="clear" w:color="auto" w:fill="CCEEFF"/>
            <w:vAlign w:val="bottom"/>
          </w:tcPr>
          <w:p w14:paraId="1446E558" w14:textId="77777777" w:rsidR="00FE42B5" w:rsidRDefault="00FE42B5">
            <w:pPr>
              <w:textAlignment w:val="bottom"/>
              <w:rPr>
                <w:rFonts w:ascii="Times New Roman" w:hAnsi="Times New Roman"/>
                <w:sz w:val="20"/>
                <w:szCs w:val="20"/>
              </w:rPr>
            </w:pPr>
          </w:p>
        </w:tc>
      </w:tr>
      <w:tr w:rsidR="00FE42B5" w14:paraId="1446E55E" w14:textId="77777777">
        <w:trPr>
          <w:jc w:val="center"/>
        </w:trPr>
        <w:tc>
          <w:tcPr>
            <w:tcW w:w="0" w:type="auto"/>
            <w:shd w:val="clear" w:color="auto" w:fill="auto"/>
            <w:tcMar>
              <w:top w:w="40" w:type="dxa"/>
              <w:left w:w="40" w:type="dxa"/>
              <w:bottom w:w="40" w:type="dxa"/>
              <w:right w:w="40" w:type="dxa"/>
            </w:tcMar>
          </w:tcPr>
          <w:p w14:paraId="1446E55A"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Cash flows from investing activities</w:t>
            </w:r>
          </w:p>
        </w:tc>
        <w:tc>
          <w:tcPr>
            <w:tcW w:w="0" w:type="auto"/>
            <w:gridSpan w:val="3"/>
            <w:shd w:val="clear" w:color="auto" w:fill="auto"/>
            <w:tcMar>
              <w:top w:w="40" w:type="dxa"/>
              <w:left w:w="40" w:type="dxa"/>
              <w:bottom w:w="40" w:type="dxa"/>
              <w:right w:w="40" w:type="dxa"/>
            </w:tcMar>
            <w:vAlign w:val="bottom"/>
          </w:tcPr>
          <w:p w14:paraId="1446E55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55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55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565" w14:textId="77777777">
        <w:trPr>
          <w:jc w:val="center"/>
        </w:trPr>
        <w:tc>
          <w:tcPr>
            <w:tcW w:w="0" w:type="auto"/>
            <w:shd w:val="clear" w:color="auto" w:fill="CCEEFF"/>
            <w:tcMar>
              <w:top w:w="40" w:type="dxa"/>
              <w:left w:w="560" w:type="dxa"/>
              <w:bottom w:w="40" w:type="dxa"/>
              <w:right w:w="40" w:type="dxa"/>
            </w:tcMar>
          </w:tcPr>
          <w:p w14:paraId="1446E55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Purchases of property and equipment, net</w:t>
            </w:r>
          </w:p>
        </w:tc>
        <w:tc>
          <w:tcPr>
            <w:tcW w:w="0" w:type="auto"/>
            <w:gridSpan w:val="2"/>
            <w:shd w:val="clear" w:color="auto" w:fill="CCEEFF"/>
            <w:tcMar>
              <w:top w:w="40" w:type="dxa"/>
              <w:left w:w="40" w:type="dxa"/>
              <w:bottom w:w="40" w:type="dxa"/>
            </w:tcMar>
            <w:vAlign w:val="bottom"/>
          </w:tcPr>
          <w:p w14:paraId="1446E56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(3,558</w:t>
            </w:r>
          </w:p>
        </w:tc>
        <w:tc>
          <w:tcPr>
            <w:tcW w:w="0" w:type="auto"/>
            <w:shd w:val="clear" w:color="auto" w:fill="CCEEFF"/>
            <w:tcMar>
              <w:top w:w="40" w:type="dxa"/>
              <w:bottom w:w="40" w:type="dxa"/>
              <w:right w:w="40" w:type="dxa"/>
            </w:tcMar>
            <w:vAlign w:val="bottom"/>
          </w:tcPr>
          <w:p w14:paraId="1446E56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56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6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(3,837</w:t>
            </w:r>
          </w:p>
        </w:tc>
        <w:tc>
          <w:tcPr>
            <w:tcW w:w="0" w:type="auto"/>
            <w:shd w:val="clear" w:color="auto" w:fill="CCEEFF"/>
            <w:tcMar>
              <w:top w:w="40" w:type="dxa"/>
              <w:bottom w:w="40" w:type="dxa"/>
              <w:right w:w="40" w:type="dxa"/>
            </w:tcMar>
            <w:vAlign w:val="bottom"/>
          </w:tcPr>
          <w:p w14:paraId="1446E56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6C" w14:textId="77777777">
        <w:trPr>
          <w:jc w:val="center"/>
        </w:trPr>
        <w:tc>
          <w:tcPr>
            <w:tcW w:w="0" w:type="auto"/>
            <w:shd w:val="clear" w:color="auto" w:fill="auto"/>
            <w:tcMar>
              <w:top w:w="40" w:type="dxa"/>
              <w:left w:w="560" w:type="dxa"/>
              <w:bottom w:w="40" w:type="dxa"/>
              <w:right w:w="40" w:type="dxa"/>
            </w:tcMar>
          </w:tcPr>
          <w:p w14:paraId="1446E56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Purchases of marketable </w:t>
            </w:r>
            <w:r>
              <w:rPr>
                <w:rFonts w:ascii="Times New Roman" w:eastAsia="宋体" w:hAnsi="Times New Roman"/>
                <w:sz w:val="20"/>
                <w:szCs w:val="20"/>
              </w:rPr>
              <w:t>securities</w:t>
            </w:r>
          </w:p>
        </w:tc>
        <w:tc>
          <w:tcPr>
            <w:tcW w:w="0" w:type="auto"/>
            <w:gridSpan w:val="2"/>
            <w:shd w:val="clear" w:color="auto" w:fill="auto"/>
            <w:tcMar>
              <w:top w:w="40" w:type="dxa"/>
              <w:left w:w="40" w:type="dxa"/>
              <w:bottom w:w="40" w:type="dxa"/>
            </w:tcMar>
            <w:vAlign w:val="bottom"/>
          </w:tcPr>
          <w:p w14:paraId="1446E56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(7,884</w:t>
            </w:r>
          </w:p>
        </w:tc>
        <w:tc>
          <w:tcPr>
            <w:tcW w:w="0" w:type="auto"/>
            <w:shd w:val="clear" w:color="auto" w:fill="auto"/>
            <w:tcMar>
              <w:top w:w="40" w:type="dxa"/>
              <w:bottom w:w="40" w:type="dxa"/>
              <w:right w:w="40" w:type="dxa"/>
            </w:tcMar>
            <w:vAlign w:val="bottom"/>
          </w:tcPr>
          <w:p w14:paraId="1446E56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56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56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(6,603</w:t>
            </w:r>
          </w:p>
        </w:tc>
        <w:tc>
          <w:tcPr>
            <w:tcW w:w="0" w:type="auto"/>
            <w:shd w:val="clear" w:color="auto" w:fill="auto"/>
            <w:tcMar>
              <w:top w:w="40" w:type="dxa"/>
              <w:bottom w:w="40" w:type="dxa"/>
              <w:right w:w="40" w:type="dxa"/>
            </w:tcMar>
            <w:vAlign w:val="bottom"/>
          </w:tcPr>
          <w:p w14:paraId="1446E56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73" w14:textId="77777777">
        <w:trPr>
          <w:jc w:val="center"/>
        </w:trPr>
        <w:tc>
          <w:tcPr>
            <w:tcW w:w="0" w:type="auto"/>
            <w:shd w:val="clear" w:color="auto" w:fill="CCEEFF"/>
            <w:tcMar>
              <w:top w:w="40" w:type="dxa"/>
              <w:left w:w="560" w:type="dxa"/>
              <w:bottom w:w="40" w:type="dxa"/>
              <w:right w:w="40" w:type="dxa"/>
            </w:tcMar>
          </w:tcPr>
          <w:p w14:paraId="1446E56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Sales of marketable securities</w:t>
            </w:r>
          </w:p>
        </w:tc>
        <w:tc>
          <w:tcPr>
            <w:tcW w:w="0" w:type="auto"/>
            <w:gridSpan w:val="2"/>
            <w:shd w:val="clear" w:color="auto" w:fill="CCEEFF"/>
            <w:tcMar>
              <w:top w:w="40" w:type="dxa"/>
              <w:left w:w="40" w:type="dxa"/>
              <w:bottom w:w="40" w:type="dxa"/>
            </w:tcMar>
            <w:vAlign w:val="bottom"/>
          </w:tcPr>
          <w:p w14:paraId="1446E56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2,764</w:t>
            </w:r>
          </w:p>
        </w:tc>
        <w:tc>
          <w:tcPr>
            <w:tcW w:w="0" w:type="auto"/>
            <w:shd w:val="clear" w:color="auto" w:fill="CCEEFF"/>
            <w:vAlign w:val="bottom"/>
          </w:tcPr>
          <w:p w14:paraId="1446E56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57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7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1,512</w:t>
            </w:r>
          </w:p>
        </w:tc>
        <w:tc>
          <w:tcPr>
            <w:tcW w:w="0" w:type="auto"/>
            <w:shd w:val="clear" w:color="auto" w:fill="CCEEFF"/>
            <w:vAlign w:val="bottom"/>
          </w:tcPr>
          <w:p w14:paraId="1446E572" w14:textId="77777777" w:rsidR="00FE42B5" w:rsidRDefault="00FE42B5">
            <w:pPr>
              <w:textAlignment w:val="bottom"/>
              <w:rPr>
                <w:rFonts w:ascii="Times New Roman" w:hAnsi="Times New Roman"/>
                <w:sz w:val="20"/>
                <w:szCs w:val="20"/>
              </w:rPr>
            </w:pPr>
          </w:p>
        </w:tc>
      </w:tr>
      <w:tr w:rsidR="00FE42B5" w14:paraId="1446E57A" w14:textId="77777777">
        <w:trPr>
          <w:jc w:val="center"/>
        </w:trPr>
        <w:tc>
          <w:tcPr>
            <w:tcW w:w="0" w:type="auto"/>
            <w:shd w:val="clear" w:color="auto" w:fill="auto"/>
            <w:tcMar>
              <w:top w:w="40" w:type="dxa"/>
              <w:left w:w="560" w:type="dxa"/>
              <w:bottom w:w="40" w:type="dxa"/>
              <w:right w:w="40" w:type="dxa"/>
            </w:tcMar>
          </w:tcPr>
          <w:p w14:paraId="1446E57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Maturities of marketable securities</w:t>
            </w:r>
          </w:p>
        </w:tc>
        <w:tc>
          <w:tcPr>
            <w:tcW w:w="0" w:type="auto"/>
            <w:gridSpan w:val="2"/>
            <w:shd w:val="clear" w:color="auto" w:fill="auto"/>
            <w:tcMar>
              <w:top w:w="40" w:type="dxa"/>
              <w:left w:w="40" w:type="dxa"/>
              <w:bottom w:w="40" w:type="dxa"/>
            </w:tcMar>
            <w:vAlign w:val="bottom"/>
          </w:tcPr>
          <w:p w14:paraId="1446E57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4,644</w:t>
            </w:r>
          </w:p>
        </w:tc>
        <w:tc>
          <w:tcPr>
            <w:tcW w:w="0" w:type="auto"/>
            <w:shd w:val="clear" w:color="auto" w:fill="auto"/>
            <w:vAlign w:val="bottom"/>
          </w:tcPr>
          <w:p w14:paraId="1446E57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57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57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2,210</w:t>
            </w:r>
          </w:p>
        </w:tc>
        <w:tc>
          <w:tcPr>
            <w:tcW w:w="0" w:type="auto"/>
            <w:shd w:val="clear" w:color="auto" w:fill="auto"/>
            <w:vAlign w:val="bottom"/>
          </w:tcPr>
          <w:p w14:paraId="1446E579" w14:textId="77777777" w:rsidR="00FE42B5" w:rsidRDefault="00FE42B5">
            <w:pPr>
              <w:textAlignment w:val="bottom"/>
              <w:rPr>
                <w:rFonts w:ascii="Times New Roman" w:hAnsi="Times New Roman"/>
                <w:sz w:val="20"/>
                <w:szCs w:val="20"/>
              </w:rPr>
            </w:pPr>
          </w:p>
        </w:tc>
      </w:tr>
      <w:tr w:rsidR="00FE42B5" w14:paraId="1446E581" w14:textId="77777777">
        <w:trPr>
          <w:jc w:val="center"/>
        </w:trPr>
        <w:tc>
          <w:tcPr>
            <w:tcW w:w="0" w:type="auto"/>
            <w:shd w:val="clear" w:color="auto" w:fill="CCEEFF"/>
            <w:tcMar>
              <w:top w:w="40" w:type="dxa"/>
              <w:left w:w="560" w:type="dxa"/>
              <w:bottom w:w="40" w:type="dxa"/>
              <w:right w:w="40" w:type="dxa"/>
            </w:tcMar>
          </w:tcPr>
          <w:p w14:paraId="1446E57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Acquisitions of businesses, net of cash acquired, and purchases of intangible assets</w:t>
            </w:r>
          </w:p>
        </w:tc>
        <w:tc>
          <w:tcPr>
            <w:tcW w:w="0" w:type="auto"/>
            <w:gridSpan w:val="2"/>
            <w:shd w:val="clear" w:color="auto" w:fill="CCEEFF"/>
            <w:tcMar>
              <w:top w:w="40" w:type="dxa"/>
              <w:left w:w="40" w:type="dxa"/>
              <w:bottom w:w="40" w:type="dxa"/>
            </w:tcMar>
            <w:vAlign w:val="bottom"/>
          </w:tcPr>
          <w:p w14:paraId="1446E57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CCEEFF"/>
            <w:tcMar>
              <w:top w:w="40" w:type="dxa"/>
              <w:bottom w:w="40" w:type="dxa"/>
              <w:right w:w="40" w:type="dxa"/>
            </w:tcMar>
            <w:vAlign w:val="bottom"/>
          </w:tcPr>
          <w:p w14:paraId="1446E57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57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7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CCEEFF"/>
            <w:tcMar>
              <w:top w:w="40" w:type="dxa"/>
              <w:bottom w:w="40" w:type="dxa"/>
              <w:right w:w="40" w:type="dxa"/>
            </w:tcMar>
            <w:vAlign w:val="bottom"/>
          </w:tcPr>
          <w:p w14:paraId="1446E58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88" w14:textId="77777777">
        <w:trPr>
          <w:jc w:val="center"/>
        </w:trPr>
        <w:tc>
          <w:tcPr>
            <w:tcW w:w="0" w:type="auto"/>
            <w:shd w:val="clear" w:color="auto" w:fill="auto"/>
            <w:tcMar>
              <w:top w:w="40" w:type="dxa"/>
              <w:left w:w="560" w:type="dxa"/>
              <w:bottom w:w="40" w:type="dxa"/>
              <w:right w:w="40" w:type="dxa"/>
            </w:tcMar>
          </w:tcPr>
          <w:p w14:paraId="1446E58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Other </w:t>
            </w:r>
            <w:r>
              <w:rPr>
                <w:rFonts w:ascii="Times New Roman" w:eastAsia="宋体" w:hAnsi="Times New Roman"/>
                <w:sz w:val="20"/>
                <w:szCs w:val="20"/>
              </w:rPr>
              <w:t>investing activities, net</w:t>
            </w:r>
          </w:p>
        </w:tc>
        <w:tc>
          <w:tcPr>
            <w:tcW w:w="0" w:type="auto"/>
            <w:gridSpan w:val="2"/>
            <w:tcBorders>
              <w:bottom w:val="single" w:sz="8" w:space="0" w:color="000000"/>
            </w:tcBorders>
            <w:shd w:val="clear" w:color="auto" w:fill="auto"/>
            <w:tcMar>
              <w:top w:w="40" w:type="dxa"/>
              <w:left w:w="40" w:type="dxa"/>
              <w:bottom w:w="40" w:type="dxa"/>
            </w:tcMar>
            <w:vAlign w:val="bottom"/>
          </w:tcPr>
          <w:p w14:paraId="1446E58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tcBorders>
              <w:bottom w:val="single" w:sz="8" w:space="0" w:color="000000"/>
            </w:tcBorders>
            <w:shd w:val="clear" w:color="auto" w:fill="auto"/>
            <w:tcMar>
              <w:top w:w="40" w:type="dxa"/>
              <w:bottom w:w="40" w:type="dxa"/>
              <w:right w:w="40" w:type="dxa"/>
            </w:tcMar>
            <w:vAlign w:val="bottom"/>
          </w:tcPr>
          <w:p w14:paraId="1446E58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58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58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1446E587" w14:textId="77777777" w:rsidR="00FE42B5" w:rsidRDefault="00FE42B5">
            <w:pPr>
              <w:textAlignment w:val="bottom"/>
              <w:rPr>
                <w:rFonts w:ascii="Times New Roman" w:hAnsi="Times New Roman"/>
                <w:sz w:val="20"/>
                <w:szCs w:val="20"/>
              </w:rPr>
            </w:pPr>
          </w:p>
        </w:tc>
      </w:tr>
      <w:tr w:rsidR="00FE42B5" w14:paraId="1446E58F" w14:textId="77777777">
        <w:trPr>
          <w:jc w:val="center"/>
        </w:trPr>
        <w:tc>
          <w:tcPr>
            <w:tcW w:w="0" w:type="auto"/>
            <w:shd w:val="clear" w:color="auto" w:fill="CCEEFF"/>
            <w:tcMar>
              <w:top w:w="40" w:type="dxa"/>
              <w:left w:w="560" w:type="dxa"/>
              <w:bottom w:w="40" w:type="dxa"/>
              <w:right w:w="40" w:type="dxa"/>
            </w:tcMar>
          </w:tcPr>
          <w:p w14:paraId="1446E589"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Net cash used in investing activities</w:t>
            </w:r>
          </w:p>
        </w:tc>
        <w:tc>
          <w:tcPr>
            <w:tcW w:w="0" w:type="auto"/>
            <w:gridSpan w:val="2"/>
            <w:tcBorders>
              <w:top w:val="single" w:sz="8" w:space="0" w:color="000000"/>
            </w:tcBorders>
            <w:shd w:val="clear" w:color="auto" w:fill="CCEEFF"/>
            <w:tcMar>
              <w:top w:w="40" w:type="dxa"/>
              <w:left w:w="40" w:type="dxa"/>
              <w:bottom w:w="40" w:type="dxa"/>
            </w:tcMar>
            <w:vAlign w:val="bottom"/>
          </w:tcPr>
          <w:p w14:paraId="1446E58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(4,109</w:t>
            </w:r>
          </w:p>
        </w:tc>
        <w:tc>
          <w:tcPr>
            <w:tcW w:w="0" w:type="auto"/>
            <w:tcBorders>
              <w:top w:val="single" w:sz="8" w:space="0" w:color="000000"/>
            </w:tcBorders>
            <w:shd w:val="clear" w:color="auto" w:fill="CCEEFF"/>
            <w:tcMar>
              <w:top w:w="40" w:type="dxa"/>
              <w:bottom w:w="40" w:type="dxa"/>
              <w:right w:w="40" w:type="dxa"/>
            </w:tcMar>
            <w:vAlign w:val="bottom"/>
          </w:tcPr>
          <w:p w14:paraId="1446E58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58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446E58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(6,768</w:t>
            </w:r>
          </w:p>
        </w:tc>
        <w:tc>
          <w:tcPr>
            <w:tcW w:w="0" w:type="auto"/>
            <w:tcBorders>
              <w:top w:val="single" w:sz="8" w:space="0" w:color="000000"/>
            </w:tcBorders>
            <w:shd w:val="clear" w:color="auto" w:fill="CCEEFF"/>
            <w:tcMar>
              <w:top w:w="40" w:type="dxa"/>
              <w:bottom w:w="40" w:type="dxa"/>
              <w:right w:w="40" w:type="dxa"/>
            </w:tcMar>
            <w:vAlign w:val="bottom"/>
          </w:tcPr>
          <w:p w14:paraId="1446E58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94" w14:textId="77777777">
        <w:trPr>
          <w:jc w:val="center"/>
        </w:trPr>
        <w:tc>
          <w:tcPr>
            <w:tcW w:w="0" w:type="auto"/>
            <w:shd w:val="clear" w:color="auto" w:fill="auto"/>
            <w:tcMar>
              <w:top w:w="40" w:type="dxa"/>
              <w:left w:w="40" w:type="dxa"/>
              <w:bottom w:w="40" w:type="dxa"/>
              <w:right w:w="40" w:type="dxa"/>
            </w:tcMar>
          </w:tcPr>
          <w:p w14:paraId="1446E590"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Cash flows from financing activities</w:t>
            </w:r>
          </w:p>
        </w:tc>
        <w:tc>
          <w:tcPr>
            <w:tcW w:w="0" w:type="auto"/>
            <w:gridSpan w:val="3"/>
            <w:shd w:val="clear" w:color="auto" w:fill="auto"/>
            <w:tcMar>
              <w:top w:w="40" w:type="dxa"/>
              <w:left w:w="40" w:type="dxa"/>
              <w:bottom w:w="40" w:type="dxa"/>
              <w:right w:w="40" w:type="dxa"/>
            </w:tcMar>
            <w:vAlign w:val="bottom"/>
          </w:tcPr>
          <w:p w14:paraId="1446E59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59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59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59B" w14:textId="77777777">
        <w:trPr>
          <w:jc w:val="center"/>
        </w:trPr>
        <w:tc>
          <w:tcPr>
            <w:tcW w:w="0" w:type="auto"/>
            <w:shd w:val="clear" w:color="auto" w:fill="CCEEFF"/>
            <w:tcMar>
              <w:top w:w="40" w:type="dxa"/>
              <w:left w:w="560" w:type="dxa"/>
              <w:bottom w:w="40" w:type="dxa"/>
              <w:right w:w="40" w:type="dxa"/>
            </w:tcMar>
          </w:tcPr>
          <w:p w14:paraId="1446E59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Taxes paid related to net share settlement of equity awards</w:t>
            </w:r>
          </w:p>
        </w:tc>
        <w:tc>
          <w:tcPr>
            <w:tcW w:w="0" w:type="auto"/>
            <w:gridSpan w:val="2"/>
            <w:shd w:val="clear" w:color="auto" w:fill="CCEEFF"/>
            <w:tcMar>
              <w:top w:w="40" w:type="dxa"/>
              <w:left w:w="40" w:type="dxa"/>
              <w:bottom w:w="40" w:type="dxa"/>
            </w:tcMar>
            <w:vAlign w:val="bottom"/>
          </w:tcPr>
          <w:p w14:paraId="1446E59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(690</w:t>
            </w:r>
          </w:p>
        </w:tc>
        <w:tc>
          <w:tcPr>
            <w:tcW w:w="0" w:type="auto"/>
            <w:shd w:val="clear" w:color="auto" w:fill="CCEEFF"/>
            <w:tcMar>
              <w:top w:w="40" w:type="dxa"/>
              <w:bottom w:w="40" w:type="dxa"/>
              <w:right w:w="40" w:type="dxa"/>
            </w:tcMar>
            <w:vAlign w:val="bottom"/>
          </w:tcPr>
          <w:p w14:paraId="1446E59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59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9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(512</w:t>
            </w:r>
          </w:p>
        </w:tc>
        <w:tc>
          <w:tcPr>
            <w:tcW w:w="0" w:type="auto"/>
            <w:shd w:val="clear" w:color="auto" w:fill="CCEEFF"/>
            <w:tcMar>
              <w:top w:w="40" w:type="dxa"/>
              <w:bottom w:w="40" w:type="dxa"/>
              <w:right w:w="40" w:type="dxa"/>
            </w:tcMar>
            <w:vAlign w:val="bottom"/>
          </w:tcPr>
          <w:p w14:paraId="1446E59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A2" w14:textId="77777777">
        <w:trPr>
          <w:jc w:val="center"/>
        </w:trPr>
        <w:tc>
          <w:tcPr>
            <w:tcW w:w="0" w:type="auto"/>
            <w:shd w:val="clear" w:color="auto" w:fill="auto"/>
            <w:tcMar>
              <w:top w:w="40" w:type="dxa"/>
              <w:left w:w="560" w:type="dxa"/>
              <w:bottom w:w="40" w:type="dxa"/>
              <w:right w:w="40" w:type="dxa"/>
            </w:tcMar>
          </w:tcPr>
          <w:p w14:paraId="1446E59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Repurchases of Class A common </w:t>
            </w:r>
            <w:r>
              <w:rPr>
                <w:rFonts w:ascii="Times New Roman" w:eastAsia="宋体" w:hAnsi="Times New Roman"/>
                <w:sz w:val="20"/>
                <w:szCs w:val="20"/>
              </w:rPr>
              <w:t>stock</w:t>
            </w:r>
          </w:p>
        </w:tc>
        <w:tc>
          <w:tcPr>
            <w:tcW w:w="0" w:type="auto"/>
            <w:gridSpan w:val="2"/>
            <w:shd w:val="clear" w:color="auto" w:fill="auto"/>
            <w:tcMar>
              <w:top w:w="40" w:type="dxa"/>
              <w:left w:w="40" w:type="dxa"/>
              <w:bottom w:w="40" w:type="dxa"/>
            </w:tcMar>
            <w:vAlign w:val="bottom"/>
          </w:tcPr>
          <w:p w14:paraId="1446E59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(1,250</w:t>
            </w:r>
          </w:p>
        </w:tc>
        <w:tc>
          <w:tcPr>
            <w:tcW w:w="0" w:type="auto"/>
            <w:shd w:val="clear" w:color="auto" w:fill="auto"/>
            <w:tcMar>
              <w:top w:w="40" w:type="dxa"/>
              <w:bottom w:w="40" w:type="dxa"/>
              <w:right w:w="40" w:type="dxa"/>
            </w:tcMar>
            <w:vAlign w:val="bottom"/>
          </w:tcPr>
          <w:p w14:paraId="1446E59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59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5A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(613</w:t>
            </w:r>
          </w:p>
        </w:tc>
        <w:tc>
          <w:tcPr>
            <w:tcW w:w="0" w:type="auto"/>
            <w:shd w:val="clear" w:color="auto" w:fill="auto"/>
            <w:tcMar>
              <w:top w:w="40" w:type="dxa"/>
              <w:bottom w:w="40" w:type="dxa"/>
              <w:right w:w="40" w:type="dxa"/>
            </w:tcMar>
            <w:vAlign w:val="bottom"/>
          </w:tcPr>
          <w:p w14:paraId="1446E5A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A9" w14:textId="77777777">
        <w:trPr>
          <w:jc w:val="center"/>
        </w:trPr>
        <w:tc>
          <w:tcPr>
            <w:tcW w:w="0" w:type="auto"/>
            <w:shd w:val="clear" w:color="auto" w:fill="CCEEFF"/>
            <w:tcMar>
              <w:top w:w="40" w:type="dxa"/>
              <w:left w:w="560" w:type="dxa"/>
              <w:bottom w:w="40" w:type="dxa"/>
              <w:right w:w="40" w:type="dxa"/>
            </w:tcMar>
          </w:tcPr>
          <w:p w14:paraId="1446E5A3"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Principal payments on finance leases</w:t>
            </w:r>
          </w:p>
        </w:tc>
        <w:tc>
          <w:tcPr>
            <w:tcW w:w="0" w:type="auto"/>
            <w:gridSpan w:val="2"/>
            <w:shd w:val="clear" w:color="auto" w:fill="CCEEFF"/>
            <w:tcMar>
              <w:top w:w="40" w:type="dxa"/>
              <w:left w:w="40" w:type="dxa"/>
              <w:bottom w:w="40" w:type="dxa"/>
            </w:tcMar>
            <w:vAlign w:val="bottom"/>
          </w:tcPr>
          <w:p w14:paraId="1446E5A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tcMar>
              <w:top w:w="40" w:type="dxa"/>
              <w:bottom w:w="40" w:type="dxa"/>
              <w:right w:w="40" w:type="dxa"/>
            </w:tcMar>
            <w:vAlign w:val="bottom"/>
          </w:tcPr>
          <w:p w14:paraId="1446E5A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5A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A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(125</w:t>
            </w:r>
          </w:p>
        </w:tc>
        <w:tc>
          <w:tcPr>
            <w:tcW w:w="0" w:type="auto"/>
            <w:shd w:val="clear" w:color="auto" w:fill="CCEEFF"/>
            <w:tcMar>
              <w:top w:w="40" w:type="dxa"/>
              <w:bottom w:w="40" w:type="dxa"/>
              <w:right w:w="40" w:type="dxa"/>
            </w:tcMar>
            <w:vAlign w:val="bottom"/>
          </w:tcPr>
          <w:p w14:paraId="1446E5A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B0" w14:textId="77777777">
        <w:trPr>
          <w:jc w:val="center"/>
        </w:trPr>
        <w:tc>
          <w:tcPr>
            <w:tcW w:w="0" w:type="auto"/>
            <w:shd w:val="clear" w:color="auto" w:fill="auto"/>
            <w:tcMar>
              <w:top w:w="40" w:type="dxa"/>
              <w:left w:w="560" w:type="dxa"/>
              <w:bottom w:w="40" w:type="dxa"/>
              <w:right w:w="40" w:type="dxa"/>
            </w:tcMar>
          </w:tcPr>
          <w:p w14:paraId="1446E5A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Net change in overdraft in cash pooling entities</w:t>
            </w:r>
          </w:p>
        </w:tc>
        <w:tc>
          <w:tcPr>
            <w:tcW w:w="0" w:type="auto"/>
            <w:gridSpan w:val="2"/>
            <w:shd w:val="clear" w:color="auto" w:fill="auto"/>
            <w:tcMar>
              <w:top w:w="40" w:type="dxa"/>
              <w:left w:w="40" w:type="dxa"/>
              <w:bottom w:w="40" w:type="dxa"/>
            </w:tcMar>
            <w:vAlign w:val="bottom"/>
          </w:tcPr>
          <w:p w14:paraId="1446E5A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(80</w:t>
            </w:r>
          </w:p>
        </w:tc>
        <w:tc>
          <w:tcPr>
            <w:tcW w:w="0" w:type="auto"/>
            <w:shd w:val="clear" w:color="auto" w:fill="auto"/>
            <w:tcMar>
              <w:top w:w="40" w:type="dxa"/>
              <w:bottom w:w="40" w:type="dxa"/>
              <w:right w:w="40" w:type="dxa"/>
            </w:tcMar>
            <w:vAlign w:val="bottom"/>
          </w:tcPr>
          <w:p w14:paraId="1446E5A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5A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5A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(177</w:t>
            </w:r>
          </w:p>
        </w:tc>
        <w:tc>
          <w:tcPr>
            <w:tcW w:w="0" w:type="auto"/>
            <w:shd w:val="clear" w:color="auto" w:fill="auto"/>
            <w:tcMar>
              <w:top w:w="40" w:type="dxa"/>
              <w:bottom w:w="40" w:type="dxa"/>
              <w:right w:w="40" w:type="dxa"/>
            </w:tcMar>
            <w:vAlign w:val="bottom"/>
          </w:tcPr>
          <w:p w14:paraId="1446E5A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B7" w14:textId="77777777">
        <w:trPr>
          <w:jc w:val="center"/>
        </w:trPr>
        <w:tc>
          <w:tcPr>
            <w:tcW w:w="0" w:type="auto"/>
            <w:shd w:val="clear" w:color="auto" w:fill="CCEEFF"/>
            <w:tcMar>
              <w:top w:w="40" w:type="dxa"/>
              <w:left w:w="560" w:type="dxa"/>
              <w:bottom w:w="40" w:type="dxa"/>
              <w:right w:w="40" w:type="dxa"/>
            </w:tcMar>
          </w:tcPr>
          <w:p w14:paraId="1446E5B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Other financing activities, net</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5B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tcBorders>
              <w:bottom w:val="single" w:sz="8" w:space="0" w:color="000000"/>
            </w:tcBorders>
            <w:shd w:val="clear" w:color="auto" w:fill="CCEEFF"/>
            <w:vAlign w:val="bottom"/>
          </w:tcPr>
          <w:p w14:paraId="1446E5B3"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5B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5B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bottom w:val="single" w:sz="8" w:space="0" w:color="000000"/>
            </w:tcBorders>
            <w:shd w:val="clear" w:color="auto" w:fill="CCEEFF"/>
            <w:vAlign w:val="bottom"/>
          </w:tcPr>
          <w:p w14:paraId="1446E5B6" w14:textId="77777777" w:rsidR="00FE42B5" w:rsidRDefault="00FE42B5">
            <w:pPr>
              <w:textAlignment w:val="bottom"/>
              <w:rPr>
                <w:rFonts w:ascii="Times New Roman" w:hAnsi="Times New Roman"/>
                <w:sz w:val="20"/>
                <w:szCs w:val="20"/>
              </w:rPr>
            </w:pPr>
          </w:p>
        </w:tc>
      </w:tr>
      <w:tr w:rsidR="00FE42B5" w14:paraId="1446E5BE" w14:textId="77777777">
        <w:trPr>
          <w:jc w:val="center"/>
        </w:trPr>
        <w:tc>
          <w:tcPr>
            <w:tcW w:w="0" w:type="auto"/>
            <w:shd w:val="clear" w:color="auto" w:fill="auto"/>
            <w:tcMar>
              <w:top w:w="40" w:type="dxa"/>
              <w:left w:w="560" w:type="dxa"/>
              <w:bottom w:w="40" w:type="dxa"/>
              <w:right w:w="40" w:type="dxa"/>
            </w:tcMar>
          </w:tcPr>
          <w:p w14:paraId="1446E5B8"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Net cash used in financing activities</w:t>
            </w:r>
          </w:p>
        </w:tc>
        <w:tc>
          <w:tcPr>
            <w:tcW w:w="0" w:type="auto"/>
            <w:gridSpan w:val="2"/>
            <w:tcBorders>
              <w:bottom w:val="single" w:sz="8" w:space="0" w:color="000000"/>
            </w:tcBorders>
            <w:shd w:val="clear" w:color="auto" w:fill="auto"/>
            <w:tcMar>
              <w:top w:w="40" w:type="dxa"/>
              <w:left w:w="40" w:type="dxa"/>
              <w:bottom w:w="40" w:type="dxa"/>
            </w:tcMar>
            <w:vAlign w:val="bottom"/>
          </w:tcPr>
          <w:p w14:paraId="1446E5B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(2,022</w:t>
            </w:r>
          </w:p>
        </w:tc>
        <w:tc>
          <w:tcPr>
            <w:tcW w:w="0" w:type="auto"/>
            <w:tcBorders>
              <w:bottom w:val="single" w:sz="8" w:space="0" w:color="000000"/>
            </w:tcBorders>
            <w:shd w:val="clear" w:color="auto" w:fill="auto"/>
            <w:tcMar>
              <w:top w:w="40" w:type="dxa"/>
              <w:bottom w:w="40" w:type="dxa"/>
              <w:right w:w="40" w:type="dxa"/>
            </w:tcMar>
            <w:vAlign w:val="bottom"/>
          </w:tcPr>
          <w:p w14:paraId="1446E5B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5B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446E5B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(1,423</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446E5B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C5" w14:textId="77777777">
        <w:trPr>
          <w:jc w:val="center"/>
        </w:trPr>
        <w:tc>
          <w:tcPr>
            <w:tcW w:w="0" w:type="auto"/>
            <w:shd w:val="clear" w:color="auto" w:fill="CCEEFF"/>
            <w:tcMar>
              <w:top w:w="40" w:type="dxa"/>
              <w:left w:w="40" w:type="dxa"/>
              <w:bottom w:w="40" w:type="dxa"/>
              <w:right w:w="40" w:type="dxa"/>
            </w:tcMar>
          </w:tcPr>
          <w:p w14:paraId="1446E5B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Effect of exchange rate changes on cash, cash equivalents, and restricted cash</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5C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(222</w:t>
            </w:r>
          </w:p>
        </w:tc>
        <w:tc>
          <w:tcPr>
            <w:tcW w:w="0" w:type="auto"/>
            <w:tcBorders>
              <w:bottom w:val="single" w:sz="8" w:space="0" w:color="000000"/>
            </w:tcBorders>
            <w:shd w:val="clear" w:color="auto" w:fill="CCEEFF"/>
            <w:tcMar>
              <w:top w:w="40" w:type="dxa"/>
              <w:bottom w:w="40" w:type="dxa"/>
              <w:right w:w="40" w:type="dxa"/>
            </w:tcMar>
            <w:vAlign w:val="bottom"/>
          </w:tcPr>
          <w:p w14:paraId="1446E5C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5C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5C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tcBorders>
              <w:bottom w:val="single" w:sz="8" w:space="0" w:color="000000"/>
            </w:tcBorders>
            <w:shd w:val="clear" w:color="auto" w:fill="CCEEFF"/>
            <w:tcMar>
              <w:top w:w="40" w:type="dxa"/>
              <w:bottom w:w="40" w:type="dxa"/>
              <w:right w:w="40" w:type="dxa"/>
            </w:tcMar>
            <w:vAlign w:val="bottom"/>
          </w:tcPr>
          <w:p w14:paraId="1446E5C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5CC" w14:textId="77777777">
        <w:trPr>
          <w:jc w:val="center"/>
        </w:trPr>
        <w:tc>
          <w:tcPr>
            <w:tcW w:w="0" w:type="auto"/>
            <w:shd w:val="clear" w:color="auto" w:fill="auto"/>
            <w:tcMar>
              <w:top w:w="40" w:type="dxa"/>
              <w:left w:w="40" w:type="dxa"/>
              <w:bottom w:w="40" w:type="dxa"/>
              <w:right w:w="40" w:type="dxa"/>
            </w:tcMar>
          </w:tcPr>
          <w:p w14:paraId="1446E5C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Net increase in cash, cash equivalents, and restricted cash</w:t>
            </w:r>
          </w:p>
        </w:tc>
        <w:tc>
          <w:tcPr>
            <w:tcW w:w="0" w:type="auto"/>
            <w:gridSpan w:val="2"/>
            <w:shd w:val="clear" w:color="auto" w:fill="auto"/>
            <w:tcMar>
              <w:top w:w="40" w:type="dxa"/>
              <w:left w:w="40" w:type="dxa"/>
              <w:bottom w:w="40" w:type="dxa"/>
            </w:tcMar>
            <w:vAlign w:val="bottom"/>
          </w:tcPr>
          <w:p w14:paraId="1446E5C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4,648</w:t>
            </w:r>
          </w:p>
        </w:tc>
        <w:tc>
          <w:tcPr>
            <w:tcW w:w="0" w:type="auto"/>
            <w:shd w:val="clear" w:color="auto" w:fill="auto"/>
            <w:vAlign w:val="bottom"/>
          </w:tcPr>
          <w:p w14:paraId="1446E5C8"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5C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5C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1,073</w:t>
            </w:r>
          </w:p>
        </w:tc>
        <w:tc>
          <w:tcPr>
            <w:tcW w:w="0" w:type="auto"/>
            <w:shd w:val="clear" w:color="auto" w:fill="auto"/>
            <w:vAlign w:val="bottom"/>
          </w:tcPr>
          <w:p w14:paraId="1446E5CB" w14:textId="77777777" w:rsidR="00FE42B5" w:rsidRDefault="00FE42B5">
            <w:pPr>
              <w:textAlignment w:val="bottom"/>
              <w:rPr>
                <w:rFonts w:ascii="Times New Roman" w:hAnsi="Times New Roman"/>
                <w:sz w:val="20"/>
                <w:szCs w:val="20"/>
              </w:rPr>
            </w:pPr>
          </w:p>
        </w:tc>
      </w:tr>
      <w:tr w:rsidR="00FE42B5" w14:paraId="1446E5D3" w14:textId="77777777">
        <w:trPr>
          <w:jc w:val="center"/>
        </w:trPr>
        <w:tc>
          <w:tcPr>
            <w:tcW w:w="0" w:type="auto"/>
            <w:shd w:val="clear" w:color="auto" w:fill="CCEEFF"/>
            <w:tcMar>
              <w:top w:w="40" w:type="dxa"/>
              <w:left w:w="40" w:type="dxa"/>
              <w:bottom w:w="40" w:type="dxa"/>
              <w:right w:w="40" w:type="dxa"/>
            </w:tcMar>
          </w:tcPr>
          <w:p w14:paraId="1446E5C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Cash, cash equivalents, and restricted cash at beginning of the period</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5C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19,279</w:t>
            </w:r>
          </w:p>
        </w:tc>
        <w:tc>
          <w:tcPr>
            <w:tcW w:w="0" w:type="auto"/>
            <w:tcBorders>
              <w:bottom w:val="single" w:sz="8" w:space="0" w:color="000000"/>
            </w:tcBorders>
            <w:shd w:val="clear" w:color="auto" w:fill="CCEEFF"/>
            <w:vAlign w:val="bottom"/>
          </w:tcPr>
          <w:p w14:paraId="1446E5C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5D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5D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10,124</w:t>
            </w:r>
          </w:p>
        </w:tc>
        <w:tc>
          <w:tcPr>
            <w:tcW w:w="0" w:type="auto"/>
            <w:tcBorders>
              <w:bottom w:val="single" w:sz="8" w:space="0" w:color="000000"/>
            </w:tcBorders>
            <w:shd w:val="clear" w:color="auto" w:fill="CCEEFF"/>
            <w:vAlign w:val="bottom"/>
          </w:tcPr>
          <w:p w14:paraId="1446E5D2" w14:textId="77777777" w:rsidR="00FE42B5" w:rsidRDefault="00FE42B5">
            <w:pPr>
              <w:textAlignment w:val="bottom"/>
              <w:rPr>
                <w:rFonts w:ascii="Times New Roman" w:hAnsi="Times New Roman"/>
                <w:sz w:val="20"/>
                <w:szCs w:val="20"/>
              </w:rPr>
            </w:pPr>
          </w:p>
        </w:tc>
      </w:tr>
      <w:tr w:rsidR="00FE42B5" w14:paraId="1446E5DC" w14:textId="77777777">
        <w:trPr>
          <w:jc w:val="center"/>
        </w:trPr>
        <w:tc>
          <w:tcPr>
            <w:tcW w:w="0" w:type="auto"/>
            <w:shd w:val="clear" w:color="auto" w:fill="auto"/>
            <w:tcMar>
              <w:top w:w="40" w:type="dxa"/>
              <w:left w:w="40" w:type="dxa"/>
              <w:bottom w:w="40" w:type="dxa"/>
              <w:right w:w="40" w:type="dxa"/>
            </w:tcMar>
          </w:tcPr>
          <w:p w14:paraId="1446E5D4"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Cash, cash equivalents, and restricted cash at end of the period</w:t>
            </w:r>
          </w:p>
        </w:tc>
        <w:tc>
          <w:tcPr>
            <w:tcW w:w="0" w:type="auto"/>
            <w:tcBorders>
              <w:bottom w:val="double" w:sz="6" w:space="0" w:color="000000"/>
            </w:tcBorders>
            <w:shd w:val="clear" w:color="auto" w:fill="auto"/>
            <w:tcMar>
              <w:top w:w="40" w:type="dxa"/>
              <w:left w:w="40" w:type="dxa"/>
              <w:bottom w:w="40" w:type="dxa"/>
            </w:tcMar>
            <w:vAlign w:val="bottom"/>
          </w:tcPr>
          <w:p w14:paraId="1446E5D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1446E5D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23,927</w:t>
            </w:r>
          </w:p>
        </w:tc>
        <w:tc>
          <w:tcPr>
            <w:tcW w:w="0" w:type="auto"/>
            <w:tcBorders>
              <w:bottom w:val="double" w:sz="6" w:space="0" w:color="000000"/>
            </w:tcBorders>
            <w:shd w:val="clear" w:color="auto" w:fill="auto"/>
            <w:vAlign w:val="bottom"/>
          </w:tcPr>
          <w:p w14:paraId="1446E5D7"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5D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446E5D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1446E5D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11,197</w:t>
            </w:r>
          </w:p>
        </w:tc>
        <w:tc>
          <w:tcPr>
            <w:tcW w:w="0" w:type="auto"/>
            <w:tcBorders>
              <w:bottom w:val="double" w:sz="6" w:space="0" w:color="000000"/>
            </w:tcBorders>
            <w:shd w:val="clear" w:color="auto" w:fill="auto"/>
            <w:vAlign w:val="bottom"/>
          </w:tcPr>
          <w:p w14:paraId="1446E5DB" w14:textId="77777777" w:rsidR="00FE42B5" w:rsidRDefault="00FE42B5">
            <w:pPr>
              <w:textAlignment w:val="bottom"/>
              <w:rPr>
                <w:rFonts w:ascii="Times New Roman" w:hAnsi="Times New Roman"/>
                <w:sz w:val="20"/>
                <w:szCs w:val="20"/>
              </w:rPr>
            </w:pPr>
          </w:p>
        </w:tc>
      </w:tr>
      <w:tr w:rsidR="00FE42B5" w14:paraId="1446E5E1" w14:textId="77777777">
        <w:trPr>
          <w:jc w:val="center"/>
        </w:trPr>
        <w:tc>
          <w:tcPr>
            <w:tcW w:w="0" w:type="auto"/>
            <w:shd w:val="clear" w:color="auto" w:fill="CCEEFF"/>
            <w:tcMar>
              <w:top w:w="40" w:type="dxa"/>
              <w:left w:w="40" w:type="dxa"/>
              <w:bottom w:w="40" w:type="dxa"/>
              <w:right w:w="40" w:type="dxa"/>
            </w:tcMar>
            <w:vAlign w:val="bottom"/>
          </w:tcPr>
          <w:p w14:paraId="1446E5D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5D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5D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5E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5E6" w14:textId="77777777">
        <w:trPr>
          <w:jc w:val="center"/>
        </w:trPr>
        <w:tc>
          <w:tcPr>
            <w:tcW w:w="0" w:type="auto"/>
            <w:shd w:val="clear" w:color="auto" w:fill="auto"/>
            <w:tcMar>
              <w:top w:w="40" w:type="dxa"/>
              <w:left w:w="40" w:type="dxa"/>
              <w:bottom w:w="40" w:type="dxa"/>
              <w:right w:w="40" w:type="dxa"/>
            </w:tcMar>
            <w:vAlign w:val="bottom"/>
          </w:tcPr>
          <w:p w14:paraId="1446E5E2" w14:textId="77777777" w:rsidR="00FE42B5" w:rsidRDefault="009213DC">
            <w:pPr>
              <w:textAlignment w:val="bottom"/>
              <w:rPr>
                <w:rFonts w:ascii="Times New Roman" w:hAnsi="Times New Roman"/>
                <w:sz w:val="20"/>
                <w:szCs w:val="20"/>
              </w:rPr>
            </w:pPr>
            <w:r>
              <w:rPr>
                <w:rFonts w:ascii="Times New Roman" w:eastAsia="宋体" w:hAnsi="Times New Roman"/>
                <w:b/>
                <w:bCs/>
                <w:sz w:val="20"/>
                <w:szCs w:val="20"/>
              </w:rPr>
              <w:t>Reconciliation of cash, cash equivalents, and restricted cash to the condensed consolidated balance sheets</w:t>
            </w:r>
          </w:p>
        </w:tc>
        <w:tc>
          <w:tcPr>
            <w:tcW w:w="0" w:type="auto"/>
            <w:gridSpan w:val="3"/>
            <w:shd w:val="clear" w:color="auto" w:fill="auto"/>
            <w:tcMar>
              <w:top w:w="40" w:type="dxa"/>
              <w:left w:w="40" w:type="dxa"/>
              <w:bottom w:w="40" w:type="dxa"/>
              <w:right w:w="40" w:type="dxa"/>
            </w:tcMar>
            <w:vAlign w:val="bottom"/>
          </w:tcPr>
          <w:p w14:paraId="1446E5E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5E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5E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5EF" w14:textId="77777777">
        <w:trPr>
          <w:jc w:val="center"/>
        </w:trPr>
        <w:tc>
          <w:tcPr>
            <w:tcW w:w="0" w:type="auto"/>
            <w:shd w:val="clear" w:color="auto" w:fill="CCEEFF"/>
            <w:tcMar>
              <w:top w:w="40" w:type="dxa"/>
              <w:left w:w="560" w:type="dxa"/>
              <w:bottom w:w="40" w:type="dxa"/>
              <w:right w:w="40" w:type="dxa"/>
            </w:tcMar>
          </w:tcPr>
          <w:p w14:paraId="1446E5E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tcMar>
            <w:vAlign w:val="bottom"/>
          </w:tcPr>
          <w:p w14:paraId="1446E5E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5E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23,618</w:t>
            </w:r>
          </w:p>
        </w:tc>
        <w:tc>
          <w:tcPr>
            <w:tcW w:w="0" w:type="auto"/>
            <w:shd w:val="clear" w:color="auto" w:fill="CCEEFF"/>
            <w:vAlign w:val="bottom"/>
          </w:tcPr>
          <w:p w14:paraId="1446E5EA"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5E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5E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5E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11,076</w:t>
            </w:r>
          </w:p>
        </w:tc>
        <w:tc>
          <w:tcPr>
            <w:tcW w:w="0" w:type="auto"/>
            <w:shd w:val="clear" w:color="auto" w:fill="CCEEFF"/>
            <w:vAlign w:val="bottom"/>
          </w:tcPr>
          <w:p w14:paraId="1446E5EE" w14:textId="77777777" w:rsidR="00FE42B5" w:rsidRDefault="00FE42B5">
            <w:pPr>
              <w:textAlignment w:val="bottom"/>
              <w:rPr>
                <w:rFonts w:ascii="Times New Roman" w:hAnsi="Times New Roman"/>
                <w:sz w:val="20"/>
                <w:szCs w:val="20"/>
              </w:rPr>
            </w:pPr>
          </w:p>
        </w:tc>
      </w:tr>
      <w:tr w:rsidR="00FE42B5" w14:paraId="1446E5F6" w14:textId="77777777">
        <w:trPr>
          <w:jc w:val="center"/>
        </w:trPr>
        <w:tc>
          <w:tcPr>
            <w:tcW w:w="0" w:type="auto"/>
            <w:shd w:val="clear" w:color="auto" w:fill="auto"/>
            <w:tcMar>
              <w:top w:w="40" w:type="dxa"/>
              <w:left w:w="560" w:type="dxa"/>
              <w:bottom w:w="40" w:type="dxa"/>
              <w:right w:w="40" w:type="dxa"/>
            </w:tcMar>
          </w:tcPr>
          <w:p w14:paraId="1446E5F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Restricted cash, included in prepaid expenses and other current assets</w:t>
            </w:r>
          </w:p>
        </w:tc>
        <w:tc>
          <w:tcPr>
            <w:tcW w:w="0" w:type="auto"/>
            <w:gridSpan w:val="2"/>
            <w:shd w:val="clear" w:color="auto" w:fill="auto"/>
            <w:tcMar>
              <w:top w:w="40" w:type="dxa"/>
              <w:left w:w="40" w:type="dxa"/>
              <w:bottom w:w="40" w:type="dxa"/>
            </w:tcMar>
            <w:vAlign w:val="bottom"/>
          </w:tcPr>
          <w:p w14:paraId="1446E5F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auto"/>
            <w:vAlign w:val="bottom"/>
          </w:tcPr>
          <w:p w14:paraId="1446E5F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5F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5F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vAlign w:val="bottom"/>
          </w:tcPr>
          <w:p w14:paraId="1446E5F5" w14:textId="77777777" w:rsidR="00FE42B5" w:rsidRDefault="00FE42B5">
            <w:pPr>
              <w:textAlignment w:val="bottom"/>
              <w:rPr>
                <w:rFonts w:ascii="Times New Roman" w:hAnsi="Times New Roman"/>
                <w:sz w:val="20"/>
                <w:szCs w:val="20"/>
              </w:rPr>
            </w:pPr>
          </w:p>
        </w:tc>
      </w:tr>
      <w:tr w:rsidR="00FE42B5" w14:paraId="1446E5FD" w14:textId="77777777">
        <w:trPr>
          <w:jc w:val="center"/>
        </w:trPr>
        <w:tc>
          <w:tcPr>
            <w:tcW w:w="0" w:type="auto"/>
            <w:shd w:val="clear" w:color="auto" w:fill="CCEEFF"/>
            <w:tcMar>
              <w:top w:w="40" w:type="dxa"/>
              <w:left w:w="560" w:type="dxa"/>
              <w:bottom w:w="40" w:type="dxa"/>
              <w:right w:w="40" w:type="dxa"/>
            </w:tcMar>
          </w:tcPr>
          <w:p w14:paraId="1446E5F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Restricted cash, included in other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5F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tcBorders>
              <w:bottom w:val="single" w:sz="8" w:space="0" w:color="000000"/>
            </w:tcBorders>
            <w:shd w:val="clear" w:color="auto" w:fill="CCEEFF"/>
            <w:vAlign w:val="bottom"/>
          </w:tcPr>
          <w:p w14:paraId="1446E5F9"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5F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5F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111</w:t>
            </w:r>
          </w:p>
        </w:tc>
        <w:tc>
          <w:tcPr>
            <w:tcW w:w="0" w:type="auto"/>
            <w:shd w:val="clear" w:color="auto" w:fill="CCEEFF"/>
            <w:vAlign w:val="bottom"/>
          </w:tcPr>
          <w:p w14:paraId="1446E5FC" w14:textId="77777777" w:rsidR="00FE42B5" w:rsidRDefault="00FE42B5">
            <w:pPr>
              <w:textAlignment w:val="bottom"/>
              <w:rPr>
                <w:rFonts w:ascii="Times New Roman" w:hAnsi="Times New Roman"/>
                <w:sz w:val="20"/>
                <w:szCs w:val="20"/>
              </w:rPr>
            </w:pPr>
          </w:p>
        </w:tc>
      </w:tr>
      <w:tr w:rsidR="00FE42B5" w14:paraId="1446E606" w14:textId="77777777">
        <w:trPr>
          <w:jc w:val="center"/>
        </w:trPr>
        <w:tc>
          <w:tcPr>
            <w:tcW w:w="0" w:type="auto"/>
            <w:shd w:val="clear" w:color="auto" w:fill="auto"/>
            <w:tcMar>
              <w:top w:w="40" w:type="dxa"/>
              <w:left w:w="40" w:type="dxa"/>
              <w:bottom w:w="40" w:type="dxa"/>
              <w:right w:w="40" w:type="dxa"/>
            </w:tcMar>
            <w:vAlign w:val="bottom"/>
          </w:tcPr>
          <w:p w14:paraId="1446E5FE" w14:textId="77777777" w:rsidR="00FE42B5" w:rsidRDefault="009213DC">
            <w:pPr>
              <w:textAlignment w:val="bottom"/>
              <w:rPr>
                <w:rFonts w:ascii="Times New Roman" w:hAnsi="Times New Roman"/>
                <w:sz w:val="20"/>
                <w:szCs w:val="20"/>
              </w:rPr>
            </w:pPr>
            <w:r>
              <w:rPr>
                <w:rFonts w:ascii="Times New Roman" w:eastAsia="宋体" w:hAnsi="Times New Roman"/>
                <w:b/>
                <w:bCs/>
                <w:sz w:val="20"/>
                <w:szCs w:val="20"/>
              </w:rPr>
              <w:t>Total cash, cash equivalents, and restricted cash</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5F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60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23,927</w:t>
            </w:r>
          </w:p>
        </w:tc>
        <w:tc>
          <w:tcPr>
            <w:tcW w:w="0" w:type="auto"/>
            <w:tcBorders>
              <w:top w:val="single" w:sz="8" w:space="0" w:color="000000"/>
              <w:bottom w:val="double" w:sz="6" w:space="0" w:color="000000"/>
            </w:tcBorders>
            <w:shd w:val="clear" w:color="auto" w:fill="auto"/>
            <w:vAlign w:val="bottom"/>
          </w:tcPr>
          <w:p w14:paraId="1446E601"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60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60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60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11,197</w:t>
            </w:r>
          </w:p>
        </w:tc>
        <w:tc>
          <w:tcPr>
            <w:tcW w:w="0" w:type="auto"/>
            <w:tcBorders>
              <w:top w:val="single" w:sz="8" w:space="0" w:color="000000"/>
              <w:bottom w:val="double" w:sz="6" w:space="0" w:color="000000"/>
            </w:tcBorders>
            <w:shd w:val="clear" w:color="auto" w:fill="auto"/>
            <w:vAlign w:val="bottom"/>
          </w:tcPr>
          <w:p w14:paraId="1446E605" w14:textId="77777777" w:rsidR="00FE42B5" w:rsidRDefault="00FE42B5">
            <w:pPr>
              <w:textAlignment w:val="bottom"/>
              <w:rPr>
                <w:rFonts w:ascii="Times New Roman" w:hAnsi="Times New Roman"/>
                <w:sz w:val="20"/>
                <w:szCs w:val="20"/>
              </w:rPr>
            </w:pPr>
          </w:p>
        </w:tc>
      </w:tr>
    </w:tbl>
    <w:p w14:paraId="1446E607" w14:textId="77777777" w:rsidR="00FE42B5" w:rsidRDefault="00FE42B5">
      <w:pPr>
        <w:spacing w:line="288" w:lineRule="auto"/>
        <w:rPr>
          <w:rFonts w:ascii="Times New Roman" w:hAnsi="Times New Roman"/>
          <w:sz w:val="18"/>
          <w:szCs w:val="18"/>
        </w:rPr>
      </w:pPr>
    </w:p>
    <w:p w14:paraId="1446E608"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 xml:space="preserve">See </w:t>
      </w:r>
      <w:r>
        <w:rPr>
          <w:rFonts w:ascii="Times New Roman" w:eastAsia="宋体" w:hAnsi="Times New Roman"/>
          <w:i/>
          <w:iCs/>
          <w:sz w:val="18"/>
          <w:szCs w:val="18"/>
        </w:rPr>
        <w:t>Accompanying Notes to Condensed Consolidated Financial Statements.</w:t>
      </w:r>
    </w:p>
    <w:p w14:paraId="1446E609" w14:textId="77777777" w:rsidR="00FE42B5" w:rsidRDefault="00FE42B5">
      <w:pPr>
        <w:rPr>
          <w:rFonts w:ascii="Times New Roman" w:hAnsi="Times New Roman"/>
          <w:sz w:val="20"/>
          <w:szCs w:val="20"/>
        </w:rPr>
      </w:pPr>
    </w:p>
    <w:p w14:paraId="1446E60A"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11</w:t>
      </w:r>
    </w:p>
    <w:p w14:paraId="1446E60B" w14:textId="77777777" w:rsidR="00FE42B5" w:rsidRDefault="009213DC">
      <w:r>
        <w:rPr>
          <w:rFonts w:ascii="Times New Roman" w:hAnsi="Times New Roman"/>
          <w:sz w:val="20"/>
          <w:szCs w:val="20"/>
        </w:rPr>
        <w:pict w14:anchorId="1446FAC3">
          <v:rect id="_x0000_i1035" style="width:415.3pt;height:1.5pt" o:hralign="center" o:hrstd="t" o:hr="t" fillcolor="#a0a0a0" stroked="f"/>
        </w:pict>
      </w:r>
    </w:p>
    <w:p w14:paraId="1446E60C" w14:textId="77777777" w:rsidR="00FE42B5" w:rsidRDefault="009213DC">
      <w:pPr>
        <w:spacing w:line="288" w:lineRule="auto"/>
        <w:rPr>
          <w:rFonts w:ascii="Times New Roman" w:hAnsi="Times New Roman"/>
          <w:sz w:val="20"/>
          <w:szCs w:val="20"/>
        </w:rPr>
      </w:pPr>
      <w:hyperlink r:id="rId53" w:anchor="sBB4BED1571A45A16AF3DC2E3B69C901C" w:history="1">
        <w:r>
          <w:rPr>
            <w:rStyle w:val="a5"/>
            <w:rFonts w:ascii="Times New Roman" w:eastAsia="宋体" w:hAnsi="Times New Roman"/>
            <w:sz w:val="20"/>
            <w:szCs w:val="20"/>
          </w:rPr>
          <w:t>Table of Contents</w:t>
        </w:r>
      </w:hyperlink>
    </w:p>
    <w:p w14:paraId="1446E60D" w14:textId="77777777" w:rsidR="00FE42B5" w:rsidRDefault="00FE42B5">
      <w:pPr>
        <w:rPr>
          <w:rFonts w:ascii="Times New Roman" w:hAnsi="Times New Roman"/>
          <w:sz w:val="20"/>
          <w:szCs w:val="20"/>
        </w:rPr>
      </w:pPr>
    </w:p>
    <w:p w14:paraId="1446E60E"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FACEBOOK, I</w:t>
      </w:r>
      <w:r>
        <w:rPr>
          <w:rFonts w:ascii="Times New Roman" w:eastAsia="宋体" w:hAnsi="Times New Roman"/>
          <w:b/>
          <w:bCs/>
          <w:sz w:val="20"/>
          <w:szCs w:val="20"/>
        </w:rPr>
        <w:t>NC.</w:t>
      </w:r>
    </w:p>
    <w:p w14:paraId="1446E60F"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CASH FLOWS</w:t>
      </w:r>
    </w:p>
    <w:p w14:paraId="1446E610"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(In millions)</w:t>
      </w:r>
    </w:p>
    <w:p w14:paraId="1446E611" w14:textId="77777777" w:rsidR="00FE42B5" w:rsidRDefault="009213DC">
      <w:pPr>
        <w:spacing w:line="288" w:lineRule="auto"/>
        <w:jc w:val="center"/>
        <w:rPr>
          <w:rFonts w:ascii="Times New Roman" w:hAnsi="Times New Roman"/>
          <w:sz w:val="20"/>
          <w:szCs w:val="20"/>
        </w:rPr>
      </w:pPr>
      <w:r>
        <w:rPr>
          <w:rFonts w:ascii="Times New Roman" w:eastAsia="宋体" w:hAnsi="Times New Roman"/>
          <w:i/>
          <w:iCs/>
          <w:sz w:val="18"/>
          <w:szCs w:val="18"/>
        </w:rPr>
        <w:t>(Unaudited)</w:t>
      </w:r>
    </w:p>
    <w:tbl>
      <w:tblPr>
        <w:tblW w:w="5000" w:type="pct"/>
        <w:jc w:val="center"/>
        <w:tblCellMar>
          <w:left w:w="0" w:type="dxa"/>
          <w:right w:w="0" w:type="dxa"/>
        </w:tblCellMar>
        <w:tblLook w:val="04A0" w:firstRow="1" w:lastRow="0" w:firstColumn="1" w:lastColumn="0" w:noHBand="0" w:noVBand="1"/>
      </w:tblPr>
      <w:tblGrid>
        <w:gridCol w:w="6030"/>
        <w:gridCol w:w="140"/>
        <w:gridCol w:w="882"/>
        <w:gridCol w:w="51"/>
        <w:gridCol w:w="130"/>
        <w:gridCol w:w="140"/>
        <w:gridCol w:w="882"/>
        <w:gridCol w:w="51"/>
      </w:tblGrid>
      <w:tr w:rsidR="00FE42B5" w14:paraId="1446E613" w14:textId="77777777">
        <w:trPr>
          <w:jc w:val="center"/>
        </w:trPr>
        <w:tc>
          <w:tcPr>
            <w:tcW w:w="0" w:type="auto"/>
            <w:gridSpan w:val="8"/>
            <w:shd w:val="clear" w:color="auto" w:fill="auto"/>
            <w:vAlign w:val="center"/>
          </w:tcPr>
          <w:p w14:paraId="1446E612" w14:textId="77777777" w:rsidR="00FE42B5" w:rsidRDefault="00FE42B5">
            <w:pPr>
              <w:rPr>
                <w:rFonts w:ascii="Times New Roman" w:hAnsi="Times New Roman"/>
                <w:sz w:val="20"/>
                <w:szCs w:val="20"/>
              </w:rPr>
            </w:pPr>
          </w:p>
        </w:tc>
      </w:tr>
      <w:tr w:rsidR="00FE42B5" w14:paraId="1446E61C" w14:textId="77777777">
        <w:trPr>
          <w:jc w:val="center"/>
        </w:trPr>
        <w:tc>
          <w:tcPr>
            <w:tcW w:w="3650" w:type="pct"/>
            <w:shd w:val="clear" w:color="auto" w:fill="auto"/>
            <w:vAlign w:val="center"/>
          </w:tcPr>
          <w:p w14:paraId="1446E614" w14:textId="77777777" w:rsidR="00FE42B5" w:rsidRDefault="00FE42B5">
            <w:pPr>
              <w:rPr>
                <w:rFonts w:ascii="Times New Roman" w:hAnsi="Times New Roman"/>
                <w:sz w:val="20"/>
                <w:szCs w:val="20"/>
              </w:rPr>
            </w:pPr>
          </w:p>
        </w:tc>
        <w:tc>
          <w:tcPr>
            <w:tcW w:w="50" w:type="pct"/>
            <w:shd w:val="clear" w:color="auto" w:fill="auto"/>
            <w:vAlign w:val="center"/>
          </w:tcPr>
          <w:p w14:paraId="1446E615" w14:textId="77777777" w:rsidR="00FE42B5" w:rsidRDefault="00FE42B5">
            <w:pPr>
              <w:rPr>
                <w:rFonts w:ascii="Times New Roman" w:hAnsi="Times New Roman"/>
                <w:sz w:val="20"/>
                <w:szCs w:val="20"/>
              </w:rPr>
            </w:pPr>
          </w:p>
        </w:tc>
        <w:tc>
          <w:tcPr>
            <w:tcW w:w="550" w:type="pct"/>
            <w:shd w:val="clear" w:color="auto" w:fill="auto"/>
            <w:vAlign w:val="center"/>
          </w:tcPr>
          <w:p w14:paraId="1446E616" w14:textId="77777777" w:rsidR="00FE42B5" w:rsidRDefault="00FE42B5">
            <w:pPr>
              <w:rPr>
                <w:rFonts w:ascii="Times New Roman" w:hAnsi="Times New Roman"/>
                <w:sz w:val="20"/>
                <w:szCs w:val="20"/>
              </w:rPr>
            </w:pPr>
          </w:p>
        </w:tc>
        <w:tc>
          <w:tcPr>
            <w:tcW w:w="50" w:type="pct"/>
            <w:shd w:val="clear" w:color="auto" w:fill="auto"/>
            <w:vAlign w:val="center"/>
          </w:tcPr>
          <w:p w14:paraId="1446E617" w14:textId="77777777" w:rsidR="00FE42B5" w:rsidRDefault="00FE42B5">
            <w:pPr>
              <w:rPr>
                <w:rFonts w:ascii="Times New Roman" w:hAnsi="Times New Roman"/>
                <w:sz w:val="20"/>
                <w:szCs w:val="20"/>
              </w:rPr>
            </w:pPr>
          </w:p>
        </w:tc>
        <w:tc>
          <w:tcPr>
            <w:tcW w:w="50" w:type="pct"/>
            <w:shd w:val="clear" w:color="auto" w:fill="auto"/>
            <w:vAlign w:val="center"/>
          </w:tcPr>
          <w:p w14:paraId="1446E618" w14:textId="77777777" w:rsidR="00FE42B5" w:rsidRDefault="00FE42B5">
            <w:pPr>
              <w:rPr>
                <w:rFonts w:ascii="Times New Roman" w:hAnsi="Times New Roman"/>
                <w:sz w:val="20"/>
                <w:szCs w:val="20"/>
              </w:rPr>
            </w:pPr>
          </w:p>
        </w:tc>
        <w:tc>
          <w:tcPr>
            <w:tcW w:w="50" w:type="pct"/>
            <w:shd w:val="clear" w:color="auto" w:fill="auto"/>
            <w:vAlign w:val="center"/>
          </w:tcPr>
          <w:p w14:paraId="1446E619" w14:textId="77777777" w:rsidR="00FE42B5" w:rsidRDefault="00FE42B5">
            <w:pPr>
              <w:rPr>
                <w:rFonts w:ascii="Times New Roman" w:hAnsi="Times New Roman"/>
                <w:sz w:val="20"/>
                <w:szCs w:val="20"/>
              </w:rPr>
            </w:pPr>
          </w:p>
        </w:tc>
        <w:tc>
          <w:tcPr>
            <w:tcW w:w="550" w:type="pct"/>
            <w:shd w:val="clear" w:color="auto" w:fill="auto"/>
            <w:vAlign w:val="center"/>
          </w:tcPr>
          <w:p w14:paraId="1446E61A" w14:textId="77777777" w:rsidR="00FE42B5" w:rsidRDefault="00FE42B5">
            <w:pPr>
              <w:rPr>
                <w:rFonts w:ascii="Times New Roman" w:hAnsi="Times New Roman"/>
                <w:sz w:val="20"/>
                <w:szCs w:val="20"/>
              </w:rPr>
            </w:pPr>
          </w:p>
        </w:tc>
        <w:tc>
          <w:tcPr>
            <w:tcW w:w="50" w:type="pct"/>
            <w:shd w:val="clear" w:color="auto" w:fill="auto"/>
            <w:vAlign w:val="center"/>
          </w:tcPr>
          <w:p w14:paraId="1446E61B" w14:textId="77777777" w:rsidR="00FE42B5" w:rsidRDefault="00FE42B5">
            <w:pPr>
              <w:rPr>
                <w:rFonts w:ascii="Times New Roman" w:hAnsi="Times New Roman"/>
                <w:sz w:val="20"/>
                <w:szCs w:val="20"/>
              </w:rPr>
            </w:pPr>
          </w:p>
        </w:tc>
      </w:tr>
      <w:tr w:rsidR="00FE42B5" w14:paraId="1446E61F" w14:textId="77777777">
        <w:trPr>
          <w:jc w:val="center"/>
        </w:trPr>
        <w:tc>
          <w:tcPr>
            <w:tcW w:w="0" w:type="auto"/>
            <w:shd w:val="clear" w:color="auto" w:fill="auto"/>
            <w:tcMar>
              <w:top w:w="40" w:type="dxa"/>
              <w:left w:w="40" w:type="dxa"/>
              <w:bottom w:w="40" w:type="dxa"/>
              <w:right w:w="40" w:type="dxa"/>
            </w:tcMar>
            <w:vAlign w:val="bottom"/>
          </w:tcPr>
          <w:p w14:paraId="1446E61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E61E"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r>
      <w:tr w:rsidR="00FE42B5" w14:paraId="1446E624" w14:textId="77777777">
        <w:trPr>
          <w:jc w:val="center"/>
        </w:trPr>
        <w:tc>
          <w:tcPr>
            <w:tcW w:w="0" w:type="auto"/>
            <w:shd w:val="clear" w:color="auto" w:fill="auto"/>
            <w:tcMar>
              <w:top w:w="40" w:type="dxa"/>
              <w:left w:w="40" w:type="dxa"/>
              <w:bottom w:w="40" w:type="dxa"/>
              <w:right w:w="40" w:type="dxa"/>
            </w:tcMar>
            <w:vAlign w:val="bottom"/>
          </w:tcPr>
          <w:p w14:paraId="1446E62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621"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1446E62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623"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E42B5" w14:paraId="1446E629" w14:textId="77777777">
        <w:trPr>
          <w:jc w:val="center"/>
        </w:trPr>
        <w:tc>
          <w:tcPr>
            <w:tcW w:w="0" w:type="auto"/>
            <w:shd w:val="clear" w:color="auto" w:fill="CCEEFF"/>
            <w:tcMar>
              <w:top w:w="40" w:type="dxa"/>
              <w:left w:w="40" w:type="dxa"/>
              <w:bottom w:w="40" w:type="dxa"/>
              <w:right w:w="40" w:type="dxa"/>
            </w:tcMar>
          </w:tcPr>
          <w:p w14:paraId="1446E625" w14:textId="77777777" w:rsidR="00FE42B5" w:rsidRDefault="009213DC">
            <w:pPr>
              <w:textAlignment w:val="top"/>
              <w:rPr>
                <w:rFonts w:ascii="Times New Roman" w:hAnsi="Times New Roman"/>
                <w:sz w:val="20"/>
                <w:szCs w:val="20"/>
              </w:rPr>
            </w:pPr>
            <w:r>
              <w:rPr>
                <w:rFonts w:ascii="Times New Roman" w:eastAsia="宋体" w:hAnsi="Times New Roman"/>
                <w:b/>
                <w:bCs/>
                <w:sz w:val="20"/>
                <w:szCs w:val="20"/>
              </w:rPr>
              <w:t>Supplemental cash flow data</w:t>
            </w:r>
          </w:p>
        </w:tc>
        <w:tc>
          <w:tcPr>
            <w:tcW w:w="0" w:type="auto"/>
            <w:gridSpan w:val="3"/>
            <w:shd w:val="clear" w:color="auto" w:fill="CCEEFF"/>
            <w:tcMar>
              <w:top w:w="40" w:type="dxa"/>
              <w:left w:w="40" w:type="dxa"/>
              <w:bottom w:w="40" w:type="dxa"/>
              <w:right w:w="40" w:type="dxa"/>
            </w:tcMar>
            <w:vAlign w:val="bottom"/>
          </w:tcPr>
          <w:p w14:paraId="1446E62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62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62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632" w14:textId="77777777">
        <w:trPr>
          <w:jc w:val="center"/>
        </w:trPr>
        <w:tc>
          <w:tcPr>
            <w:tcW w:w="0" w:type="auto"/>
            <w:shd w:val="clear" w:color="auto" w:fill="auto"/>
            <w:tcMar>
              <w:top w:w="40" w:type="dxa"/>
              <w:left w:w="560" w:type="dxa"/>
              <w:bottom w:w="40" w:type="dxa"/>
              <w:right w:w="40" w:type="dxa"/>
            </w:tcMar>
          </w:tcPr>
          <w:p w14:paraId="1446E62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Cash paid for income taxes, net</w:t>
            </w:r>
          </w:p>
        </w:tc>
        <w:tc>
          <w:tcPr>
            <w:tcW w:w="0" w:type="auto"/>
            <w:shd w:val="clear" w:color="auto" w:fill="auto"/>
            <w:tcMar>
              <w:top w:w="40" w:type="dxa"/>
              <w:left w:w="40" w:type="dxa"/>
              <w:bottom w:w="40" w:type="dxa"/>
            </w:tcMar>
            <w:vAlign w:val="bottom"/>
          </w:tcPr>
          <w:p w14:paraId="1446E62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62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209</w:t>
            </w:r>
          </w:p>
        </w:tc>
        <w:tc>
          <w:tcPr>
            <w:tcW w:w="0" w:type="auto"/>
            <w:shd w:val="clear" w:color="auto" w:fill="auto"/>
            <w:vAlign w:val="bottom"/>
          </w:tcPr>
          <w:p w14:paraId="1446E62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62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62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63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682</w:t>
            </w:r>
          </w:p>
        </w:tc>
        <w:tc>
          <w:tcPr>
            <w:tcW w:w="0" w:type="auto"/>
            <w:shd w:val="clear" w:color="auto" w:fill="auto"/>
            <w:vAlign w:val="bottom"/>
          </w:tcPr>
          <w:p w14:paraId="1446E631" w14:textId="77777777" w:rsidR="00FE42B5" w:rsidRDefault="00FE42B5">
            <w:pPr>
              <w:textAlignment w:val="bottom"/>
              <w:rPr>
                <w:rFonts w:ascii="Times New Roman" w:hAnsi="Times New Roman"/>
                <w:sz w:val="20"/>
                <w:szCs w:val="20"/>
              </w:rPr>
            </w:pPr>
          </w:p>
        </w:tc>
      </w:tr>
      <w:tr w:rsidR="00FE42B5" w14:paraId="1446E637" w14:textId="77777777">
        <w:trPr>
          <w:jc w:val="center"/>
        </w:trPr>
        <w:tc>
          <w:tcPr>
            <w:tcW w:w="0" w:type="auto"/>
            <w:shd w:val="clear" w:color="auto" w:fill="CCEEFF"/>
            <w:tcMar>
              <w:top w:w="40" w:type="dxa"/>
              <w:left w:w="560" w:type="dxa"/>
              <w:bottom w:w="40" w:type="dxa"/>
              <w:right w:w="40" w:type="dxa"/>
            </w:tcMar>
          </w:tcPr>
          <w:p w14:paraId="1446E633"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Non-cash investing </w:t>
            </w:r>
            <w:r>
              <w:rPr>
                <w:rFonts w:ascii="Times New Roman" w:eastAsia="宋体" w:hAnsi="Times New Roman"/>
                <w:sz w:val="20"/>
                <w:szCs w:val="20"/>
              </w:rPr>
              <w:t>activities:</w:t>
            </w:r>
          </w:p>
        </w:tc>
        <w:tc>
          <w:tcPr>
            <w:tcW w:w="0" w:type="auto"/>
            <w:gridSpan w:val="3"/>
            <w:shd w:val="clear" w:color="auto" w:fill="CCEEFF"/>
            <w:tcMar>
              <w:top w:w="40" w:type="dxa"/>
              <w:left w:w="40" w:type="dxa"/>
              <w:bottom w:w="40" w:type="dxa"/>
              <w:right w:w="40" w:type="dxa"/>
            </w:tcMar>
            <w:vAlign w:val="bottom"/>
          </w:tcPr>
          <w:p w14:paraId="1446E63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63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63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640" w14:textId="77777777">
        <w:trPr>
          <w:jc w:val="center"/>
        </w:trPr>
        <w:tc>
          <w:tcPr>
            <w:tcW w:w="0" w:type="auto"/>
            <w:shd w:val="clear" w:color="auto" w:fill="auto"/>
            <w:tcMar>
              <w:top w:w="40" w:type="dxa"/>
              <w:left w:w="1040" w:type="dxa"/>
              <w:bottom w:w="40" w:type="dxa"/>
              <w:right w:w="40" w:type="dxa"/>
            </w:tcMar>
          </w:tcPr>
          <w:p w14:paraId="1446E63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Acquisition of businesses in accrued expenses and other liabilities</w:t>
            </w:r>
          </w:p>
        </w:tc>
        <w:tc>
          <w:tcPr>
            <w:tcW w:w="0" w:type="auto"/>
            <w:shd w:val="clear" w:color="auto" w:fill="auto"/>
            <w:tcMar>
              <w:top w:w="40" w:type="dxa"/>
              <w:left w:w="40" w:type="dxa"/>
              <w:bottom w:w="40" w:type="dxa"/>
            </w:tcMar>
            <w:vAlign w:val="bottom"/>
          </w:tcPr>
          <w:p w14:paraId="1446E63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63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148</w:t>
            </w:r>
          </w:p>
        </w:tc>
        <w:tc>
          <w:tcPr>
            <w:tcW w:w="0" w:type="auto"/>
            <w:shd w:val="clear" w:color="auto" w:fill="auto"/>
            <w:vAlign w:val="bottom"/>
          </w:tcPr>
          <w:p w14:paraId="1446E63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63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63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63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63F" w14:textId="77777777" w:rsidR="00FE42B5" w:rsidRDefault="00FE42B5">
            <w:pPr>
              <w:textAlignment w:val="bottom"/>
              <w:rPr>
                <w:rFonts w:ascii="Times New Roman" w:hAnsi="Times New Roman"/>
                <w:sz w:val="20"/>
                <w:szCs w:val="20"/>
              </w:rPr>
            </w:pPr>
          </w:p>
        </w:tc>
      </w:tr>
      <w:tr w:rsidR="00FE42B5" w14:paraId="1446E649" w14:textId="77777777">
        <w:trPr>
          <w:jc w:val="center"/>
        </w:trPr>
        <w:tc>
          <w:tcPr>
            <w:tcW w:w="0" w:type="auto"/>
            <w:shd w:val="clear" w:color="auto" w:fill="CCEEFF"/>
            <w:tcMar>
              <w:top w:w="40" w:type="dxa"/>
              <w:left w:w="1040" w:type="dxa"/>
              <w:bottom w:w="40" w:type="dxa"/>
              <w:right w:w="40" w:type="dxa"/>
            </w:tcMar>
          </w:tcPr>
          <w:p w14:paraId="1446E64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Property and equipment in accounts payable and accrued liabilities</w:t>
            </w:r>
          </w:p>
        </w:tc>
        <w:tc>
          <w:tcPr>
            <w:tcW w:w="0" w:type="auto"/>
            <w:shd w:val="clear" w:color="auto" w:fill="CCEEFF"/>
            <w:tcMar>
              <w:top w:w="40" w:type="dxa"/>
              <w:left w:w="40" w:type="dxa"/>
              <w:bottom w:w="40" w:type="dxa"/>
            </w:tcMar>
            <w:vAlign w:val="bottom"/>
          </w:tcPr>
          <w:p w14:paraId="1446E64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64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1,603</w:t>
            </w:r>
          </w:p>
        </w:tc>
        <w:tc>
          <w:tcPr>
            <w:tcW w:w="0" w:type="auto"/>
            <w:shd w:val="clear" w:color="auto" w:fill="CCEEFF"/>
            <w:vAlign w:val="bottom"/>
          </w:tcPr>
          <w:p w14:paraId="1446E644"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64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64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64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1,617</w:t>
            </w:r>
          </w:p>
        </w:tc>
        <w:tc>
          <w:tcPr>
            <w:tcW w:w="0" w:type="auto"/>
            <w:shd w:val="clear" w:color="auto" w:fill="CCEEFF"/>
            <w:vAlign w:val="bottom"/>
          </w:tcPr>
          <w:p w14:paraId="1446E648" w14:textId="77777777" w:rsidR="00FE42B5" w:rsidRDefault="00FE42B5">
            <w:pPr>
              <w:textAlignment w:val="bottom"/>
              <w:rPr>
                <w:rFonts w:ascii="Times New Roman" w:hAnsi="Times New Roman"/>
                <w:sz w:val="20"/>
                <w:szCs w:val="20"/>
              </w:rPr>
            </w:pPr>
          </w:p>
        </w:tc>
      </w:tr>
    </w:tbl>
    <w:p w14:paraId="1446E64A" w14:textId="77777777" w:rsidR="00FE42B5" w:rsidRDefault="00FE42B5">
      <w:pPr>
        <w:spacing w:line="288" w:lineRule="auto"/>
        <w:jc w:val="center"/>
        <w:rPr>
          <w:rFonts w:ascii="Times New Roman" w:hAnsi="Times New Roman"/>
          <w:sz w:val="18"/>
          <w:szCs w:val="18"/>
        </w:rPr>
      </w:pPr>
    </w:p>
    <w:p w14:paraId="1446E64B" w14:textId="77777777" w:rsidR="00FE42B5" w:rsidRDefault="009213DC">
      <w:pPr>
        <w:spacing w:line="288" w:lineRule="auto"/>
        <w:jc w:val="center"/>
        <w:rPr>
          <w:rFonts w:ascii="Times New Roman" w:hAnsi="Times New Roman"/>
          <w:sz w:val="18"/>
          <w:szCs w:val="18"/>
        </w:rPr>
      </w:pPr>
      <w:r>
        <w:rPr>
          <w:rFonts w:ascii="Times New Roman" w:eastAsia="宋体" w:hAnsi="Times New Roman"/>
          <w:i/>
          <w:iCs/>
          <w:sz w:val="18"/>
          <w:szCs w:val="18"/>
        </w:rPr>
        <w:t xml:space="preserve">See Accompanying Notes to Condensed Consolidated </w:t>
      </w:r>
      <w:r>
        <w:rPr>
          <w:rFonts w:ascii="Times New Roman" w:eastAsia="宋体" w:hAnsi="Times New Roman"/>
          <w:i/>
          <w:iCs/>
          <w:sz w:val="18"/>
          <w:szCs w:val="18"/>
        </w:rPr>
        <w:t>Financial Statements.</w:t>
      </w:r>
    </w:p>
    <w:p w14:paraId="1446E64C" w14:textId="77777777" w:rsidR="00FE42B5" w:rsidRDefault="00FE42B5">
      <w:pPr>
        <w:rPr>
          <w:rFonts w:ascii="Times New Roman" w:hAnsi="Times New Roman"/>
          <w:sz w:val="20"/>
          <w:szCs w:val="20"/>
        </w:rPr>
      </w:pPr>
    </w:p>
    <w:p w14:paraId="1446E64D"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12</w:t>
      </w:r>
    </w:p>
    <w:p w14:paraId="1446E64E" w14:textId="77777777" w:rsidR="00FE42B5" w:rsidRDefault="009213DC">
      <w:r>
        <w:rPr>
          <w:rFonts w:ascii="Times New Roman" w:hAnsi="Times New Roman"/>
          <w:sz w:val="20"/>
          <w:szCs w:val="20"/>
        </w:rPr>
        <w:pict w14:anchorId="1446FAC4">
          <v:rect id="_x0000_i1036" style="width:415.3pt;height:1.5pt" o:hralign="center" o:hrstd="t" o:hr="t" fillcolor="#a0a0a0" stroked="f"/>
        </w:pict>
      </w:r>
    </w:p>
    <w:p w14:paraId="1446E64F" w14:textId="77777777" w:rsidR="00FE42B5" w:rsidRDefault="009213DC">
      <w:pPr>
        <w:spacing w:line="288" w:lineRule="auto"/>
        <w:rPr>
          <w:rFonts w:ascii="Times New Roman" w:hAnsi="Times New Roman"/>
          <w:sz w:val="20"/>
          <w:szCs w:val="20"/>
        </w:rPr>
      </w:pPr>
      <w:hyperlink r:id="rId54" w:anchor="sBB4BED1571A45A16AF3DC2E3B69C901C" w:history="1">
        <w:r>
          <w:rPr>
            <w:rStyle w:val="a5"/>
            <w:rFonts w:ascii="Times New Roman" w:eastAsia="宋体" w:hAnsi="Times New Roman"/>
            <w:sz w:val="20"/>
            <w:szCs w:val="20"/>
          </w:rPr>
          <w:t>Table of Contents</w:t>
        </w:r>
      </w:hyperlink>
    </w:p>
    <w:p w14:paraId="1446E650" w14:textId="77777777" w:rsidR="00FE42B5" w:rsidRDefault="00FE42B5">
      <w:pPr>
        <w:rPr>
          <w:rFonts w:ascii="Times New Roman" w:hAnsi="Times New Roman"/>
          <w:sz w:val="20"/>
          <w:szCs w:val="20"/>
        </w:rPr>
      </w:pPr>
    </w:p>
    <w:p w14:paraId="1446E651"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1446E652"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NOTES TO CONDENSED CONSOLIDATED FINANCIAL</w:t>
      </w:r>
      <w:r>
        <w:rPr>
          <w:rFonts w:ascii="Times New Roman" w:eastAsia="宋体" w:hAnsi="Times New Roman"/>
          <w:b/>
          <w:bCs/>
          <w:sz w:val="20"/>
          <w:szCs w:val="20"/>
        </w:rPr>
        <w:t xml:space="preserve"> STATEMENTS</w:t>
      </w:r>
    </w:p>
    <w:p w14:paraId="1446E653" w14:textId="77777777" w:rsidR="00FE42B5" w:rsidRDefault="009213DC">
      <w:pPr>
        <w:spacing w:line="288" w:lineRule="auto"/>
        <w:jc w:val="center"/>
        <w:rPr>
          <w:rFonts w:ascii="Times New Roman" w:hAnsi="Times New Roman"/>
          <w:sz w:val="20"/>
          <w:szCs w:val="20"/>
        </w:rPr>
      </w:pPr>
      <w:r>
        <w:rPr>
          <w:rFonts w:ascii="Times New Roman" w:eastAsia="宋体" w:hAnsi="Times New Roman"/>
          <w:i/>
          <w:iCs/>
          <w:sz w:val="20"/>
          <w:szCs w:val="20"/>
        </w:rPr>
        <w:t>(Unaudited)</w:t>
      </w:r>
    </w:p>
    <w:p w14:paraId="1446E654"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Note 1. Summary of Significant Accounting Policies</w:t>
      </w:r>
    </w:p>
    <w:p w14:paraId="1446E655" w14:textId="77777777" w:rsidR="00FE42B5" w:rsidRDefault="00FE42B5">
      <w:pPr>
        <w:spacing w:line="288" w:lineRule="auto"/>
        <w:jc w:val="both"/>
        <w:rPr>
          <w:rFonts w:ascii="Times New Roman" w:hAnsi="Times New Roman"/>
          <w:sz w:val="20"/>
          <w:szCs w:val="20"/>
        </w:rPr>
      </w:pPr>
    </w:p>
    <w:p w14:paraId="1446E656"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Basis of Presentation</w:t>
      </w:r>
    </w:p>
    <w:p w14:paraId="1446E657" w14:textId="77777777" w:rsidR="00FE42B5" w:rsidRDefault="00FE42B5">
      <w:pPr>
        <w:spacing w:line="288" w:lineRule="auto"/>
        <w:ind w:firstLine="720"/>
        <w:jc w:val="both"/>
        <w:rPr>
          <w:rFonts w:ascii="Times New Roman" w:hAnsi="Times New Roman"/>
          <w:sz w:val="20"/>
          <w:szCs w:val="20"/>
        </w:rPr>
      </w:pPr>
    </w:p>
    <w:p w14:paraId="1446E65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accompanying unaudited condensed consolidated financial statements have been prepared in accordance with generally accepted accounting </w:t>
      </w:r>
      <w:r>
        <w:rPr>
          <w:rFonts w:ascii="Times New Roman" w:eastAsia="宋体" w:hAnsi="Times New Roman"/>
          <w:sz w:val="20"/>
          <w:szCs w:val="20"/>
        </w:rPr>
        <w:t>principles in the United States (GAAP) and applicable rules and regulations of the Securities and Exchange Commission (SEC) regarding interim financial reporting. Certain information and note disclosures normally included in the financial statements prepar</w:t>
      </w:r>
      <w:r>
        <w:rPr>
          <w:rFonts w:ascii="Times New Roman" w:eastAsia="宋体" w:hAnsi="Times New Roman"/>
          <w:sz w:val="20"/>
          <w:szCs w:val="20"/>
        </w:rPr>
        <w:t>ed in accordance with GAAP have been condensed or omitted pursuant to such rules and regulations. As such, the information included in this quarterly report on Form 10-Q should be read in conjunction with the consolidated financial statements and accompany</w:t>
      </w:r>
      <w:r>
        <w:rPr>
          <w:rFonts w:ascii="Times New Roman" w:eastAsia="宋体" w:hAnsi="Times New Roman"/>
          <w:sz w:val="20"/>
          <w:szCs w:val="20"/>
        </w:rPr>
        <w:t>ing notes included in our Annual Report on Form 10-K for the year ended December 31, 2019.</w:t>
      </w:r>
    </w:p>
    <w:p w14:paraId="1446E659" w14:textId="77777777" w:rsidR="00FE42B5" w:rsidRDefault="00FE42B5">
      <w:pPr>
        <w:spacing w:line="288" w:lineRule="auto"/>
        <w:ind w:firstLine="720"/>
        <w:jc w:val="both"/>
        <w:rPr>
          <w:rFonts w:ascii="Times New Roman" w:hAnsi="Times New Roman"/>
          <w:sz w:val="20"/>
          <w:szCs w:val="20"/>
        </w:rPr>
      </w:pPr>
    </w:p>
    <w:p w14:paraId="1446E65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condensed consolidated balance sheet as of December 31, 2019 included herein was derived from the audited financial statements as of that date, but does not inc</w:t>
      </w:r>
      <w:r>
        <w:rPr>
          <w:rFonts w:ascii="Times New Roman" w:eastAsia="宋体" w:hAnsi="Times New Roman"/>
          <w:sz w:val="20"/>
          <w:szCs w:val="20"/>
        </w:rPr>
        <w:t>lude all disclosures including notes required by GAAP.</w:t>
      </w:r>
    </w:p>
    <w:p w14:paraId="1446E65B" w14:textId="77777777" w:rsidR="00FE42B5" w:rsidRDefault="00FE42B5">
      <w:pPr>
        <w:spacing w:line="288" w:lineRule="auto"/>
        <w:ind w:firstLine="720"/>
        <w:jc w:val="both"/>
        <w:rPr>
          <w:rFonts w:ascii="Times New Roman" w:hAnsi="Times New Roman"/>
          <w:sz w:val="20"/>
          <w:szCs w:val="20"/>
        </w:rPr>
      </w:pPr>
    </w:p>
    <w:p w14:paraId="1446E65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condensed consolidated financial statements include the accounts of Facebook, Inc., subsidiaries where we have controlling financial interests, and any variable interest entities for which we are </w:t>
      </w:r>
      <w:r>
        <w:rPr>
          <w:rFonts w:ascii="Times New Roman" w:eastAsia="宋体" w:hAnsi="Times New Roman"/>
          <w:sz w:val="20"/>
          <w:szCs w:val="20"/>
        </w:rPr>
        <w:t>deemed to be the primary beneficiary. All intercompany balances and transactions have been eliminated.</w:t>
      </w:r>
    </w:p>
    <w:p w14:paraId="1446E65D" w14:textId="77777777" w:rsidR="00FE42B5" w:rsidRDefault="00FE42B5">
      <w:pPr>
        <w:spacing w:line="288" w:lineRule="auto"/>
        <w:ind w:firstLine="720"/>
        <w:jc w:val="both"/>
        <w:rPr>
          <w:rFonts w:ascii="Times New Roman" w:hAnsi="Times New Roman"/>
          <w:sz w:val="20"/>
          <w:szCs w:val="20"/>
        </w:rPr>
      </w:pPr>
    </w:p>
    <w:p w14:paraId="1446E65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accompanying condensed consolidated financial statements reflect all normal recurring adjustments that are necessary to present fairly the results f</w:t>
      </w:r>
      <w:r>
        <w:rPr>
          <w:rFonts w:ascii="Times New Roman" w:eastAsia="宋体" w:hAnsi="Times New Roman"/>
          <w:sz w:val="20"/>
          <w:szCs w:val="20"/>
        </w:rPr>
        <w:t>or the interim periods presented. Interim results are not necessarily indicative of the results for the full year ending December 31, 2020.</w:t>
      </w:r>
    </w:p>
    <w:p w14:paraId="1446E65F" w14:textId="77777777" w:rsidR="00FE42B5" w:rsidRDefault="00FE42B5">
      <w:pPr>
        <w:spacing w:line="288" w:lineRule="auto"/>
        <w:ind w:firstLine="720"/>
        <w:jc w:val="both"/>
        <w:rPr>
          <w:rFonts w:ascii="Times New Roman" w:hAnsi="Times New Roman"/>
          <w:sz w:val="20"/>
          <w:szCs w:val="20"/>
        </w:rPr>
      </w:pPr>
    </w:p>
    <w:p w14:paraId="1446E660"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Reclassifications</w:t>
      </w:r>
    </w:p>
    <w:p w14:paraId="1446E661" w14:textId="77777777" w:rsidR="00FE42B5" w:rsidRDefault="00FE42B5">
      <w:pPr>
        <w:spacing w:line="288" w:lineRule="auto"/>
        <w:jc w:val="both"/>
        <w:rPr>
          <w:rFonts w:ascii="Times New Roman" w:hAnsi="Times New Roman"/>
          <w:sz w:val="20"/>
          <w:szCs w:val="20"/>
        </w:rPr>
      </w:pPr>
    </w:p>
    <w:p w14:paraId="1446E66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Certain prior year amounts on the condensed consolidated statements of cash flow have been recla</w:t>
      </w:r>
      <w:r>
        <w:rPr>
          <w:rFonts w:ascii="Times New Roman" w:eastAsia="宋体" w:hAnsi="Times New Roman"/>
          <w:sz w:val="20"/>
          <w:szCs w:val="20"/>
        </w:rPr>
        <w:t>ssified to conform to the current year presentation. A reclassification was made to net the changes in operating lease right-of use assets with operating lease liabilities. This net change was not material and was included within the changes in other liabi</w:t>
      </w:r>
      <w:r>
        <w:rPr>
          <w:rFonts w:ascii="Times New Roman" w:eastAsia="宋体" w:hAnsi="Times New Roman"/>
          <w:sz w:val="20"/>
          <w:szCs w:val="20"/>
        </w:rPr>
        <w:t>lities in cash flows from operating activities on the condensed consolidated statement of cash flow for the three months ended March 31, 2019. This change does not affect previously reported cash flows from operating activities in the condensed consolidate</w:t>
      </w:r>
      <w:r>
        <w:rPr>
          <w:rFonts w:ascii="Times New Roman" w:eastAsia="宋体" w:hAnsi="Times New Roman"/>
          <w:sz w:val="20"/>
          <w:szCs w:val="20"/>
        </w:rPr>
        <w:t xml:space="preserve">d statements of cash flows. This reclassification had no effect on our other condensed consolidated financial statements for the periods ended March 31, 2020 and 2019. </w:t>
      </w:r>
    </w:p>
    <w:p w14:paraId="1446E663" w14:textId="77777777" w:rsidR="00FE42B5" w:rsidRDefault="00FE42B5">
      <w:pPr>
        <w:spacing w:line="288" w:lineRule="auto"/>
        <w:ind w:firstLine="720"/>
        <w:jc w:val="both"/>
        <w:rPr>
          <w:rFonts w:ascii="Times New Roman" w:hAnsi="Times New Roman"/>
          <w:sz w:val="20"/>
          <w:szCs w:val="20"/>
        </w:rPr>
      </w:pPr>
    </w:p>
    <w:p w14:paraId="1446E664"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Use of Estimates</w:t>
      </w:r>
    </w:p>
    <w:p w14:paraId="1446E665" w14:textId="77777777" w:rsidR="00FE42B5" w:rsidRDefault="00FE42B5">
      <w:pPr>
        <w:spacing w:line="288" w:lineRule="auto"/>
        <w:jc w:val="both"/>
        <w:rPr>
          <w:rFonts w:ascii="Times New Roman" w:hAnsi="Times New Roman"/>
          <w:sz w:val="20"/>
          <w:szCs w:val="20"/>
        </w:rPr>
      </w:pPr>
    </w:p>
    <w:p w14:paraId="1446E66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Conformity with GAAP requires the use of estimates and </w:t>
      </w:r>
      <w:r>
        <w:rPr>
          <w:rFonts w:ascii="Times New Roman" w:eastAsia="宋体" w:hAnsi="Times New Roman"/>
          <w:sz w:val="20"/>
          <w:szCs w:val="20"/>
        </w:rPr>
        <w:t>judgments that affect the reported amounts in the consolidated financial statements and accompanying notes. These estimates form the basis for judgments we make about the carrying values of our assets and liabilities, which are not readily apparent from ot</w:t>
      </w:r>
      <w:r>
        <w:rPr>
          <w:rFonts w:ascii="Times New Roman" w:eastAsia="宋体" w:hAnsi="Times New Roman"/>
          <w:sz w:val="20"/>
          <w:szCs w:val="20"/>
        </w:rPr>
        <w:t>her sources. We base our estimates and judgments on historical information and on various other assumptions that we believe are reasonable under the circumstances. GAAP requires us to make estimates and judgments in several areas, including, but not limite</w:t>
      </w:r>
      <w:r>
        <w:rPr>
          <w:rFonts w:ascii="Times New Roman" w:eastAsia="宋体" w:hAnsi="Times New Roman"/>
          <w:sz w:val="20"/>
          <w:szCs w:val="20"/>
        </w:rPr>
        <w:t>d to, those related to income taxes, loss contingencies, fair value of acquired intangible assets and goodwill, collectibility of accounts receivable, fair value of financial instruments, credit losses of available-for-sale (AFS) debt securities, leases, u</w:t>
      </w:r>
      <w:r>
        <w:rPr>
          <w:rFonts w:ascii="Times New Roman" w:eastAsia="宋体" w:hAnsi="Times New Roman"/>
          <w:sz w:val="20"/>
          <w:szCs w:val="20"/>
        </w:rPr>
        <w:t>seful lives of intangible assets and property and equipment, and revenue recognition. These estimates are based on management's knowledge about current events and expectations about actions we may undertake in the future. Actual results could differ materi</w:t>
      </w:r>
      <w:r>
        <w:rPr>
          <w:rFonts w:ascii="Times New Roman" w:eastAsia="宋体" w:hAnsi="Times New Roman"/>
          <w:sz w:val="20"/>
          <w:szCs w:val="20"/>
        </w:rPr>
        <w:t>ally from those estimates.</w:t>
      </w:r>
    </w:p>
    <w:p w14:paraId="1446E667" w14:textId="77777777" w:rsidR="00FE42B5" w:rsidRDefault="00FE42B5">
      <w:pPr>
        <w:spacing w:line="288" w:lineRule="auto"/>
        <w:ind w:firstLine="720"/>
        <w:jc w:val="both"/>
        <w:rPr>
          <w:rFonts w:ascii="Times New Roman" w:hAnsi="Times New Roman"/>
          <w:sz w:val="20"/>
          <w:szCs w:val="20"/>
        </w:rPr>
      </w:pPr>
    </w:p>
    <w:p w14:paraId="1446E66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COVID-19 pandemic has created and may continue to create significant uncertainty in macroeconomic conditions, which </w:t>
      </w:r>
      <w:r>
        <w:rPr>
          <w:rFonts w:ascii="Times New Roman" w:eastAsia="宋体" w:hAnsi="Times New Roman"/>
          <w:color w:val="181717"/>
          <w:sz w:val="20"/>
          <w:szCs w:val="20"/>
        </w:rPr>
        <w:t>may cause further business slowdowns or shutdowns, depress demand for our advertising business, and adversel</w:t>
      </w:r>
      <w:r>
        <w:rPr>
          <w:rFonts w:ascii="Times New Roman" w:eastAsia="宋体" w:hAnsi="Times New Roman"/>
          <w:color w:val="181717"/>
          <w:sz w:val="20"/>
          <w:szCs w:val="20"/>
        </w:rPr>
        <w:t>y impact our results of operations.</w:t>
      </w:r>
      <w:r>
        <w:rPr>
          <w:rFonts w:ascii="Times New Roman" w:eastAsia="宋体" w:hAnsi="Times New Roman"/>
          <w:sz w:val="20"/>
          <w:szCs w:val="20"/>
        </w:rPr>
        <w:t xml:space="preserve"> During the three months ended March 31, 2020, we faced increasing uncertainties around our estimates of revenue collectibility and accounts receivable credit losses. We expect uncertainties around our key accounting esti</w:t>
      </w:r>
      <w:r>
        <w:rPr>
          <w:rFonts w:ascii="Times New Roman" w:eastAsia="宋体" w:hAnsi="Times New Roman"/>
          <w:sz w:val="20"/>
          <w:szCs w:val="20"/>
        </w:rPr>
        <w:t>mates to continue to evolve depending on the duration and degree of impact associated with the COVID-19 pandemic</w:t>
      </w:r>
      <w:r>
        <w:rPr>
          <w:rFonts w:ascii="Times New Roman" w:eastAsia="宋体" w:hAnsi="Times New Roman"/>
          <w:color w:val="181717"/>
          <w:sz w:val="20"/>
          <w:szCs w:val="20"/>
        </w:rPr>
        <w:t>. Our estimates may change as new events occur and additional information emerges, and such changes are recognized or disclosed in our consolida</w:t>
      </w:r>
      <w:r>
        <w:rPr>
          <w:rFonts w:ascii="Times New Roman" w:eastAsia="宋体" w:hAnsi="Times New Roman"/>
          <w:color w:val="181717"/>
          <w:sz w:val="20"/>
          <w:szCs w:val="20"/>
        </w:rPr>
        <w:t xml:space="preserve">ted financial statements. </w:t>
      </w:r>
    </w:p>
    <w:p w14:paraId="1446E669" w14:textId="77777777" w:rsidR="00FE42B5" w:rsidRDefault="00FE42B5">
      <w:pPr>
        <w:rPr>
          <w:rFonts w:ascii="Times New Roman" w:hAnsi="Times New Roman"/>
          <w:sz w:val="20"/>
          <w:szCs w:val="20"/>
        </w:rPr>
      </w:pPr>
    </w:p>
    <w:p w14:paraId="1446E66A"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13</w:t>
      </w:r>
    </w:p>
    <w:p w14:paraId="1446E66B" w14:textId="77777777" w:rsidR="00FE42B5" w:rsidRDefault="009213DC">
      <w:r>
        <w:rPr>
          <w:rFonts w:ascii="Times New Roman" w:hAnsi="Times New Roman"/>
          <w:sz w:val="20"/>
          <w:szCs w:val="20"/>
        </w:rPr>
        <w:pict w14:anchorId="1446FAC5">
          <v:rect id="_x0000_i1037" style="width:415.3pt;height:1.5pt" o:hralign="center" o:hrstd="t" o:hr="t" fillcolor="#a0a0a0" stroked="f"/>
        </w:pict>
      </w:r>
    </w:p>
    <w:p w14:paraId="1446E66C" w14:textId="77777777" w:rsidR="00FE42B5" w:rsidRDefault="009213DC">
      <w:pPr>
        <w:spacing w:line="288" w:lineRule="auto"/>
        <w:rPr>
          <w:rFonts w:ascii="Times New Roman" w:hAnsi="Times New Roman"/>
          <w:sz w:val="20"/>
          <w:szCs w:val="20"/>
        </w:rPr>
      </w:pPr>
      <w:hyperlink r:id="rId55" w:anchor="sBB4BED1571A45A16AF3DC2E3B69C901C" w:history="1">
        <w:r>
          <w:rPr>
            <w:rStyle w:val="a5"/>
            <w:rFonts w:ascii="Times New Roman" w:eastAsia="宋体" w:hAnsi="Times New Roman"/>
            <w:sz w:val="20"/>
            <w:szCs w:val="20"/>
          </w:rPr>
          <w:t>Table of Contents</w:t>
        </w:r>
      </w:hyperlink>
    </w:p>
    <w:p w14:paraId="1446E66D" w14:textId="77777777" w:rsidR="00FE42B5" w:rsidRDefault="00FE42B5">
      <w:pPr>
        <w:rPr>
          <w:rFonts w:ascii="Times New Roman" w:hAnsi="Times New Roman"/>
          <w:sz w:val="20"/>
          <w:szCs w:val="20"/>
        </w:rPr>
      </w:pPr>
    </w:p>
    <w:p w14:paraId="1446E66E" w14:textId="77777777" w:rsidR="00FE42B5" w:rsidRDefault="00FE42B5">
      <w:pPr>
        <w:spacing w:line="288" w:lineRule="auto"/>
        <w:jc w:val="both"/>
        <w:rPr>
          <w:rFonts w:ascii="Times New Roman" w:hAnsi="Times New Roman"/>
          <w:sz w:val="20"/>
          <w:szCs w:val="20"/>
        </w:rPr>
      </w:pPr>
    </w:p>
    <w:p w14:paraId="1446E66F"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Recently Adopted Accounting </w:t>
      </w:r>
      <w:r>
        <w:rPr>
          <w:rFonts w:ascii="Times New Roman" w:eastAsia="宋体" w:hAnsi="Times New Roman"/>
          <w:b/>
          <w:bCs/>
          <w:i/>
          <w:iCs/>
          <w:sz w:val="20"/>
          <w:szCs w:val="20"/>
        </w:rPr>
        <w:t>Pronouncements</w:t>
      </w:r>
    </w:p>
    <w:p w14:paraId="1446E670" w14:textId="77777777" w:rsidR="00FE42B5" w:rsidRDefault="00FE42B5">
      <w:pPr>
        <w:spacing w:line="288" w:lineRule="auto"/>
        <w:jc w:val="both"/>
        <w:rPr>
          <w:rFonts w:ascii="Times New Roman" w:hAnsi="Times New Roman"/>
          <w:sz w:val="20"/>
          <w:szCs w:val="20"/>
        </w:rPr>
      </w:pPr>
    </w:p>
    <w:p w14:paraId="1446E67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Fair Value Measurements</w:t>
      </w:r>
    </w:p>
    <w:p w14:paraId="1446E672" w14:textId="77777777" w:rsidR="00FE42B5" w:rsidRDefault="00FE42B5">
      <w:pPr>
        <w:spacing w:line="288" w:lineRule="auto"/>
        <w:ind w:firstLine="720"/>
        <w:jc w:val="both"/>
        <w:rPr>
          <w:rFonts w:ascii="Times New Roman" w:hAnsi="Times New Roman"/>
          <w:sz w:val="20"/>
          <w:szCs w:val="20"/>
        </w:rPr>
      </w:pPr>
    </w:p>
    <w:p w14:paraId="1446E67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On January 1, 2020, we adopted Accounting Standards Update No. 2018-13, </w:t>
      </w:r>
      <w:r>
        <w:rPr>
          <w:rFonts w:ascii="Times New Roman" w:eastAsia="宋体" w:hAnsi="Times New Roman"/>
          <w:i/>
          <w:iCs/>
          <w:sz w:val="20"/>
          <w:szCs w:val="20"/>
        </w:rPr>
        <w:t>Changes to Disclosure Requirements for Fair Value Measurements (Topic 820)</w:t>
      </w:r>
      <w:r>
        <w:rPr>
          <w:rFonts w:ascii="Times New Roman" w:eastAsia="宋体" w:hAnsi="Times New Roman"/>
          <w:sz w:val="20"/>
          <w:szCs w:val="20"/>
        </w:rPr>
        <w:t>, which improved the effectiveness of disclosure requirements for rec</w:t>
      </w:r>
      <w:r>
        <w:rPr>
          <w:rFonts w:ascii="Times New Roman" w:eastAsia="宋体" w:hAnsi="Times New Roman"/>
          <w:sz w:val="20"/>
          <w:szCs w:val="20"/>
        </w:rPr>
        <w:t>urring and nonrecurring fair value measurements. The standard removes, modifies, and adds certain disclosure requirements. The adoption of this new standard did not have a material impact on our condensed consolidated financial statements.</w:t>
      </w:r>
    </w:p>
    <w:p w14:paraId="1446E674" w14:textId="77777777" w:rsidR="00FE42B5" w:rsidRDefault="00FE42B5">
      <w:pPr>
        <w:spacing w:line="288" w:lineRule="auto"/>
        <w:ind w:firstLine="720"/>
        <w:jc w:val="both"/>
        <w:rPr>
          <w:rFonts w:ascii="Times New Roman" w:hAnsi="Times New Roman"/>
          <w:sz w:val="20"/>
          <w:szCs w:val="20"/>
        </w:rPr>
      </w:pPr>
    </w:p>
    <w:p w14:paraId="1446E675"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Credit Losses</w:t>
      </w:r>
    </w:p>
    <w:p w14:paraId="1446E676" w14:textId="77777777" w:rsidR="00FE42B5" w:rsidRDefault="00FE42B5">
      <w:pPr>
        <w:spacing w:line="288" w:lineRule="auto"/>
        <w:ind w:firstLine="720"/>
        <w:jc w:val="both"/>
        <w:rPr>
          <w:rFonts w:ascii="Times New Roman" w:hAnsi="Times New Roman"/>
          <w:sz w:val="20"/>
          <w:szCs w:val="20"/>
        </w:rPr>
      </w:pPr>
    </w:p>
    <w:p w14:paraId="1446E67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January 1, 2020, we adopted Accounting Standards Update No. 2016-13, </w:t>
      </w:r>
      <w:r>
        <w:rPr>
          <w:rFonts w:ascii="Times New Roman" w:eastAsia="宋体" w:hAnsi="Times New Roman"/>
          <w:i/>
          <w:iCs/>
          <w:sz w:val="20"/>
          <w:szCs w:val="20"/>
        </w:rPr>
        <w:t>Financial Instruments-Credit Losses (Topic 326): Measurement of Credit Losses on Financial Instruments</w:t>
      </w:r>
      <w:r>
        <w:rPr>
          <w:rFonts w:ascii="Times New Roman" w:eastAsia="宋体" w:hAnsi="Times New Roman"/>
          <w:sz w:val="20"/>
          <w:szCs w:val="20"/>
        </w:rPr>
        <w:t>, using the modified retrospective transition method. Upon adoption, we changed ou</w:t>
      </w:r>
      <w:r>
        <w:rPr>
          <w:rFonts w:ascii="Times New Roman" w:eastAsia="宋体" w:hAnsi="Times New Roman"/>
          <w:sz w:val="20"/>
          <w:szCs w:val="20"/>
        </w:rPr>
        <w:t>r impairment model to utilize a forward-looking current expected credit losses (CECL) model in place of the incurred loss methodology for financial instruments measured at amortized cost, including our accounts receivable. In addition, we modified our impa</w:t>
      </w:r>
      <w:r>
        <w:rPr>
          <w:rFonts w:ascii="Times New Roman" w:eastAsia="宋体" w:hAnsi="Times New Roman"/>
          <w:sz w:val="20"/>
          <w:szCs w:val="20"/>
        </w:rPr>
        <w:t>irment model to the CECL model for AFS debt securities and discontinued using the concept of "other than temporary" impairment on AFS debt securities. CECL estimates on accounts receivable are</w:t>
      </w:r>
      <w:r>
        <w:rPr>
          <w:rFonts w:ascii="Times New Roman" w:eastAsia="宋体" w:hAnsi="Times New Roman"/>
          <w:color w:val="212529"/>
          <w:sz w:val="20"/>
          <w:szCs w:val="20"/>
        </w:rPr>
        <w:t xml:space="preserve"> recorded as general and administrative expenses on our condense</w:t>
      </w:r>
      <w:r>
        <w:rPr>
          <w:rFonts w:ascii="Times New Roman" w:eastAsia="宋体" w:hAnsi="Times New Roman"/>
          <w:color w:val="212529"/>
          <w:sz w:val="20"/>
          <w:szCs w:val="20"/>
        </w:rPr>
        <w:t xml:space="preserve">d consolidated statements of income. </w:t>
      </w:r>
      <w:r>
        <w:rPr>
          <w:rFonts w:ascii="Times New Roman" w:eastAsia="宋体" w:hAnsi="Times New Roman"/>
          <w:sz w:val="20"/>
          <w:szCs w:val="20"/>
        </w:rPr>
        <w:t>CECL estimates on AFS debt securities are recognized in interest and other income (expense), net on our condensed consolidated statements of income. The cumulative effect adjustment from adoption was immaterial to our c</w:t>
      </w:r>
      <w:r>
        <w:rPr>
          <w:rFonts w:ascii="Times New Roman" w:eastAsia="宋体" w:hAnsi="Times New Roman"/>
          <w:sz w:val="20"/>
          <w:szCs w:val="20"/>
        </w:rPr>
        <w:t>ondensed consolidated financial statements.</w:t>
      </w:r>
    </w:p>
    <w:p w14:paraId="1446E678" w14:textId="77777777" w:rsidR="00FE42B5" w:rsidRDefault="00FE42B5">
      <w:pPr>
        <w:spacing w:line="288" w:lineRule="auto"/>
        <w:ind w:firstLine="720"/>
        <w:jc w:val="both"/>
        <w:rPr>
          <w:rFonts w:ascii="Times New Roman" w:hAnsi="Times New Roman"/>
          <w:sz w:val="20"/>
          <w:szCs w:val="20"/>
        </w:rPr>
      </w:pPr>
    </w:p>
    <w:p w14:paraId="1446E679"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Significant Accounting Policies</w:t>
      </w:r>
    </w:p>
    <w:p w14:paraId="1446E67A" w14:textId="77777777" w:rsidR="00FE42B5" w:rsidRDefault="00FE42B5">
      <w:pPr>
        <w:spacing w:line="288" w:lineRule="auto"/>
        <w:ind w:firstLine="720"/>
        <w:rPr>
          <w:rFonts w:ascii="Times New Roman" w:hAnsi="Times New Roman"/>
          <w:sz w:val="20"/>
          <w:szCs w:val="20"/>
        </w:rPr>
      </w:pPr>
    </w:p>
    <w:p w14:paraId="1446E67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There have been no material changes to our significant accounting policies from our Annual Report on Form 10-K for the fiscal year ended December 31, 2019, except for the policie</w:t>
      </w:r>
      <w:r>
        <w:rPr>
          <w:rFonts w:ascii="Times New Roman" w:eastAsia="宋体" w:hAnsi="Times New Roman"/>
          <w:sz w:val="20"/>
          <w:szCs w:val="20"/>
        </w:rPr>
        <w:t>s noted below which changed as a result of the adoption of Topic 326.</w:t>
      </w:r>
    </w:p>
    <w:p w14:paraId="1446E67C" w14:textId="77777777" w:rsidR="00FE42B5" w:rsidRDefault="00FE42B5">
      <w:pPr>
        <w:spacing w:line="288" w:lineRule="auto"/>
        <w:ind w:firstLine="720"/>
        <w:jc w:val="both"/>
        <w:rPr>
          <w:rFonts w:ascii="Times New Roman" w:hAnsi="Times New Roman"/>
          <w:sz w:val="20"/>
          <w:szCs w:val="20"/>
        </w:rPr>
      </w:pPr>
    </w:p>
    <w:p w14:paraId="1446E67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Cash and Cash Equivalents, Marketable Securities, and Restricted Cash</w:t>
      </w:r>
    </w:p>
    <w:p w14:paraId="1446E67E" w14:textId="77777777" w:rsidR="00FE42B5" w:rsidRDefault="00FE42B5">
      <w:pPr>
        <w:spacing w:line="288" w:lineRule="auto"/>
        <w:rPr>
          <w:rFonts w:ascii="Times New Roman" w:hAnsi="Times New Roman"/>
          <w:sz w:val="20"/>
          <w:szCs w:val="20"/>
        </w:rPr>
      </w:pPr>
    </w:p>
    <w:p w14:paraId="1446E67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Cash and cash equivalents consist of cash on deposit with banks and highly liquid investments with maturities of 9</w:t>
      </w:r>
      <w:r>
        <w:rPr>
          <w:rFonts w:ascii="Times New Roman" w:eastAsia="宋体" w:hAnsi="Times New Roman"/>
          <w:sz w:val="20"/>
          <w:szCs w:val="20"/>
        </w:rPr>
        <w:t>0 days or less from the date of purchase.</w:t>
      </w:r>
    </w:p>
    <w:p w14:paraId="1446E680" w14:textId="77777777" w:rsidR="00FE42B5" w:rsidRDefault="00FE42B5">
      <w:pPr>
        <w:spacing w:line="288" w:lineRule="auto"/>
        <w:rPr>
          <w:rFonts w:ascii="Times New Roman" w:hAnsi="Times New Roman"/>
          <w:sz w:val="20"/>
          <w:szCs w:val="20"/>
        </w:rPr>
      </w:pPr>
    </w:p>
    <w:p w14:paraId="1446E68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hold investments in marketable securities, consisting of U.S. government securities, U.S. government agency securities, and investment grade corporate debt securities. We classify our marketable securities as A</w:t>
      </w:r>
      <w:r>
        <w:rPr>
          <w:rFonts w:ascii="Times New Roman" w:eastAsia="宋体" w:hAnsi="Times New Roman"/>
          <w:sz w:val="20"/>
          <w:szCs w:val="20"/>
        </w:rPr>
        <w:t>FS investments in our current assets because they represent investments of cash available for current operations. Our AFS investments are carried at estimated fair value with any unrealized gains and losses, net of taxes, included in accumulated other comp</w:t>
      </w:r>
      <w:r>
        <w:rPr>
          <w:rFonts w:ascii="Times New Roman" w:eastAsia="宋体" w:hAnsi="Times New Roman"/>
          <w:sz w:val="20"/>
          <w:szCs w:val="20"/>
        </w:rPr>
        <w:t>rehensive income (loss) in stockholders' equity. AFS debt securities with an amortized cost basis in excess of estimated fair value are assessed to determine what amount of that difference, if any, is caused by expected credit losses. Expected credit losse</w:t>
      </w:r>
      <w:r>
        <w:rPr>
          <w:rFonts w:ascii="Times New Roman" w:eastAsia="宋体" w:hAnsi="Times New Roman"/>
          <w:sz w:val="20"/>
          <w:szCs w:val="20"/>
        </w:rPr>
        <w:t>s on AFS debt securities are recognized in interest and other income (expense), net on our condensed consolidated statements of income, and any remaining unrealized losses, net of taxes, are included in accumulated other comprehensive loss in stockholders'</w:t>
      </w:r>
      <w:r>
        <w:rPr>
          <w:rFonts w:ascii="Times New Roman" w:eastAsia="宋体" w:hAnsi="Times New Roman"/>
          <w:sz w:val="20"/>
          <w:szCs w:val="20"/>
        </w:rPr>
        <w:t xml:space="preserve"> equity. The amount of credit losses recorded for the three months ended March 31, 2020 was not material. We have not recorded any impairment charge for unrealized losses in the periods </w:t>
      </w:r>
      <w:r>
        <w:rPr>
          <w:rFonts w:ascii="Times New Roman" w:eastAsia="宋体" w:hAnsi="Times New Roman"/>
          <w:color w:val="212529"/>
          <w:sz w:val="20"/>
          <w:szCs w:val="20"/>
        </w:rPr>
        <w:t xml:space="preserve">presented. We determine realized gains or losses on sale of </w:t>
      </w:r>
      <w:r>
        <w:rPr>
          <w:rFonts w:ascii="Times New Roman" w:eastAsia="宋体" w:hAnsi="Times New Roman"/>
          <w:color w:val="212529"/>
          <w:sz w:val="20"/>
          <w:szCs w:val="20"/>
        </w:rPr>
        <w:t>marketable securities on a specific identification method, and record such gains or losses as interest and other income (expense), net.</w:t>
      </w:r>
    </w:p>
    <w:p w14:paraId="1446E682" w14:textId="77777777" w:rsidR="00FE42B5" w:rsidRDefault="00FE42B5">
      <w:pPr>
        <w:spacing w:line="288" w:lineRule="auto"/>
        <w:rPr>
          <w:rFonts w:ascii="Times New Roman" w:hAnsi="Times New Roman"/>
          <w:sz w:val="20"/>
          <w:szCs w:val="20"/>
        </w:rPr>
      </w:pPr>
    </w:p>
    <w:p w14:paraId="1446E68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b/>
          <w:bCs/>
          <w:i/>
          <w:iCs/>
          <w:color w:val="212529"/>
          <w:sz w:val="20"/>
          <w:szCs w:val="20"/>
        </w:rPr>
        <w:t>Accounts Receivable and Allowances</w:t>
      </w:r>
    </w:p>
    <w:p w14:paraId="1446E684" w14:textId="77777777" w:rsidR="00FE42B5" w:rsidRDefault="00FE42B5">
      <w:pPr>
        <w:spacing w:line="288" w:lineRule="auto"/>
        <w:rPr>
          <w:rFonts w:ascii="Times New Roman" w:hAnsi="Times New Roman"/>
          <w:sz w:val="20"/>
          <w:szCs w:val="20"/>
        </w:rPr>
      </w:pPr>
    </w:p>
    <w:p w14:paraId="1446E685"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Accounts receivable are recorded and carried at the original invoiced amount less a</w:t>
      </w:r>
      <w:r>
        <w:rPr>
          <w:rFonts w:ascii="Times New Roman" w:eastAsia="宋体" w:hAnsi="Times New Roman"/>
          <w:color w:val="212529"/>
          <w:sz w:val="20"/>
          <w:szCs w:val="20"/>
        </w:rPr>
        <w:t>n allowance for any potential uncollectible amounts. We make estimates of expected credit losses for the allowance for doubtful accounts and allowance for unbilled receivables based upon our assessment of various factors, including historical experience, t</w:t>
      </w:r>
      <w:r>
        <w:rPr>
          <w:rFonts w:ascii="Times New Roman" w:eastAsia="宋体" w:hAnsi="Times New Roman"/>
          <w:color w:val="212529"/>
          <w:sz w:val="20"/>
          <w:szCs w:val="20"/>
        </w:rPr>
        <w:t>he age of the accounts receivable balances, credit quality of our customers, current economic conditions, reasonable and supportable forecasts of future economic conditions, and other factors that may affect our ability to collect from customers. The estim</w:t>
      </w:r>
      <w:r>
        <w:rPr>
          <w:rFonts w:ascii="Times New Roman" w:eastAsia="宋体" w:hAnsi="Times New Roman"/>
          <w:color w:val="212529"/>
          <w:sz w:val="20"/>
          <w:szCs w:val="20"/>
        </w:rPr>
        <w:t xml:space="preserve">ated credit loss allowance is recorded as general and administrative expenses on our condensed consolidated statements of income. As of </w:t>
      </w:r>
      <w:r>
        <w:rPr>
          <w:rFonts w:ascii="Times New Roman" w:eastAsia="宋体" w:hAnsi="Times New Roman"/>
          <w:sz w:val="20"/>
          <w:szCs w:val="20"/>
        </w:rPr>
        <w:t>March 31, 2020</w:t>
      </w:r>
      <w:r>
        <w:rPr>
          <w:rFonts w:ascii="Times New Roman" w:eastAsia="宋体" w:hAnsi="Times New Roman"/>
          <w:color w:val="212529"/>
          <w:sz w:val="20"/>
          <w:szCs w:val="20"/>
        </w:rPr>
        <w:t xml:space="preserve">, we reported </w:t>
      </w:r>
      <w:r>
        <w:rPr>
          <w:rFonts w:ascii="Times New Roman" w:eastAsia="宋体" w:hAnsi="Times New Roman"/>
          <w:sz w:val="20"/>
          <w:szCs w:val="20"/>
        </w:rPr>
        <w:t>$7.29 billion</w:t>
      </w:r>
      <w:r>
        <w:rPr>
          <w:rFonts w:ascii="Times New Roman" w:eastAsia="宋体" w:hAnsi="Times New Roman"/>
          <w:color w:val="212529"/>
          <w:sz w:val="20"/>
          <w:szCs w:val="20"/>
        </w:rPr>
        <w:t xml:space="preserve"> of accounts receivable, net of an allowance of $370 million.</w:t>
      </w:r>
    </w:p>
    <w:p w14:paraId="1446E686" w14:textId="77777777" w:rsidR="00FE42B5" w:rsidRDefault="00FE42B5">
      <w:pPr>
        <w:spacing w:line="288" w:lineRule="auto"/>
        <w:rPr>
          <w:rFonts w:ascii="Times New Roman" w:hAnsi="Times New Roman"/>
          <w:sz w:val="20"/>
          <w:szCs w:val="20"/>
        </w:rPr>
      </w:pPr>
    </w:p>
    <w:p w14:paraId="1446E687" w14:textId="77777777" w:rsidR="00FE42B5" w:rsidRDefault="00FE42B5">
      <w:pPr>
        <w:rPr>
          <w:rFonts w:ascii="Times New Roman" w:hAnsi="Times New Roman"/>
          <w:sz w:val="20"/>
          <w:szCs w:val="20"/>
        </w:rPr>
      </w:pPr>
    </w:p>
    <w:p w14:paraId="1446E688"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14</w:t>
      </w:r>
    </w:p>
    <w:p w14:paraId="1446E689" w14:textId="77777777" w:rsidR="00FE42B5" w:rsidRDefault="009213DC">
      <w:r>
        <w:rPr>
          <w:rFonts w:ascii="Times New Roman" w:hAnsi="Times New Roman"/>
          <w:sz w:val="20"/>
          <w:szCs w:val="20"/>
        </w:rPr>
        <w:pict w14:anchorId="1446FAC6">
          <v:rect id="_x0000_i1038" style="width:415.3pt;height:1.5pt" o:hralign="center" o:hrstd="t" o:hr="t" fillcolor="#a0a0a0" stroked="f"/>
        </w:pict>
      </w:r>
    </w:p>
    <w:p w14:paraId="1446E68A" w14:textId="77777777" w:rsidR="00FE42B5" w:rsidRDefault="009213DC">
      <w:pPr>
        <w:spacing w:line="288" w:lineRule="auto"/>
        <w:rPr>
          <w:rFonts w:ascii="Times New Roman" w:hAnsi="Times New Roman"/>
          <w:sz w:val="20"/>
          <w:szCs w:val="20"/>
        </w:rPr>
      </w:pPr>
      <w:hyperlink r:id="rId56" w:anchor="sBB4BED1571A45A16AF3DC2E3B69C901C" w:history="1">
        <w:r>
          <w:rPr>
            <w:rStyle w:val="a5"/>
            <w:rFonts w:ascii="Times New Roman" w:eastAsia="宋体" w:hAnsi="Times New Roman"/>
            <w:sz w:val="20"/>
            <w:szCs w:val="20"/>
          </w:rPr>
          <w:t>Table of Contents</w:t>
        </w:r>
      </w:hyperlink>
    </w:p>
    <w:p w14:paraId="1446E68B" w14:textId="77777777" w:rsidR="00FE42B5" w:rsidRDefault="00FE42B5">
      <w:pPr>
        <w:rPr>
          <w:rFonts w:ascii="Times New Roman" w:hAnsi="Times New Roman"/>
          <w:sz w:val="20"/>
          <w:szCs w:val="20"/>
        </w:rPr>
      </w:pPr>
    </w:p>
    <w:p w14:paraId="1446E68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b/>
          <w:bCs/>
          <w:i/>
          <w:iCs/>
          <w:color w:val="212529"/>
          <w:sz w:val="20"/>
          <w:szCs w:val="20"/>
        </w:rPr>
        <w:t>Credit Risk and Concentration</w:t>
      </w:r>
    </w:p>
    <w:p w14:paraId="1446E68D" w14:textId="77777777" w:rsidR="00FE42B5" w:rsidRDefault="00FE42B5">
      <w:pPr>
        <w:spacing w:line="288" w:lineRule="auto"/>
        <w:rPr>
          <w:rFonts w:ascii="Times New Roman" w:hAnsi="Times New Roman"/>
          <w:sz w:val="20"/>
          <w:szCs w:val="20"/>
        </w:rPr>
      </w:pPr>
    </w:p>
    <w:p w14:paraId="1446E68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Our financial instruments that are potentially subjec</w:t>
      </w:r>
      <w:r>
        <w:rPr>
          <w:rFonts w:ascii="Times New Roman" w:eastAsia="宋体" w:hAnsi="Times New Roman"/>
          <w:color w:val="212529"/>
          <w:sz w:val="20"/>
          <w:szCs w:val="20"/>
        </w:rPr>
        <w:t>t to concentrations of credit risk consist primarily of cash, cash equivalents, restricted cash, marketable securities, and accounts receivable. The majority of cash equivalents consists of money market funds that primarily invest in U.S. government and ag</w:t>
      </w:r>
      <w:r>
        <w:rPr>
          <w:rFonts w:ascii="Times New Roman" w:eastAsia="宋体" w:hAnsi="Times New Roman"/>
          <w:color w:val="212529"/>
          <w:sz w:val="20"/>
          <w:szCs w:val="20"/>
        </w:rPr>
        <w:t>ency securities. Marketable securities consist of investments in U.S. government securities, U.S. government agency securities, and investment grade corporate debt securities. Our investment portfolio in corporate debt securities is highly liquid and diver</w:t>
      </w:r>
      <w:r>
        <w:rPr>
          <w:rFonts w:ascii="Times New Roman" w:eastAsia="宋体" w:hAnsi="Times New Roman"/>
          <w:color w:val="212529"/>
          <w:sz w:val="20"/>
          <w:szCs w:val="20"/>
        </w:rPr>
        <w:t>sified among individual issuers.</w:t>
      </w:r>
    </w:p>
    <w:p w14:paraId="1446E68F" w14:textId="77777777" w:rsidR="00FE42B5" w:rsidRDefault="00FE42B5">
      <w:pPr>
        <w:spacing w:line="288" w:lineRule="auto"/>
        <w:ind w:firstLine="720"/>
        <w:jc w:val="both"/>
        <w:rPr>
          <w:rFonts w:ascii="Times New Roman" w:hAnsi="Times New Roman"/>
          <w:sz w:val="20"/>
          <w:szCs w:val="20"/>
        </w:rPr>
      </w:pPr>
    </w:p>
    <w:p w14:paraId="1446E69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AFS debt securities with an amortized cost basis in excess of estimated fair value are assessed using the CECL model to determine what amount of that difference, if any, is caused by expected credit losses. Expected credit</w:t>
      </w:r>
      <w:r>
        <w:rPr>
          <w:rFonts w:ascii="Times New Roman" w:eastAsia="宋体" w:hAnsi="Times New Roman"/>
          <w:sz w:val="20"/>
          <w:szCs w:val="20"/>
        </w:rPr>
        <w:t xml:space="preserve"> losses on AFS debt securities are recognized in interest and other income (expense), net on our condensed consolidated statements of income.</w:t>
      </w:r>
    </w:p>
    <w:p w14:paraId="1446E691" w14:textId="77777777" w:rsidR="00FE42B5" w:rsidRDefault="00FE42B5">
      <w:pPr>
        <w:spacing w:line="288" w:lineRule="auto"/>
        <w:ind w:firstLine="720"/>
        <w:jc w:val="both"/>
        <w:rPr>
          <w:rFonts w:ascii="Times New Roman" w:hAnsi="Times New Roman"/>
          <w:sz w:val="20"/>
          <w:szCs w:val="20"/>
        </w:rPr>
      </w:pPr>
    </w:p>
    <w:p w14:paraId="1446E69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Accounts receivable are typically unsecured and are derived from revenue earned from customers across different i</w:t>
      </w:r>
      <w:r>
        <w:rPr>
          <w:rFonts w:ascii="Times New Roman" w:eastAsia="宋体" w:hAnsi="Times New Roman"/>
          <w:color w:val="212529"/>
          <w:sz w:val="20"/>
          <w:szCs w:val="20"/>
        </w:rPr>
        <w:t xml:space="preserve">ndustries and countries. We generated 43% and 42% of our revenue for the </w:t>
      </w:r>
      <w:r>
        <w:rPr>
          <w:rFonts w:ascii="Times New Roman" w:eastAsia="宋体" w:hAnsi="Times New Roman"/>
          <w:sz w:val="20"/>
          <w:szCs w:val="20"/>
        </w:rPr>
        <w:t>three months ended March 31, 2020</w:t>
      </w:r>
      <w:r>
        <w:rPr>
          <w:rFonts w:ascii="Times New Roman" w:eastAsia="宋体" w:hAnsi="Times New Roman"/>
          <w:color w:val="212529"/>
          <w:sz w:val="20"/>
          <w:szCs w:val="20"/>
        </w:rPr>
        <w:t xml:space="preserve"> and </w:t>
      </w:r>
      <w:r>
        <w:rPr>
          <w:rFonts w:ascii="Times New Roman" w:eastAsia="宋体" w:hAnsi="Times New Roman"/>
          <w:sz w:val="20"/>
          <w:szCs w:val="20"/>
        </w:rPr>
        <w:t>2019</w:t>
      </w:r>
      <w:r>
        <w:rPr>
          <w:rFonts w:ascii="Times New Roman" w:eastAsia="宋体" w:hAnsi="Times New Roman"/>
          <w:color w:val="212529"/>
          <w:sz w:val="20"/>
          <w:szCs w:val="20"/>
        </w:rPr>
        <w:t>, respectively, from marketers and developers based in the United States, with the majority of revenue outside of the United States coming fr</w:t>
      </w:r>
      <w:r>
        <w:rPr>
          <w:rFonts w:ascii="Times New Roman" w:eastAsia="宋体" w:hAnsi="Times New Roman"/>
          <w:color w:val="212529"/>
          <w:sz w:val="20"/>
          <w:szCs w:val="20"/>
        </w:rPr>
        <w:t>om customers located in western Europe, China, Canada, Japan, Brazil, and Vietnam.</w:t>
      </w:r>
    </w:p>
    <w:p w14:paraId="1446E69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w:t>
      </w:r>
    </w:p>
    <w:p w14:paraId="1446E69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 xml:space="preserve">We perform ongoing credit evaluations of our customers and generally do not require collateral. We maintain an allowance for estimated credit losses. Bad debt expense was </w:t>
      </w:r>
      <w:r>
        <w:rPr>
          <w:rFonts w:ascii="Times New Roman" w:eastAsia="宋体" w:hAnsi="Times New Roman"/>
          <w:color w:val="212529"/>
          <w:sz w:val="20"/>
          <w:szCs w:val="20"/>
        </w:rPr>
        <w:t xml:space="preserve">$197 million and </w:t>
      </w:r>
      <w:r>
        <w:rPr>
          <w:rFonts w:ascii="Times New Roman" w:eastAsia="宋体" w:hAnsi="Times New Roman"/>
          <w:sz w:val="20"/>
          <w:szCs w:val="20"/>
        </w:rPr>
        <w:t>$4 million</w:t>
      </w:r>
      <w:r>
        <w:rPr>
          <w:rFonts w:ascii="Times New Roman" w:eastAsia="宋体" w:hAnsi="Times New Roman"/>
          <w:color w:val="212529"/>
          <w:sz w:val="20"/>
          <w:szCs w:val="20"/>
        </w:rPr>
        <w:t xml:space="preserve"> during the </w:t>
      </w:r>
      <w:r>
        <w:rPr>
          <w:rFonts w:ascii="Times New Roman" w:eastAsia="宋体" w:hAnsi="Times New Roman"/>
          <w:sz w:val="20"/>
          <w:szCs w:val="20"/>
        </w:rPr>
        <w:t>three months ended March 31, 2020</w:t>
      </w:r>
      <w:r>
        <w:rPr>
          <w:rFonts w:ascii="Times New Roman" w:eastAsia="宋体" w:hAnsi="Times New Roman"/>
          <w:color w:val="212529"/>
          <w:sz w:val="20"/>
          <w:szCs w:val="20"/>
        </w:rPr>
        <w:t xml:space="preserve"> and </w:t>
      </w:r>
      <w:r>
        <w:rPr>
          <w:rFonts w:ascii="Times New Roman" w:eastAsia="宋体" w:hAnsi="Times New Roman"/>
          <w:sz w:val="20"/>
          <w:szCs w:val="20"/>
        </w:rPr>
        <w:t>2019</w:t>
      </w:r>
      <w:r>
        <w:rPr>
          <w:rFonts w:ascii="Times New Roman" w:eastAsia="宋体" w:hAnsi="Times New Roman"/>
          <w:color w:val="212529"/>
          <w:sz w:val="20"/>
          <w:szCs w:val="20"/>
        </w:rPr>
        <w:t>, respectively. In the event that accounts receivable collection cycles deteriorate, our operating results and financial position could be adversely affected.</w:t>
      </w:r>
    </w:p>
    <w:p w14:paraId="1446E695" w14:textId="77777777" w:rsidR="00FE42B5" w:rsidRDefault="00FE42B5">
      <w:pPr>
        <w:spacing w:line="288" w:lineRule="auto"/>
        <w:ind w:firstLine="720"/>
        <w:jc w:val="both"/>
        <w:rPr>
          <w:rFonts w:ascii="Times New Roman" w:hAnsi="Times New Roman"/>
          <w:sz w:val="20"/>
          <w:szCs w:val="20"/>
        </w:rPr>
      </w:pPr>
    </w:p>
    <w:p w14:paraId="1446E696"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Accounting Pron</w:t>
      </w:r>
      <w:r>
        <w:rPr>
          <w:rFonts w:ascii="Times New Roman" w:eastAsia="宋体" w:hAnsi="Times New Roman"/>
          <w:b/>
          <w:bCs/>
          <w:i/>
          <w:iCs/>
          <w:sz w:val="20"/>
          <w:szCs w:val="20"/>
        </w:rPr>
        <w:t xml:space="preserve">ouncements Not Yet Adopted </w:t>
      </w:r>
    </w:p>
    <w:p w14:paraId="1446E697" w14:textId="77777777" w:rsidR="00FE42B5" w:rsidRDefault="00FE42B5">
      <w:pPr>
        <w:spacing w:line="288" w:lineRule="auto"/>
        <w:rPr>
          <w:rFonts w:ascii="Times New Roman" w:hAnsi="Times New Roman"/>
          <w:sz w:val="20"/>
          <w:szCs w:val="20"/>
        </w:rPr>
      </w:pPr>
    </w:p>
    <w:p w14:paraId="1446E69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December 2019, the Financial Accounting Standards Board (FASB) issued Accounting Standard Update No. 2019-12, </w:t>
      </w:r>
      <w:r>
        <w:rPr>
          <w:rFonts w:ascii="Times New Roman" w:eastAsia="宋体" w:hAnsi="Times New Roman"/>
          <w:i/>
          <w:iCs/>
          <w:sz w:val="20"/>
          <w:szCs w:val="20"/>
        </w:rPr>
        <w:t>Income Taxes</w:t>
      </w:r>
      <w:r>
        <w:rPr>
          <w:rFonts w:ascii="Times New Roman" w:eastAsia="宋体" w:hAnsi="Times New Roman"/>
          <w:sz w:val="20"/>
          <w:szCs w:val="20"/>
        </w:rPr>
        <w:t xml:space="preserve"> </w:t>
      </w:r>
      <w:r>
        <w:rPr>
          <w:rFonts w:ascii="Times New Roman" w:eastAsia="宋体" w:hAnsi="Times New Roman"/>
          <w:i/>
          <w:iCs/>
          <w:sz w:val="20"/>
          <w:szCs w:val="20"/>
        </w:rPr>
        <w:t>(Topic 740):</w:t>
      </w:r>
      <w:r>
        <w:rPr>
          <w:rFonts w:ascii="Times New Roman" w:eastAsia="宋体" w:hAnsi="Times New Roman"/>
          <w:sz w:val="20"/>
          <w:szCs w:val="20"/>
        </w:rPr>
        <w:t xml:space="preserve"> </w:t>
      </w:r>
      <w:r>
        <w:rPr>
          <w:rFonts w:ascii="Times New Roman" w:eastAsia="宋体" w:hAnsi="Times New Roman"/>
          <w:i/>
          <w:iCs/>
          <w:sz w:val="20"/>
          <w:szCs w:val="20"/>
        </w:rPr>
        <w:t>Simplifying the Accounting for Income Taxes</w:t>
      </w:r>
      <w:r>
        <w:rPr>
          <w:rFonts w:ascii="Times New Roman" w:eastAsia="宋体" w:hAnsi="Times New Roman"/>
          <w:sz w:val="20"/>
          <w:szCs w:val="20"/>
        </w:rPr>
        <w:t xml:space="preserve"> (ASU 2019-12), which simplifies the accounting for income taxes. This guidance will be effective for us in the first quarter of 2021 on a prospective basis, with early adoption permitted. We will adopt the new standard effective January 1, 2021 and do not</w:t>
      </w:r>
      <w:r>
        <w:rPr>
          <w:rFonts w:ascii="Times New Roman" w:eastAsia="宋体" w:hAnsi="Times New Roman"/>
          <w:sz w:val="20"/>
          <w:szCs w:val="20"/>
        </w:rPr>
        <w:t xml:space="preserve"> expect the adoption of this guidance to have a material impact on our consolidated financial statements.</w:t>
      </w:r>
    </w:p>
    <w:p w14:paraId="1446E699" w14:textId="77777777" w:rsidR="00FE42B5" w:rsidRDefault="00FE42B5">
      <w:pPr>
        <w:spacing w:line="288" w:lineRule="auto"/>
        <w:ind w:firstLine="720"/>
        <w:jc w:val="both"/>
        <w:rPr>
          <w:rFonts w:ascii="Times New Roman" w:hAnsi="Times New Roman"/>
          <w:sz w:val="20"/>
          <w:szCs w:val="20"/>
        </w:rPr>
      </w:pPr>
    </w:p>
    <w:p w14:paraId="1446E69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January 2020, the FASB issued Accounting Standards Update No. 2020-01, </w:t>
      </w:r>
      <w:r>
        <w:rPr>
          <w:rFonts w:ascii="Times New Roman" w:eastAsia="宋体" w:hAnsi="Times New Roman"/>
          <w:i/>
          <w:iCs/>
          <w:sz w:val="20"/>
          <w:szCs w:val="20"/>
        </w:rPr>
        <w:t>Investments—Equity Securities (Topic 321), Investments—Equity Method and Jo</w:t>
      </w:r>
      <w:r>
        <w:rPr>
          <w:rFonts w:ascii="Times New Roman" w:eastAsia="宋体" w:hAnsi="Times New Roman"/>
          <w:i/>
          <w:iCs/>
          <w:sz w:val="20"/>
          <w:szCs w:val="20"/>
        </w:rPr>
        <w:t xml:space="preserve">int Ventures (Topic 323), and Derivatives and Hedging (Topic 815) </w:t>
      </w:r>
      <w:r>
        <w:rPr>
          <w:rFonts w:ascii="Times New Roman" w:eastAsia="宋体" w:hAnsi="Times New Roman"/>
          <w:sz w:val="20"/>
          <w:szCs w:val="20"/>
        </w:rPr>
        <w:t>(ASU 2020-01), which clarifies the interaction of the accounting for equity securities under Topic 321, the accounting for equity method investments in Topic 323, and the accounting for cert</w:t>
      </w:r>
      <w:r>
        <w:rPr>
          <w:rFonts w:ascii="Times New Roman" w:eastAsia="宋体" w:hAnsi="Times New Roman"/>
          <w:sz w:val="20"/>
          <w:szCs w:val="20"/>
        </w:rPr>
        <w:t xml:space="preserve">ain forward contracts and purchased options in Topic 815. This guidance will be effective for us in the first quarter of 2021 on a prospective basis, with early adoption permitted. We are currently evaluating the impact of the new guidance, but based upon </w:t>
      </w:r>
      <w:r>
        <w:rPr>
          <w:rFonts w:ascii="Times New Roman" w:eastAsia="宋体" w:hAnsi="Times New Roman"/>
          <w:sz w:val="20"/>
          <w:szCs w:val="20"/>
        </w:rPr>
        <w:t>our current portfolio of investments, we do not expect the adoption of this guidance to have a material impact on our consolidated financial statements.</w:t>
      </w:r>
    </w:p>
    <w:p w14:paraId="1446E69B" w14:textId="77777777" w:rsidR="00FE42B5" w:rsidRDefault="00FE42B5">
      <w:pPr>
        <w:spacing w:line="288" w:lineRule="auto"/>
        <w:ind w:firstLine="720"/>
        <w:jc w:val="both"/>
        <w:rPr>
          <w:rFonts w:ascii="Times New Roman" w:hAnsi="Times New Roman"/>
          <w:sz w:val="20"/>
          <w:szCs w:val="20"/>
        </w:rPr>
      </w:pPr>
    </w:p>
    <w:p w14:paraId="1446E69C"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Note 2. Revenue</w:t>
      </w:r>
    </w:p>
    <w:p w14:paraId="1446E69D" w14:textId="77777777" w:rsidR="00FE42B5" w:rsidRDefault="00FE42B5">
      <w:pPr>
        <w:spacing w:line="288" w:lineRule="auto"/>
        <w:ind w:firstLine="720"/>
        <w:rPr>
          <w:rFonts w:ascii="Times New Roman" w:hAnsi="Times New Roman"/>
          <w:sz w:val="20"/>
          <w:szCs w:val="20"/>
        </w:rPr>
      </w:pPr>
    </w:p>
    <w:p w14:paraId="1446E69E" w14:textId="77777777" w:rsidR="00FE42B5" w:rsidRDefault="009213DC">
      <w:pPr>
        <w:spacing w:line="288" w:lineRule="auto"/>
        <w:ind w:firstLine="720"/>
        <w:rPr>
          <w:rFonts w:ascii="Times New Roman" w:hAnsi="Times New Roman"/>
          <w:sz w:val="20"/>
          <w:szCs w:val="20"/>
        </w:rPr>
      </w:pPr>
      <w:r>
        <w:rPr>
          <w:rFonts w:ascii="Times New Roman" w:eastAsia="宋体" w:hAnsi="Times New Roman"/>
          <w:sz w:val="20"/>
          <w:szCs w:val="20"/>
        </w:rPr>
        <w:t>Revenue disaggregated by revenue source consists of the following (in millions):</w:t>
      </w:r>
    </w:p>
    <w:tbl>
      <w:tblPr>
        <w:tblW w:w="5000" w:type="pct"/>
        <w:tblCellMar>
          <w:left w:w="0" w:type="dxa"/>
          <w:right w:w="0" w:type="dxa"/>
        </w:tblCellMar>
        <w:tblLook w:val="04A0" w:firstRow="1" w:lastRow="0" w:firstColumn="1" w:lastColumn="0" w:noHBand="0" w:noVBand="1"/>
      </w:tblPr>
      <w:tblGrid>
        <w:gridCol w:w="5698"/>
        <w:gridCol w:w="140"/>
        <w:gridCol w:w="1048"/>
        <w:gridCol w:w="51"/>
        <w:gridCol w:w="130"/>
        <w:gridCol w:w="140"/>
        <w:gridCol w:w="1048"/>
        <w:gridCol w:w="51"/>
      </w:tblGrid>
      <w:tr w:rsidR="00FE42B5" w14:paraId="1446E6A0" w14:textId="77777777">
        <w:tc>
          <w:tcPr>
            <w:tcW w:w="0" w:type="auto"/>
            <w:gridSpan w:val="8"/>
            <w:shd w:val="clear" w:color="auto" w:fill="auto"/>
            <w:vAlign w:val="center"/>
          </w:tcPr>
          <w:p w14:paraId="1446E69F" w14:textId="77777777" w:rsidR="00FE42B5" w:rsidRDefault="00FE42B5">
            <w:pPr>
              <w:rPr>
                <w:rFonts w:ascii="Times New Roman" w:hAnsi="Times New Roman"/>
                <w:sz w:val="20"/>
                <w:szCs w:val="20"/>
              </w:rPr>
            </w:pPr>
          </w:p>
        </w:tc>
      </w:tr>
      <w:tr w:rsidR="00FE42B5" w14:paraId="1446E6A9" w14:textId="77777777">
        <w:tc>
          <w:tcPr>
            <w:tcW w:w="3449" w:type="pct"/>
            <w:shd w:val="clear" w:color="auto" w:fill="auto"/>
            <w:vAlign w:val="center"/>
          </w:tcPr>
          <w:p w14:paraId="1446E6A1" w14:textId="77777777" w:rsidR="00FE42B5" w:rsidRDefault="00FE42B5">
            <w:pPr>
              <w:rPr>
                <w:rFonts w:ascii="Times New Roman" w:hAnsi="Times New Roman"/>
                <w:sz w:val="20"/>
                <w:szCs w:val="20"/>
              </w:rPr>
            </w:pPr>
          </w:p>
        </w:tc>
        <w:tc>
          <w:tcPr>
            <w:tcW w:w="50" w:type="pct"/>
            <w:shd w:val="clear" w:color="auto" w:fill="auto"/>
            <w:vAlign w:val="center"/>
          </w:tcPr>
          <w:p w14:paraId="1446E6A2" w14:textId="77777777" w:rsidR="00FE42B5" w:rsidRDefault="00FE42B5">
            <w:pPr>
              <w:rPr>
                <w:rFonts w:ascii="Times New Roman" w:hAnsi="Times New Roman"/>
                <w:sz w:val="20"/>
                <w:szCs w:val="20"/>
              </w:rPr>
            </w:pPr>
          </w:p>
        </w:tc>
        <w:tc>
          <w:tcPr>
            <w:tcW w:w="650" w:type="pct"/>
            <w:shd w:val="clear" w:color="auto" w:fill="auto"/>
            <w:vAlign w:val="center"/>
          </w:tcPr>
          <w:p w14:paraId="1446E6A3" w14:textId="77777777" w:rsidR="00FE42B5" w:rsidRDefault="00FE42B5">
            <w:pPr>
              <w:rPr>
                <w:rFonts w:ascii="Times New Roman" w:hAnsi="Times New Roman"/>
                <w:sz w:val="20"/>
                <w:szCs w:val="20"/>
              </w:rPr>
            </w:pPr>
          </w:p>
        </w:tc>
        <w:tc>
          <w:tcPr>
            <w:tcW w:w="50" w:type="pct"/>
            <w:shd w:val="clear" w:color="auto" w:fill="auto"/>
            <w:vAlign w:val="center"/>
          </w:tcPr>
          <w:p w14:paraId="1446E6A4" w14:textId="77777777" w:rsidR="00FE42B5" w:rsidRDefault="00FE42B5">
            <w:pPr>
              <w:rPr>
                <w:rFonts w:ascii="Times New Roman" w:hAnsi="Times New Roman"/>
                <w:sz w:val="20"/>
                <w:szCs w:val="20"/>
              </w:rPr>
            </w:pPr>
          </w:p>
        </w:tc>
        <w:tc>
          <w:tcPr>
            <w:tcW w:w="50" w:type="pct"/>
            <w:shd w:val="clear" w:color="auto" w:fill="auto"/>
            <w:vAlign w:val="center"/>
          </w:tcPr>
          <w:p w14:paraId="1446E6A5" w14:textId="77777777" w:rsidR="00FE42B5" w:rsidRDefault="00FE42B5">
            <w:pPr>
              <w:rPr>
                <w:rFonts w:ascii="Times New Roman" w:hAnsi="Times New Roman"/>
                <w:sz w:val="20"/>
                <w:szCs w:val="20"/>
              </w:rPr>
            </w:pPr>
          </w:p>
        </w:tc>
        <w:tc>
          <w:tcPr>
            <w:tcW w:w="50" w:type="pct"/>
            <w:shd w:val="clear" w:color="auto" w:fill="auto"/>
            <w:vAlign w:val="center"/>
          </w:tcPr>
          <w:p w14:paraId="1446E6A6" w14:textId="77777777" w:rsidR="00FE42B5" w:rsidRDefault="00FE42B5">
            <w:pPr>
              <w:rPr>
                <w:rFonts w:ascii="Times New Roman" w:hAnsi="Times New Roman"/>
                <w:sz w:val="20"/>
                <w:szCs w:val="20"/>
              </w:rPr>
            </w:pPr>
          </w:p>
        </w:tc>
        <w:tc>
          <w:tcPr>
            <w:tcW w:w="650" w:type="pct"/>
            <w:shd w:val="clear" w:color="auto" w:fill="auto"/>
            <w:vAlign w:val="center"/>
          </w:tcPr>
          <w:p w14:paraId="1446E6A7" w14:textId="77777777" w:rsidR="00FE42B5" w:rsidRDefault="00FE42B5">
            <w:pPr>
              <w:rPr>
                <w:rFonts w:ascii="Times New Roman" w:hAnsi="Times New Roman"/>
                <w:sz w:val="20"/>
                <w:szCs w:val="20"/>
              </w:rPr>
            </w:pPr>
          </w:p>
        </w:tc>
        <w:tc>
          <w:tcPr>
            <w:tcW w:w="50" w:type="pct"/>
            <w:shd w:val="clear" w:color="auto" w:fill="auto"/>
            <w:vAlign w:val="center"/>
          </w:tcPr>
          <w:p w14:paraId="1446E6A8" w14:textId="77777777" w:rsidR="00FE42B5" w:rsidRDefault="00FE42B5">
            <w:pPr>
              <w:rPr>
                <w:rFonts w:ascii="Times New Roman" w:hAnsi="Times New Roman"/>
                <w:sz w:val="20"/>
                <w:szCs w:val="20"/>
              </w:rPr>
            </w:pPr>
          </w:p>
        </w:tc>
      </w:tr>
      <w:tr w:rsidR="00FE42B5" w14:paraId="1446E6AC" w14:textId="77777777">
        <w:tc>
          <w:tcPr>
            <w:tcW w:w="0" w:type="auto"/>
            <w:shd w:val="clear" w:color="auto" w:fill="auto"/>
            <w:tcMar>
              <w:top w:w="40" w:type="dxa"/>
              <w:left w:w="40" w:type="dxa"/>
              <w:bottom w:w="40" w:type="dxa"/>
              <w:right w:w="40" w:type="dxa"/>
            </w:tcMar>
            <w:vAlign w:val="bottom"/>
          </w:tcPr>
          <w:p w14:paraId="1446E6AA"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E6AB"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r>
      <w:tr w:rsidR="00FE42B5" w14:paraId="1446E6B1" w14:textId="77777777">
        <w:tc>
          <w:tcPr>
            <w:tcW w:w="0" w:type="auto"/>
            <w:shd w:val="clear" w:color="auto" w:fill="auto"/>
            <w:tcMar>
              <w:top w:w="40" w:type="dxa"/>
              <w:left w:w="40" w:type="dxa"/>
              <w:bottom w:w="40" w:type="dxa"/>
              <w:right w:w="40" w:type="dxa"/>
            </w:tcMar>
            <w:vAlign w:val="bottom"/>
          </w:tcPr>
          <w:p w14:paraId="1446E6AD"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6AE"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446E6A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6B0"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E42B5" w14:paraId="1446E6BA" w14:textId="77777777">
        <w:tc>
          <w:tcPr>
            <w:tcW w:w="0" w:type="auto"/>
            <w:shd w:val="clear" w:color="auto" w:fill="CCEEFF"/>
            <w:tcMar>
              <w:top w:w="40" w:type="dxa"/>
              <w:left w:w="40" w:type="dxa"/>
              <w:bottom w:w="40" w:type="dxa"/>
              <w:right w:w="40" w:type="dxa"/>
            </w:tcMar>
            <w:vAlign w:val="bottom"/>
          </w:tcPr>
          <w:p w14:paraId="1446E6B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Advertising</w:t>
            </w:r>
          </w:p>
        </w:tc>
        <w:tc>
          <w:tcPr>
            <w:tcW w:w="0" w:type="auto"/>
            <w:tcBorders>
              <w:top w:val="single" w:sz="8" w:space="0" w:color="000000"/>
            </w:tcBorders>
            <w:shd w:val="clear" w:color="auto" w:fill="CCEEFF"/>
            <w:tcMar>
              <w:top w:w="40" w:type="dxa"/>
              <w:left w:w="40" w:type="dxa"/>
              <w:bottom w:w="40" w:type="dxa"/>
            </w:tcMar>
            <w:vAlign w:val="bottom"/>
          </w:tcPr>
          <w:p w14:paraId="1446E6B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446E6B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17,440</w:t>
            </w:r>
          </w:p>
        </w:tc>
        <w:tc>
          <w:tcPr>
            <w:tcW w:w="0" w:type="auto"/>
            <w:tcBorders>
              <w:top w:val="single" w:sz="8" w:space="0" w:color="000000"/>
            </w:tcBorders>
            <w:shd w:val="clear" w:color="auto" w:fill="CCEEFF"/>
            <w:vAlign w:val="bottom"/>
          </w:tcPr>
          <w:p w14:paraId="1446E6B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6B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6B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446E6B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14,912</w:t>
            </w:r>
          </w:p>
        </w:tc>
        <w:tc>
          <w:tcPr>
            <w:tcW w:w="0" w:type="auto"/>
            <w:tcBorders>
              <w:top w:val="single" w:sz="8" w:space="0" w:color="000000"/>
            </w:tcBorders>
            <w:shd w:val="clear" w:color="auto" w:fill="CCEEFF"/>
            <w:vAlign w:val="bottom"/>
          </w:tcPr>
          <w:p w14:paraId="1446E6B9" w14:textId="77777777" w:rsidR="00FE42B5" w:rsidRDefault="00FE42B5">
            <w:pPr>
              <w:textAlignment w:val="bottom"/>
              <w:rPr>
                <w:rFonts w:ascii="Times New Roman" w:hAnsi="Times New Roman"/>
                <w:sz w:val="20"/>
                <w:szCs w:val="20"/>
              </w:rPr>
            </w:pPr>
          </w:p>
        </w:tc>
      </w:tr>
      <w:tr w:rsidR="00FE42B5" w14:paraId="1446E6C1" w14:textId="77777777">
        <w:tc>
          <w:tcPr>
            <w:tcW w:w="0" w:type="auto"/>
            <w:shd w:val="clear" w:color="auto" w:fill="auto"/>
            <w:tcMar>
              <w:top w:w="40" w:type="dxa"/>
              <w:left w:w="40" w:type="dxa"/>
              <w:bottom w:w="40" w:type="dxa"/>
              <w:right w:w="40" w:type="dxa"/>
            </w:tcMar>
            <w:vAlign w:val="bottom"/>
          </w:tcPr>
          <w:p w14:paraId="1446E6B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Other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1446E6B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297</w:t>
            </w:r>
          </w:p>
        </w:tc>
        <w:tc>
          <w:tcPr>
            <w:tcW w:w="0" w:type="auto"/>
            <w:tcBorders>
              <w:bottom w:val="single" w:sz="8" w:space="0" w:color="000000"/>
            </w:tcBorders>
            <w:shd w:val="clear" w:color="auto" w:fill="auto"/>
            <w:vAlign w:val="bottom"/>
          </w:tcPr>
          <w:p w14:paraId="1446E6B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6B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6B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tcBorders>
              <w:bottom w:val="single" w:sz="8" w:space="0" w:color="000000"/>
            </w:tcBorders>
            <w:shd w:val="clear" w:color="auto" w:fill="auto"/>
            <w:vAlign w:val="bottom"/>
          </w:tcPr>
          <w:p w14:paraId="1446E6C0" w14:textId="77777777" w:rsidR="00FE42B5" w:rsidRDefault="00FE42B5">
            <w:pPr>
              <w:textAlignment w:val="bottom"/>
              <w:rPr>
                <w:rFonts w:ascii="Times New Roman" w:hAnsi="Times New Roman"/>
                <w:sz w:val="20"/>
                <w:szCs w:val="20"/>
              </w:rPr>
            </w:pPr>
          </w:p>
        </w:tc>
      </w:tr>
      <w:tr w:rsidR="00FE42B5" w14:paraId="1446E6CA" w14:textId="77777777">
        <w:tc>
          <w:tcPr>
            <w:tcW w:w="0" w:type="auto"/>
            <w:shd w:val="clear" w:color="auto" w:fill="CCEEFF"/>
            <w:tcMar>
              <w:top w:w="40" w:type="dxa"/>
              <w:left w:w="400" w:type="dxa"/>
              <w:bottom w:w="40" w:type="dxa"/>
              <w:right w:w="40" w:type="dxa"/>
            </w:tcMar>
          </w:tcPr>
          <w:p w14:paraId="1446E6C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 revenue</w:t>
            </w:r>
          </w:p>
        </w:tc>
        <w:tc>
          <w:tcPr>
            <w:tcW w:w="0" w:type="auto"/>
            <w:tcBorders>
              <w:bottom w:val="double" w:sz="6" w:space="0" w:color="000000"/>
            </w:tcBorders>
            <w:shd w:val="clear" w:color="auto" w:fill="CCEEFF"/>
            <w:tcMar>
              <w:top w:w="40" w:type="dxa"/>
              <w:left w:w="40" w:type="dxa"/>
              <w:bottom w:w="40" w:type="dxa"/>
            </w:tcMar>
            <w:vAlign w:val="bottom"/>
          </w:tcPr>
          <w:p w14:paraId="1446E6C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6C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17,737</w:t>
            </w:r>
          </w:p>
        </w:tc>
        <w:tc>
          <w:tcPr>
            <w:tcW w:w="0" w:type="auto"/>
            <w:tcBorders>
              <w:bottom w:val="double" w:sz="6" w:space="0" w:color="000000"/>
            </w:tcBorders>
            <w:shd w:val="clear" w:color="auto" w:fill="CCEEFF"/>
            <w:vAlign w:val="bottom"/>
          </w:tcPr>
          <w:p w14:paraId="1446E6C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6C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446E6C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6C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15,077</w:t>
            </w:r>
          </w:p>
        </w:tc>
        <w:tc>
          <w:tcPr>
            <w:tcW w:w="0" w:type="auto"/>
            <w:tcBorders>
              <w:bottom w:val="double" w:sz="6" w:space="0" w:color="000000"/>
            </w:tcBorders>
            <w:shd w:val="clear" w:color="auto" w:fill="CCEEFF"/>
            <w:vAlign w:val="bottom"/>
          </w:tcPr>
          <w:p w14:paraId="1446E6C9" w14:textId="77777777" w:rsidR="00FE42B5" w:rsidRDefault="00FE42B5">
            <w:pPr>
              <w:textAlignment w:val="bottom"/>
              <w:rPr>
                <w:rFonts w:ascii="Times New Roman" w:hAnsi="Times New Roman"/>
                <w:sz w:val="20"/>
                <w:szCs w:val="20"/>
              </w:rPr>
            </w:pPr>
          </w:p>
        </w:tc>
      </w:tr>
    </w:tbl>
    <w:p w14:paraId="1446E6CB" w14:textId="77777777" w:rsidR="00FE42B5" w:rsidRDefault="00FE42B5">
      <w:pPr>
        <w:rPr>
          <w:rFonts w:ascii="Times New Roman" w:hAnsi="Times New Roman"/>
          <w:sz w:val="20"/>
          <w:szCs w:val="20"/>
        </w:rPr>
      </w:pPr>
    </w:p>
    <w:p w14:paraId="1446E6CC"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15</w:t>
      </w:r>
    </w:p>
    <w:p w14:paraId="1446E6CD" w14:textId="77777777" w:rsidR="00FE42B5" w:rsidRDefault="009213DC">
      <w:r>
        <w:rPr>
          <w:rFonts w:ascii="Times New Roman" w:hAnsi="Times New Roman"/>
          <w:sz w:val="20"/>
          <w:szCs w:val="20"/>
        </w:rPr>
        <w:pict w14:anchorId="1446FAC7">
          <v:rect id="_x0000_i1039" style="width:415.3pt;height:1.5pt" o:hralign="center" o:hrstd="t" o:hr="t" fillcolor="#a0a0a0" stroked="f"/>
        </w:pict>
      </w:r>
    </w:p>
    <w:p w14:paraId="1446E6CE" w14:textId="77777777" w:rsidR="00FE42B5" w:rsidRDefault="00FE42B5">
      <w:pPr>
        <w:rPr>
          <w:rFonts w:ascii="Times New Roman" w:hAnsi="Times New Roman"/>
          <w:sz w:val="20"/>
          <w:szCs w:val="20"/>
        </w:rPr>
      </w:pPr>
    </w:p>
    <w:p w14:paraId="1446E6CF" w14:textId="77777777" w:rsidR="00FE42B5" w:rsidRDefault="00FE42B5">
      <w:pPr>
        <w:spacing w:line="288" w:lineRule="auto"/>
        <w:jc w:val="both"/>
        <w:rPr>
          <w:rFonts w:ascii="Times New Roman" w:hAnsi="Times New Roman"/>
          <w:sz w:val="20"/>
          <w:szCs w:val="20"/>
        </w:rPr>
      </w:pPr>
    </w:p>
    <w:p w14:paraId="1446E6D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Revenue disaggregated by geography, based on the billing address of our customers, </w:t>
      </w:r>
      <w:r>
        <w:rPr>
          <w:rFonts w:ascii="Times New Roman" w:eastAsia="宋体" w:hAnsi="Times New Roman"/>
          <w:sz w:val="20"/>
          <w:szCs w:val="20"/>
        </w:rPr>
        <w:t>consists of the following (in millions):</w:t>
      </w:r>
    </w:p>
    <w:tbl>
      <w:tblPr>
        <w:tblW w:w="5000" w:type="pct"/>
        <w:tblCellMar>
          <w:left w:w="0" w:type="dxa"/>
          <w:right w:w="0" w:type="dxa"/>
        </w:tblCellMar>
        <w:tblLook w:val="04A0" w:firstRow="1" w:lastRow="0" w:firstColumn="1" w:lastColumn="0" w:noHBand="0" w:noVBand="1"/>
      </w:tblPr>
      <w:tblGrid>
        <w:gridCol w:w="5698"/>
        <w:gridCol w:w="140"/>
        <w:gridCol w:w="1048"/>
        <w:gridCol w:w="51"/>
        <w:gridCol w:w="130"/>
        <w:gridCol w:w="140"/>
        <w:gridCol w:w="1048"/>
        <w:gridCol w:w="51"/>
      </w:tblGrid>
      <w:tr w:rsidR="00FE42B5" w14:paraId="1446E6D2" w14:textId="77777777">
        <w:tc>
          <w:tcPr>
            <w:tcW w:w="0" w:type="auto"/>
            <w:gridSpan w:val="8"/>
            <w:shd w:val="clear" w:color="auto" w:fill="auto"/>
            <w:vAlign w:val="center"/>
          </w:tcPr>
          <w:p w14:paraId="1446E6D1" w14:textId="77777777" w:rsidR="00FE42B5" w:rsidRDefault="00FE42B5">
            <w:pPr>
              <w:rPr>
                <w:rFonts w:ascii="Times New Roman" w:hAnsi="Times New Roman"/>
                <w:sz w:val="20"/>
                <w:szCs w:val="20"/>
              </w:rPr>
            </w:pPr>
          </w:p>
        </w:tc>
      </w:tr>
      <w:tr w:rsidR="00FE42B5" w14:paraId="1446E6DB" w14:textId="77777777">
        <w:tc>
          <w:tcPr>
            <w:tcW w:w="3449" w:type="pct"/>
            <w:shd w:val="clear" w:color="auto" w:fill="auto"/>
            <w:vAlign w:val="center"/>
          </w:tcPr>
          <w:p w14:paraId="1446E6D3" w14:textId="77777777" w:rsidR="00FE42B5" w:rsidRDefault="00FE42B5">
            <w:pPr>
              <w:rPr>
                <w:rFonts w:ascii="Times New Roman" w:hAnsi="Times New Roman"/>
                <w:sz w:val="20"/>
                <w:szCs w:val="20"/>
              </w:rPr>
            </w:pPr>
          </w:p>
        </w:tc>
        <w:tc>
          <w:tcPr>
            <w:tcW w:w="50" w:type="pct"/>
            <w:shd w:val="clear" w:color="auto" w:fill="auto"/>
            <w:vAlign w:val="center"/>
          </w:tcPr>
          <w:p w14:paraId="1446E6D4" w14:textId="77777777" w:rsidR="00FE42B5" w:rsidRDefault="00FE42B5">
            <w:pPr>
              <w:rPr>
                <w:rFonts w:ascii="Times New Roman" w:hAnsi="Times New Roman"/>
                <w:sz w:val="20"/>
                <w:szCs w:val="20"/>
              </w:rPr>
            </w:pPr>
          </w:p>
        </w:tc>
        <w:tc>
          <w:tcPr>
            <w:tcW w:w="650" w:type="pct"/>
            <w:shd w:val="clear" w:color="auto" w:fill="auto"/>
            <w:vAlign w:val="center"/>
          </w:tcPr>
          <w:p w14:paraId="1446E6D5" w14:textId="77777777" w:rsidR="00FE42B5" w:rsidRDefault="00FE42B5">
            <w:pPr>
              <w:rPr>
                <w:rFonts w:ascii="Times New Roman" w:hAnsi="Times New Roman"/>
                <w:sz w:val="20"/>
                <w:szCs w:val="20"/>
              </w:rPr>
            </w:pPr>
          </w:p>
        </w:tc>
        <w:tc>
          <w:tcPr>
            <w:tcW w:w="50" w:type="pct"/>
            <w:shd w:val="clear" w:color="auto" w:fill="auto"/>
            <w:vAlign w:val="center"/>
          </w:tcPr>
          <w:p w14:paraId="1446E6D6" w14:textId="77777777" w:rsidR="00FE42B5" w:rsidRDefault="00FE42B5">
            <w:pPr>
              <w:rPr>
                <w:rFonts w:ascii="Times New Roman" w:hAnsi="Times New Roman"/>
                <w:sz w:val="20"/>
                <w:szCs w:val="20"/>
              </w:rPr>
            </w:pPr>
          </w:p>
        </w:tc>
        <w:tc>
          <w:tcPr>
            <w:tcW w:w="50" w:type="pct"/>
            <w:shd w:val="clear" w:color="auto" w:fill="auto"/>
            <w:vAlign w:val="center"/>
          </w:tcPr>
          <w:p w14:paraId="1446E6D7" w14:textId="77777777" w:rsidR="00FE42B5" w:rsidRDefault="00FE42B5">
            <w:pPr>
              <w:rPr>
                <w:rFonts w:ascii="Times New Roman" w:hAnsi="Times New Roman"/>
                <w:sz w:val="20"/>
                <w:szCs w:val="20"/>
              </w:rPr>
            </w:pPr>
          </w:p>
        </w:tc>
        <w:tc>
          <w:tcPr>
            <w:tcW w:w="50" w:type="pct"/>
            <w:shd w:val="clear" w:color="auto" w:fill="auto"/>
            <w:vAlign w:val="center"/>
          </w:tcPr>
          <w:p w14:paraId="1446E6D8" w14:textId="77777777" w:rsidR="00FE42B5" w:rsidRDefault="00FE42B5">
            <w:pPr>
              <w:rPr>
                <w:rFonts w:ascii="Times New Roman" w:hAnsi="Times New Roman"/>
                <w:sz w:val="20"/>
                <w:szCs w:val="20"/>
              </w:rPr>
            </w:pPr>
          </w:p>
        </w:tc>
        <w:tc>
          <w:tcPr>
            <w:tcW w:w="650" w:type="pct"/>
            <w:shd w:val="clear" w:color="auto" w:fill="auto"/>
            <w:vAlign w:val="center"/>
          </w:tcPr>
          <w:p w14:paraId="1446E6D9" w14:textId="77777777" w:rsidR="00FE42B5" w:rsidRDefault="00FE42B5">
            <w:pPr>
              <w:rPr>
                <w:rFonts w:ascii="Times New Roman" w:hAnsi="Times New Roman"/>
                <w:sz w:val="20"/>
                <w:szCs w:val="20"/>
              </w:rPr>
            </w:pPr>
          </w:p>
        </w:tc>
        <w:tc>
          <w:tcPr>
            <w:tcW w:w="50" w:type="pct"/>
            <w:shd w:val="clear" w:color="auto" w:fill="auto"/>
            <w:vAlign w:val="center"/>
          </w:tcPr>
          <w:p w14:paraId="1446E6DA" w14:textId="77777777" w:rsidR="00FE42B5" w:rsidRDefault="00FE42B5">
            <w:pPr>
              <w:rPr>
                <w:rFonts w:ascii="Times New Roman" w:hAnsi="Times New Roman"/>
                <w:sz w:val="20"/>
                <w:szCs w:val="20"/>
              </w:rPr>
            </w:pPr>
          </w:p>
        </w:tc>
      </w:tr>
      <w:tr w:rsidR="00FE42B5" w14:paraId="1446E6DE" w14:textId="77777777">
        <w:tc>
          <w:tcPr>
            <w:tcW w:w="0" w:type="auto"/>
            <w:shd w:val="clear" w:color="auto" w:fill="auto"/>
            <w:tcMar>
              <w:top w:w="40" w:type="dxa"/>
              <w:left w:w="40" w:type="dxa"/>
              <w:bottom w:w="40" w:type="dxa"/>
              <w:right w:w="40" w:type="dxa"/>
            </w:tcMar>
            <w:vAlign w:val="bottom"/>
          </w:tcPr>
          <w:p w14:paraId="1446E6DC"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E6DD"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r>
      <w:tr w:rsidR="00FE42B5" w14:paraId="1446E6E3" w14:textId="77777777">
        <w:tc>
          <w:tcPr>
            <w:tcW w:w="0" w:type="auto"/>
            <w:shd w:val="clear" w:color="auto" w:fill="auto"/>
            <w:tcMar>
              <w:top w:w="40" w:type="dxa"/>
              <w:left w:w="40" w:type="dxa"/>
              <w:bottom w:w="40" w:type="dxa"/>
              <w:right w:w="40" w:type="dxa"/>
            </w:tcMar>
            <w:vAlign w:val="bottom"/>
          </w:tcPr>
          <w:p w14:paraId="1446E6DF"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6E0"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1446E6E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6E2"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E42B5" w14:paraId="1446E6EC" w14:textId="77777777">
        <w:tc>
          <w:tcPr>
            <w:tcW w:w="0" w:type="auto"/>
            <w:shd w:val="clear" w:color="auto" w:fill="CCEEFF"/>
            <w:tcMar>
              <w:top w:w="40" w:type="dxa"/>
              <w:left w:w="40" w:type="dxa"/>
              <w:bottom w:w="40" w:type="dxa"/>
              <w:right w:w="40" w:type="dxa"/>
            </w:tcMar>
          </w:tcPr>
          <w:p w14:paraId="1446E6E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United States and Canada</w:t>
            </w:r>
            <w:r>
              <w:rPr>
                <w:rFonts w:ascii="Times New Roman" w:eastAsia="宋体" w:hAnsi="Times New Roman"/>
                <w:sz w:val="14"/>
                <w:szCs w:val="14"/>
              </w:rPr>
              <w:t>(1)</w:t>
            </w:r>
          </w:p>
        </w:tc>
        <w:tc>
          <w:tcPr>
            <w:tcW w:w="0" w:type="auto"/>
            <w:shd w:val="clear" w:color="auto" w:fill="CCEEFF"/>
            <w:tcMar>
              <w:top w:w="40" w:type="dxa"/>
              <w:left w:w="40" w:type="dxa"/>
              <w:bottom w:w="40" w:type="dxa"/>
            </w:tcMar>
            <w:vAlign w:val="bottom"/>
          </w:tcPr>
          <w:p w14:paraId="1446E6E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6E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8,012</w:t>
            </w:r>
          </w:p>
        </w:tc>
        <w:tc>
          <w:tcPr>
            <w:tcW w:w="0" w:type="auto"/>
            <w:shd w:val="clear" w:color="auto" w:fill="CCEEFF"/>
            <w:vAlign w:val="bottom"/>
          </w:tcPr>
          <w:p w14:paraId="1446E6E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6E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6E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6E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6,777</w:t>
            </w:r>
          </w:p>
        </w:tc>
        <w:tc>
          <w:tcPr>
            <w:tcW w:w="0" w:type="auto"/>
            <w:shd w:val="clear" w:color="auto" w:fill="CCEEFF"/>
            <w:vAlign w:val="bottom"/>
          </w:tcPr>
          <w:p w14:paraId="1446E6EB" w14:textId="77777777" w:rsidR="00FE42B5" w:rsidRDefault="00FE42B5">
            <w:pPr>
              <w:textAlignment w:val="bottom"/>
              <w:rPr>
                <w:rFonts w:ascii="Times New Roman" w:hAnsi="Times New Roman"/>
                <w:sz w:val="20"/>
                <w:szCs w:val="20"/>
              </w:rPr>
            </w:pPr>
          </w:p>
        </w:tc>
      </w:tr>
      <w:tr w:rsidR="00FE42B5" w14:paraId="1446E6F3" w14:textId="77777777">
        <w:tc>
          <w:tcPr>
            <w:tcW w:w="0" w:type="auto"/>
            <w:shd w:val="clear" w:color="auto" w:fill="auto"/>
            <w:tcMar>
              <w:top w:w="40" w:type="dxa"/>
              <w:left w:w="40" w:type="dxa"/>
              <w:bottom w:w="40" w:type="dxa"/>
              <w:right w:w="40" w:type="dxa"/>
            </w:tcMar>
          </w:tcPr>
          <w:p w14:paraId="1446E6E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Europe</w:t>
            </w:r>
            <w:r>
              <w:rPr>
                <w:rFonts w:ascii="Times New Roman" w:eastAsia="宋体" w:hAnsi="Times New Roman"/>
                <w:sz w:val="14"/>
                <w:szCs w:val="14"/>
              </w:rPr>
              <w:t>(2)</w:t>
            </w:r>
          </w:p>
        </w:tc>
        <w:tc>
          <w:tcPr>
            <w:tcW w:w="0" w:type="auto"/>
            <w:gridSpan w:val="2"/>
            <w:shd w:val="clear" w:color="auto" w:fill="auto"/>
            <w:tcMar>
              <w:top w:w="40" w:type="dxa"/>
              <w:left w:w="40" w:type="dxa"/>
              <w:bottom w:w="40" w:type="dxa"/>
            </w:tcMar>
            <w:vAlign w:val="bottom"/>
          </w:tcPr>
          <w:p w14:paraId="1446E6E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4,150</w:t>
            </w:r>
          </w:p>
        </w:tc>
        <w:tc>
          <w:tcPr>
            <w:tcW w:w="0" w:type="auto"/>
            <w:shd w:val="clear" w:color="auto" w:fill="auto"/>
            <w:vAlign w:val="bottom"/>
          </w:tcPr>
          <w:p w14:paraId="1446E6E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6F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6F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3,624</w:t>
            </w:r>
          </w:p>
        </w:tc>
        <w:tc>
          <w:tcPr>
            <w:tcW w:w="0" w:type="auto"/>
            <w:shd w:val="clear" w:color="auto" w:fill="auto"/>
            <w:vAlign w:val="bottom"/>
          </w:tcPr>
          <w:p w14:paraId="1446E6F2" w14:textId="77777777" w:rsidR="00FE42B5" w:rsidRDefault="00FE42B5">
            <w:pPr>
              <w:textAlignment w:val="bottom"/>
              <w:rPr>
                <w:rFonts w:ascii="Times New Roman" w:hAnsi="Times New Roman"/>
                <w:sz w:val="20"/>
                <w:szCs w:val="20"/>
              </w:rPr>
            </w:pPr>
          </w:p>
        </w:tc>
      </w:tr>
      <w:tr w:rsidR="00FE42B5" w14:paraId="1446E6FA" w14:textId="77777777">
        <w:tc>
          <w:tcPr>
            <w:tcW w:w="0" w:type="auto"/>
            <w:shd w:val="clear" w:color="auto" w:fill="CCEEFF"/>
            <w:tcMar>
              <w:top w:w="40" w:type="dxa"/>
              <w:left w:w="40" w:type="dxa"/>
              <w:bottom w:w="40" w:type="dxa"/>
              <w:right w:w="40" w:type="dxa"/>
            </w:tcMar>
          </w:tcPr>
          <w:p w14:paraId="1446E6F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Asia-Pacific</w:t>
            </w:r>
          </w:p>
        </w:tc>
        <w:tc>
          <w:tcPr>
            <w:tcW w:w="0" w:type="auto"/>
            <w:gridSpan w:val="2"/>
            <w:shd w:val="clear" w:color="auto" w:fill="CCEEFF"/>
            <w:tcMar>
              <w:top w:w="40" w:type="dxa"/>
              <w:left w:w="40" w:type="dxa"/>
              <w:bottom w:w="40" w:type="dxa"/>
            </w:tcMar>
            <w:vAlign w:val="bottom"/>
          </w:tcPr>
          <w:p w14:paraId="1446E6F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3,971</w:t>
            </w:r>
          </w:p>
        </w:tc>
        <w:tc>
          <w:tcPr>
            <w:tcW w:w="0" w:type="auto"/>
            <w:shd w:val="clear" w:color="auto" w:fill="CCEEFF"/>
            <w:vAlign w:val="bottom"/>
          </w:tcPr>
          <w:p w14:paraId="1446E6F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6F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6F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3,337</w:t>
            </w:r>
          </w:p>
        </w:tc>
        <w:tc>
          <w:tcPr>
            <w:tcW w:w="0" w:type="auto"/>
            <w:shd w:val="clear" w:color="auto" w:fill="CCEEFF"/>
            <w:vAlign w:val="bottom"/>
          </w:tcPr>
          <w:p w14:paraId="1446E6F9" w14:textId="77777777" w:rsidR="00FE42B5" w:rsidRDefault="00FE42B5">
            <w:pPr>
              <w:textAlignment w:val="bottom"/>
              <w:rPr>
                <w:rFonts w:ascii="Times New Roman" w:hAnsi="Times New Roman"/>
                <w:sz w:val="20"/>
                <w:szCs w:val="20"/>
              </w:rPr>
            </w:pPr>
          </w:p>
        </w:tc>
      </w:tr>
      <w:tr w:rsidR="00FE42B5" w14:paraId="1446E701" w14:textId="77777777">
        <w:tc>
          <w:tcPr>
            <w:tcW w:w="0" w:type="auto"/>
            <w:shd w:val="clear" w:color="auto" w:fill="auto"/>
            <w:tcMar>
              <w:top w:w="40" w:type="dxa"/>
              <w:left w:w="40" w:type="dxa"/>
              <w:bottom w:w="40" w:type="dxa"/>
              <w:right w:w="40" w:type="dxa"/>
            </w:tcMar>
          </w:tcPr>
          <w:p w14:paraId="1446E6F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Rest of World</w:t>
            </w:r>
            <w:r>
              <w:rPr>
                <w:rFonts w:ascii="Times New Roman" w:eastAsia="宋体" w:hAnsi="Times New Roman"/>
                <w:sz w:val="14"/>
                <w:szCs w:val="14"/>
              </w:rPr>
              <w:t>(2)</w:t>
            </w:r>
          </w:p>
        </w:tc>
        <w:tc>
          <w:tcPr>
            <w:tcW w:w="0" w:type="auto"/>
            <w:gridSpan w:val="2"/>
            <w:tcBorders>
              <w:bottom w:val="single" w:sz="8" w:space="0" w:color="000000"/>
            </w:tcBorders>
            <w:shd w:val="clear" w:color="auto" w:fill="auto"/>
            <w:tcMar>
              <w:top w:w="40" w:type="dxa"/>
              <w:left w:w="40" w:type="dxa"/>
              <w:bottom w:w="40" w:type="dxa"/>
            </w:tcMar>
            <w:vAlign w:val="bottom"/>
          </w:tcPr>
          <w:p w14:paraId="1446E6F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1,604</w:t>
            </w:r>
          </w:p>
        </w:tc>
        <w:tc>
          <w:tcPr>
            <w:tcW w:w="0" w:type="auto"/>
            <w:tcBorders>
              <w:bottom w:val="single" w:sz="8" w:space="0" w:color="000000"/>
            </w:tcBorders>
            <w:shd w:val="clear" w:color="auto" w:fill="auto"/>
            <w:vAlign w:val="bottom"/>
          </w:tcPr>
          <w:p w14:paraId="1446E6F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6F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6F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1,339</w:t>
            </w:r>
          </w:p>
        </w:tc>
        <w:tc>
          <w:tcPr>
            <w:tcW w:w="0" w:type="auto"/>
            <w:tcBorders>
              <w:bottom w:val="single" w:sz="8" w:space="0" w:color="000000"/>
            </w:tcBorders>
            <w:shd w:val="clear" w:color="auto" w:fill="auto"/>
            <w:vAlign w:val="bottom"/>
          </w:tcPr>
          <w:p w14:paraId="1446E700" w14:textId="77777777" w:rsidR="00FE42B5" w:rsidRDefault="00FE42B5">
            <w:pPr>
              <w:textAlignment w:val="bottom"/>
              <w:rPr>
                <w:rFonts w:ascii="Times New Roman" w:hAnsi="Times New Roman"/>
                <w:sz w:val="20"/>
                <w:szCs w:val="20"/>
              </w:rPr>
            </w:pPr>
          </w:p>
        </w:tc>
      </w:tr>
      <w:tr w:rsidR="00FE42B5" w14:paraId="1446E70A" w14:textId="77777777">
        <w:tc>
          <w:tcPr>
            <w:tcW w:w="0" w:type="auto"/>
            <w:shd w:val="clear" w:color="auto" w:fill="CCEEFF"/>
            <w:tcMar>
              <w:top w:w="40" w:type="dxa"/>
              <w:left w:w="400" w:type="dxa"/>
              <w:bottom w:w="40" w:type="dxa"/>
              <w:right w:w="40" w:type="dxa"/>
            </w:tcMar>
          </w:tcPr>
          <w:p w14:paraId="1446E70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revenue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E70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E70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17,737</w:t>
            </w:r>
          </w:p>
        </w:tc>
        <w:tc>
          <w:tcPr>
            <w:tcW w:w="0" w:type="auto"/>
            <w:tcBorders>
              <w:top w:val="single" w:sz="8" w:space="0" w:color="000000"/>
              <w:bottom w:val="double" w:sz="6" w:space="0" w:color="000000"/>
            </w:tcBorders>
            <w:shd w:val="clear" w:color="auto" w:fill="CCEEFF"/>
            <w:vAlign w:val="bottom"/>
          </w:tcPr>
          <w:p w14:paraId="1446E70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0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E70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E70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15,077</w:t>
            </w:r>
          </w:p>
        </w:tc>
        <w:tc>
          <w:tcPr>
            <w:tcW w:w="0" w:type="auto"/>
            <w:tcBorders>
              <w:top w:val="single" w:sz="8" w:space="0" w:color="000000"/>
              <w:bottom w:val="double" w:sz="6" w:space="0" w:color="000000"/>
            </w:tcBorders>
            <w:shd w:val="clear" w:color="auto" w:fill="CCEEFF"/>
            <w:vAlign w:val="bottom"/>
          </w:tcPr>
          <w:p w14:paraId="1446E709" w14:textId="77777777" w:rsidR="00FE42B5" w:rsidRDefault="00FE42B5">
            <w:pPr>
              <w:textAlignment w:val="bottom"/>
              <w:rPr>
                <w:rFonts w:ascii="Times New Roman" w:hAnsi="Times New Roman"/>
                <w:sz w:val="20"/>
                <w:szCs w:val="20"/>
              </w:rPr>
            </w:pPr>
          </w:p>
        </w:tc>
      </w:tr>
    </w:tbl>
    <w:p w14:paraId="1446E70B" w14:textId="77777777" w:rsidR="00FE42B5" w:rsidRDefault="009213DC">
      <w:pPr>
        <w:spacing w:line="288" w:lineRule="auto"/>
        <w:jc w:val="both"/>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E42B5" w14:paraId="1446E70E" w14:textId="77777777">
        <w:trPr>
          <w:tblCellSpacing w:w="0" w:type="dxa"/>
        </w:trPr>
        <w:tc>
          <w:tcPr>
            <w:tcW w:w="480" w:type="dxa"/>
            <w:shd w:val="clear" w:color="auto" w:fill="auto"/>
            <w:vAlign w:val="center"/>
          </w:tcPr>
          <w:p w14:paraId="1446E70C" w14:textId="77777777" w:rsidR="00FE42B5" w:rsidRDefault="00FE42B5">
            <w:pPr>
              <w:rPr>
                <w:rFonts w:ascii="Times New Roman" w:hAnsi="Times New Roman"/>
                <w:sz w:val="20"/>
                <w:szCs w:val="20"/>
              </w:rPr>
            </w:pPr>
          </w:p>
        </w:tc>
        <w:tc>
          <w:tcPr>
            <w:tcW w:w="0" w:type="auto"/>
            <w:shd w:val="clear" w:color="auto" w:fill="auto"/>
            <w:vAlign w:val="center"/>
          </w:tcPr>
          <w:p w14:paraId="1446E70D" w14:textId="77777777" w:rsidR="00FE42B5" w:rsidRDefault="00FE42B5">
            <w:pPr>
              <w:rPr>
                <w:rFonts w:ascii="Times New Roman" w:hAnsi="Times New Roman"/>
                <w:sz w:val="20"/>
                <w:szCs w:val="20"/>
              </w:rPr>
            </w:pPr>
          </w:p>
        </w:tc>
      </w:tr>
      <w:tr w:rsidR="00FE42B5" w14:paraId="1446E711" w14:textId="77777777">
        <w:trPr>
          <w:tblCellSpacing w:w="0" w:type="dxa"/>
        </w:trPr>
        <w:tc>
          <w:tcPr>
            <w:tcW w:w="0" w:type="auto"/>
            <w:shd w:val="clear" w:color="auto" w:fill="auto"/>
          </w:tcPr>
          <w:p w14:paraId="1446E70F" w14:textId="77777777" w:rsidR="00FE42B5" w:rsidRDefault="009213DC">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1446E710" w14:textId="77777777" w:rsidR="00FE42B5" w:rsidRDefault="009213DC">
            <w:pPr>
              <w:spacing w:line="288" w:lineRule="auto"/>
              <w:jc w:val="both"/>
              <w:textAlignment w:val="top"/>
              <w:rPr>
                <w:rFonts w:ascii="Times New Roman" w:hAnsi="Times New Roman"/>
                <w:sz w:val="18"/>
                <w:szCs w:val="18"/>
              </w:rPr>
            </w:pPr>
            <w:r>
              <w:rPr>
                <w:rFonts w:ascii="Times New Roman" w:eastAsia="宋体" w:hAnsi="Times New Roman"/>
                <w:sz w:val="18"/>
                <w:szCs w:val="18"/>
              </w:rPr>
              <w:t>United States revenue was $7.55 billion and $6.36 billion for the three months ended March 31, 2020 and 2019, respectively.</w:t>
            </w:r>
          </w:p>
        </w:tc>
      </w:tr>
    </w:tbl>
    <w:p w14:paraId="1446E712"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E42B5" w14:paraId="1446E715" w14:textId="77777777">
        <w:trPr>
          <w:tblCellSpacing w:w="0" w:type="dxa"/>
        </w:trPr>
        <w:tc>
          <w:tcPr>
            <w:tcW w:w="480" w:type="dxa"/>
            <w:shd w:val="clear" w:color="auto" w:fill="auto"/>
            <w:vAlign w:val="center"/>
          </w:tcPr>
          <w:p w14:paraId="1446E713" w14:textId="77777777" w:rsidR="00FE42B5" w:rsidRDefault="00FE42B5">
            <w:pPr>
              <w:rPr>
                <w:rFonts w:ascii="Times New Roman" w:hAnsi="Times New Roman"/>
                <w:sz w:val="20"/>
                <w:szCs w:val="20"/>
              </w:rPr>
            </w:pPr>
          </w:p>
        </w:tc>
        <w:tc>
          <w:tcPr>
            <w:tcW w:w="0" w:type="auto"/>
            <w:shd w:val="clear" w:color="auto" w:fill="auto"/>
            <w:vAlign w:val="center"/>
          </w:tcPr>
          <w:p w14:paraId="1446E714" w14:textId="77777777" w:rsidR="00FE42B5" w:rsidRDefault="00FE42B5">
            <w:pPr>
              <w:rPr>
                <w:rFonts w:ascii="Times New Roman" w:hAnsi="Times New Roman"/>
                <w:sz w:val="20"/>
                <w:szCs w:val="20"/>
              </w:rPr>
            </w:pPr>
          </w:p>
        </w:tc>
      </w:tr>
      <w:tr w:rsidR="00FE42B5" w14:paraId="1446E718" w14:textId="77777777">
        <w:trPr>
          <w:tblCellSpacing w:w="0" w:type="dxa"/>
        </w:trPr>
        <w:tc>
          <w:tcPr>
            <w:tcW w:w="0" w:type="auto"/>
            <w:shd w:val="clear" w:color="auto" w:fill="auto"/>
          </w:tcPr>
          <w:p w14:paraId="1446E716" w14:textId="77777777" w:rsidR="00FE42B5" w:rsidRDefault="009213DC">
            <w:pPr>
              <w:spacing w:line="288" w:lineRule="auto"/>
              <w:textAlignment w:val="top"/>
              <w:rPr>
                <w:rFonts w:ascii="Times New Roman" w:hAnsi="Times New Roman"/>
                <w:sz w:val="18"/>
                <w:szCs w:val="18"/>
              </w:rPr>
            </w:pPr>
            <w:r>
              <w:rPr>
                <w:rFonts w:ascii="Times New Roman" w:eastAsia="宋体" w:hAnsi="Times New Roman"/>
                <w:sz w:val="18"/>
                <w:szCs w:val="18"/>
              </w:rPr>
              <w:t>(2)</w:t>
            </w:r>
          </w:p>
        </w:tc>
        <w:tc>
          <w:tcPr>
            <w:tcW w:w="0" w:type="auto"/>
            <w:shd w:val="clear" w:color="auto" w:fill="auto"/>
          </w:tcPr>
          <w:p w14:paraId="1446E717" w14:textId="77777777" w:rsidR="00FE42B5" w:rsidRDefault="009213DC">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Europe includes Russia and Turkey, and Rest of </w:t>
            </w:r>
            <w:r>
              <w:rPr>
                <w:rFonts w:ascii="Times New Roman" w:eastAsia="宋体" w:hAnsi="Times New Roman"/>
                <w:sz w:val="18"/>
                <w:szCs w:val="18"/>
              </w:rPr>
              <w:t>World includes Africa, Latin America, and the Middle East.</w:t>
            </w:r>
          </w:p>
        </w:tc>
      </w:tr>
    </w:tbl>
    <w:p w14:paraId="1446E719" w14:textId="77777777" w:rsidR="00FE42B5" w:rsidRDefault="00FE42B5">
      <w:pPr>
        <w:spacing w:line="288" w:lineRule="auto"/>
        <w:ind w:firstLine="720"/>
        <w:rPr>
          <w:rFonts w:ascii="Times New Roman" w:hAnsi="Times New Roman"/>
          <w:sz w:val="20"/>
          <w:szCs w:val="20"/>
        </w:rPr>
      </w:pPr>
    </w:p>
    <w:p w14:paraId="1446E71A" w14:textId="77777777" w:rsidR="00FE42B5" w:rsidRDefault="009213DC">
      <w:pPr>
        <w:spacing w:line="288" w:lineRule="auto"/>
        <w:ind w:firstLine="720"/>
        <w:rPr>
          <w:rFonts w:ascii="Times New Roman" w:hAnsi="Times New Roman"/>
          <w:sz w:val="20"/>
          <w:szCs w:val="20"/>
        </w:rPr>
      </w:pPr>
      <w:r>
        <w:rPr>
          <w:rFonts w:ascii="Times New Roman" w:eastAsia="宋体" w:hAnsi="Times New Roman"/>
          <w:sz w:val="20"/>
          <w:szCs w:val="20"/>
        </w:rPr>
        <w:t>Deferred revenue and deposits consists of the following (in millions):</w:t>
      </w:r>
    </w:p>
    <w:tbl>
      <w:tblPr>
        <w:tblW w:w="5000" w:type="pct"/>
        <w:tblCellMar>
          <w:left w:w="0" w:type="dxa"/>
          <w:right w:w="0" w:type="dxa"/>
        </w:tblCellMar>
        <w:tblLook w:val="04A0" w:firstRow="1" w:lastRow="0" w:firstColumn="1" w:lastColumn="0" w:noHBand="0" w:noVBand="1"/>
      </w:tblPr>
      <w:tblGrid>
        <w:gridCol w:w="5692"/>
        <w:gridCol w:w="141"/>
        <w:gridCol w:w="1042"/>
        <w:gridCol w:w="52"/>
        <w:gridCol w:w="130"/>
        <w:gridCol w:w="141"/>
        <w:gridCol w:w="1041"/>
        <w:gridCol w:w="67"/>
      </w:tblGrid>
      <w:tr w:rsidR="00FE42B5" w14:paraId="1446E71C" w14:textId="77777777">
        <w:tc>
          <w:tcPr>
            <w:tcW w:w="0" w:type="auto"/>
            <w:gridSpan w:val="8"/>
            <w:shd w:val="clear" w:color="auto" w:fill="auto"/>
            <w:vAlign w:val="center"/>
          </w:tcPr>
          <w:p w14:paraId="1446E71B" w14:textId="77777777" w:rsidR="00FE42B5" w:rsidRDefault="00FE42B5">
            <w:pPr>
              <w:rPr>
                <w:rFonts w:ascii="Times New Roman" w:hAnsi="Times New Roman"/>
                <w:sz w:val="20"/>
                <w:szCs w:val="20"/>
              </w:rPr>
            </w:pPr>
          </w:p>
        </w:tc>
      </w:tr>
      <w:tr w:rsidR="00FE42B5" w14:paraId="1446E725" w14:textId="77777777">
        <w:tc>
          <w:tcPr>
            <w:tcW w:w="3449" w:type="pct"/>
            <w:shd w:val="clear" w:color="auto" w:fill="auto"/>
            <w:vAlign w:val="center"/>
          </w:tcPr>
          <w:p w14:paraId="1446E71D" w14:textId="77777777" w:rsidR="00FE42B5" w:rsidRDefault="00FE42B5">
            <w:pPr>
              <w:rPr>
                <w:rFonts w:ascii="Times New Roman" w:hAnsi="Times New Roman"/>
                <w:sz w:val="20"/>
                <w:szCs w:val="20"/>
              </w:rPr>
            </w:pPr>
          </w:p>
        </w:tc>
        <w:tc>
          <w:tcPr>
            <w:tcW w:w="50" w:type="pct"/>
            <w:shd w:val="clear" w:color="auto" w:fill="auto"/>
            <w:vAlign w:val="center"/>
          </w:tcPr>
          <w:p w14:paraId="1446E71E" w14:textId="77777777" w:rsidR="00FE42B5" w:rsidRDefault="00FE42B5">
            <w:pPr>
              <w:rPr>
                <w:rFonts w:ascii="Times New Roman" w:hAnsi="Times New Roman"/>
                <w:sz w:val="20"/>
                <w:szCs w:val="20"/>
              </w:rPr>
            </w:pPr>
          </w:p>
        </w:tc>
        <w:tc>
          <w:tcPr>
            <w:tcW w:w="650" w:type="pct"/>
            <w:shd w:val="clear" w:color="auto" w:fill="auto"/>
            <w:vAlign w:val="center"/>
          </w:tcPr>
          <w:p w14:paraId="1446E71F" w14:textId="77777777" w:rsidR="00FE42B5" w:rsidRDefault="00FE42B5">
            <w:pPr>
              <w:rPr>
                <w:rFonts w:ascii="Times New Roman" w:hAnsi="Times New Roman"/>
                <w:sz w:val="20"/>
                <w:szCs w:val="20"/>
              </w:rPr>
            </w:pPr>
          </w:p>
        </w:tc>
        <w:tc>
          <w:tcPr>
            <w:tcW w:w="50" w:type="pct"/>
            <w:shd w:val="clear" w:color="auto" w:fill="auto"/>
            <w:vAlign w:val="center"/>
          </w:tcPr>
          <w:p w14:paraId="1446E720" w14:textId="77777777" w:rsidR="00FE42B5" w:rsidRDefault="00FE42B5">
            <w:pPr>
              <w:rPr>
                <w:rFonts w:ascii="Times New Roman" w:hAnsi="Times New Roman"/>
                <w:sz w:val="20"/>
                <w:szCs w:val="20"/>
              </w:rPr>
            </w:pPr>
          </w:p>
        </w:tc>
        <w:tc>
          <w:tcPr>
            <w:tcW w:w="50" w:type="pct"/>
            <w:shd w:val="clear" w:color="auto" w:fill="auto"/>
            <w:vAlign w:val="center"/>
          </w:tcPr>
          <w:p w14:paraId="1446E721" w14:textId="77777777" w:rsidR="00FE42B5" w:rsidRDefault="00FE42B5">
            <w:pPr>
              <w:rPr>
                <w:rFonts w:ascii="Times New Roman" w:hAnsi="Times New Roman"/>
                <w:sz w:val="20"/>
                <w:szCs w:val="20"/>
              </w:rPr>
            </w:pPr>
          </w:p>
        </w:tc>
        <w:tc>
          <w:tcPr>
            <w:tcW w:w="50" w:type="pct"/>
            <w:shd w:val="clear" w:color="auto" w:fill="auto"/>
            <w:vAlign w:val="center"/>
          </w:tcPr>
          <w:p w14:paraId="1446E722" w14:textId="77777777" w:rsidR="00FE42B5" w:rsidRDefault="00FE42B5">
            <w:pPr>
              <w:rPr>
                <w:rFonts w:ascii="Times New Roman" w:hAnsi="Times New Roman"/>
                <w:sz w:val="20"/>
                <w:szCs w:val="20"/>
              </w:rPr>
            </w:pPr>
          </w:p>
        </w:tc>
        <w:tc>
          <w:tcPr>
            <w:tcW w:w="650" w:type="pct"/>
            <w:shd w:val="clear" w:color="auto" w:fill="auto"/>
            <w:vAlign w:val="center"/>
          </w:tcPr>
          <w:p w14:paraId="1446E723" w14:textId="77777777" w:rsidR="00FE42B5" w:rsidRDefault="00FE42B5">
            <w:pPr>
              <w:rPr>
                <w:rFonts w:ascii="Times New Roman" w:hAnsi="Times New Roman"/>
                <w:sz w:val="20"/>
                <w:szCs w:val="20"/>
              </w:rPr>
            </w:pPr>
          </w:p>
        </w:tc>
        <w:tc>
          <w:tcPr>
            <w:tcW w:w="50" w:type="pct"/>
            <w:shd w:val="clear" w:color="auto" w:fill="auto"/>
            <w:vAlign w:val="center"/>
          </w:tcPr>
          <w:p w14:paraId="1446E724" w14:textId="77777777" w:rsidR="00FE42B5" w:rsidRDefault="00FE42B5">
            <w:pPr>
              <w:rPr>
                <w:rFonts w:ascii="Times New Roman" w:hAnsi="Times New Roman"/>
                <w:sz w:val="20"/>
                <w:szCs w:val="20"/>
              </w:rPr>
            </w:pPr>
          </w:p>
        </w:tc>
      </w:tr>
      <w:tr w:rsidR="00FE42B5" w14:paraId="1446E72A" w14:textId="77777777">
        <w:tc>
          <w:tcPr>
            <w:tcW w:w="0" w:type="auto"/>
            <w:shd w:val="clear" w:color="auto" w:fill="auto"/>
            <w:tcMar>
              <w:top w:w="40" w:type="dxa"/>
              <w:left w:w="40" w:type="dxa"/>
              <w:bottom w:w="40" w:type="dxa"/>
              <w:right w:w="40" w:type="dxa"/>
            </w:tcMar>
            <w:vAlign w:val="bottom"/>
          </w:tcPr>
          <w:p w14:paraId="1446E726"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727"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March 31, 2020</w:t>
            </w:r>
          </w:p>
        </w:tc>
        <w:tc>
          <w:tcPr>
            <w:tcW w:w="0" w:type="auto"/>
            <w:shd w:val="clear" w:color="auto" w:fill="auto"/>
            <w:tcMar>
              <w:top w:w="40" w:type="dxa"/>
              <w:left w:w="40" w:type="dxa"/>
              <w:bottom w:w="40" w:type="dxa"/>
              <w:right w:w="40" w:type="dxa"/>
            </w:tcMar>
            <w:vAlign w:val="bottom"/>
          </w:tcPr>
          <w:p w14:paraId="1446E72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729"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FE42B5" w14:paraId="1446E733" w14:textId="77777777">
        <w:tc>
          <w:tcPr>
            <w:tcW w:w="0" w:type="auto"/>
            <w:shd w:val="clear" w:color="auto" w:fill="CCEEFF"/>
            <w:tcMar>
              <w:top w:w="40" w:type="dxa"/>
              <w:left w:w="40" w:type="dxa"/>
              <w:bottom w:w="40" w:type="dxa"/>
              <w:right w:w="40" w:type="dxa"/>
            </w:tcMar>
          </w:tcPr>
          <w:p w14:paraId="1446E72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Deferred revenue</w:t>
            </w:r>
          </w:p>
        </w:tc>
        <w:tc>
          <w:tcPr>
            <w:tcW w:w="0" w:type="auto"/>
            <w:tcBorders>
              <w:top w:val="single" w:sz="8" w:space="0" w:color="000000"/>
            </w:tcBorders>
            <w:shd w:val="clear" w:color="auto" w:fill="CCEEFF"/>
            <w:tcMar>
              <w:top w:w="40" w:type="dxa"/>
              <w:left w:w="40" w:type="dxa"/>
              <w:bottom w:w="40" w:type="dxa"/>
            </w:tcMar>
            <w:vAlign w:val="bottom"/>
          </w:tcPr>
          <w:p w14:paraId="1446E72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446E72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210</w:t>
            </w:r>
          </w:p>
        </w:tc>
        <w:tc>
          <w:tcPr>
            <w:tcW w:w="0" w:type="auto"/>
            <w:tcBorders>
              <w:top w:val="single" w:sz="8" w:space="0" w:color="000000"/>
            </w:tcBorders>
            <w:shd w:val="clear" w:color="auto" w:fill="CCEEFF"/>
            <w:vAlign w:val="bottom"/>
          </w:tcPr>
          <w:p w14:paraId="1446E72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2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73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446E73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234</w:t>
            </w:r>
          </w:p>
        </w:tc>
        <w:tc>
          <w:tcPr>
            <w:tcW w:w="0" w:type="auto"/>
            <w:tcBorders>
              <w:top w:val="single" w:sz="8" w:space="0" w:color="000000"/>
            </w:tcBorders>
            <w:shd w:val="clear" w:color="auto" w:fill="CCEEFF"/>
            <w:vAlign w:val="bottom"/>
          </w:tcPr>
          <w:p w14:paraId="1446E732" w14:textId="77777777" w:rsidR="00FE42B5" w:rsidRDefault="00FE42B5">
            <w:pPr>
              <w:textAlignment w:val="bottom"/>
              <w:rPr>
                <w:rFonts w:ascii="Times New Roman" w:hAnsi="Times New Roman"/>
                <w:sz w:val="20"/>
                <w:szCs w:val="20"/>
              </w:rPr>
            </w:pPr>
          </w:p>
        </w:tc>
      </w:tr>
      <w:tr w:rsidR="00FE42B5" w14:paraId="1446E73A" w14:textId="77777777">
        <w:tc>
          <w:tcPr>
            <w:tcW w:w="0" w:type="auto"/>
            <w:shd w:val="clear" w:color="auto" w:fill="auto"/>
            <w:tcMar>
              <w:top w:w="40" w:type="dxa"/>
              <w:left w:w="40" w:type="dxa"/>
              <w:bottom w:w="40" w:type="dxa"/>
              <w:right w:w="40" w:type="dxa"/>
            </w:tcMar>
          </w:tcPr>
          <w:p w14:paraId="1446E73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Deposits</w:t>
            </w:r>
          </w:p>
        </w:tc>
        <w:tc>
          <w:tcPr>
            <w:tcW w:w="0" w:type="auto"/>
            <w:gridSpan w:val="2"/>
            <w:shd w:val="clear" w:color="auto" w:fill="auto"/>
            <w:tcMar>
              <w:top w:w="40" w:type="dxa"/>
              <w:left w:w="40" w:type="dxa"/>
              <w:bottom w:w="40" w:type="dxa"/>
            </w:tcMar>
            <w:vAlign w:val="bottom"/>
          </w:tcPr>
          <w:p w14:paraId="1446E73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auto"/>
            <w:vAlign w:val="bottom"/>
          </w:tcPr>
          <w:p w14:paraId="1446E73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73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73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tcBorders>
              <w:bottom w:val="single" w:sz="8" w:space="0" w:color="000000"/>
            </w:tcBorders>
            <w:shd w:val="clear" w:color="auto" w:fill="auto"/>
            <w:vAlign w:val="bottom"/>
          </w:tcPr>
          <w:p w14:paraId="1446E739" w14:textId="77777777" w:rsidR="00FE42B5" w:rsidRDefault="00FE42B5">
            <w:pPr>
              <w:textAlignment w:val="bottom"/>
              <w:rPr>
                <w:rFonts w:ascii="Times New Roman" w:hAnsi="Times New Roman"/>
                <w:sz w:val="20"/>
                <w:szCs w:val="20"/>
              </w:rPr>
            </w:pPr>
          </w:p>
        </w:tc>
      </w:tr>
      <w:tr w:rsidR="00FE42B5" w14:paraId="1446E743" w14:textId="77777777">
        <w:tc>
          <w:tcPr>
            <w:tcW w:w="0" w:type="auto"/>
            <w:shd w:val="clear" w:color="auto" w:fill="CCEEFF"/>
            <w:tcMar>
              <w:top w:w="40" w:type="dxa"/>
              <w:left w:w="400" w:type="dxa"/>
              <w:bottom w:w="40" w:type="dxa"/>
              <w:right w:w="40" w:type="dxa"/>
            </w:tcMar>
          </w:tcPr>
          <w:p w14:paraId="1446E73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deferred revenue and deposits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E73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E73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247</w:t>
            </w:r>
          </w:p>
        </w:tc>
        <w:tc>
          <w:tcPr>
            <w:tcW w:w="0" w:type="auto"/>
            <w:tcBorders>
              <w:top w:val="single" w:sz="8" w:space="0" w:color="000000"/>
              <w:bottom w:val="double" w:sz="6" w:space="0" w:color="000000"/>
            </w:tcBorders>
            <w:shd w:val="clear" w:color="auto" w:fill="CCEEFF"/>
            <w:vAlign w:val="bottom"/>
          </w:tcPr>
          <w:p w14:paraId="1446E73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3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E74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E74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tcBorders>
              <w:top w:val="single" w:sz="8" w:space="0" w:color="000000"/>
              <w:bottom w:val="double" w:sz="6" w:space="0" w:color="000000"/>
            </w:tcBorders>
            <w:shd w:val="clear" w:color="auto" w:fill="CCEEFF"/>
            <w:vAlign w:val="bottom"/>
          </w:tcPr>
          <w:p w14:paraId="1446E742" w14:textId="77777777" w:rsidR="00FE42B5" w:rsidRDefault="00FE42B5">
            <w:pPr>
              <w:textAlignment w:val="bottom"/>
              <w:rPr>
                <w:rFonts w:ascii="Times New Roman" w:hAnsi="Times New Roman"/>
                <w:sz w:val="20"/>
                <w:szCs w:val="20"/>
              </w:rPr>
            </w:pPr>
          </w:p>
        </w:tc>
      </w:tr>
    </w:tbl>
    <w:p w14:paraId="1446E744" w14:textId="77777777" w:rsidR="00FE42B5" w:rsidRDefault="00FE42B5">
      <w:pPr>
        <w:spacing w:line="288" w:lineRule="auto"/>
        <w:rPr>
          <w:rFonts w:ascii="Times New Roman" w:hAnsi="Times New Roman"/>
          <w:sz w:val="20"/>
          <w:szCs w:val="20"/>
        </w:rPr>
      </w:pPr>
    </w:p>
    <w:p w14:paraId="1446E745" w14:textId="77777777" w:rsidR="00FE42B5" w:rsidRDefault="00FE42B5">
      <w:pPr>
        <w:spacing w:line="288" w:lineRule="auto"/>
        <w:rPr>
          <w:rFonts w:ascii="Times New Roman" w:hAnsi="Times New Roman"/>
          <w:sz w:val="20"/>
          <w:szCs w:val="20"/>
        </w:rPr>
      </w:pPr>
    </w:p>
    <w:p w14:paraId="1446E746" w14:textId="77777777" w:rsidR="00FE42B5" w:rsidRDefault="00FE42B5">
      <w:pPr>
        <w:spacing w:line="288" w:lineRule="auto"/>
        <w:rPr>
          <w:rFonts w:ascii="Times New Roman" w:hAnsi="Times New Roman"/>
          <w:sz w:val="20"/>
          <w:szCs w:val="20"/>
        </w:rPr>
      </w:pPr>
    </w:p>
    <w:p w14:paraId="1446E747" w14:textId="77777777" w:rsidR="00FE42B5" w:rsidRDefault="00FE42B5">
      <w:pPr>
        <w:rPr>
          <w:rFonts w:ascii="Times New Roman" w:hAnsi="Times New Roman"/>
          <w:sz w:val="20"/>
          <w:szCs w:val="20"/>
        </w:rPr>
      </w:pPr>
    </w:p>
    <w:p w14:paraId="1446E748"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16</w:t>
      </w:r>
    </w:p>
    <w:p w14:paraId="1446E749" w14:textId="77777777" w:rsidR="00FE42B5" w:rsidRDefault="009213DC">
      <w:r>
        <w:rPr>
          <w:rFonts w:ascii="Times New Roman" w:hAnsi="Times New Roman"/>
          <w:sz w:val="20"/>
          <w:szCs w:val="20"/>
        </w:rPr>
        <w:pict w14:anchorId="1446FAC8">
          <v:rect id="_x0000_i1040" style="width:415.3pt;height:1.5pt" o:hralign="center" o:hrstd="t" o:hr="t" fillcolor="#a0a0a0" stroked="f"/>
        </w:pict>
      </w:r>
    </w:p>
    <w:p w14:paraId="1446E74A" w14:textId="77777777" w:rsidR="00FE42B5" w:rsidRDefault="009213DC">
      <w:pPr>
        <w:spacing w:line="288" w:lineRule="auto"/>
        <w:rPr>
          <w:rFonts w:ascii="Times New Roman" w:hAnsi="Times New Roman"/>
          <w:sz w:val="20"/>
          <w:szCs w:val="20"/>
        </w:rPr>
      </w:pPr>
      <w:hyperlink r:id="rId57" w:anchor="sBB4BED1571A45A16AF3DC2E3B69C901C" w:history="1">
        <w:r>
          <w:rPr>
            <w:rStyle w:val="a5"/>
            <w:rFonts w:ascii="Times New Roman" w:eastAsia="宋体" w:hAnsi="Times New Roman"/>
            <w:sz w:val="20"/>
            <w:szCs w:val="20"/>
          </w:rPr>
          <w:t>Table of Contents</w:t>
        </w:r>
      </w:hyperlink>
    </w:p>
    <w:p w14:paraId="1446E74B" w14:textId="77777777" w:rsidR="00FE42B5" w:rsidRDefault="00FE42B5">
      <w:pPr>
        <w:rPr>
          <w:rFonts w:ascii="Times New Roman" w:hAnsi="Times New Roman"/>
          <w:sz w:val="20"/>
          <w:szCs w:val="20"/>
        </w:rPr>
      </w:pPr>
    </w:p>
    <w:p w14:paraId="1446E74C"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Note 3. Earnings per Share</w:t>
      </w:r>
    </w:p>
    <w:p w14:paraId="1446E74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compute earnings per share (EPS) of Class A and </w:t>
      </w:r>
      <w:r>
        <w:rPr>
          <w:rFonts w:ascii="Times New Roman" w:eastAsia="宋体" w:hAnsi="Times New Roman"/>
          <w:sz w:val="20"/>
          <w:szCs w:val="20"/>
        </w:rPr>
        <w:t>Class B common stock using the two-class method.</w:t>
      </w:r>
    </w:p>
    <w:p w14:paraId="1446E74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Basic EPS is computed by dividing net income by the weighted-average number of shares of our Class A and Class B common stock outstanding.</w:t>
      </w:r>
    </w:p>
    <w:p w14:paraId="1446E74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For the calculation of diluted EPS, net income for basic EPS is adju</w:t>
      </w:r>
      <w:r>
        <w:rPr>
          <w:rFonts w:ascii="Times New Roman" w:eastAsia="宋体" w:hAnsi="Times New Roman"/>
          <w:sz w:val="20"/>
          <w:szCs w:val="20"/>
        </w:rPr>
        <w:t>sted by the effect of dilutive securities under our equity compensation plans. In addition, the computation of the diluted EPS of Class A common stock assumes the conversion of our Class B common stock to Class A common stock, while the diluted EPS of Clas</w:t>
      </w:r>
      <w:r>
        <w:rPr>
          <w:rFonts w:ascii="Times New Roman" w:eastAsia="宋体" w:hAnsi="Times New Roman"/>
          <w:sz w:val="20"/>
          <w:szCs w:val="20"/>
        </w:rPr>
        <w:t>s B common stock does not assume the conversion of those shares to Class A common stock. Diluted EPS attributable to common stockholders is computed by dividing the resulting net income by the weighted-average number of fully diluted common shares outstand</w:t>
      </w:r>
      <w:r>
        <w:rPr>
          <w:rFonts w:ascii="Times New Roman" w:eastAsia="宋体" w:hAnsi="Times New Roman"/>
          <w:sz w:val="20"/>
          <w:szCs w:val="20"/>
        </w:rPr>
        <w:t>ing.</w:t>
      </w:r>
    </w:p>
    <w:p w14:paraId="1446E75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Restricted stock units (RSUs) with anti-dilutive effect were excluded from the EPS calculation and they were not material for the three months ended March 31, 2020 and March 31, 2019.</w:t>
      </w:r>
    </w:p>
    <w:p w14:paraId="1446E751" w14:textId="77777777" w:rsidR="00FE42B5" w:rsidRDefault="00FE42B5">
      <w:pPr>
        <w:spacing w:line="288" w:lineRule="auto"/>
        <w:ind w:firstLine="720"/>
        <w:jc w:val="both"/>
        <w:rPr>
          <w:rFonts w:ascii="Times New Roman" w:hAnsi="Times New Roman"/>
          <w:sz w:val="20"/>
          <w:szCs w:val="20"/>
        </w:rPr>
      </w:pPr>
    </w:p>
    <w:p w14:paraId="1446E75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Basic and diluted EPS are the same for each class of common stock </w:t>
      </w:r>
      <w:r>
        <w:rPr>
          <w:rFonts w:ascii="Times New Roman" w:eastAsia="宋体" w:hAnsi="Times New Roman"/>
          <w:sz w:val="20"/>
          <w:szCs w:val="20"/>
        </w:rPr>
        <w:t>because they are entitled to the same liquidation and dividend rights.</w:t>
      </w:r>
    </w:p>
    <w:p w14:paraId="1446E753" w14:textId="77777777" w:rsidR="00FE42B5" w:rsidRDefault="00FE42B5">
      <w:pPr>
        <w:spacing w:line="288" w:lineRule="auto"/>
        <w:ind w:firstLine="720"/>
        <w:jc w:val="both"/>
        <w:rPr>
          <w:rFonts w:ascii="Times New Roman" w:hAnsi="Times New Roman"/>
          <w:sz w:val="20"/>
          <w:szCs w:val="20"/>
        </w:rPr>
      </w:pPr>
    </w:p>
    <w:p w14:paraId="1446E75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numerators and denominators of the basic and diluted EPS computations for our common stock are calculated as follows (in millions, except per share amounts):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4352"/>
        <w:gridCol w:w="140"/>
        <w:gridCol w:w="698"/>
        <w:gridCol w:w="34"/>
        <w:gridCol w:w="130"/>
        <w:gridCol w:w="140"/>
        <w:gridCol w:w="699"/>
        <w:gridCol w:w="107"/>
        <w:gridCol w:w="130"/>
        <w:gridCol w:w="140"/>
        <w:gridCol w:w="699"/>
        <w:gridCol w:w="34"/>
        <w:gridCol w:w="130"/>
        <w:gridCol w:w="140"/>
        <w:gridCol w:w="699"/>
        <w:gridCol w:w="34"/>
      </w:tblGrid>
      <w:tr w:rsidR="00FE42B5" w14:paraId="1446E756" w14:textId="77777777">
        <w:tc>
          <w:tcPr>
            <w:tcW w:w="0" w:type="auto"/>
            <w:gridSpan w:val="16"/>
            <w:shd w:val="clear" w:color="auto" w:fill="auto"/>
            <w:vAlign w:val="center"/>
          </w:tcPr>
          <w:p w14:paraId="1446E755" w14:textId="77777777" w:rsidR="00FE42B5" w:rsidRDefault="00FE42B5">
            <w:pPr>
              <w:rPr>
                <w:rFonts w:ascii="Times New Roman" w:hAnsi="Times New Roman"/>
                <w:sz w:val="20"/>
                <w:szCs w:val="20"/>
              </w:rPr>
            </w:pPr>
          </w:p>
        </w:tc>
      </w:tr>
      <w:tr w:rsidR="00FE42B5" w14:paraId="1446E767" w14:textId="77777777">
        <w:tc>
          <w:tcPr>
            <w:tcW w:w="2650" w:type="pct"/>
            <w:shd w:val="clear" w:color="auto" w:fill="auto"/>
            <w:vAlign w:val="center"/>
          </w:tcPr>
          <w:p w14:paraId="1446E757" w14:textId="77777777" w:rsidR="00FE42B5" w:rsidRDefault="00FE42B5">
            <w:pPr>
              <w:rPr>
                <w:rFonts w:ascii="Times New Roman" w:hAnsi="Times New Roman"/>
                <w:sz w:val="20"/>
                <w:szCs w:val="20"/>
              </w:rPr>
            </w:pPr>
          </w:p>
        </w:tc>
        <w:tc>
          <w:tcPr>
            <w:tcW w:w="50" w:type="pct"/>
            <w:shd w:val="clear" w:color="auto" w:fill="auto"/>
            <w:vAlign w:val="center"/>
          </w:tcPr>
          <w:p w14:paraId="1446E758" w14:textId="77777777" w:rsidR="00FE42B5" w:rsidRDefault="00FE42B5">
            <w:pPr>
              <w:rPr>
                <w:rFonts w:ascii="Times New Roman" w:hAnsi="Times New Roman"/>
                <w:sz w:val="20"/>
                <w:szCs w:val="20"/>
              </w:rPr>
            </w:pPr>
          </w:p>
        </w:tc>
        <w:tc>
          <w:tcPr>
            <w:tcW w:w="450" w:type="pct"/>
            <w:shd w:val="clear" w:color="auto" w:fill="auto"/>
            <w:vAlign w:val="center"/>
          </w:tcPr>
          <w:p w14:paraId="1446E759" w14:textId="77777777" w:rsidR="00FE42B5" w:rsidRDefault="00FE42B5">
            <w:pPr>
              <w:rPr>
                <w:rFonts w:ascii="Times New Roman" w:hAnsi="Times New Roman"/>
                <w:sz w:val="20"/>
                <w:szCs w:val="20"/>
              </w:rPr>
            </w:pPr>
          </w:p>
        </w:tc>
        <w:tc>
          <w:tcPr>
            <w:tcW w:w="50" w:type="pct"/>
            <w:shd w:val="clear" w:color="auto" w:fill="auto"/>
            <w:vAlign w:val="center"/>
          </w:tcPr>
          <w:p w14:paraId="1446E75A" w14:textId="77777777" w:rsidR="00FE42B5" w:rsidRDefault="00FE42B5">
            <w:pPr>
              <w:rPr>
                <w:rFonts w:ascii="Times New Roman" w:hAnsi="Times New Roman"/>
                <w:sz w:val="20"/>
                <w:szCs w:val="20"/>
              </w:rPr>
            </w:pPr>
          </w:p>
        </w:tc>
        <w:tc>
          <w:tcPr>
            <w:tcW w:w="50" w:type="pct"/>
            <w:shd w:val="clear" w:color="auto" w:fill="auto"/>
            <w:vAlign w:val="center"/>
          </w:tcPr>
          <w:p w14:paraId="1446E75B" w14:textId="77777777" w:rsidR="00FE42B5" w:rsidRDefault="00FE42B5">
            <w:pPr>
              <w:rPr>
                <w:rFonts w:ascii="Times New Roman" w:hAnsi="Times New Roman"/>
                <w:sz w:val="20"/>
                <w:szCs w:val="20"/>
              </w:rPr>
            </w:pPr>
          </w:p>
        </w:tc>
        <w:tc>
          <w:tcPr>
            <w:tcW w:w="50" w:type="pct"/>
            <w:shd w:val="clear" w:color="auto" w:fill="auto"/>
            <w:vAlign w:val="center"/>
          </w:tcPr>
          <w:p w14:paraId="1446E75C" w14:textId="77777777" w:rsidR="00FE42B5" w:rsidRDefault="00FE42B5">
            <w:pPr>
              <w:rPr>
                <w:rFonts w:ascii="Times New Roman" w:hAnsi="Times New Roman"/>
                <w:sz w:val="20"/>
                <w:szCs w:val="20"/>
              </w:rPr>
            </w:pPr>
          </w:p>
        </w:tc>
        <w:tc>
          <w:tcPr>
            <w:tcW w:w="450" w:type="pct"/>
            <w:shd w:val="clear" w:color="auto" w:fill="auto"/>
            <w:vAlign w:val="center"/>
          </w:tcPr>
          <w:p w14:paraId="1446E75D" w14:textId="77777777" w:rsidR="00FE42B5" w:rsidRDefault="00FE42B5">
            <w:pPr>
              <w:rPr>
                <w:rFonts w:ascii="Times New Roman" w:hAnsi="Times New Roman"/>
                <w:sz w:val="20"/>
                <w:szCs w:val="20"/>
              </w:rPr>
            </w:pPr>
          </w:p>
        </w:tc>
        <w:tc>
          <w:tcPr>
            <w:tcW w:w="50" w:type="pct"/>
            <w:shd w:val="clear" w:color="auto" w:fill="auto"/>
            <w:vAlign w:val="center"/>
          </w:tcPr>
          <w:p w14:paraId="1446E75E" w14:textId="77777777" w:rsidR="00FE42B5" w:rsidRDefault="00FE42B5">
            <w:pPr>
              <w:rPr>
                <w:rFonts w:ascii="Times New Roman" w:hAnsi="Times New Roman"/>
                <w:sz w:val="20"/>
                <w:szCs w:val="20"/>
              </w:rPr>
            </w:pPr>
          </w:p>
        </w:tc>
        <w:tc>
          <w:tcPr>
            <w:tcW w:w="50" w:type="pct"/>
            <w:shd w:val="clear" w:color="auto" w:fill="auto"/>
            <w:vAlign w:val="center"/>
          </w:tcPr>
          <w:p w14:paraId="1446E75F" w14:textId="77777777" w:rsidR="00FE42B5" w:rsidRDefault="00FE42B5">
            <w:pPr>
              <w:rPr>
                <w:rFonts w:ascii="Times New Roman" w:hAnsi="Times New Roman"/>
                <w:sz w:val="20"/>
                <w:szCs w:val="20"/>
              </w:rPr>
            </w:pPr>
          </w:p>
        </w:tc>
        <w:tc>
          <w:tcPr>
            <w:tcW w:w="50" w:type="pct"/>
            <w:shd w:val="clear" w:color="auto" w:fill="auto"/>
            <w:vAlign w:val="center"/>
          </w:tcPr>
          <w:p w14:paraId="1446E760" w14:textId="77777777" w:rsidR="00FE42B5" w:rsidRDefault="00FE42B5">
            <w:pPr>
              <w:rPr>
                <w:rFonts w:ascii="Times New Roman" w:hAnsi="Times New Roman"/>
                <w:sz w:val="20"/>
                <w:szCs w:val="20"/>
              </w:rPr>
            </w:pPr>
          </w:p>
        </w:tc>
        <w:tc>
          <w:tcPr>
            <w:tcW w:w="450" w:type="pct"/>
            <w:shd w:val="clear" w:color="auto" w:fill="auto"/>
            <w:vAlign w:val="center"/>
          </w:tcPr>
          <w:p w14:paraId="1446E761" w14:textId="77777777" w:rsidR="00FE42B5" w:rsidRDefault="00FE42B5">
            <w:pPr>
              <w:rPr>
                <w:rFonts w:ascii="Times New Roman" w:hAnsi="Times New Roman"/>
                <w:sz w:val="20"/>
                <w:szCs w:val="20"/>
              </w:rPr>
            </w:pPr>
          </w:p>
        </w:tc>
        <w:tc>
          <w:tcPr>
            <w:tcW w:w="50" w:type="pct"/>
            <w:shd w:val="clear" w:color="auto" w:fill="auto"/>
            <w:vAlign w:val="center"/>
          </w:tcPr>
          <w:p w14:paraId="1446E762" w14:textId="77777777" w:rsidR="00FE42B5" w:rsidRDefault="00FE42B5">
            <w:pPr>
              <w:rPr>
                <w:rFonts w:ascii="Times New Roman" w:hAnsi="Times New Roman"/>
                <w:sz w:val="20"/>
                <w:szCs w:val="20"/>
              </w:rPr>
            </w:pPr>
          </w:p>
        </w:tc>
        <w:tc>
          <w:tcPr>
            <w:tcW w:w="50" w:type="pct"/>
            <w:shd w:val="clear" w:color="auto" w:fill="auto"/>
            <w:vAlign w:val="center"/>
          </w:tcPr>
          <w:p w14:paraId="1446E763" w14:textId="77777777" w:rsidR="00FE42B5" w:rsidRDefault="00FE42B5">
            <w:pPr>
              <w:rPr>
                <w:rFonts w:ascii="Times New Roman" w:hAnsi="Times New Roman"/>
                <w:sz w:val="20"/>
                <w:szCs w:val="20"/>
              </w:rPr>
            </w:pPr>
          </w:p>
        </w:tc>
        <w:tc>
          <w:tcPr>
            <w:tcW w:w="50" w:type="pct"/>
            <w:shd w:val="clear" w:color="auto" w:fill="auto"/>
            <w:vAlign w:val="center"/>
          </w:tcPr>
          <w:p w14:paraId="1446E764" w14:textId="77777777" w:rsidR="00FE42B5" w:rsidRDefault="00FE42B5">
            <w:pPr>
              <w:rPr>
                <w:rFonts w:ascii="Times New Roman" w:hAnsi="Times New Roman"/>
                <w:sz w:val="20"/>
                <w:szCs w:val="20"/>
              </w:rPr>
            </w:pPr>
          </w:p>
        </w:tc>
        <w:tc>
          <w:tcPr>
            <w:tcW w:w="450" w:type="pct"/>
            <w:shd w:val="clear" w:color="auto" w:fill="auto"/>
            <w:vAlign w:val="center"/>
          </w:tcPr>
          <w:p w14:paraId="1446E765" w14:textId="77777777" w:rsidR="00FE42B5" w:rsidRDefault="00FE42B5">
            <w:pPr>
              <w:rPr>
                <w:rFonts w:ascii="Times New Roman" w:hAnsi="Times New Roman"/>
                <w:sz w:val="20"/>
                <w:szCs w:val="20"/>
              </w:rPr>
            </w:pPr>
          </w:p>
        </w:tc>
        <w:tc>
          <w:tcPr>
            <w:tcW w:w="50" w:type="pct"/>
            <w:shd w:val="clear" w:color="auto" w:fill="auto"/>
            <w:vAlign w:val="center"/>
          </w:tcPr>
          <w:p w14:paraId="1446E766" w14:textId="77777777" w:rsidR="00FE42B5" w:rsidRDefault="00FE42B5">
            <w:pPr>
              <w:rPr>
                <w:rFonts w:ascii="Times New Roman" w:hAnsi="Times New Roman"/>
                <w:sz w:val="20"/>
                <w:szCs w:val="20"/>
              </w:rPr>
            </w:pPr>
          </w:p>
        </w:tc>
      </w:tr>
      <w:tr w:rsidR="00FE42B5" w14:paraId="1446E76A" w14:textId="77777777">
        <w:tc>
          <w:tcPr>
            <w:tcW w:w="0" w:type="auto"/>
            <w:shd w:val="clear" w:color="auto" w:fill="auto"/>
            <w:tcMar>
              <w:top w:w="40" w:type="dxa"/>
              <w:left w:w="40" w:type="dxa"/>
              <w:bottom w:w="40" w:type="dxa"/>
              <w:right w:w="40" w:type="dxa"/>
            </w:tcMar>
            <w:vAlign w:val="bottom"/>
          </w:tcPr>
          <w:p w14:paraId="1446E768"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1446E769"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r>
      <w:tr w:rsidR="00FE42B5" w14:paraId="1446E76F" w14:textId="77777777">
        <w:tc>
          <w:tcPr>
            <w:tcW w:w="0" w:type="auto"/>
            <w:shd w:val="clear" w:color="auto" w:fill="auto"/>
            <w:tcMar>
              <w:top w:w="40" w:type="dxa"/>
              <w:left w:w="40" w:type="dxa"/>
              <w:bottom w:w="40" w:type="dxa"/>
              <w:right w:w="40" w:type="dxa"/>
            </w:tcMar>
            <w:vAlign w:val="bottom"/>
          </w:tcPr>
          <w:p w14:paraId="1446E76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E76C"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1446E76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E76E"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E42B5" w14:paraId="1446E778" w14:textId="77777777">
        <w:tc>
          <w:tcPr>
            <w:tcW w:w="0" w:type="auto"/>
            <w:shd w:val="clear" w:color="auto" w:fill="auto"/>
            <w:tcMar>
              <w:top w:w="40" w:type="dxa"/>
              <w:left w:w="40" w:type="dxa"/>
              <w:bottom w:w="40" w:type="dxa"/>
              <w:right w:w="40" w:type="dxa"/>
            </w:tcMar>
            <w:vAlign w:val="bottom"/>
          </w:tcPr>
          <w:p w14:paraId="1446E770"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771"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Class A</w:t>
            </w:r>
          </w:p>
        </w:tc>
        <w:tc>
          <w:tcPr>
            <w:tcW w:w="0" w:type="auto"/>
            <w:shd w:val="clear" w:color="auto" w:fill="auto"/>
            <w:tcMar>
              <w:top w:w="40" w:type="dxa"/>
              <w:left w:w="40" w:type="dxa"/>
              <w:bottom w:w="40" w:type="dxa"/>
              <w:right w:w="40" w:type="dxa"/>
            </w:tcMar>
            <w:vAlign w:val="bottom"/>
          </w:tcPr>
          <w:p w14:paraId="1446E77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773"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Class B</w:t>
            </w:r>
          </w:p>
        </w:tc>
        <w:tc>
          <w:tcPr>
            <w:tcW w:w="0" w:type="auto"/>
            <w:shd w:val="clear" w:color="auto" w:fill="auto"/>
            <w:tcMar>
              <w:top w:w="40" w:type="dxa"/>
              <w:left w:w="40" w:type="dxa"/>
              <w:bottom w:w="40" w:type="dxa"/>
              <w:right w:w="40" w:type="dxa"/>
            </w:tcMar>
            <w:vAlign w:val="bottom"/>
          </w:tcPr>
          <w:p w14:paraId="1446E77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775"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Class A</w:t>
            </w:r>
          </w:p>
        </w:tc>
        <w:tc>
          <w:tcPr>
            <w:tcW w:w="0" w:type="auto"/>
            <w:shd w:val="clear" w:color="auto" w:fill="auto"/>
            <w:tcMar>
              <w:top w:w="40" w:type="dxa"/>
              <w:left w:w="40" w:type="dxa"/>
              <w:bottom w:w="40" w:type="dxa"/>
              <w:right w:w="40" w:type="dxa"/>
            </w:tcMar>
            <w:vAlign w:val="bottom"/>
          </w:tcPr>
          <w:p w14:paraId="1446E77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777"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Class B</w:t>
            </w:r>
          </w:p>
        </w:tc>
      </w:tr>
      <w:tr w:rsidR="00FE42B5" w14:paraId="1446E781" w14:textId="77777777">
        <w:tc>
          <w:tcPr>
            <w:tcW w:w="0" w:type="auto"/>
            <w:shd w:val="clear" w:color="auto" w:fill="CCEEFF"/>
            <w:tcMar>
              <w:top w:w="40" w:type="dxa"/>
              <w:left w:w="40" w:type="dxa"/>
              <w:bottom w:w="40" w:type="dxa"/>
              <w:right w:w="40" w:type="dxa"/>
            </w:tcMar>
          </w:tcPr>
          <w:p w14:paraId="1446E779" w14:textId="77777777" w:rsidR="00FE42B5" w:rsidRDefault="009213DC">
            <w:pPr>
              <w:textAlignment w:val="top"/>
              <w:rPr>
                <w:rFonts w:ascii="Times New Roman" w:hAnsi="Times New Roman"/>
                <w:sz w:val="20"/>
                <w:szCs w:val="20"/>
              </w:rPr>
            </w:pPr>
            <w:r>
              <w:rPr>
                <w:rFonts w:ascii="Times New Roman" w:eastAsia="宋体" w:hAnsi="Times New Roman"/>
                <w:sz w:val="20"/>
                <w:szCs w:val="20"/>
                <w:u w:val="single"/>
              </w:rPr>
              <w:t>Basic EPS:</w:t>
            </w:r>
          </w:p>
        </w:tc>
        <w:tc>
          <w:tcPr>
            <w:tcW w:w="0" w:type="auto"/>
            <w:gridSpan w:val="3"/>
            <w:shd w:val="clear" w:color="auto" w:fill="CCEEFF"/>
            <w:tcMar>
              <w:top w:w="40" w:type="dxa"/>
              <w:left w:w="40" w:type="dxa"/>
              <w:bottom w:w="40" w:type="dxa"/>
              <w:right w:w="40" w:type="dxa"/>
            </w:tcMar>
            <w:vAlign w:val="bottom"/>
          </w:tcPr>
          <w:p w14:paraId="1446E77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77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77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77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77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77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78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78A" w14:textId="77777777">
        <w:tc>
          <w:tcPr>
            <w:tcW w:w="0" w:type="auto"/>
            <w:shd w:val="clear" w:color="auto" w:fill="auto"/>
            <w:tcMar>
              <w:top w:w="40" w:type="dxa"/>
              <w:left w:w="560" w:type="dxa"/>
              <w:bottom w:w="40" w:type="dxa"/>
              <w:right w:w="40" w:type="dxa"/>
            </w:tcMar>
          </w:tcPr>
          <w:p w14:paraId="1446E78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Numerator</w:t>
            </w:r>
          </w:p>
        </w:tc>
        <w:tc>
          <w:tcPr>
            <w:tcW w:w="0" w:type="auto"/>
            <w:gridSpan w:val="3"/>
            <w:shd w:val="clear" w:color="auto" w:fill="auto"/>
            <w:tcMar>
              <w:top w:w="40" w:type="dxa"/>
              <w:left w:w="40" w:type="dxa"/>
              <w:bottom w:w="40" w:type="dxa"/>
              <w:right w:w="40" w:type="dxa"/>
            </w:tcMar>
            <w:vAlign w:val="bottom"/>
          </w:tcPr>
          <w:p w14:paraId="1446E78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78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78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78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78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78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78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79B" w14:textId="77777777">
        <w:tc>
          <w:tcPr>
            <w:tcW w:w="0" w:type="auto"/>
            <w:shd w:val="clear" w:color="auto" w:fill="CCEEFF"/>
            <w:tcMar>
              <w:top w:w="40" w:type="dxa"/>
              <w:left w:w="1040" w:type="dxa"/>
              <w:bottom w:w="40" w:type="dxa"/>
              <w:right w:w="40" w:type="dxa"/>
            </w:tcMar>
          </w:tcPr>
          <w:p w14:paraId="1446E78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CCEEFF"/>
            <w:tcMar>
              <w:top w:w="40" w:type="dxa"/>
              <w:left w:w="40" w:type="dxa"/>
              <w:bottom w:w="40" w:type="dxa"/>
            </w:tcMar>
            <w:vAlign w:val="bottom"/>
          </w:tcPr>
          <w:p w14:paraId="1446E78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78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4,138</w:t>
            </w:r>
          </w:p>
        </w:tc>
        <w:tc>
          <w:tcPr>
            <w:tcW w:w="0" w:type="auto"/>
            <w:shd w:val="clear" w:color="auto" w:fill="CCEEFF"/>
            <w:vAlign w:val="bottom"/>
          </w:tcPr>
          <w:p w14:paraId="1446E78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8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79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79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764</w:t>
            </w:r>
          </w:p>
        </w:tc>
        <w:tc>
          <w:tcPr>
            <w:tcW w:w="0" w:type="auto"/>
            <w:shd w:val="clear" w:color="auto" w:fill="CCEEFF"/>
            <w:vAlign w:val="bottom"/>
          </w:tcPr>
          <w:p w14:paraId="1446E79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9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79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79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2,038</w:t>
            </w:r>
          </w:p>
        </w:tc>
        <w:tc>
          <w:tcPr>
            <w:tcW w:w="0" w:type="auto"/>
            <w:shd w:val="clear" w:color="auto" w:fill="CCEEFF"/>
            <w:vAlign w:val="bottom"/>
          </w:tcPr>
          <w:p w14:paraId="1446E79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9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79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79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391</w:t>
            </w:r>
          </w:p>
        </w:tc>
        <w:tc>
          <w:tcPr>
            <w:tcW w:w="0" w:type="auto"/>
            <w:shd w:val="clear" w:color="auto" w:fill="CCEEFF"/>
            <w:vAlign w:val="bottom"/>
          </w:tcPr>
          <w:p w14:paraId="1446E79A" w14:textId="77777777" w:rsidR="00FE42B5" w:rsidRDefault="00FE42B5">
            <w:pPr>
              <w:textAlignment w:val="bottom"/>
              <w:rPr>
                <w:rFonts w:ascii="Times New Roman" w:hAnsi="Times New Roman"/>
                <w:sz w:val="20"/>
                <w:szCs w:val="20"/>
              </w:rPr>
            </w:pPr>
          </w:p>
        </w:tc>
      </w:tr>
      <w:tr w:rsidR="00FE42B5" w14:paraId="1446E7A4" w14:textId="77777777">
        <w:tc>
          <w:tcPr>
            <w:tcW w:w="0" w:type="auto"/>
            <w:shd w:val="clear" w:color="auto" w:fill="auto"/>
            <w:tcMar>
              <w:top w:w="40" w:type="dxa"/>
              <w:left w:w="560" w:type="dxa"/>
              <w:bottom w:w="40" w:type="dxa"/>
              <w:right w:w="40" w:type="dxa"/>
            </w:tcMar>
          </w:tcPr>
          <w:p w14:paraId="1446E79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Denominator</w:t>
            </w:r>
          </w:p>
        </w:tc>
        <w:tc>
          <w:tcPr>
            <w:tcW w:w="0" w:type="auto"/>
            <w:gridSpan w:val="3"/>
            <w:shd w:val="clear" w:color="auto" w:fill="auto"/>
            <w:tcMar>
              <w:top w:w="40" w:type="dxa"/>
              <w:left w:w="40" w:type="dxa"/>
              <w:bottom w:w="40" w:type="dxa"/>
              <w:right w:w="40" w:type="dxa"/>
            </w:tcMar>
            <w:vAlign w:val="bottom"/>
          </w:tcPr>
          <w:p w14:paraId="1446E79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79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79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7A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7A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7A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7A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7B1" w14:textId="77777777">
        <w:tc>
          <w:tcPr>
            <w:tcW w:w="0" w:type="auto"/>
            <w:shd w:val="clear" w:color="auto" w:fill="CCEEFF"/>
            <w:tcMar>
              <w:top w:w="40" w:type="dxa"/>
              <w:left w:w="1040" w:type="dxa"/>
              <w:bottom w:w="40" w:type="dxa"/>
              <w:right w:w="40" w:type="dxa"/>
            </w:tcMar>
          </w:tcPr>
          <w:p w14:paraId="1446E7A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Weighted-average shares </w:t>
            </w:r>
            <w:r>
              <w:rPr>
                <w:rFonts w:ascii="Times New Roman" w:eastAsia="宋体" w:hAnsi="Times New Roman"/>
                <w:sz w:val="20"/>
                <w:szCs w:val="20"/>
              </w:rPr>
              <w:t>outstanding</w:t>
            </w:r>
          </w:p>
        </w:tc>
        <w:tc>
          <w:tcPr>
            <w:tcW w:w="0" w:type="auto"/>
            <w:gridSpan w:val="2"/>
            <w:shd w:val="clear" w:color="auto" w:fill="CCEEFF"/>
            <w:tcMar>
              <w:top w:w="40" w:type="dxa"/>
              <w:left w:w="40" w:type="dxa"/>
              <w:bottom w:w="40" w:type="dxa"/>
            </w:tcMar>
            <w:vAlign w:val="bottom"/>
          </w:tcPr>
          <w:p w14:paraId="1446E7A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2,407</w:t>
            </w:r>
          </w:p>
        </w:tc>
        <w:tc>
          <w:tcPr>
            <w:tcW w:w="0" w:type="auto"/>
            <w:shd w:val="clear" w:color="auto" w:fill="CCEEFF"/>
            <w:vAlign w:val="bottom"/>
          </w:tcPr>
          <w:p w14:paraId="1446E7A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A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7A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CCEEFF"/>
            <w:vAlign w:val="bottom"/>
          </w:tcPr>
          <w:p w14:paraId="1446E7AA"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A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7A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2,396</w:t>
            </w:r>
          </w:p>
        </w:tc>
        <w:tc>
          <w:tcPr>
            <w:tcW w:w="0" w:type="auto"/>
            <w:shd w:val="clear" w:color="auto" w:fill="CCEEFF"/>
            <w:vAlign w:val="bottom"/>
          </w:tcPr>
          <w:p w14:paraId="1446E7A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A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7A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460</w:t>
            </w:r>
          </w:p>
        </w:tc>
        <w:tc>
          <w:tcPr>
            <w:tcW w:w="0" w:type="auto"/>
            <w:shd w:val="clear" w:color="auto" w:fill="CCEEFF"/>
            <w:vAlign w:val="bottom"/>
          </w:tcPr>
          <w:p w14:paraId="1446E7B0" w14:textId="77777777" w:rsidR="00FE42B5" w:rsidRDefault="00FE42B5">
            <w:pPr>
              <w:textAlignment w:val="bottom"/>
              <w:rPr>
                <w:rFonts w:ascii="Times New Roman" w:hAnsi="Times New Roman"/>
                <w:sz w:val="20"/>
                <w:szCs w:val="20"/>
              </w:rPr>
            </w:pPr>
          </w:p>
        </w:tc>
      </w:tr>
      <w:tr w:rsidR="00FE42B5" w14:paraId="1446E7C2" w14:textId="77777777">
        <w:tc>
          <w:tcPr>
            <w:tcW w:w="0" w:type="auto"/>
            <w:shd w:val="clear" w:color="auto" w:fill="auto"/>
            <w:tcMar>
              <w:top w:w="40" w:type="dxa"/>
              <w:left w:w="560" w:type="dxa"/>
              <w:bottom w:w="40" w:type="dxa"/>
              <w:right w:w="40" w:type="dxa"/>
            </w:tcMar>
          </w:tcPr>
          <w:p w14:paraId="1446E7B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Basic EPS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7B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7B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tcBorders>
              <w:top w:val="single" w:sz="8" w:space="0" w:color="000000"/>
              <w:bottom w:val="double" w:sz="6" w:space="0" w:color="000000"/>
            </w:tcBorders>
            <w:shd w:val="clear" w:color="auto" w:fill="auto"/>
            <w:vAlign w:val="bottom"/>
          </w:tcPr>
          <w:p w14:paraId="1446E7B5"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7B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7B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7B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tcBorders>
              <w:top w:val="single" w:sz="8" w:space="0" w:color="000000"/>
              <w:bottom w:val="double" w:sz="6" w:space="0" w:color="000000"/>
            </w:tcBorders>
            <w:shd w:val="clear" w:color="auto" w:fill="auto"/>
            <w:vAlign w:val="bottom"/>
          </w:tcPr>
          <w:p w14:paraId="1446E7B9"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7B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7B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7B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0.85</w:t>
            </w:r>
          </w:p>
        </w:tc>
        <w:tc>
          <w:tcPr>
            <w:tcW w:w="0" w:type="auto"/>
            <w:tcBorders>
              <w:top w:val="single" w:sz="8" w:space="0" w:color="000000"/>
              <w:bottom w:val="double" w:sz="6" w:space="0" w:color="000000"/>
            </w:tcBorders>
            <w:shd w:val="clear" w:color="auto" w:fill="auto"/>
            <w:vAlign w:val="bottom"/>
          </w:tcPr>
          <w:p w14:paraId="1446E7B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7B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7B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7C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0.85</w:t>
            </w:r>
          </w:p>
        </w:tc>
        <w:tc>
          <w:tcPr>
            <w:tcW w:w="0" w:type="auto"/>
            <w:tcBorders>
              <w:top w:val="single" w:sz="8" w:space="0" w:color="000000"/>
              <w:bottom w:val="double" w:sz="6" w:space="0" w:color="000000"/>
            </w:tcBorders>
            <w:shd w:val="clear" w:color="auto" w:fill="auto"/>
            <w:vAlign w:val="bottom"/>
          </w:tcPr>
          <w:p w14:paraId="1446E7C1" w14:textId="77777777" w:rsidR="00FE42B5" w:rsidRDefault="00FE42B5">
            <w:pPr>
              <w:textAlignment w:val="bottom"/>
              <w:rPr>
                <w:rFonts w:ascii="Times New Roman" w:hAnsi="Times New Roman"/>
                <w:sz w:val="20"/>
                <w:szCs w:val="20"/>
              </w:rPr>
            </w:pPr>
          </w:p>
        </w:tc>
      </w:tr>
      <w:tr w:rsidR="00FE42B5" w14:paraId="1446E7CB" w14:textId="77777777">
        <w:tc>
          <w:tcPr>
            <w:tcW w:w="0" w:type="auto"/>
            <w:shd w:val="clear" w:color="auto" w:fill="CCEEFF"/>
            <w:tcMar>
              <w:top w:w="40" w:type="dxa"/>
              <w:left w:w="40" w:type="dxa"/>
              <w:bottom w:w="40" w:type="dxa"/>
              <w:right w:w="40" w:type="dxa"/>
            </w:tcMar>
          </w:tcPr>
          <w:p w14:paraId="1446E7C3" w14:textId="77777777" w:rsidR="00FE42B5" w:rsidRDefault="009213DC">
            <w:pPr>
              <w:textAlignment w:val="top"/>
              <w:rPr>
                <w:rFonts w:ascii="Times New Roman" w:hAnsi="Times New Roman"/>
                <w:sz w:val="20"/>
                <w:szCs w:val="20"/>
              </w:rPr>
            </w:pPr>
            <w:r>
              <w:rPr>
                <w:rFonts w:ascii="Times New Roman" w:eastAsia="宋体" w:hAnsi="Times New Roman"/>
                <w:sz w:val="20"/>
                <w:szCs w:val="20"/>
                <w:u w:val="single"/>
              </w:rPr>
              <w:t>Diluted EPS:</w:t>
            </w:r>
          </w:p>
        </w:tc>
        <w:tc>
          <w:tcPr>
            <w:tcW w:w="0" w:type="auto"/>
            <w:gridSpan w:val="3"/>
            <w:shd w:val="clear" w:color="auto" w:fill="CCEEFF"/>
            <w:tcMar>
              <w:top w:w="40" w:type="dxa"/>
              <w:left w:w="40" w:type="dxa"/>
              <w:bottom w:w="40" w:type="dxa"/>
              <w:right w:w="40" w:type="dxa"/>
            </w:tcMar>
            <w:vAlign w:val="bottom"/>
          </w:tcPr>
          <w:p w14:paraId="1446E7C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7C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7C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7C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7C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7C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7C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7D4" w14:textId="77777777">
        <w:tc>
          <w:tcPr>
            <w:tcW w:w="0" w:type="auto"/>
            <w:shd w:val="clear" w:color="auto" w:fill="auto"/>
            <w:tcMar>
              <w:top w:w="40" w:type="dxa"/>
              <w:left w:w="560" w:type="dxa"/>
              <w:bottom w:w="40" w:type="dxa"/>
              <w:right w:w="40" w:type="dxa"/>
            </w:tcMar>
          </w:tcPr>
          <w:p w14:paraId="1446E7C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Numerator</w:t>
            </w:r>
          </w:p>
        </w:tc>
        <w:tc>
          <w:tcPr>
            <w:tcW w:w="0" w:type="auto"/>
            <w:gridSpan w:val="3"/>
            <w:shd w:val="clear" w:color="auto" w:fill="auto"/>
            <w:tcMar>
              <w:top w:w="40" w:type="dxa"/>
              <w:left w:w="40" w:type="dxa"/>
              <w:bottom w:w="40" w:type="dxa"/>
              <w:right w:w="40" w:type="dxa"/>
            </w:tcMar>
            <w:vAlign w:val="bottom"/>
          </w:tcPr>
          <w:p w14:paraId="1446E7C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7C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7C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7D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7D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7D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7D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7E5" w14:textId="77777777">
        <w:tc>
          <w:tcPr>
            <w:tcW w:w="0" w:type="auto"/>
            <w:shd w:val="clear" w:color="auto" w:fill="CCEEFF"/>
            <w:tcMar>
              <w:top w:w="40" w:type="dxa"/>
              <w:left w:w="1040" w:type="dxa"/>
              <w:bottom w:w="40" w:type="dxa"/>
              <w:right w:w="40" w:type="dxa"/>
            </w:tcMar>
          </w:tcPr>
          <w:p w14:paraId="1446E7D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CCEEFF"/>
            <w:tcMar>
              <w:top w:w="40" w:type="dxa"/>
              <w:left w:w="40" w:type="dxa"/>
              <w:bottom w:w="40" w:type="dxa"/>
            </w:tcMar>
            <w:vAlign w:val="bottom"/>
          </w:tcPr>
          <w:p w14:paraId="1446E7D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7D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4,138</w:t>
            </w:r>
          </w:p>
        </w:tc>
        <w:tc>
          <w:tcPr>
            <w:tcW w:w="0" w:type="auto"/>
            <w:shd w:val="clear" w:color="auto" w:fill="CCEEFF"/>
            <w:vAlign w:val="bottom"/>
          </w:tcPr>
          <w:p w14:paraId="1446E7D8"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D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7D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7D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764</w:t>
            </w:r>
          </w:p>
        </w:tc>
        <w:tc>
          <w:tcPr>
            <w:tcW w:w="0" w:type="auto"/>
            <w:shd w:val="clear" w:color="auto" w:fill="CCEEFF"/>
            <w:vAlign w:val="bottom"/>
          </w:tcPr>
          <w:p w14:paraId="1446E7DC"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D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7D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7D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2,038</w:t>
            </w:r>
          </w:p>
        </w:tc>
        <w:tc>
          <w:tcPr>
            <w:tcW w:w="0" w:type="auto"/>
            <w:shd w:val="clear" w:color="auto" w:fill="CCEEFF"/>
            <w:vAlign w:val="bottom"/>
          </w:tcPr>
          <w:p w14:paraId="1446E7E0"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E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7E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7E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391</w:t>
            </w:r>
          </w:p>
        </w:tc>
        <w:tc>
          <w:tcPr>
            <w:tcW w:w="0" w:type="auto"/>
            <w:shd w:val="clear" w:color="auto" w:fill="CCEEFF"/>
            <w:vAlign w:val="bottom"/>
          </w:tcPr>
          <w:p w14:paraId="1446E7E4" w14:textId="77777777" w:rsidR="00FE42B5" w:rsidRDefault="00FE42B5">
            <w:pPr>
              <w:textAlignment w:val="bottom"/>
              <w:rPr>
                <w:rFonts w:ascii="Times New Roman" w:hAnsi="Times New Roman"/>
                <w:sz w:val="20"/>
                <w:szCs w:val="20"/>
              </w:rPr>
            </w:pPr>
          </w:p>
        </w:tc>
      </w:tr>
      <w:tr w:rsidR="00FE42B5" w14:paraId="1446E7F2" w14:textId="77777777">
        <w:tc>
          <w:tcPr>
            <w:tcW w:w="0" w:type="auto"/>
            <w:shd w:val="clear" w:color="auto" w:fill="auto"/>
            <w:tcMar>
              <w:top w:w="40" w:type="dxa"/>
              <w:left w:w="1040" w:type="dxa"/>
              <w:bottom w:w="40" w:type="dxa"/>
              <w:right w:w="40" w:type="dxa"/>
            </w:tcMar>
          </w:tcPr>
          <w:p w14:paraId="1446E7E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Reallocation of net income as a result of conversion of Class B to Class A common stock</w:t>
            </w:r>
          </w:p>
        </w:tc>
        <w:tc>
          <w:tcPr>
            <w:tcW w:w="0" w:type="auto"/>
            <w:gridSpan w:val="2"/>
            <w:shd w:val="clear" w:color="auto" w:fill="auto"/>
            <w:tcMar>
              <w:top w:w="40" w:type="dxa"/>
              <w:left w:w="40" w:type="dxa"/>
              <w:bottom w:w="40" w:type="dxa"/>
            </w:tcMar>
            <w:vAlign w:val="bottom"/>
          </w:tcPr>
          <w:p w14:paraId="1446E7E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764</w:t>
            </w:r>
          </w:p>
        </w:tc>
        <w:tc>
          <w:tcPr>
            <w:tcW w:w="0" w:type="auto"/>
            <w:shd w:val="clear" w:color="auto" w:fill="auto"/>
            <w:vAlign w:val="bottom"/>
          </w:tcPr>
          <w:p w14:paraId="1446E7E8"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7E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7E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7E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7E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7E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391</w:t>
            </w:r>
          </w:p>
        </w:tc>
        <w:tc>
          <w:tcPr>
            <w:tcW w:w="0" w:type="auto"/>
            <w:shd w:val="clear" w:color="auto" w:fill="auto"/>
            <w:vAlign w:val="bottom"/>
          </w:tcPr>
          <w:p w14:paraId="1446E7EE"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7E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7F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7F1" w14:textId="77777777" w:rsidR="00FE42B5" w:rsidRDefault="00FE42B5">
            <w:pPr>
              <w:textAlignment w:val="bottom"/>
              <w:rPr>
                <w:rFonts w:ascii="Times New Roman" w:hAnsi="Times New Roman"/>
                <w:sz w:val="20"/>
                <w:szCs w:val="20"/>
              </w:rPr>
            </w:pPr>
          </w:p>
        </w:tc>
      </w:tr>
      <w:tr w:rsidR="00FE42B5" w14:paraId="1446E7FF" w14:textId="77777777">
        <w:tc>
          <w:tcPr>
            <w:tcW w:w="0" w:type="auto"/>
            <w:shd w:val="clear" w:color="auto" w:fill="CCEEFF"/>
            <w:tcMar>
              <w:top w:w="40" w:type="dxa"/>
              <w:left w:w="1040" w:type="dxa"/>
              <w:bottom w:w="40" w:type="dxa"/>
              <w:right w:w="40" w:type="dxa"/>
            </w:tcMar>
          </w:tcPr>
          <w:p w14:paraId="1446E7F3"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Reallocation of net income to Class B common stock</w:t>
            </w:r>
          </w:p>
        </w:tc>
        <w:tc>
          <w:tcPr>
            <w:tcW w:w="0" w:type="auto"/>
            <w:gridSpan w:val="2"/>
            <w:shd w:val="clear" w:color="auto" w:fill="CCEEFF"/>
            <w:tcMar>
              <w:top w:w="40" w:type="dxa"/>
              <w:left w:w="40" w:type="dxa"/>
              <w:bottom w:w="40" w:type="dxa"/>
            </w:tcMar>
            <w:vAlign w:val="bottom"/>
          </w:tcPr>
          <w:p w14:paraId="1446E7F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7F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F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7F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1446E7F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7F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7F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7FB"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7F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7F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7FE" w14:textId="77777777" w:rsidR="00FE42B5" w:rsidRDefault="00FE42B5">
            <w:pPr>
              <w:textAlignment w:val="bottom"/>
              <w:rPr>
                <w:rFonts w:ascii="Times New Roman" w:hAnsi="Times New Roman"/>
                <w:sz w:val="20"/>
                <w:szCs w:val="20"/>
              </w:rPr>
            </w:pPr>
          </w:p>
        </w:tc>
      </w:tr>
      <w:tr w:rsidR="00FE42B5" w14:paraId="1446E810" w14:textId="77777777">
        <w:tc>
          <w:tcPr>
            <w:tcW w:w="0" w:type="auto"/>
            <w:shd w:val="clear" w:color="auto" w:fill="auto"/>
            <w:tcMar>
              <w:top w:w="40" w:type="dxa"/>
              <w:left w:w="1360" w:type="dxa"/>
              <w:bottom w:w="40" w:type="dxa"/>
              <w:right w:w="40" w:type="dxa"/>
            </w:tcMar>
          </w:tcPr>
          <w:p w14:paraId="1446E80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Net income for diluted EPS</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446E80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446E80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4,902</w:t>
            </w:r>
          </w:p>
        </w:tc>
        <w:tc>
          <w:tcPr>
            <w:tcW w:w="0" w:type="auto"/>
            <w:tcBorders>
              <w:top w:val="single" w:sz="8" w:space="0" w:color="000000"/>
              <w:bottom w:val="single" w:sz="8" w:space="0" w:color="000000"/>
            </w:tcBorders>
            <w:shd w:val="clear" w:color="auto" w:fill="auto"/>
            <w:vAlign w:val="bottom"/>
          </w:tcPr>
          <w:p w14:paraId="1446E80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0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446E80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446E80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759</w:t>
            </w:r>
          </w:p>
        </w:tc>
        <w:tc>
          <w:tcPr>
            <w:tcW w:w="0" w:type="auto"/>
            <w:tcBorders>
              <w:top w:val="single" w:sz="8" w:space="0" w:color="000000"/>
              <w:bottom w:val="single" w:sz="8" w:space="0" w:color="000000"/>
            </w:tcBorders>
            <w:shd w:val="clear" w:color="auto" w:fill="auto"/>
            <w:vAlign w:val="bottom"/>
          </w:tcPr>
          <w:p w14:paraId="1446E807"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0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446E80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446E80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2,429</w:t>
            </w:r>
          </w:p>
        </w:tc>
        <w:tc>
          <w:tcPr>
            <w:tcW w:w="0" w:type="auto"/>
            <w:tcBorders>
              <w:top w:val="single" w:sz="8" w:space="0" w:color="000000"/>
              <w:bottom w:val="single" w:sz="8" w:space="0" w:color="000000"/>
            </w:tcBorders>
            <w:shd w:val="clear" w:color="auto" w:fill="auto"/>
            <w:vAlign w:val="bottom"/>
          </w:tcPr>
          <w:p w14:paraId="1446E80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0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446E80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446E80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391</w:t>
            </w:r>
          </w:p>
        </w:tc>
        <w:tc>
          <w:tcPr>
            <w:tcW w:w="0" w:type="auto"/>
            <w:tcBorders>
              <w:top w:val="single" w:sz="8" w:space="0" w:color="000000"/>
              <w:bottom w:val="single" w:sz="8" w:space="0" w:color="000000"/>
            </w:tcBorders>
            <w:shd w:val="clear" w:color="auto" w:fill="auto"/>
            <w:vAlign w:val="bottom"/>
          </w:tcPr>
          <w:p w14:paraId="1446E80F" w14:textId="77777777" w:rsidR="00FE42B5" w:rsidRDefault="00FE42B5">
            <w:pPr>
              <w:textAlignment w:val="bottom"/>
              <w:rPr>
                <w:rFonts w:ascii="Times New Roman" w:hAnsi="Times New Roman"/>
                <w:sz w:val="20"/>
                <w:szCs w:val="20"/>
              </w:rPr>
            </w:pPr>
          </w:p>
        </w:tc>
      </w:tr>
      <w:tr w:rsidR="00FE42B5" w14:paraId="1446E819" w14:textId="77777777">
        <w:tc>
          <w:tcPr>
            <w:tcW w:w="0" w:type="auto"/>
            <w:shd w:val="clear" w:color="auto" w:fill="CCEEFF"/>
            <w:tcMar>
              <w:top w:w="40" w:type="dxa"/>
              <w:left w:w="560" w:type="dxa"/>
              <w:bottom w:w="40" w:type="dxa"/>
              <w:right w:w="40" w:type="dxa"/>
            </w:tcMar>
          </w:tcPr>
          <w:p w14:paraId="1446E81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Denomina</w:t>
            </w:r>
            <w:r>
              <w:rPr>
                <w:rFonts w:ascii="Times New Roman" w:eastAsia="宋体" w:hAnsi="Times New Roman"/>
                <w:sz w:val="20"/>
                <w:szCs w:val="20"/>
              </w:rPr>
              <w:t>tor</w:t>
            </w:r>
          </w:p>
        </w:tc>
        <w:tc>
          <w:tcPr>
            <w:tcW w:w="0" w:type="auto"/>
            <w:gridSpan w:val="3"/>
            <w:shd w:val="clear" w:color="auto" w:fill="CCEEFF"/>
            <w:tcMar>
              <w:top w:w="40" w:type="dxa"/>
              <w:left w:w="40" w:type="dxa"/>
              <w:bottom w:w="40" w:type="dxa"/>
              <w:right w:w="40" w:type="dxa"/>
            </w:tcMar>
            <w:vAlign w:val="bottom"/>
          </w:tcPr>
          <w:p w14:paraId="1446E81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81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81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81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81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81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81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826" w14:textId="77777777">
        <w:tc>
          <w:tcPr>
            <w:tcW w:w="0" w:type="auto"/>
            <w:shd w:val="clear" w:color="auto" w:fill="auto"/>
            <w:tcMar>
              <w:top w:w="40" w:type="dxa"/>
              <w:left w:w="1040" w:type="dxa"/>
              <w:bottom w:w="40" w:type="dxa"/>
              <w:right w:w="40" w:type="dxa"/>
            </w:tcMar>
          </w:tcPr>
          <w:p w14:paraId="1446E81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Number of shares used for basic EPS computation</w:t>
            </w:r>
          </w:p>
        </w:tc>
        <w:tc>
          <w:tcPr>
            <w:tcW w:w="0" w:type="auto"/>
            <w:gridSpan w:val="2"/>
            <w:shd w:val="clear" w:color="auto" w:fill="auto"/>
            <w:tcMar>
              <w:top w:w="40" w:type="dxa"/>
              <w:left w:w="40" w:type="dxa"/>
              <w:bottom w:w="40" w:type="dxa"/>
            </w:tcMar>
            <w:vAlign w:val="bottom"/>
          </w:tcPr>
          <w:p w14:paraId="1446E81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2,407</w:t>
            </w:r>
          </w:p>
        </w:tc>
        <w:tc>
          <w:tcPr>
            <w:tcW w:w="0" w:type="auto"/>
            <w:shd w:val="clear" w:color="auto" w:fill="auto"/>
            <w:vAlign w:val="bottom"/>
          </w:tcPr>
          <w:p w14:paraId="1446E81C"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1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81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1446E81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2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82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2,396</w:t>
            </w:r>
          </w:p>
        </w:tc>
        <w:tc>
          <w:tcPr>
            <w:tcW w:w="0" w:type="auto"/>
            <w:shd w:val="clear" w:color="auto" w:fill="auto"/>
            <w:vAlign w:val="bottom"/>
          </w:tcPr>
          <w:p w14:paraId="1446E82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2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82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460</w:t>
            </w:r>
          </w:p>
        </w:tc>
        <w:tc>
          <w:tcPr>
            <w:tcW w:w="0" w:type="auto"/>
            <w:shd w:val="clear" w:color="auto" w:fill="auto"/>
            <w:vAlign w:val="bottom"/>
          </w:tcPr>
          <w:p w14:paraId="1446E825" w14:textId="77777777" w:rsidR="00FE42B5" w:rsidRDefault="00FE42B5">
            <w:pPr>
              <w:textAlignment w:val="bottom"/>
              <w:rPr>
                <w:rFonts w:ascii="Times New Roman" w:hAnsi="Times New Roman"/>
                <w:sz w:val="20"/>
                <w:szCs w:val="20"/>
              </w:rPr>
            </w:pPr>
          </w:p>
        </w:tc>
      </w:tr>
      <w:tr w:rsidR="00FE42B5" w14:paraId="1446E833" w14:textId="77777777">
        <w:tc>
          <w:tcPr>
            <w:tcW w:w="0" w:type="auto"/>
            <w:shd w:val="clear" w:color="auto" w:fill="CCEEFF"/>
            <w:tcMar>
              <w:top w:w="40" w:type="dxa"/>
              <w:left w:w="1040" w:type="dxa"/>
              <w:bottom w:w="40" w:type="dxa"/>
              <w:right w:w="40" w:type="dxa"/>
            </w:tcMar>
          </w:tcPr>
          <w:p w14:paraId="1446E82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Conversion of Class B to Class A common stock</w:t>
            </w:r>
          </w:p>
        </w:tc>
        <w:tc>
          <w:tcPr>
            <w:tcW w:w="0" w:type="auto"/>
            <w:gridSpan w:val="2"/>
            <w:shd w:val="clear" w:color="auto" w:fill="CCEEFF"/>
            <w:tcMar>
              <w:top w:w="40" w:type="dxa"/>
              <w:left w:w="40" w:type="dxa"/>
              <w:bottom w:w="40" w:type="dxa"/>
            </w:tcMar>
            <w:vAlign w:val="bottom"/>
          </w:tcPr>
          <w:p w14:paraId="1446E82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CCEEFF"/>
            <w:vAlign w:val="bottom"/>
          </w:tcPr>
          <w:p w14:paraId="1446E829"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82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82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82C"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82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82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460</w:t>
            </w:r>
          </w:p>
        </w:tc>
        <w:tc>
          <w:tcPr>
            <w:tcW w:w="0" w:type="auto"/>
            <w:shd w:val="clear" w:color="auto" w:fill="CCEEFF"/>
            <w:vAlign w:val="bottom"/>
          </w:tcPr>
          <w:p w14:paraId="1446E82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83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83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832" w14:textId="77777777" w:rsidR="00FE42B5" w:rsidRDefault="00FE42B5">
            <w:pPr>
              <w:textAlignment w:val="bottom"/>
              <w:rPr>
                <w:rFonts w:ascii="Times New Roman" w:hAnsi="Times New Roman"/>
                <w:sz w:val="20"/>
                <w:szCs w:val="20"/>
              </w:rPr>
            </w:pPr>
          </w:p>
        </w:tc>
      </w:tr>
      <w:tr w:rsidR="00FE42B5" w14:paraId="1446E840" w14:textId="77777777">
        <w:tc>
          <w:tcPr>
            <w:tcW w:w="0" w:type="auto"/>
            <w:shd w:val="clear" w:color="auto" w:fill="auto"/>
            <w:tcMar>
              <w:top w:w="40" w:type="dxa"/>
              <w:left w:w="1040" w:type="dxa"/>
              <w:bottom w:w="40" w:type="dxa"/>
              <w:right w:w="40" w:type="dxa"/>
            </w:tcMar>
          </w:tcPr>
          <w:p w14:paraId="1446E83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Weighted-average effect of dilutive RSUs and employee stock options</w:t>
            </w:r>
          </w:p>
        </w:tc>
        <w:tc>
          <w:tcPr>
            <w:tcW w:w="0" w:type="auto"/>
            <w:gridSpan w:val="2"/>
            <w:shd w:val="clear" w:color="auto" w:fill="auto"/>
            <w:tcMar>
              <w:top w:w="40" w:type="dxa"/>
              <w:left w:w="40" w:type="dxa"/>
              <w:bottom w:w="40" w:type="dxa"/>
            </w:tcMar>
            <w:vAlign w:val="bottom"/>
          </w:tcPr>
          <w:p w14:paraId="1446E83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vAlign w:val="bottom"/>
          </w:tcPr>
          <w:p w14:paraId="1446E83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3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83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839"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3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83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vAlign w:val="bottom"/>
          </w:tcPr>
          <w:p w14:paraId="1446E83C"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3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83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1446E83F" w14:textId="77777777" w:rsidR="00FE42B5" w:rsidRDefault="00FE42B5">
            <w:pPr>
              <w:textAlignment w:val="bottom"/>
              <w:rPr>
                <w:rFonts w:ascii="Times New Roman" w:hAnsi="Times New Roman"/>
                <w:sz w:val="20"/>
                <w:szCs w:val="20"/>
              </w:rPr>
            </w:pPr>
          </w:p>
        </w:tc>
      </w:tr>
      <w:tr w:rsidR="00FE42B5" w14:paraId="1446E84D" w14:textId="77777777">
        <w:tc>
          <w:tcPr>
            <w:tcW w:w="0" w:type="auto"/>
            <w:shd w:val="clear" w:color="auto" w:fill="CCEEFF"/>
            <w:tcMar>
              <w:top w:w="40" w:type="dxa"/>
              <w:left w:w="1520" w:type="dxa"/>
              <w:bottom w:w="40" w:type="dxa"/>
              <w:right w:w="40" w:type="dxa"/>
            </w:tcMar>
          </w:tcPr>
          <w:p w14:paraId="1446E84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Number of shares used for diluted EPS computation</w:t>
            </w:r>
          </w:p>
        </w:tc>
        <w:tc>
          <w:tcPr>
            <w:tcW w:w="0" w:type="auto"/>
            <w:gridSpan w:val="2"/>
            <w:tcBorders>
              <w:top w:val="single" w:sz="8" w:space="0" w:color="000000"/>
            </w:tcBorders>
            <w:shd w:val="clear" w:color="auto" w:fill="CCEEFF"/>
            <w:tcMar>
              <w:top w:w="40" w:type="dxa"/>
              <w:left w:w="40" w:type="dxa"/>
              <w:bottom w:w="40" w:type="dxa"/>
            </w:tcMar>
            <w:vAlign w:val="bottom"/>
          </w:tcPr>
          <w:p w14:paraId="1446E84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2,868</w:t>
            </w:r>
          </w:p>
        </w:tc>
        <w:tc>
          <w:tcPr>
            <w:tcW w:w="0" w:type="auto"/>
            <w:tcBorders>
              <w:top w:val="single" w:sz="8" w:space="0" w:color="000000"/>
            </w:tcBorders>
            <w:shd w:val="clear" w:color="auto" w:fill="CCEEFF"/>
            <w:vAlign w:val="bottom"/>
          </w:tcPr>
          <w:p w14:paraId="1446E843"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84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446E84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tcBorders>
              <w:top w:val="single" w:sz="8" w:space="0" w:color="000000"/>
            </w:tcBorders>
            <w:shd w:val="clear" w:color="auto" w:fill="CCEEFF"/>
            <w:vAlign w:val="bottom"/>
          </w:tcPr>
          <w:p w14:paraId="1446E84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84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446E84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2,869</w:t>
            </w:r>
          </w:p>
        </w:tc>
        <w:tc>
          <w:tcPr>
            <w:tcW w:w="0" w:type="auto"/>
            <w:tcBorders>
              <w:top w:val="single" w:sz="8" w:space="0" w:color="000000"/>
            </w:tcBorders>
            <w:shd w:val="clear" w:color="auto" w:fill="CCEEFF"/>
            <w:vAlign w:val="bottom"/>
          </w:tcPr>
          <w:p w14:paraId="1446E849"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84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446E84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462</w:t>
            </w:r>
          </w:p>
        </w:tc>
        <w:tc>
          <w:tcPr>
            <w:tcW w:w="0" w:type="auto"/>
            <w:tcBorders>
              <w:top w:val="single" w:sz="8" w:space="0" w:color="000000"/>
            </w:tcBorders>
            <w:shd w:val="clear" w:color="auto" w:fill="CCEEFF"/>
            <w:vAlign w:val="bottom"/>
          </w:tcPr>
          <w:p w14:paraId="1446E84C" w14:textId="77777777" w:rsidR="00FE42B5" w:rsidRDefault="00FE42B5">
            <w:pPr>
              <w:textAlignment w:val="bottom"/>
              <w:rPr>
                <w:rFonts w:ascii="Times New Roman" w:hAnsi="Times New Roman"/>
                <w:sz w:val="20"/>
                <w:szCs w:val="20"/>
              </w:rPr>
            </w:pPr>
          </w:p>
        </w:tc>
      </w:tr>
      <w:tr w:rsidR="00FE42B5" w14:paraId="1446E85E" w14:textId="77777777">
        <w:tc>
          <w:tcPr>
            <w:tcW w:w="0" w:type="auto"/>
            <w:shd w:val="clear" w:color="auto" w:fill="auto"/>
            <w:tcMar>
              <w:top w:w="40" w:type="dxa"/>
              <w:left w:w="560" w:type="dxa"/>
              <w:bottom w:w="40" w:type="dxa"/>
              <w:right w:w="40" w:type="dxa"/>
            </w:tcMar>
          </w:tcPr>
          <w:p w14:paraId="1446E84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Diluted EPS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84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85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1.71</w:t>
            </w:r>
          </w:p>
        </w:tc>
        <w:tc>
          <w:tcPr>
            <w:tcW w:w="0" w:type="auto"/>
            <w:tcBorders>
              <w:top w:val="single" w:sz="8" w:space="0" w:color="000000"/>
              <w:bottom w:val="double" w:sz="6" w:space="0" w:color="000000"/>
            </w:tcBorders>
            <w:shd w:val="clear" w:color="auto" w:fill="auto"/>
            <w:vAlign w:val="bottom"/>
          </w:tcPr>
          <w:p w14:paraId="1446E851"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5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85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85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1.71</w:t>
            </w:r>
          </w:p>
        </w:tc>
        <w:tc>
          <w:tcPr>
            <w:tcW w:w="0" w:type="auto"/>
            <w:tcBorders>
              <w:top w:val="single" w:sz="8" w:space="0" w:color="000000"/>
              <w:bottom w:val="double" w:sz="6" w:space="0" w:color="000000"/>
            </w:tcBorders>
            <w:shd w:val="clear" w:color="auto" w:fill="auto"/>
            <w:vAlign w:val="bottom"/>
          </w:tcPr>
          <w:p w14:paraId="1446E855"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5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85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85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0.85</w:t>
            </w:r>
          </w:p>
        </w:tc>
        <w:tc>
          <w:tcPr>
            <w:tcW w:w="0" w:type="auto"/>
            <w:tcBorders>
              <w:top w:val="single" w:sz="8" w:space="0" w:color="000000"/>
              <w:bottom w:val="double" w:sz="6" w:space="0" w:color="000000"/>
            </w:tcBorders>
            <w:shd w:val="clear" w:color="auto" w:fill="auto"/>
            <w:vAlign w:val="bottom"/>
          </w:tcPr>
          <w:p w14:paraId="1446E859"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5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85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85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0.85</w:t>
            </w:r>
          </w:p>
        </w:tc>
        <w:tc>
          <w:tcPr>
            <w:tcW w:w="0" w:type="auto"/>
            <w:tcBorders>
              <w:top w:val="single" w:sz="8" w:space="0" w:color="000000"/>
              <w:bottom w:val="double" w:sz="6" w:space="0" w:color="000000"/>
            </w:tcBorders>
            <w:shd w:val="clear" w:color="auto" w:fill="auto"/>
            <w:vAlign w:val="bottom"/>
          </w:tcPr>
          <w:p w14:paraId="1446E85D" w14:textId="77777777" w:rsidR="00FE42B5" w:rsidRDefault="00FE42B5">
            <w:pPr>
              <w:textAlignment w:val="bottom"/>
              <w:rPr>
                <w:rFonts w:ascii="Times New Roman" w:hAnsi="Times New Roman"/>
                <w:sz w:val="20"/>
                <w:szCs w:val="20"/>
              </w:rPr>
            </w:pPr>
          </w:p>
        </w:tc>
      </w:tr>
    </w:tbl>
    <w:p w14:paraId="1446E85F" w14:textId="77777777" w:rsidR="00FE42B5" w:rsidRDefault="00FE42B5">
      <w:pPr>
        <w:spacing w:line="288" w:lineRule="auto"/>
        <w:rPr>
          <w:rFonts w:ascii="Times New Roman" w:hAnsi="Times New Roman"/>
          <w:sz w:val="20"/>
          <w:szCs w:val="20"/>
        </w:rPr>
      </w:pPr>
    </w:p>
    <w:p w14:paraId="1446E860" w14:textId="77777777" w:rsidR="00FE42B5" w:rsidRDefault="00FE42B5">
      <w:pPr>
        <w:rPr>
          <w:rFonts w:ascii="Times New Roman" w:hAnsi="Times New Roman"/>
          <w:sz w:val="20"/>
          <w:szCs w:val="20"/>
        </w:rPr>
      </w:pPr>
    </w:p>
    <w:p w14:paraId="1446E861"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17</w:t>
      </w:r>
    </w:p>
    <w:p w14:paraId="1446E862" w14:textId="77777777" w:rsidR="00FE42B5" w:rsidRDefault="009213DC">
      <w:r>
        <w:rPr>
          <w:rFonts w:ascii="Times New Roman" w:hAnsi="Times New Roman"/>
          <w:sz w:val="20"/>
          <w:szCs w:val="20"/>
        </w:rPr>
        <w:pict w14:anchorId="1446FAC9">
          <v:rect id="_x0000_i1041" style="width:415.3pt;height:1.5pt" o:hralign="center" o:hrstd="t" o:hr="t" fillcolor="#a0a0a0" stroked="f"/>
        </w:pict>
      </w:r>
    </w:p>
    <w:p w14:paraId="1446E863" w14:textId="77777777" w:rsidR="00FE42B5" w:rsidRDefault="009213DC">
      <w:pPr>
        <w:spacing w:line="288" w:lineRule="auto"/>
        <w:rPr>
          <w:rFonts w:ascii="Times New Roman" w:hAnsi="Times New Roman"/>
          <w:sz w:val="20"/>
          <w:szCs w:val="20"/>
        </w:rPr>
      </w:pPr>
      <w:hyperlink r:id="rId58" w:anchor="sBB4BED1571A45A16AF3DC2E3B69C901C" w:history="1">
        <w:r>
          <w:rPr>
            <w:rStyle w:val="a5"/>
            <w:rFonts w:ascii="Times New Roman" w:eastAsia="宋体" w:hAnsi="Times New Roman"/>
            <w:sz w:val="20"/>
            <w:szCs w:val="20"/>
          </w:rPr>
          <w:t>Table of Contents</w:t>
        </w:r>
      </w:hyperlink>
    </w:p>
    <w:p w14:paraId="1446E864" w14:textId="77777777" w:rsidR="00FE42B5" w:rsidRDefault="00FE42B5">
      <w:pPr>
        <w:rPr>
          <w:rFonts w:ascii="Times New Roman" w:hAnsi="Times New Roman"/>
          <w:sz w:val="20"/>
          <w:szCs w:val="20"/>
        </w:rPr>
      </w:pPr>
    </w:p>
    <w:p w14:paraId="1446E865"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 xml:space="preserve">Note 4. Cash and Cash Equivalents, and </w:t>
      </w:r>
      <w:r>
        <w:rPr>
          <w:rFonts w:ascii="Times New Roman" w:eastAsia="宋体" w:hAnsi="Times New Roman"/>
          <w:b/>
          <w:bCs/>
          <w:sz w:val="20"/>
          <w:szCs w:val="20"/>
        </w:rPr>
        <w:t>Marketable Securities</w:t>
      </w:r>
    </w:p>
    <w:p w14:paraId="1446E86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following table sets forth the cash and cash equivalents and marketable securities (in millions): </w:t>
      </w:r>
    </w:p>
    <w:tbl>
      <w:tblPr>
        <w:tblW w:w="5000" w:type="pct"/>
        <w:tblCellMar>
          <w:left w:w="0" w:type="dxa"/>
          <w:right w:w="0" w:type="dxa"/>
        </w:tblCellMar>
        <w:tblLook w:val="04A0" w:firstRow="1" w:lastRow="0" w:firstColumn="1" w:lastColumn="0" w:noHBand="0" w:noVBand="1"/>
      </w:tblPr>
      <w:tblGrid>
        <w:gridCol w:w="5529"/>
        <w:gridCol w:w="141"/>
        <w:gridCol w:w="1127"/>
        <w:gridCol w:w="48"/>
        <w:gridCol w:w="130"/>
        <w:gridCol w:w="141"/>
        <w:gridCol w:w="1127"/>
        <w:gridCol w:w="63"/>
      </w:tblGrid>
      <w:tr w:rsidR="00FE42B5" w14:paraId="1446E868" w14:textId="77777777">
        <w:tc>
          <w:tcPr>
            <w:tcW w:w="0" w:type="auto"/>
            <w:gridSpan w:val="8"/>
            <w:shd w:val="clear" w:color="auto" w:fill="auto"/>
            <w:vAlign w:val="center"/>
          </w:tcPr>
          <w:p w14:paraId="1446E867" w14:textId="77777777" w:rsidR="00FE42B5" w:rsidRDefault="00FE42B5">
            <w:pPr>
              <w:rPr>
                <w:rFonts w:ascii="Times New Roman" w:hAnsi="Times New Roman"/>
                <w:sz w:val="20"/>
                <w:szCs w:val="20"/>
              </w:rPr>
            </w:pPr>
          </w:p>
        </w:tc>
      </w:tr>
      <w:tr w:rsidR="00FE42B5" w14:paraId="1446E871" w14:textId="77777777">
        <w:tc>
          <w:tcPr>
            <w:tcW w:w="3350" w:type="pct"/>
            <w:shd w:val="clear" w:color="auto" w:fill="auto"/>
            <w:vAlign w:val="center"/>
          </w:tcPr>
          <w:p w14:paraId="1446E869" w14:textId="77777777" w:rsidR="00FE42B5" w:rsidRDefault="00FE42B5">
            <w:pPr>
              <w:rPr>
                <w:rFonts w:ascii="Times New Roman" w:hAnsi="Times New Roman"/>
                <w:sz w:val="20"/>
                <w:szCs w:val="20"/>
              </w:rPr>
            </w:pPr>
          </w:p>
        </w:tc>
        <w:tc>
          <w:tcPr>
            <w:tcW w:w="50" w:type="pct"/>
            <w:shd w:val="clear" w:color="auto" w:fill="auto"/>
            <w:vAlign w:val="center"/>
          </w:tcPr>
          <w:p w14:paraId="1446E86A" w14:textId="77777777" w:rsidR="00FE42B5" w:rsidRDefault="00FE42B5">
            <w:pPr>
              <w:rPr>
                <w:rFonts w:ascii="Times New Roman" w:hAnsi="Times New Roman"/>
                <w:sz w:val="20"/>
                <w:szCs w:val="20"/>
              </w:rPr>
            </w:pPr>
          </w:p>
        </w:tc>
        <w:tc>
          <w:tcPr>
            <w:tcW w:w="700" w:type="pct"/>
            <w:shd w:val="clear" w:color="auto" w:fill="auto"/>
            <w:vAlign w:val="center"/>
          </w:tcPr>
          <w:p w14:paraId="1446E86B" w14:textId="77777777" w:rsidR="00FE42B5" w:rsidRDefault="00FE42B5">
            <w:pPr>
              <w:rPr>
                <w:rFonts w:ascii="Times New Roman" w:hAnsi="Times New Roman"/>
                <w:sz w:val="20"/>
                <w:szCs w:val="20"/>
              </w:rPr>
            </w:pPr>
          </w:p>
        </w:tc>
        <w:tc>
          <w:tcPr>
            <w:tcW w:w="50" w:type="pct"/>
            <w:shd w:val="clear" w:color="auto" w:fill="auto"/>
            <w:vAlign w:val="center"/>
          </w:tcPr>
          <w:p w14:paraId="1446E86C" w14:textId="77777777" w:rsidR="00FE42B5" w:rsidRDefault="00FE42B5">
            <w:pPr>
              <w:rPr>
                <w:rFonts w:ascii="Times New Roman" w:hAnsi="Times New Roman"/>
                <w:sz w:val="20"/>
                <w:szCs w:val="20"/>
              </w:rPr>
            </w:pPr>
          </w:p>
        </w:tc>
        <w:tc>
          <w:tcPr>
            <w:tcW w:w="50" w:type="pct"/>
            <w:shd w:val="clear" w:color="auto" w:fill="auto"/>
            <w:vAlign w:val="center"/>
          </w:tcPr>
          <w:p w14:paraId="1446E86D" w14:textId="77777777" w:rsidR="00FE42B5" w:rsidRDefault="00FE42B5">
            <w:pPr>
              <w:rPr>
                <w:rFonts w:ascii="Times New Roman" w:hAnsi="Times New Roman"/>
                <w:sz w:val="20"/>
                <w:szCs w:val="20"/>
              </w:rPr>
            </w:pPr>
          </w:p>
        </w:tc>
        <w:tc>
          <w:tcPr>
            <w:tcW w:w="50" w:type="pct"/>
            <w:shd w:val="clear" w:color="auto" w:fill="auto"/>
            <w:vAlign w:val="center"/>
          </w:tcPr>
          <w:p w14:paraId="1446E86E" w14:textId="77777777" w:rsidR="00FE42B5" w:rsidRDefault="00FE42B5">
            <w:pPr>
              <w:rPr>
                <w:rFonts w:ascii="Times New Roman" w:hAnsi="Times New Roman"/>
                <w:sz w:val="20"/>
                <w:szCs w:val="20"/>
              </w:rPr>
            </w:pPr>
          </w:p>
        </w:tc>
        <w:tc>
          <w:tcPr>
            <w:tcW w:w="700" w:type="pct"/>
            <w:shd w:val="clear" w:color="auto" w:fill="auto"/>
            <w:vAlign w:val="center"/>
          </w:tcPr>
          <w:p w14:paraId="1446E86F" w14:textId="77777777" w:rsidR="00FE42B5" w:rsidRDefault="00FE42B5">
            <w:pPr>
              <w:rPr>
                <w:rFonts w:ascii="Times New Roman" w:hAnsi="Times New Roman"/>
                <w:sz w:val="20"/>
                <w:szCs w:val="20"/>
              </w:rPr>
            </w:pPr>
          </w:p>
        </w:tc>
        <w:tc>
          <w:tcPr>
            <w:tcW w:w="50" w:type="pct"/>
            <w:shd w:val="clear" w:color="auto" w:fill="auto"/>
            <w:vAlign w:val="center"/>
          </w:tcPr>
          <w:p w14:paraId="1446E870" w14:textId="77777777" w:rsidR="00FE42B5" w:rsidRDefault="00FE42B5">
            <w:pPr>
              <w:rPr>
                <w:rFonts w:ascii="Times New Roman" w:hAnsi="Times New Roman"/>
                <w:sz w:val="20"/>
                <w:szCs w:val="20"/>
              </w:rPr>
            </w:pPr>
          </w:p>
        </w:tc>
      </w:tr>
      <w:tr w:rsidR="00FE42B5" w14:paraId="1446E876" w14:textId="77777777">
        <w:tc>
          <w:tcPr>
            <w:tcW w:w="0" w:type="auto"/>
            <w:shd w:val="clear" w:color="auto" w:fill="auto"/>
            <w:tcMar>
              <w:top w:w="40" w:type="dxa"/>
              <w:left w:w="40" w:type="dxa"/>
              <w:bottom w:w="40" w:type="dxa"/>
              <w:right w:w="40" w:type="dxa"/>
            </w:tcMar>
            <w:vAlign w:val="bottom"/>
          </w:tcPr>
          <w:p w14:paraId="1446E87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873"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March 31, 2020</w:t>
            </w:r>
          </w:p>
        </w:tc>
        <w:tc>
          <w:tcPr>
            <w:tcW w:w="0" w:type="auto"/>
            <w:shd w:val="clear" w:color="auto" w:fill="auto"/>
            <w:tcMar>
              <w:top w:w="40" w:type="dxa"/>
              <w:left w:w="40" w:type="dxa"/>
              <w:bottom w:w="40" w:type="dxa"/>
              <w:right w:w="40" w:type="dxa"/>
            </w:tcMar>
            <w:vAlign w:val="bottom"/>
          </w:tcPr>
          <w:p w14:paraId="1446E87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875"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FE42B5" w14:paraId="1446E87B" w14:textId="77777777">
        <w:tc>
          <w:tcPr>
            <w:tcW w:w="0" w:type="auto"/>
            <w:shd w:val="clear" w:color="auto" w:fill="CCEEFF"/>
            <w:tcMar>
              <w:top w:w="40" w:type="dxa"/>
              <w:left w:w="40" w:type="dxa"/>
              <w:bottom w:w="40" w:type="dxa"/>
              <w:right w:w="40" w:type="dxa"/>
            </w:tcMar>
            <w:vAlign w:val="bottom"/>
          </w:tcPr>
          <w:p w14:paraId="1446E87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gridSpan w:val="3"/>
            <w:shd w:val="clear" w:color="auto" w:fill="CCEEFF"/>
            <w:tcMar>
              <w:top w:w="40" w:type="dxa"/>
              <w:left w:w="40" w:type="dxa"/>
              <w:bottom w:w="40" w:type="dxa"/>
              <w:right w:w="40" w:type="dxa"/>
            </w:tcMar>
            <w:vAlign w:val="bottom"/>
          </w:tcPr>
          <w:p w14:paraId="1446E87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87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87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884" w14:textId="77777777">
        <w:tc>
          <w:tcPr>
            <w:tcW w:w="0" w:type="auto"/>
            <w:shd w:val="clear" w:color="auto" w:fill="auto"/>
            <w:tcMar>
              <w:top w:w="40" w:type="dxa"/>
              <w:left w:w="400" w:type="dxa"/>
              <w:bottom w:w="40" w:type="dxa"/>
              <w:right w:w="40" w:type="dxa"/>
            </w:tcMar>
            <w:vAlign w:val="bottom"/>
          </w:tcPr>
          <w:p w14:paraId="1446E87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Cash</w:t>
            </w:r>
          </w:p>
        </w:tc>
        <w:tc>
          <w:tcPr>
            <w:tcW w:w="0" w:type="auto"/>
            <w:shd w:val="clear" w:color="auto" w:fill="auto"/>
            <w:tcMar>
              <w:top w:w="40" w:type="dxa"/>
              <w:left w:w="40" w:type="dxa"/>
              <w:bottom w:w="40" w:type="dxa"/>
            </w:tcMar>
            <w:vAlign w:val="bottom"/>
          </w:tcPr>
          <w:p w14:paraId="1446E87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87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4,657</w:t>
            </w:r>
          </w:p>
        </w:tc>
        <w:tc>
          <w:tcPr>
            <w:tcW w:w="0" w:type="auto"/>
            <w:shd w:val="clear" w:color="auto" w:fill="auto"/>
            <w:vAlign w:val="bottom"/>
          </w:tcPr>
          <w:p w14:paraId="1446E87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8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88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88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4,735</w:t>
            </w:r>
          </w:p>
        </w:tc>
        <w:tc>
          <w:tcPr>
            <w:tcW w:w="0" w:type="auto"/>
            <w:shd w:val="clear" w:color="auto" w:fill="auto"/>
            <w:vAlign w:val="bottom"/>
          </w:tcPr>
          <w:p w14:paraId="1446E883" w14:textId="77777777" w:rsidR="00FE42B5" w:rsidRDefault="00FE42B5">
            <w:pPr>
              <w:textAlignment w:val="bottom"/>
              <w:rPr>
                <w:rFonts w:ascii="Times New Roman" w:hAnsi="Times New Roman"/>
                <w:sz w:val="20"/>
                <w:szCs w:val="20"/>
              </w:rPr>
            </w:pPr>
          </w:p>
        </w:tc>
      </w:tr>
      <w:tr w:rsidR="00FE42B5" w14:paraId="1446E88B" w14:textId="77777777">
        <w:tc>
          <w:tcPr>
            <w:tcW w:w="0" w:type="auto"/>
            <w:shd w:val="clear" w:color="auto" w:fill="CCEEFF"/>
            <w:tcMar>
              <w:top w:w="40" w:type="dxa"/>
              <w:left w:w="400" w:type="dxa"/>
              <w:bottom w:w="40" w:type="dxa"/>
              <w:right w:w="40" w:type="dxa"/>
            </w:tcMar>
            <w:vAlign w:val="bottom"/>
          </w:tcPr>
          <w:p w14:paraId="1446E88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xml:space="preserve">Money market </w:t>
            </w:r>
            <w:r>
              <w:rPr>
                <w:rFonts w:ascii="Times New Roman" w:eastAsia="宋体" w:hAnsi="Times New Roman"/>
                <w:sz w:val="20"/>
                <w:szCs w:val="20"/>
              </w:rPr>
              <w:t>funds</w:t>
            </w:r>
          </w:p>
        </w:tc>
        <w:tc>
          <w:tcPr>
            <w:tcW w:w="0" w:type="auto"/>
            <w:gridSpan w:val="2"/>
            <w:shd w:val="clear" w:color="auto" w:fill="CCEEFF"/>
            <w:tcMar>
              <w:top w:w="40" w:type="dxa"/>
              <w:left w:w="40" w:type="dxa"/>
              <w:bottom w:w="40" w:type="dxa"/>
            </w:tcMar>
            <w:vAlign w:val="bottom"/>
          </w:tcPr>
          <w:p w14:paraId="1446E88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18,155</w:t>
            </w:r>
          </w:p>
        </w:tc>
        <w:tc>
          <w:tcPr>
            <w:tcW w:w="0" w:type="auto"/>
            <w:shd w:val="clear" w:color="auto" w:fill="CCEEFF"/>
            <w:vAlign w:val="bottom"/>
          </w:tcPr>
          <w:p w14:paraId="1446E88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88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88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12,787</w:t>
            </w:r>
          </w:p>
        </w:tc>
        <w:tc>
          <w:tcPr>
            <w:tcW w:w="0" w:type="auto"/>
            <w:shd w:val="clear" w:color="auto" w:fill="CCEEFF"/>
            <w:vAlign w:val="bottom"/>
          </w:tcPr>
          <w:p w14:paraId="1446E88A" w14:textId="77777777" w:rsidR="00FE42B5" w:rsidRDefault="00FE42B5">
            <w:pPr>
              <w:textAlignment w:val="bottom"/>
              <w:rPr>
                <w:rFonts w:ascii="Times New Roman" w:hAnsi="Times New Roman"/>
                <w:sz w:val="20"/>
                <w:szCs w:val="20"/>
              </w:rPr>
            </w:pPr>
          </w:p>
        </w:tc>
      </w:tr>
      <w:tr w:rsidR="00FE42B5" w14:paraId="1446E892" w14:textId="77777777">
        <w:tc>
          <w:tcPr>
            <w:tcW w:w="0" w:type="auto"/>
            <w:shd w:val="clear" w:color="auto" w:fill="auto"/>
            <w:tcMar>
              <w:top w:w="40" w:type="dxa"/>
              <w:left w:w="400" w:type="dxa"/>
              <w:bottom w:w="40" w:type="dxa"/>
              <w:right w:w="40" w:type="dxa"/>
            </w:tcMar>
            <w:vAlign w:val="bottom"/>
          </w:tcPr>
          <w:p w14:paraId="1446E88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U.S. government securities</w:t>
            </w:r>
          </w:p>
        </w:tc>
        <w:tc>
          <w:tcPr>
            <w:tcW w:w="0" w:type="auto"/>
            <w:gridSpan w:val="2"/>
            <w:shd w:val="clear" w:color="auto" w:fill="auto"/>
            <w:tcMar>
              <w:top w:w="40" w:type="dxa"/>
              <w:left w:w="40" w:type="dxa"/>
              <w:bottom w:w="40" w:type="dxa"/>
            </w:tcMar>
            <w:vAlign w:val="bottom"/>
          </w:tcPr>
          <w:p w14:paraId="1446E88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287</w:t>
            </w:r>
          </w:p>
        </w:tc>
        <w:tc>
          <w:tcPr>
            <w:tcW w:w="0" w:type="auto"/>
            <w:shd w:val="clear" w:color="auto" w:fill="auto"/>
            <w:vAlign w:val="bottom"/>
          </w:tcPr>
          <w:p w14:paraId="1446E88E"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8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89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815</w:t>
            </w:r>
          </w:p>
        </w:tc>
        <w:tc>
          <w:tcPr>
            <w:tcW w:w="0" w:type="auto"/>
            <w:shd w:val="clear" w:color="auto" w:fill="auto"/>
            <w:vAlign w:val="bottom"/>
          </w:tcPr>
          <w:p w14:paraId="1446E891" w14:textId="77777777" w:rsidR="00FE42B5" w:rsidRDefault="00FE42B5">
            <w:pPr>
              <w:textAlignment w:val="bottom"/>
              <w:rPr>
                <w:rFonts w:ascii="Times New Roman" w:hAnsi="Times New Roman"/>
                <w:sz w:val="20"/>
                <w:szCs w:val="20"/>
              </w:rPr>
            </w:pPr>
          </w:p>
        </w:tc>
      </w:tr>
      <w:tr w:rsidR="00FE42B5" w14:paraId="1446E899" w14:textId="77777777">
        <w:tc>
          <w:tcPr>
            <w:tcW w:w="0" w:type="auto"/>
            <w:shd w:val="clear" w:color="auto" w:fill="CCEEFF"/>
            <w:tcMar>
              <w:top w:w="40" w:type="dxa"/>
              <w:left w:w="400" w:type="dxa"/>
              <w:bottom w:w="40" w:type="dxa"/>
              <w:right w:w="40" w:type="dxa"/>
            </w:tcMar>
            <w:vAlign w:val="bottom"/>
          </w:tcPr>
          <w:p w14:paraId="1446E89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gridSpan w:val="2"/>
            <w:shd w:val="clear" w:color="auto" w:fill="CCEEFF"/>
            <w:tcMar>
              <w:top w:w="40" w:type="dxa"/>
              <w:left w:w="40" w:type="dxa"/>
              <w:bottom w:w="40" w:type="dxa"/>
            </w:tcMar>
            <w:vAlign w:val="bottom"/>
          </w:tcPr>
          <w:p w14:paraId="1446E89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CCEEFF"/>
            <w:vAlign w:val="bottom"/>
          </w:tcPr>
          <w:p w14:paraId="1446E89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89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89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CCEEFF"/>
            <w:vAlign w:val="bottom"/>
          </w:tcPr>
          <w:p w14:paraId="1446E898" w14:textId="77777777" w:rsidR="00FE42B5" w:rsidRDefault="00FE42B5">
            <w:pPr>
              <w:textAlignment w:val="bottom"/>
              <w:rPr>
                <w:rFonts w:ascii="Times New Roman" w:hAnsi="Times New Roman"/>
                <w:sz w:val="20"/>
                <w:szCs w:val="20"/>
              </w:rPr>
            </w:pPr>
          </w:p>
        </w:tc>
      </w:tr>
      <w:tr w:rsidR="00FE42B5" w14:paraId="1446E8A0" w14:textId="77777777">
        <w:tc>
          <w:tcPr>
            <w:tcW w:w="0" w:type="auto"/>
            <w:shd w:val="clear" w:color="auto" w:fill="auto"/>
            <w:tcMar>
              <w:top w:w="40" w:type="dxa"/>
              <w:left w:w="400" w:type="dxa"/>
              <w:bottom w:w="40" w:type="dxa"/>
              <w:right w:w="40" w:type="dxa"/>
            </w:tcMar>
            <w:vAlign w:val="bottom"/>
          </w:tcPr>
          <w:p w14:paraId="1446E89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Certificate of deposits and time deposits</w:t>
            </w:r>
          </w:p>
        </w:tc>
        <w:tc>
          <w:tcPr>
            <w:tcW w:w="0" w:type="auto"/>
            <w:gridSpan w:val="2"/>
            <w:shd w:val="clear" w:color="auto" w:fill="auto"/>
            <w:tcMar>
              <w:top w:w="40" w:type="dxa"/>
              <w:left w:w="40" w:type="dxa"/>
              <w:bottom w:w="40" w:type="dxa"/>
            </w:tcMar>
            <w:vAlign w:val="bottom"/>
          </w:tcPr>
          <w:p w14:paraId="1446E89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shd w:val="clear" w:color="auto" w:fill="auto"/>
            <w:vAlign w:val="bottom"/>
          </w:tcPr>
          <w:p w14:paraId="1446E89C"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9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89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auto"/>
            <w:vAlign w:val="bottom"/>
          </w:tcPr>
          <w:p w14:paraId="1446E89F" w14:textId="77777777" w:rsidR="00FE42B5" w:rsidRDefault="00FE42B5">
            <w:pPr>
              <w:textAlignment w:val="bottom"/>
              <w:rPr>
                <w:rFonts w:ascii="Times New Roman" w:hAnsi="Times New Roman"/>
                <w:sz w:val="20"/>
                <w:szCs w:val="20"/>
              </w:rPr>
            </w:pPr>
          </w:p>
        </w:tc>
      </w:tr>
      <w:tr w:rsidR="00FE42B5" w14:paraId="1446E8A7" w14:textId="77777777">
        <w:tc>
          <w:tcPr>
            <w:tcW w:w="0" w:type="auto"/>
            <w:shd w:val="clear" w:color="auto" w:fill="CCEEFF"/>
            <w:tcMar>
              <w:top w:w="40" w:type="dxa"/>
              <w:left w:w="400" w:type="dxa"/>
              <w:bottom w:w="40" w:type="dxa"/>
              <w:right w:w="40" w:type="dxa"/>
            </w:tcMar>
            <w:vAlign w:val="bottom"/>
          </w:tcPr>
          <w:p w14:paraId="1446E8A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8A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99</w:t>
            </w:r>
          </w:p>
        </w:tc>
        <w:tc>
          <w:tcPr>
            <w:tcW w:w="0" w:type="auto"/>
            <w:tcBorders>
              <w:bottom w:val="single" w:sz="8" w:space="0" w:color="000000"/>
            </w:tcBorders>
            <w:shd w:val="clear" w:color="auto" w:fill="CCEEFF"/>
            <w:vAlign w:val="bottom"/>
          </w:tcPr>
          <w:p w14:paraId="1446E8A3"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8A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8A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CCEEFF"/>
            <w:vAlign w:val="bottom"/>
          </w:tcPr>
          <w:p w14:paraId="1446E8A6" w14:textId="77777777" w:rsidR="00FE42B5" w:rsidRDefault="00FE42B5">
            <w:pPr>
              <w:textAlignment w:val="bottom"/>
              <w:rPr>
                <w:rFonts w:ascii="Times New Roman" w:hAnsi="Times New Roman"/>
                <w:sz w:val="20"/>
                <w:szCs w:val="20"/>
              </w:rPr>
            </w:pPr>
          </w:p>
        </w:tc>
      </w:tr>
      <w:tr w:rsidR="00FE42B5" w14:paraId="1446E8AE" w14:textId="77777777">
        <w:tc>
          <w:tcPr>
            <w:tcW w:w="0" w:type="auto"/>
            <w:shd w:val="clear" w:color="auto" w:fill="auto"/>
            <w:tcMar>
              <w:top w:w="40" w:type="dxa"/>
              <w:left w:w="560" w:type="dxa"/>
              <w:bottom w:w="40" w:type="dxa"/>
              <w:right w:w="40" w:type="dxa"/>
            </w:tcMar>
            <w:vAlign w:val="bottom"/>
          </w:tcPr>
          <w:p w14:paraId="1446E8A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Total cash and cash equivalents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446E8A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23,618</w:t>
            </w:r>
          </w:p>
        </w:tc>
        <w:tc>
          <w:tcPr>
            <w:tcW w:w="0" w:type="auto"/>
            <w:tcBorders>
              <w:top w:val="single" w:sz="8" w:space="0" w:color="000000"/>
              <w:bottom w:val="single" w:sz="8" w:space="0" w:color="000000"/>
            </w:tcBorders>
            <w:shd w:val="clear" w:color="auto" w:fill="auto"/>
            <w:vAlign w:val="bottom"/>
          </w:tcPr>
          <w:p w14:paraId="1446E8AA"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A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446E8A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19,079</w:t>
            </w:r>
          </w:p>
        </w:tc>
        <w:tc>
          <w:tcPr>
            <w:tcW w:w="0" w:type="auto"/>
            <w:tcBorders>
              <w:top w:val="single" w:sz="8" w:space="0" w:color="000000"/>
              <w:bottom w:val="single" w:sz="8" w:space="0" w:color="000000"/>
            </w:tcBorders>
            <w:shd w:val="clear" w:color="auto" w:fill="auto"/>
            <w:vAlign w:val="bottom"/>
          </w:tcPr>
          <w:p w14:paraId="1446E8AD" w14:textId="77777777" w:rsidR="00FE42B5" w:rsidRDefault="00FE42B5">
            <w:pPr>
              <w:textAlignment w:val="bottom"/>
              <w:rPr>
                <w:rFonts w:ascii="Times New Roman" w:hAnsi="Times New Roman"/>
                <w:sz w:val="20"/>
                <w:szCs w:val="20"/>
              </w:rPr>
            </w:pPr>
          </w:p>
        </w:tc>
      </w:tr>
      <w:tr w:rsidR="00FE42B5" w14:paraId="1446E8B3" w14:textId="77777777">
        <w:tc>
          <w:tcPr>
            <w:tcW w:w="0" w:type="auto"/>
            <w:shd w:val="clear" w:color="auto" w:fill="CCEEFF"/>
            <w:tcMar>
              <w:top w:w="40" w:type="dxa"/>
              <w:left w:w="40" w:type="dxa"/>
              <w:bottom w:w="40" w:type="dxa"/>
              <w:right w:w="40" w:type="dxa"/>
            </w:tcMar>
            <w:vAlign w:val="bottom"/>
          </w:tcPr>
          <w:p w14:paraId="1446E8A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Marketable securities:</w:t>
            </w:r>
          </w:p>
        </w:tc>
        <w:tc>
          <w:tcPr>
            <w:tcW w:w="0" w:type="auto"/>
            <w:gridSpan w:val="3"/>
            <w:shd w:val="clear" w:color="auto" w:fill="CCEEFF"/>
            <w:tcMar>
              <w:top w:w="40" w:type="dxa"/>
              <w:left w:w="40" w:type="dxa"/>
              <w:bottom w:w="40" w:type="dxa"/>
              <w:right w:w="40" w:type="dxa"/>
            </w:tcMar>
            <w:vAlign w:val="bottom"/>
          </w:tcPr>
          <w:p w14:paraId="1446E8B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8B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8B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8BA" w14:textId="77777777">
        <w:tc>
          <w:tcPr>
            <w:tcW w:w="0" w:type="auto"/>
            <w:shd w:val="clear" w:color="auto" w:fill="auto"/>
            <w:tcMar>
              <w:top w:w="40" w:type="dxa"/>
              <w:left w:w="400" w:type="dxa"/>
              <w:bottom w:w="40" w:type="dxa"/>
              <w:right w:w="40" w:type="dxa"/>
            </w:tcMar>
            <w:vAlign w:val="bottom"/>
          </w:tcPr>
          <w:p w14:paraId="1446E8B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U.S. government securities</w:t>
            </w:r>
          </w:p>
        </w:tc>
        <w:tc>
          <w:tcPr>
            <w:tcW w:w="0" w:type="auto"/>
            <w:gridSpan w:val="2"/>
            <w:shd w:val="clear" w:color="auto" w:fill="auto"/>
            <w:tcMar>
              <w:top w:w="40" w:type="dxa"/>
              <w:left w:w="40" w:type="dxa"/>
              <w:bottom w:w="40" w:type="dxa"/>
            </w:tcMar>
            <w:vAlign w:val="bottom"/>
          </w:tcPr>
          <w:p w14:paraId="1446E8B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19,331</w:t>
            </w:r>
          </w:p>
        </w:tc>
        <w:tc>
          <w:tcPr>
            <w:tcW w:w="0" w:type="auto"/>
            <w:shd w:val="clear" w:color="auto" w:fill="auto"/>
            <w:vAlign w:val="bottom"/>
          </w:tcPr>
          <w:p w14:paraId="1446E8B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B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8B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18,679</w:t>
            </w:r>
          </w:p>
        </w:tc>
        <w:tc>
          <w:tcPr>
            <w:tcW w:w="0" w:type="auto"/>
            <w:shd w:val="clear" w:color="auto" w:fill="auto"/>
            <w:vAlign w:val="bottom"/>
          </w:tcPr>
          <w:p w14:paraId="1446E8B9" w14:textId="77777777" w:rsidR="00FE42B5" w:rsidRDefault="00FE42B5">
            <w:pPr>
              <w:textAlignment w:val="bottom"/>
              <w:rPr>
                <w:rFonts w:ascii="Times New Roman" w:hAnsi="Times New Roman"/>
                <w:sz w:val="20"/>
                <w:szCs w:val="20"/>
              </w:rPr>
            </w:pPr>
          </w:p>
        </w:tc>
      </w:tr>
      <w:tr w:rsidR="00FE42B5" w14:paraId="1446E8C1" w14:textId="77777777">
        <w:tc>
          <w:tcPr>
            <w:tcW w:w="0" w:type="auto"/>
            <w:shd w:val="clear" w:color="auto" w:fill="CCEEFF"/>
            <w:tcMar>
              <w:top w:w="40" w:type="dxa"/>
              <w:left w:w="400" w:type="dxa"/>
              <w:bottom w:w="40" w:type="dxa"/>
              <w:right w:w="40" w:type="dxa"/>
            </w:tcMar>
            <w:vAlign w:val="bottom"/>
          </w:tcPr>
          <w:p w14:paraId="1446E8B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gridSpan w:val="2"/>
            <w:shd w:val="clear" w:color="auto" w:fill="CCEEFF"/>
            <w:tcMar>
              <w:top w:w="40" w:type="dxa"/>
              <w:left w:w="40" w:type="dxa"/>
              <w:bottom w:w="40" w:type="dxa"/>
            </w:tcMar>
            <w:vAlign w:val="bottom"/>
          </w:tcPr>
          <w:p w14:paraId="1446E8B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6,617</w:t>
            </w:r>
          </w:p>
        </w:tc>
        <w:tc>
          <w:tcPr>
            <w:tcW w:w="0" w:type="auto"/>
            <w:shd w:val="clear" w:color="auto" w:fill="CCEEFF"/>
            <w:vAlign w:val="bottom"/>
          </w:tcPr>
          <w:p w14:paraId="1446E8B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8B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8B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6,712</w:t>
            </w:r>
          </w:p>
        </w:tc>
        <w:tc>
          <w:tcPr>
            <w:tcW w:w="0" w:type="auto"/>
            <w:shd w:val="clear" w:color="auto" w:fill="CCEEFF"/>
            <w:vAlign w:val="bottom"/>
          </w:tcPr>
          <w:p w14:paraId="1446E8C0" w14:textId="77777777" w:rsidR="00FE42B5" w:rsidRDefault="00FE42B5">
            <w:pPr>
              <w:textAlignment w:val="bottom"/>
              <w:rPr>
                <w:rFonts w:ascii="Times New Roman" w:hAnsi="Times New Roman"/>
                <w:sz w:val="20"/>
                <w:szCs w:val="20"/>
              </w:rPr>
            </w:pPr>
          </w:p>
        </w:tc>
      </w:tr>
      <w:tr w:rsidR="00FE42B5" w14:paraId="1446E8C8" w14:textId="77777777">
        <w:tc>
          <w:tcPr>
            <w:tcW w:w="0" w:type="auto"/>
            <w:shd w:val="clear" w:color="auto" w:fill="auto"/>
            <w:tcMar>
              <w:top w:w="40" w:type="dxa"/>
              <w:left w:w="400" w:type="dxa"/>
              <w:bottom w:w="40" w:type="dxa"/>
              <w:right w:w="40" w:type="dxa"/>
            </w:tcMar>
            <w:vAlign w:val="bottom"/>
          </w:tcPr>
          <w:p w14:paraId="1446E8C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1446E8C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10,723</w:t>
            </w:r>
          </w:p>
        </w:tc>
        <w:tc>
          <w:tcPr>
            <w:tcW w:w="0" w:type="auto"/>
            <w:tcBorders>
              <w:bottom w:val="single" w:sz="8" w:space="0" w:color="000000"/>
            </w:tcBorders>
            <w:shd w:val="clear" w:color="auto" w:fill="auto"/>
            <w:vAlign w:val="bottom"/>
          </w:tcPr>
          <w:p w14:paraId="1446E8C4"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C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8C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10,385</w:t>
            </w:r>
          </w:p>
        </w:tc>
        <w:tc>
          <w:tcPr>
            <w:tcW w:w="0" w:type="auto"/>
            <w:tcBorders>
              <w:bottom w:val="single" w:sz="8" w:space="0" w:color="000000"/>
            </w:tcBorders>
            <w:shd w:val="clear" w:color="auto" w:fill="auto"/>
            <w:vAlign w:val="bottom"/>
          </w:tcPr>
          <w:p w14:paraId="1446E8C7" w14:textId="77777777" w:rsidR="00FE42B5" w:rsidRDefault="00FE42B5">
            <w:pPr>
              <w:textAlignment w:val="bottom"/>
              <w:rPr>
                <w:rFonts w:ascii="Times New Roman" w:hAnsi="Times New Roman"/>
                <w:sz w:val="20"/>
                <w:szCs w:val="20"/>
              </w:rPr>
            </w:pPr>
          </w:p>
        </w:tc>
      </w:tr>
      <w:tr w:rsidR="00FE42B5" w14:paraId="1446E8CF" w14:textId="77777777">
        <w:tc>
          <w:tcPr>
            <w:tcW w:w="0" w:type="auto"/>
            <w:shd w:val="clear" w:color="auto" w:fill="CCEEFF"/>
            <w:tcMar>
              <w:top w:w="40" w:type="dxa"/>
              <w:left w:w="560" w:type="dxa"/>
              <w:bottom w:w="40" w:type="dxa"/>
              <w:right w:w="40" w:type="dxa"/>
            </w:tcMar>
            <w:vAlign w:val="bottom"/>
          </w:tcPr>
          <w:p w14:paraId="1446E8C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Total marketable securities</w:t>
            </w:r>
          </w:p>
        </w:tc>
        <w:tc>
          <w:tcPr>
            <w:tcW w:w="0" w:type="auto"/>
            <w:gridSpan w:val="2"/>
            <w:tcBorders>
              <w:top w:val="single" w:sz="8" w:space="0" w:color="000000"/>
            </w:tcBorders>
            <w:shd w:val="clear" w:color="auto" w:fill="CCEEFF"/>
            <w:tcMar>
              <w:top w:w="40" w:type="dxa"/>
              <w:left w:w="40" w:type="dxa"/>
              <w:bottom w:w="40" w:type="dxa"/>
            </w:tcMar>
            <w:vAlign w:val="bottom"/>
          </w:tcPr>
          <w:p w14:paraId="1446E8C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36,671</w:t>
            </w:r>
          </w:p>
        </w:tc>
        <w:tc>
          <w:tcPr>
            <w:tcW w:w="0" w:type="auto"/>
            <w:tcBorders>
              <w:top w:val="single" w:sz="8" w:space="0" w:color="000000"/>
            </w:tcBorders>
            <w:shd w:val="clear" w:color="auto" w:fill="CCEEFF"/>
            <w:vAlign w:val="bottom"/>
          </w:tcPr>
          <w:p w14:paraId="1446E8CB"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8C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1446E8C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35,776</w:t>
            </w:r>
          </w:p>
        </w:tc>
        <w:tc>
          <w:tcPr>
            <w:tcW w:w="0" w:type="auto"/>
            <w:tcBorders>
              <w:top w:val="single" w:sz="8" w:space="0" w:color="000000"/>
              <w:bottom w:val="single" w:sz="8" w:space="0" w:color="000000"/>
            </w:tcBorders>
            <w:shd w:val="clear" w:color="auto" w:fill="CCEEFF"/>
            <w:vAlign w:val="bottom"/>
          </w:tcPr>
          <w:p w14:paraId="1446E8CE" w14:textId="77777777" w:rsidR="00FE42B5" w:rsidRDefault="00FE42B5">
            <w:pPr>
              <w:textAlignment w:val="bottom"/>
              <w:rPr>
                <w:rFonts w:ascii="Times New Roman" w:hAnsi="Times New Roman"/>
                <w:sz w:val="20"/>
                <w:szCs w:val="20"/>
              </w:rPr>
            </w:pPr>
          </w:p>
        </w:tc>
      </w:tr>
      <w:tr w:rsidR="00FE42B5" w14:paraId="1446E8D8" w14:textId="77777777">
        <w:tc>
          <w:tcPr>
            <w:tcW w:w="0" w:type="auto"/>
            <w:shd w:val="clear" w:color="auto" w:fill="auto"/>
            <w:tcMar>
              <w:top w:w="40" w:type="dxa"/>
              <w:left w:w="40" w:type="dxa"/>
              <w:bottom w:w="40" w:type="dxa"/>
              <w:right w:w="40" w:type="dxa"/>
            </w:tcMar>
            <w:vAlign w:val="bottom"/>
          </w:tcPr>
          <w:p w14:paraId="1446E8D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xml:space="preserve">Total cash and cash </w:t>
            </w:r>
            <w:r>
              <w:rPr>
                <w:rFonts w:ascii="Times New Roman" w:eastAsia="宋体" w:hAnsi="Times New Roman"/>
                <w:sz w:val="20"/>
                <w:szCs w:val="20"/>
              </w:rPr>
              <w:t>equivalents and marketable securities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8D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8D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60,289</w:t>
            </w:r>
          </w:p>
        </w:tc>
        <w:tc>
          <w:tcPr>
            <w:tcW w:w="0" w:type="auto"/>
            <w:tcBorders>
              <w:top w:val="single" w:sz="8" w:space="0" w:color="000000"/>
              <w:bottom w:val="double" w:sz="6" w:space="0" w:color="000000"/>
            </w:tcBorders>
            <w:shd w:val="clear" w:color="auto" w:fill="auto"/>
            <w:vAlign w:val="bottom"/>
          </w:tcPr>
          <w:p w14:paraId="1446E8D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8D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8D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8D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54,855</w:t>
            </w:r>
          </w:p>
        </w:tc>
        <w:tc>
          <w:tcPr>
            <w:tcW w:w="0" w:type="auto"/>
            <w:tcBorders>
              <w:top w:val="single" w:sz="8" w:space="0" w:color="000000"/>
              <w:bottom w:val="double" w:sz="6" w:space="0" w:color="000000"/>
            </w:tcBorders>
            <w:shd w:val="clear" w:color="auto" w:fill="auto"/>
            <w:vAlign w:val="bottom"/>
          </w:tcPr>
          <w:p w14:paraId="1446E8D7" w14:textId="77777777" w:rsidR="00FE42B5" w:rsidRDefault="00FE42B5">
            <w:pPr>
              <w:textAlignment w:val="bottom"/>
              <w:rPr>
                <w:rFonts w:ascii="Times New Roman" w:hAnsi="Times New Roman"/>
                <w:sz w:val="20"/>
                <w:szCs w:val="20"/>
              </w:rPr>
            </w:pPr>
          </w:p>
        </w:tc>
      </w:tr>
    </w:tbl>
    <w:p w14:paraId="1446E8D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gross unrealized gains on our marketable securities were $631 million and $205 million as of March 31, 2020 and December 31, 2019, respectively. The gross unrealized losses on our marketable securities were $44 million and $24 million as of March 31, 2</w:t>
      </w:r>
      <w:r>
        <w:rPr>
          <w:rFonts w:ascii="Times New Roman" w:eastAsia="宋体" w:hAnsi="Times New Roman"/>
          <w:sz w:val="20"/>
          <w:szCs w:val="20"/>
        </w:rPr>
        <w:t xml:space="preserve">020 and December 31, 2019, respectively. The allowance for credit losses was not material as of March 31, 2020. </w:t>
      </w:r>
    </w:p>
    <w:p w14:paraId="1446E8DA" w14:textId="77777777" w:rsidR="00FE42B5" w:rsidRDefault="009213DC">
      <w:pPr>
        <w:spacing w:line="288" w:lineRule="auto"/>
        <w:ind w:firstLine="720"/>
        <w:rPr>
          <w:rFonts w:ascii="Times New Roman" w:hAnsi="Times New Roman"/>
          <w:sz w:val="20"/>
          <w:szCs w:val="20"/>
        </w:rPr>
      </w:pPr>
      <w:r>
        <w:rPr>
          <w:rFonts w:ascii="Times New Roman" w:eastAsia="宋体" w:hAnsi="Times New Roman"/>
          <w:sz w:val="20"/>
          <w:szCs w:val="20"/>
        </w:rPr>
        <w:t xml:space="preserve">The following table classifies our marketable securities by contractual maturities (in millions): </w:t>
      </w:r>
    </w:p>
    <w:tbl>
      <w:tblPr>
        <w:tblW w:w="5000" w:type="pct"/>
        <w:tblCellMar>
          <w:left w:w="0" w:type="dxa"/>
          <w:right w:w="0" w:type="dxa"/>
        </w:tblCellMar>
        <w:tblLook w:val="04A0" w:firstRow="1" w:lastRow="0" w:firstColumn="1" w:lastColumn="0" w:noHBand="0" w:noVBand="1"/>
      </w:tblPr>
      <w:tblGrid>
        <w:gridCol w:w="6957"/>
        <w:gridCol w:w="141"/>
        <w:gridCol w:w="1144"/>
        <w:gridCol w:w="64"/>
      </w:tblGrid>
      <w:tr w:rsidR="00FE42B5" w14:paraId="1446E8DC" w14:textId="77777777">
        <w:tc>
          <w:tcPr>
            <w:tcW w:w="0" w:type="auto"/>
            <w:gridSpan w:val="4"/>
            <w:shd w:val="clear" w:color="auto" w:fill="auto"/>
            <w:vAlign w:val="center"/>
          </w:tcPr>
          <w:p w14:paraId="1446E8DB" w14:textId="77777777" w:rsidR="00FE42B5" w:rsidRDefault="00FE42B5">
            <w:pPr>
              <w:rPr>
                <w:rFonts w:ascii="Times New Roman" w:hAnsi="Times New Roman"/>
                <w:sz w:val="20"/>
                <w:szCs w:val="20"/>
              </w:rPr>
            </w:pPr>
          </w:p>
        </w:tc>
      </w:tr>
      <w:tr w:rsidR="00FE42B5" w14:paraId="1446E8E1" w14:textId="77777777">
        <w:tc>
          <w:tcPr>
            <w:tcW w:w="4200" w:type="pct"/>
            <w:shd w:val="clear" w:color="auto" w:fill="auto"/>
            <w:vAlign w:val="center"/>
          </w:tcPr>
          <w:p w14:paraId="1446E8DD" w14:textId="77777777" w:rsidR="00FE42B5" w:rsidRDefault="00FE42B5">
            <w:pPr>
              <w:rPr>
                <w:rFonts w:ascii="Times New Roman" w:hAnsi="Times New Roman"/>
                <w:sz w:val="20"/>
                <w:szCs w:val="20"/>
              </w:rPr>
            </w:pPr>
          </w:p>
        </w:tc>
        <w:tc>
          <w:tcPr>
            <w:tcW w:w="50" w:type="pct"/>
            <w:shd w:val="clear" w:color="auto" w:fill="auto"/>
            <w:vAlign w:val="center"/>
          </w:tcPr>
          <w:p w14:paraId="1446E8DE" w14:textId="77777777" w:rsidR="00FE42B5" w:rsidRDefault="00FE42B5">
            <w:pPr>
              <w:rPr>
                <w:rFonts w:ascii="Times New Roman" w:hAnsi="Times New Roman"/>
                <w:sz w:val="20"/>
                <w:szCs w:val="20"/>
              </w:rPr>
            </w:pPr>
          </w:p>
        </w:tc>
        <w:tc>
          <w:tcPr>
            <w:tcW w:w="700" w:type="pct"/>
            <w:shd w:val="clear" w:color="auto" w:fill="auto"/>
            <w:vAlign w:val="center"/>
          </w:tcPr>
          <w:p w14:paraId="1446E8DF" w14:textId="77777777" w:rsidR="00FE42B5" w:rsidRDefault="00FE42B5">
            <w:pPr>
              <w:rPr>
                <w:rFonts w:ascii="Times New Roman" w:hAnsi="Times New Roman"/>
                <w:sz w:val="20"/>
                <w:szCs w:val="20"/>
              </w:rPr>
            </w:pPr>
          </w:p>
        </w:tc>
        <w:tc>
          <w:tcPr>
            <w:tcW w:w="50" w:type="pct"/>
            <w:shd w:val="clear" w:color="auto" w:fill="auto"/>
            <w:vAlign w:val="center"/>
          </w:tcPr>
          <w:p w14:paraId="1446E8E0" w14:textId="77777777" w:rsidR="00FE42B5" w:rsidRDefault="00FE42B5">
            <w:pPr>
              <w:rPr>
                <w:rFonts w:ascii="Times New Roman" w:hAnsi="Times New Roman"/>
                <w:sz w:val="20"/>
                <w:szCs w:val="20"/>
              </w:rPr>
            </w:pPr>
          </w:p>
        </w:tc>
      </w:tr>
      <w:tr w:rsidR="00FE42B5" w14:paraId="1446E8E4" w14:textId="77777777">
        <w:tc>
          <w:tcPr>
            <w:tcW w:w="0" w:type="auto"/>
            <w:shd w:val="clear" w:color="auto" w:fill="auto"/>
            <w:tcMar>
              <w:top w:w="40" w:type="dxa"/>
              <w:left w:w="40" w:type="dxa"/>
              <w:bottom w:w="40" w:type="dxa"/>
              <w:right w:w="40" w:type="dxa"/>
            </w:tcMar>
            <w:vAlign w:val="bottom"/>
          </w:tcPr>
          <w:p w14:paraId="1446E8E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8E3"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March 31, 2020</w:t>
            </w:r>
          </w:p>
        </w:tc>
      </w:tr>
      <w:tr w:rsidR="00FE42B5" w14:paraId="1446E8E9" w14:textId="77777777">
        <w:tc>
          <w:tcPr>
            <w:tcW w:w="0" w:type="auto"/>
            <w:shd w:val="clear" w:color="auto" w:fill="CCEEFF"/>
            <w:tcMar>
              <w:top w:w="40" w:type="dxa"/>
              <w:left w:w="40" w:type="dxa"/>
              <w:bottom w:w="40" w:type="dxa"/>
              <w:right w:w="40" w:type="dxa"/>
            </w:tcMar>
            <w:vAlign w:val="bottom"/>
          </w:tcPr>
          <w:p w14:paraId="1446E8E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Due in one year</w:t>
            </w:r>
          </w:p>
        </w:tc>
        <w:tc>
          <w:tcPr>
            <w:tcW w:w="0" w:type="auto"/>
            <w:shd w:val="clear" w:color="auto" w:fill="CCEEFF"/>
            <w:tcMar>
              <w:top w:w="40" w:type="dxa"/>
              <w:left w:w="40" w:type="dxa"/>
              <w:bottom w:w="40" w:type="dxa"/>
            </w:tcMar>
            <w:vAlign w:val="bottom"/>
          </w:tcPr>
          <w:p w14:paraId="1446E8E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8E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13,070</w:t>
            </w:r>
          </w:p>
        </w:tc>
        <w:tc>
          <w:tcPr>
            <w:tcW w:w="0" w:type="auto"/>
            <w:shd w:val="clear" w:color="auto" w:fill="CCEEFF"/>
            <w:vAlign w:val="bottom"/>
          </w:tcPr>
          <w:p w14:paraId="1446E8E8" w14:textId="77777777" w:rsidR="00FE42B5" w:rsidRDefault="00FE42B5">
            <w:pPr>
              <w:textAlignment w:val="bottom"/>
              <w:rPr>
                <w:rFonts w:ascii="Times New Roman" w:hAnsi="Times New Roman"/>
                <w:sz w:val="20"/>
                <w:szCs w:val="20"/>
              </w:rPr>
            </w:pPr>
          </w:p>
        </w:tc>
      </w:tr>
      <w:tr w:rsidR="00FE42B5" w14:paraId="1446E8ED" w14:textId="77777777">
        <w:tc>
          <w:tcPr>
            <w:tcW w:w="0" w:type="auto"/>
            <w:shd w:val="clear" w:color="auto" w:fill="auto"/>
            <w:tcMar>
              <w:top w:w="40" w:type="dxa"/>
              <w:left w:w="40" w:type="dxa"/>
              <w:bottom w:w="40" w:type="dxa"/>
              <w:right w:w="40" w:type="dxa"/>
            </w:tcMar>
            <w:vAlign w:val="bottom"/>
          </w:tcPr>
          <w:p w14:paraId="1446E8E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Due after one year to five years</w:t>
            </w:r>
          </w:p>
        </w:tc>
        <w:tc>
          <w:tcPr>
            <w:tcW w:w="0" w:type="auto"/>
            <w:gridSpan w:val="2"/>
            <w:tcBorders>
              <w:bottom w:val="single" w:sz="8" w:space="0" w:color="000000"/>
            </w:tcBorders>
            <w:shd w:val="clear" w:color="auto" w:fill="auto"/>
            <w:tcMar>
              <w:top w:w="40" w:type="dxa"/>
              <w:left w:w="40" w:type="dxa"/>
              <w:bottom w:w="40" w:type="dxa"/>
            </w:tcMar>
            <w:vAlign w:val="bottom"/>
          </w:tcPr>
          <w:p w14:paraId="1446E8E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23,601</w:t>
            </w:r>
          </w:p>
        </w:tc>
        <w:tc>
          <w:tcPr>
            <w:tcW w:w="0" w:type="auto"/>
            <w:tcBorders>
              <w:bottom w:val="single" w:sz="8" w:space="0" w:color="000000"/>
            </w:tcBorders>
            <w:shd w:val="clear" w:color="auto" w:fill="auto"/>
            <w:vAlign w:val="bottom"/>
          </w:tcPr>
          <w:p w14:paraId="1446E8EC" w14:textId="77777777" w:rsidR="00FE42B5" w:rsidRDefault="00FE42B5">
            <w:pPr>
              <w:textAlignment w:val="bottom"/>
              <w:rPr>
                <w:rFonts w:ascii="Times New Roman" w:hAnsi="Times New Roman"/>
                <w:sz w:val="20"/>
                <w:szCs w:val="20"/>
              </w:rPr>
            </w:pPr>
          </w:p>
        </w:tc>
      </w:tr>
      <w:tr w:rsidR="00FE42B5" w14:paraId="1446E8F2" w14:textId="77777777">
        <w:tc>
          <w:tcPr>
            <w:tcW w:w="0" w:type="auto"/>
            <w:shd w:val="clear" w:color="auto" w:fill="CCEEFF"/>
            <w:tcMar>
              <w:top w:w="40" w:type="dxa"/>
              <w:left w:w="400" w:type="dxa"/>
              <w:bottom w:w="40" w:type="dxa"/>
              <w:right w:w="40" w:type="dxa"/>
            </w:tcMar>
            <w:vAlign w:val="bottom"/>
          </w:tcPr>
          <w:p w14:paraId="1446E8E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E8E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E8F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36,671</w:t>
            </w:r>
          </w:p>
        </w:tc>
        <w:tc>
          <w:tcPr>
            <w:tcW w:w="0" w:type="auto"/>
            <w:tcBorders>
              <w:top w:val="single" w:sz="8" w:space="0" w:color="000000"/>
              <w:bottom w:val="double" w:sz="6" w:space="0" w:color="000000"/>
            </w:tcBorders>
            <w:shd w:val="clear" w:color="auto" w:fill="CCEEFF"/>
            <w:vAlign w:val="bottom"/>
          </w:tcPr>
          <w:p w14:paraId="1446E8F1" w14:textId="77777777" w:rsidR="00FE42B5" w:rsidRDefault="00FE42B5">
            <w:pPr>
              <w:textAlignment w:val="bottom"/>
              <w:rPr>
                <w:rFonts w:ascii="Times New Roman" w:hAnsi="Times New Roman"/>
                <w:sz w:val="20"/>
                <w:szCs w:val="20"/>
              </w:rPr>
            </w:pPr>
          </w:p>
        </w:tc>
      </w:tr>
    </w:tbl>
    <w:p w14:paraId="1446E8F3" w14:textId="77777777" w:rsidR="00FE42B5" w:rsidRDefault="00FE42B5">
      <w:pPr>
        <w:spacing w:line="288" w:lineRule="auto"/>
        <w:rPr>
          <w:rFonts w:ascii="Times New Roman" w:hAnsi="Times New Roman"/>
          <w:sz w:val="20"/>
          <w:szCs w:val="20"/>
        </w:rPr>
      </w:pPr>
    </w:p>
    <w:p w14:paraId="1446E8F4" w14:textId="77777777" w:rsidR="00FE42B5" w:rsidRDefault="00FE42B5">
      <w:pPr>
        <w:rPr>
          <w:rFonts w:ascii="Times New Roman" w:hAnsi="Times New Roman"/>
          <w:sz w:val="20"/>
          <w:szCs w:val="20"/>
        </w:rPr>
      </w:pPr>
    </w:p>
    <w:p w14:paraId="1446E8F5"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18</w:t>
      </w:r>
    </w:p>
    <w:p w14:paraId="1446E8F6" w14:textId="77777777" w:rsidR="00FE42B5" w:rsidRDefault="009213DC">
      <w:r>
        <w:rPr>
          <w:rFonts w:ascii="Times New Roman" w:hAnsi="Times New Roman"/>
          <w:sz w:val="20"/>
          <w:szCs w:val="20"/>
        </w:rPr>
        <w:pict w14:anchorId="1446FACA">
          <v:rect id="_x0000_i1042" style="width:415.3pt;height:1.5pt" o:hralign="center" o:hrstd="t" o:hr="t" fillcolor="#a0a0a0" stroked="f"/>
        </w:pict>
      </w:r>
    </w:p>
    <w:p w14:paraId="1446E8F7" w14:textId="77777777" w:rsidR="00FE42B5" w:rsidRDefault="009213DC">
      <w:pPr>
        <w:spacing w:line="288" w:lineRule="auto"/>
        <w:rPr>
          <w:rFonts w:ascii="Times New Roman" w:hAnsi="Times New Roman"/>
          <w:sz w:val="20"/>
          <w:szCs w:val="20"/>
        </w:rPr>
      </w:pPr>
      <w:hyperlink r:id="rId59" w:anchor="sBB4BED1571A45A16AF3DC2E3B69C901C" w:history="1">
        <w:r>
          <w:rPr>
            <w:rStyle w:val="a5"/>
            <w:rFonts w:ascii="Times New Roman" w:eastAsia="宋体" w:hAnsi="Times New Roman"/>
            <w:sz w:val="20"/>
            <w:szCs w:val="20"/>
          </w:rPr>
          <w:t>Table of Contents</w:t>
        </w:r>
      </w:hyperlink>
    </w:p>
    <w:p w14:paraId="1446E8F8" w14:textId="77777777" w:rsidR="00FE42B5" w:rsidRDefault="00FE42B5">
      <w:pPr>
        <w:rPr>
          <w:rFonts w:ascii="Times New Roman" w:hAnsi="Times New Roman"/>
          <w:sz w:val="20"/>
          <w:szCs w:val="20"/>
        </w:rPr>
      </w:pPr>
    </w:p>
    <w:p w14:paraId="1446E8F9"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Note 5. Fair Value Measurement</w:t>
      </w:r>
    </w:p>
    <w:p w14:paraId="1446E8F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following table summarizes our cash </w:t>
      </w:r>
      <w:r>
        <w:rPr>
          <w:rFonts w:ascii="Times New Roman" w:eastAsia="宋体" w:hAnsi="Times New Roman"/>
          <w:sz w:val="20"/>
          <w:szCs w:val="20"/>
        </w:rPr>
        <w:t>equivalents and marketable securities measured at fair value and the classification by level of input within the fair value hierarchy (in millions):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3266"/>
        <w:gridCol w:w="130"/>
        <w:gridCol w:w="141"/>
        <w:gridCol w:w="941"/>
        <w:gridCol w:w="55"/>
        <w:gridCol w:w="130"/>
        <w:gridCol w:w="141"/>
        <w:gridCol w:w="987"/>
        <w:gridCol w:w="82"/>
        <w:gridCol w:w="130"/>
        <w:gridCol w:w="141"/>
        <w:gridCol w:w="839"/>
        <w:gridCol w:w="61"/>
        <w:gridCol w:w="130"/>
        <w:gridCol w:w="141"/>
        <w:gridCol w:w="918"/>
        <w:gridCol w:w="73"/>
      </w:tblGrid>
      <w:tr w:rsidR="00FE42B5" w14:paraId="1446E8FC" w14:textId="77777777">
        <w:tc>
          <w:tcPr>
            <w:tcW w:w="0" w:type="auto"/>
            <w:gridSpan w:val="17"/>
            <w:shd w:val="clear" w:color="auto" w:fill="auto"/>
            <w:vAlign w:val="center"/>
          </w:tcPr>
          <w:p w14:paraId="1446E8FB" w14:textId="77777777" w:rsidR="00FE42B5" w:rsidRDefault="00FE42B5">
            <w:pPr>
              <w:rPr>
                <w:rFonts w:ascii="Times New Roman" w:hAnsi="Times New Roman"/>
                <w:sz w:val="20"/>
                <w:szCs w:val="20"/>
              </w:rPr>
            </w:pPr>
          </w:p>
        </w:tc>
      </w:tr>
      <w:tr w:rsidR="00FE42B5" w14:paraId="1446E90E" w14:textId="77777777">
        <w:tc>
          <w:tcPr>
            <w:tcW w:w="2000" w:type="pct"/>
            <w:shd w:val="clear" w:color="auto" w:fill="auto"/>
            <w:vAlign w:val="center"/>
          </w:tcPr>
          <w:p w14:paraId="1446E8FD" w14:textId="77777777" w:rsidR="00FE42B5" w:rsidRDefault="00FE42B5">
            <w:pPr>
              <w:rPr>
                <w:rFonts w:ascii="Times New Roman" w:hAnsi="Times New Roman"/>
                <w:sz w:val="20"/>
                <w:szCs w:val="20"/>
              </w:rPr>
            </w:pPr>
          </w:p>
        </w:tc>
        <w:tc>
          <w:tcPr>
            <w:tcW w:w="50" w:type="pct"/>
            <w:shd w:val="clear" w:color="auto" w:fill="auto"/>
            <w:vAlign w:val="center"/>
          </w:tcPr>
          <w:p w14:paraId="1446E8FE" w14:textId="77777777" w:rsidR="00FE42B5" w:rsidRDefault="00FE42B5">
            <w:pPr>
              <w:rPr>
                <w:rFonts w:ascii="Times New Roman" w:hAnsi="Times New Roman"/>
                <w:sz w:val="20"/>
                <w:szCs w:val="20"/>
              </w:rPr>
            </w:pPr>
          </w:p>
        </w:tc>
        <w:tc>
          <w:tcPr>
            <w:tcW w:w="50" w:type="pct"/>
            <w:shd w:val="clear" w:color="auto" w:fill="auto"/>
            <w:vAlign w:val="center"/>
          </w:tcPr>
          <w:p w14:paraId="1446E8FF" w14:textId="77777777" w:rsidR="00FE42B5" w:rsidRDefault="00FE42B5">
            <w:pPr>
              <w:rPr>
                <w:rFonts w:ascii="Times New Roman" w:hAnsi="Times New Roman"/>
                <w:sz w:val="20"/>
                <w:szCs w:val="20"/>
              </w:rPr>
            </w:pPr>
          </w:p>
        </w:tc>
        <w:tc>
          <w:tcPr>
            <w:tcW w:w="600" w:type="pct"/>
            <w:shd w:val="clear" w:color="auto" w:fill="auto"/>
            <w:vAlign w:val="center"/>
          </w:tcPr>
          <w:p w14:paraId="1446E900" w14:textId="77777777" w:rsidR="00FE42B5" w:rsidRDefault="00FE42B5">
            <w:pPr>
              <w:rPr>
                <w:rFonts w:ascii="Times New Roman" w:hAnsi="Times New Roman"/>
                <w:sz w:val="20"/>
                <w:szCs w:val="20"/>
              </w:rPr>
            </w:pPr>
          </w:p>
        </w:tc>
        <w:tc>
          <w:tcPr>
            <w:tcW w:w="50" w:type="pct"/>
            <w:shd w:val="clear" w:color="auto" w:fill="auto"/>
            <w:vAlign w:val="center"/>
          </w:tcPr>
          <w:p w14:paraId="1446E901" w14:textId="77777777" w:rsidR="00FE42B5" w:rsidRDefault="00FE42B5">
            <w:pPr>
              <w:rPr>
                <w:rFonts w:ascii="Times New Roman" w:hAnsi="Times New Roman"/>
                <w:sz w:val="20"/>
                <w:szCs w:val="20"/>
              </w:rPr>
            </w:pPr>
          </w:p>
        </w:tc>
        <w:tc>
          <w:tcPr>
            <w:tcW w:w="50" w:type="pct"/>
            <w:shd w:val="clear" w:color="auto" w:fill="auto"/>
            <w:vAlign w:val="center"/>
          </w:tcPr>
          <w:p w14:paraId="1446E902" w14:textId="77777777" w:rsidR="00FE42B5" w:rsidRDefault="00FE42B5">
            <w:pPr>
              <w:rPr>
                <w:rFonts w:ascii="Times New Roman" w:hAnsi="Times New Roman"/>
                <w:sz w:val="20"/>
                <w:szCs w:val="20"/>
              </w:rPr>
            </w:pPr>
          </w:p>
        </w:tc>
        <w:tc>
          <w:tcPr>
            <w:tcW w:w="50" w:type="pct"/>
            <w:shd w:val="clear" w:color="auto" w:fill="auto"/>
            <w:vAlign w:val="center"/>
          </w:tcPr>
          <w:p w14:paraId="1446E903" w14:textId="77777777" w:rsidR="00FE42B5" w:rsidRDefault="00FE42B5">
            <w:pPr>
              <w:rPr>
                <w:rFonts w:ascii="Times New Roman" w:hAnsi="Times New Roman"/>
                <w:sz w:val="20"/>
                <w:szCs w:val="20"/>
              </w:rPr>
            </w:pPr>
          </w:p>
        </w:tc>
        <w:tc>
          <w:tcPr>
            <w:tcW w:w="600" w:type="pct"/>
            <w:shd w:val="clear" w:color="auto" w:fill="auto"/>
            <w:vAlign w:val="center"/>
          </w:tcPr>
          <w:p w14:paraId="1446E904" w14:textId="77777777" w:rsidR="00FE42B5" w:rsidRDefault="00FE42B5">
            <w:pPr>
              <w:rPr>
                <w:rFonts w:ascii="Times New Roman" w:hAnsi="Times New Roman"/>
                <w:sz w:val="20"/>
                <w:szCs w:val="20"/>
              </w:rPr>
            </w:pPr>
          </w:p>
        </w:tc>
        <w:tc>
          <w:tcPr>
            <w:tcW w:w="50" w:type="pct"/>
            <w:shd w:val="clear" w:color="auto" w:fill="auto"/>
            <w:vAlign w:val="center"/>
          </w:tcPr>
          <w:p w14:paraId="1446E905" w14:textId="77777777" w:rsidR="00FE42B5" w:rsidRDefault="00FE42B5">
            <w:pPr>
              <w:rPr>
                <w:rFonts w:ascii="Times New Roman" w:hAnsi="Times New Roman"/>
                <w:sz w:val="20"/>
                <w:szCs w:val="20"/>
              </w:rPr>
            </w:pPr>
          </w:p>
        </w:tc>
        <w:tc>
          <w:tcPr>
            <w:tcW w:w="50" w:type="pct"/>
            <w:shd w:val="clear" w:color="auto" w:fill="auto"/>
            <w:vAlign w:val="center"/>
          </w:tcPr>
          <w:p w14:paraId="1446E906" w14:textId="77777777" w:rsidR="00FE42B5" w:rsidRDefault="00FE42B5">
            <w:pPr>
              <w:rPr>
                <w:rFonts w:ascii="Times New Roman" w:hAnsi="Times New Roman"/>
                <w:sz w:val="20"/>
                <w:szCs w:val="20"/>
              </w:rPr>
            </w:pPr>
          </w:p>
        </w:tc>
        <w:tc>
          <w:tcPr>
            <w:tcW w:w="50" w:type="pct"/>
            <w:shd w:val="clear" w:color="auto" w:fill="auto"/>
            <w:vAlign w:val="center"/>
          </w:tcPr>
          <w:p w14:paraId="1446E907" w14:textId="77777777" w:rsidR="00FE42B5" w:rsidRDefault="00FE42B5">
            <w:pPr>
              <w:rPr>
                <w:rFonts w:ascii="Times New Roman" w:hAnsi="Times New Roman"/>
                <w:sz w:val="20"/>
                <w:szCs w:val="20"/>
              </w:rPr>
            </w:pPr>
          </w:p>
        </w:tc>
        <w:tc>
          <w:tcPr>
            <w:tcW w:w="600" w:type="pct"/>
            <w:shd w:val="clear" w:color="auto" w:fill="auto"/>
            <w:vAlign w:val="center"/>
          </w:tcPr>
          <w:p w14:paraId="1446E908" w14:textId="77777777" w:rsidR="00FE42B5" w:rsidRDefault="00FE42B5">
            <w:pPr>
              <w:rPr>
                <w:rFonts w:ascii="Times New Roman" w:hAnsi="Times New Roman"/>
                <w:sz w:val="20"/>
                <w:szCs w:val="20"/>
              </w:rPr>
            </w:pPr>
          </w:p>
        </w:tc>
        <w:tc>
          <w:tcPr>
            <w:tcW w:w="50" w:type="pct"/>
            <w:shd w:val="clear" w:color="auto" w:fill="auto"/>
            <w:vAlign w:val="center"/>
          </w:tcPr>
          <w:p w14:paraId="1446E909" w14:textId="77777777" w:rsidR="00FE42B5" w:rsidRDefault="00FE42B5">
            <w:pPr>
              <w:rPr>
                <w:rFonts w:ascii="Times New Roman" w:hAnsi="Times New Roman"/>
                <w:sz w:val="20"/>
                <w:szCs w:val="20"/>
              </w:rPr>
            </w:pPr>
          </w:p>
        </w:tc>
        <w:tc>
          <w:tcPr>
            <w:tcW w:w="50" w:type="pct"/>
            <w:shd w:val="clear" w:color="auto" w:fill="auto"/>
            <w:vAlign w:val="center"/>
          </w:tcPr>
          <w:p w14:paraId="1446E90A" w14:textId="77777777" w:rsidR="00FE42B5" w:rsidRDefault="00FE42B5">
            <w:pPr>
              <w:rPr>
                <w:rFonts w:ascii="Times New Roman" w:hAnsi="Times New Roman"/>
                <w:sz w:val="20"/>
                <w:szCs w:val="20"/>
              </w:rPr>
            </w:pPr>
          </w:p>
        </w:tc>
        <w:tc>
          <w:tcPr>
            <w:tcW w:w="50" w:type="pct"/>
            <w:shd w:val="clear" w:color="auto" w:fill="auto"/>
            <w:vAlign w:val="center"/>
          </w:tcPr>
          <w:p w14:paraId="1446E90B" w14:textId="77777777" w:rsidR="00FE42B5" w:rsidRDefault="00FE42B5">
            <w:pPr>
              <w:rPr>
                <w:rFonts w:ascii="Times New Roman" w:hAnsi="Times New Roman"/>
                <w:sz w:val="20"/>
                <w:szCs w:val="20"/>
              </w:rPr>
            </w:pPr>
          </w:p>
        </w:tc>
        <w:tc>
          <w:tcPr>
            <w:tcW w:w="600" w:type="pct"/>
            <w:shd w:val="clear" w:color="auto" w:fill="auto"/>
            <w:vAlign w:val="center"/>
          </w:tcPr>
          <w:p w14:paraId="1446E90C" w14:textId="77777777" w:rsidR="00FE42B5" w:rsidRDefault="00FE42B5">
            <w:pPr>
              <w:rPr>
                <w:rFonts w:ascii="Times New Roman" w:hAnsi="Times New Roman"/>
                <w:sz w:val="20"/>
                <w:szCs w:val="20"/>
              </w:rPr>
            </w:pPr>
          </w:p>
        </w:tc>
        <w:tc>
          <w:tcPr>
            <w:tcW w:w="50" w:type="pct"/>
            <w:shd w:val="clear" w:color="auto" w:fill="auto"/>
            <w:vAlign w:val="center"/>
          </w:tcPr>
          <w:p w14:paraId="1446E90D" w14:textId="77777777" w:rsidR="00FE42B5" w:rsidRDefault="00FE42B5">
            <w:pPr>
              <w:rPr>
                <w:rFonts w:ascii="Times New Roman" w:hAnsi="Times New Roman"/>
                <w:sz w:val="20"/>
                <w:szCs w:val="20"/>
              </w:rPr>
            </w:pPr>
          </w:p>
        </w:tc>
      </w:tr>
      <w:tr w:rsidR="00FE42B5" w14:paraId="1446E915" w14:textId="77777777">
        <w:tc>
          <w:tcPr>
            <w:tcW w:w="0" w:type="auto"/>
            <w:shd w:val="clear" w:color="auto" w:fill="auto"/>
            <w:tcMar>
              <w:top w:w="40" w:type="dxa"/>
              <w:left w:w="40" w:type="dxa"/>
              <w:bottom w:w="40" w:type="dxa"/>
              <w:right w:w="40" w:type="dxa"/>
            </w:tcMar>
            <w:vAlign w:val="bottom"/>
          </w:tcPr>
          <w:p w14:paraId="1446E90F"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E91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911"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E91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446E913"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Fair Value Measurement at</w:t>
            </w:r>
          </w:p>
          <w:p w14:paraId="1446E914"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Reporting Date Using</w:t>
            </w:r>
          </w:p>
        </w:tc>
      </w:tr>
      <w:tr w:rsidR="00FE42B5" w14:paraId="1446E92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446E916" w14:textId="77777777" w:rsidR="00FE42B5" w:rsidRDefault="009213DC">
            <w:pPr>
              <w:textAlignment w:val="bottom"/>
              <w:rPr>
                <w:rFonts w:ascii="Times New Roman" w:hAnsi="Times New Roman"/>
                <w:sz w:val="16"/>
                <w:szCs w:val="16"/>
              </w:rPr>
            </w:pPr>
            <w:r>
              <w:rPr>
                <w:rFonts w:ascii="Times New Roman" w:eastAsia="宋体" w:hAnsi="Times New Roman"/>
                <w:b/>
                <w:bCs/>
                <w:sz w:val="16"/>
                <w:szCs w:val="16"/>
              </w:rPr>
              <w:t>Description</w:t>
            </w:r>
          </w:p>
        </w:tc>
        <w:tc>
          <w:tcPr>
            <w:tcW w:w="0" w:type="auto"/>
            <w:shd w:val="clear" w:color="auto" w:fill="auto"/>
            <w:tcMar>
              <w:top w:w="40" w:type="dxa"/>
              <w:left w:w="40" w:type="dxa"/>
              <w:bottom w:w="40" w:type="dxa"/>
              <w:right w:w="40" w:type="dxa"/>
            </w:tcMar>
            <w:vAlign w:val="bottom"/>
          </w:tcPr>
          <w:p w14:paraId="1446E91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918"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March 31, 2020</w:t>
            </w:r>
          </w:p>
        </w:tc>
        <w:tc>
          <w:tcPr>
            <w:tcW w:w="0" w:type="auto"/>
            <w:shd w:val="clear" w:color="auto" w:fill="auto"/>
            <w:tcMar>
              <w:top w:w="40" w:type="dxa"/>
              <w:left w:w="40" w:type="dxa"/>
              <w:bottom w:w="40" w:type="dxa"/>
              <w:right w:w="40" w:type="dxa"/>
            </w:tcMar>
            <w:vAlign w:val="bottom"/>
          </w:tcPr>
          <w:p w14:paraId="1446E91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91A"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Quoted Prices in Active Markets for Identical Assets</w:t>
            </w:r>
          </w:p>
          <w:p w14:paraId="1446E91B"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(Level 1)</w:t>
            </w:r>
          </w:p>
        </w:tc>
        <w:tc>
          <w:tcPr>
            <w:tcW w:w="0" w:type="auto"/>
            <w:shd w:val="clear" w:color="auto" w:fill="auto"/>
            <w:tcMar>
              <w:top w:w="40" w:type="dxa"/>
              <w:left w:w="40" w:type="dxa"/>
              <w:bottom w:w="40" w:type="dxa"/>
              <w:right w:w="40" w:type="dxa"/>
            </w:tcMar>
            <w:vAlign w:val="bottom"/>
          </w:tcPr>
          <w:p w14:paraId="1446E91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91D"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Significant Other Observable Inputs (Level 2)</w:t>
            </w:r>
          </w:p>
        </w:tc>
        <w:tc>
          <w:tcPr>
            <w:tcW w:w="0" w:type="auto"/>
            <w:shd w:val="clear" w:color="auto" w:fill="auto"/>
            <w:tcMar>
              <w:top w:w="40" w:type="dxa"/>
              <w:left w:w="40" w:type="dxa"/>
              <w:bottom w:w="40" w:type="dxa"/>
              <w:right w:w="40" w:type="dxa"/>
            </w:tcMar>
            <w:vAlign w:val="bottom"/>
          </w:tcPr>
          <w:p w14:paraId="1446E91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91F"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xml:space="preserve">Significant Unobservable Inputs </w:t>
            </w:r>
          </w:p>
          <w:p w14:paraId="1446E920"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(Level 3)</w:t>
            </w:r>
          </w:p>
        </w:tc>
      </w:tr>
      <w:tr w:rsidR="00FE42B5" w14:paraId="1446E92B" w14:textId="77777777">
        <w:tc>
          <w:tcPr>
            <w:tcW w:w="0" w:type="auto"/>
            <w:shd w:val="clear" w:color="auto" w:fill="CCEEFF"/>
            <w:tcMar>
              <w:top w:w="40" w:type="dxa"/>
              <w:left w:w="40" w:type="dxa"/>
              <w:bottom w:w="40" w:type="dxa"/>
              <w:right w:w="40" w:type="dxa"/>
            </w:tcMar>
          </w:tcPr>
          <w:p w14:paraId="1446E92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Cash equivalents:</w:t>
            </w:r>
          </w:p>
        </w:tc>
        <w:tc>
          <w:tcPr>
            <w:tcW w:w="0" w:type="auto"/>
            <w:shd w:val="clear" w:color="auto" w:fill="CCEEFF"/>
            <w:tcMar>
              <w:top w:w="40" w:type="dxa"/>
              <w:left w:w="40" w:type="dxa"/>
              <w:bottom w:w="40" w:type="dxa"/>
              <w:right w:w="40" w:type="dxa"/>
            </w:tcMar>
            <w:vAlign w:val="bottom"/>
          </w:tcPr>
          <w:p w14:paraId="1446E92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92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92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92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92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92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92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92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93D" w14:textId="77777777">
        <w:tc>
          <w:tcPr>
            <w:tcW w:w="0" w:type="auto"/>
            <w:shd w:val="clear" w:color="auto" w:fill="auto"/>
            <w:tcMar>
              <w:top w:w="40" w:type="dxa"/>
              <w:left w:w="560" w:type="dxa"/>
              <w:bottom w:w="40" w:type="dxa"/>
              <w:right w:w="40" w:type="dxa"/>
            </w:tcMar>
          </w:tcPr>
          <w:p w14:paraId="1446E92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Money market funds</w:t>
            </w:r>
          </w:p>
        </w:tc>
        <w:tc>
          <w:tcPr>
            <w:tcW w:w="0" w:type="auto"/>
            <w:shd w:val="clear" w:color="auto" w:fill="auto"/>
            <w:tcMar>
              <w:top w:w="40" w:type="dxa"/>
              <w:left w:w="40" w:type="dxa"/>
              <w:bottom w:w="40" w:type="dxa"/>
              <w:right w:w="40" w:type="dxa"/>
            </w:tcMar>
            <w:vAlign w:val="bottom"/>
          </w:tcPr>
          <w:p w14:paraId="1446E92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92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92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18,155</w:t>
            </w:r>
          </w:p>
        </w:tc>
        <w:tc>
          <w:tcPr>
            <w:tcW w:w="0" w:type="auto"/>
            <w:shd w:val="clear" w:color="auto" w:fill="auto"/>
            <w:vAlign w:val="bottom"/>
          </w:tcPr>
          <w:p w14:paraId="1446E930"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3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93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93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18,155</w:t>
            </w:r>
          </w:p>
        </w:tc>
        <w:tc>
          <w:tcPr>
            <w:tcW w:w="0" w:type="auto"/>
            <w:shd w:val="clear" w:color="auto" w:fill="auto"/>
            <w:vAlign w:val="bottom"/>
          </w:tcPr>
          <w:p w14:paraId="1446E934"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3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93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93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938"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3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93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93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93C" w14:textId="77777777" w:rsidR="00FE42B5" w:rsidRDefault="00FE42B5">
            <w:pPr>
              <w:textAlignment w:val="bottom"/>
              <w:rPr>
                <w:rFonts w:ascii="Times New Roman" w:hAnsi="Times New Roman"/>
                <w:sz w:val="20"/>
                <w:szCs w:val="20"/>
              </w:rPr>
            </w:pPr>
          </w:p>
        </w:tc>
      </w:tr>
      <w:tr w:rsidR="00FE42B5" w14:paraId="1446E94B" w14:textId="77777777">
        <w:tc>
          <w:tcPr>
            <w:tcW w:w="0" w:type="auto"/>
            <w:shd w:val="clear" w:color="auto" w:fill="CCEEFF"/>
            <w:tcMar>
              <w:top w:w="40" w:type="dxa"/>
              <w:left w:w="560" w:type="dxa"/>
              <w:bottom w:w="40" w:type="dxa"/>
              <w:right w:w="40" w:type="dxa"/>
            </w:tcMar>
          </w:tcPr>
          <w:p w14:paraId="1446E93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CCEEFF"/>
            <w:tcMar>
              <w:top w:w="40" w:type="dxa"/>
              <w:left w:w="40" w:type="dxa"/>
              <w:bottom w:w="40" w:type="dxa"/>
              <w:right w:w="40" w:type="dxa"/>
            </w:tcMar>
            <w:vAlign w:val="bottom"/>
          </w:tcPr>
          <w:p w14:paraId="1446E93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94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287</w:t>
            </w:r>
          </w:p>
        </w:tc>
        <w:tc>
          <w:tcPr>
            <w:tcW w:w="0" w:type="auto"/>
            <w:shd w:val="clear" w:color="auto" w:fill="CCEEFF"/>
            <w:vAlign w:val="bottom"/>
          </w:tcPr>
          <w:p w14:paraId="1446E94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94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94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287</w:t>
            </w:r>
          </w:p>
        </w:tc>
        <w:tc>
          <w:tcPr>
            <w:tcW w:w="0" w:type="auto"/>
            <w:shd w:val="clear" w:color="auto" w:fill="CCEEFF"/>
            <w:vAlign w:val="bottom"/>
          </w:tcPr>
          <w:p w14:paraId="1446E944"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94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94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94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94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94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94A" w14:textId="77777777" w:rsidR="00FE42B5" w:rsidRDefault="00FE42B5">
            <w:pPr>
              <w:textAlignment w:val="bottom"/>
              <w:rPr>
                <w:rFonts w:ascii="Times New Roman" w:hAnsi="Times New Roman"/>
                <w:sz w:val="20"/>
                <w:szCs w:val="20"/>
              </w:rPr>
            </w:pPr>
          </w:p>
        </w:tc>
      </w:tr>
      <w:tr w:rsidR="00FE42B5" w14:paraId="1446E959" w14:textId="77777777">
        <w:tc>
          <w:tcPr>
            <w:tcW w:w="0" w:type="auto"/>
            <w:shd w:val="clear" w:color="auto" w:fill="auto"/>
            <w:tcMar>
              <w:top w:w="40" w:type="dxa"/>
              <w:left w:w="560" w:type="dxa"/>
              <w:bottom w:w="40" w:type="dxa"/>
              <w:right w:w="40" w:type="dxa"/>
            </w:tcMar>
          </w:tcPr>
          <w:p w14:paraId="1446E94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U.S. government agency securities</w:t>
            </w:r>
          </w:p>
        </w:tc>
        <w:tc>
          <w:tcPr>
            <w:tcW w:w="0" w:type="auto"/>
            <w:shd w:val="clear" w:color="auto" w:fill="auto"/>
            <w:tcMar>
              <w:top w:w="40" w:type="dxa"/>
              <w:left w:w="40" w:type="dxa"/>
              <w:bottom w:w="40" w:type="dxa"/>
              <w:right w:w="40" w:type="dxa"/>
            </w:tcMar>
            <w:vAlign w:val="bottom"/>
          </w:tcPr>
          <w:p w14:paraId="1446E94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94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auto"/>
            <w:vAlign w:val="bottom"/>
          </w:tcPr>
          <w:p w14:paraId="1446E94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5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95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auto"/>
            <w:vAlign w:val="bottom"/>
          </w:tcPr>
          <w:p w14:paraId="1446E95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5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95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955"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5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95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958" w14:textId="77777777" w:rsidR="00FE42B5" w:rsidRDefault="00FE42B5">
            <w:pPr>
              <w:textAlignment w:val="bottom"/>
              <w:rPr>
                <w:rFonts w:ascii="Times New Roman" w:hAnsi="Times New Roman"/>
                <w:sz w:val="20"/>
                <w:szCs w:val="20"/>
              </w:rPr>
            </w:pPr>
          </w:p>
        </w:tc>
      </w:tr>
      <w:tr w:rsidR="00FE42B5" w14:paraId="1446E967" w14:textId="77777777">
        <w:tc>
          <w:tcPr>
            <w:tcW w:w="0" w:type="auto"/>
            <w:shd w:val="clear" w:color="auto" w:fill="CCEEFF"/>
            <w:tcMar>
              <w:top w:w="40" w:type="dxa"/>
              <w:left w:w="560" w:type="dxa"/>
              <w:bottom w:w="40" w:type="dxa"/>
              <w:right w:w="40" w:type="dxa"/>
            </w:tcMar>
          </w:tcPr>
          <w:p w14:paraId="1446E95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Certificate of deposits and time deposits</w:t>
            </w:r>
          </w:p>
        </w:tc>
        <w:tc>
          <w:tcPr>
            <w:tcW w:w="0" w:type="auto"/>
            <w:shd w:val="clear" w:color="auto" w:fill="CCEEFF"/>
            <w:tcMar>
              <w:top w:w="40" w:type="dxa"/>
              <w:left w:w="40" w:type="dxa"/>
              <w:bottom w:w="40" w:type="dxa"/>
              <w:right w:w="40" w:type="dxa"/>
            </w:tcMar>
            <w:vAlign w:val="bottom"/>
          </w:tcPr>
          <w:p w14:paraId="1446E95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95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shd w:val="clear" w:color="auto" w:fill="CCEEFF"/>
            <w:vAlign w:val="bottom"/>
          </w:tcPr>
          <w:p w14:paraId="1446E95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95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95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960"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96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96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shd w:val="clear" w:color="auto" w:fill="CCEEFF"/>
            <w:vAlign w:val="bottom"/>
          </w:tcPr>
          <w:p w14:paraId="1446E963"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96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96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966" w14:textId="77777777" w:rsidR="00FE42B5" w:rsidRDefault="00FE42B5">
            <w:pPr>
              <w:textAlignment w:val="bottom"/>
              <w:rPr>
                <w:rFonts w:ascii="Times New Roman" w:hAnsi="Times New Roman"/>
                <w:sz w:val="20"/>
                <w:szCs w:val="20"/>
              </w:rPr>
            </w:pPr>
          </w:p>
        </w:tc>
      </w:tr>
      <w:tr w:rsidR="00FE42B5" w14:paraId="1446E975" w14:textId="77777777">
        <w:tc>
          <w:tcPr>
            <w:tcW w:w="0" w:type="auto"/>
            <w:shd w:val="clear" w:color="auto" w:fill="auto"/>
            <w:tcMar>
              <w:top w:w="40" w:type="dxa"/>
              <w:left w:w="560" w:type="dxa"/>
              <w:bottom w:w="40" w:type="dxa"/>
              <w:right w:w="40" w:type="dxa"/>
            </w:tcMar>
          </w:tcPr>
          <w:p w14:paraId="1446E96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1446E96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96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99</w:t>
            </w:r>
          </w:p>
        </w:tc>
        <w:tc>
          <w:tcPr>
            <w:tcW w:w="0" w:type="auto"/>
            <w:shd w:val="clear" w:color="auto" w:fill="auto"/>
            <w:vAlign w:val="bottom"/>
          </w:tcPr>
          <w:p w14:paraId="1446E96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6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96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96E"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6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97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99</w:t>
            </w:r>
          </w:p>
        </w:tc>
        <w:tc>
          <w:tcPr>
            <w:tcW w:w="0" w:type="auto"/>
            <w:shd w:val="clear" w:color="auto" w:fill="auto"/>
            <w:vAlign w:val="bottom"/>
          </w:tcPr>
          <w:p w14:paraId="1446E971"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7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97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974" w14:textId="77777777" w:rsidR="00FE42B5" w:rsidRDefault="00FE42B5">
            <w:pPr>
              <w:textAlignment w:val="bottom"/>
              <w:rPr>
                <w:rFonts w:ascii="Times New Roman" w:hAnsi="Times New Roman"/>
                <w:sz w:val="20"/>
                <w:szCs w:val="20"/>
              </w:rPr>
            </w:pPr>
          </w:p>
        </w:tc>
      </w:tr>
      <w:tr w:rsidR="00FE42B5" w14:paraId="1446E97F" w14:textId="77777777">
        <w:tc>
          <w:tcPr>
            <w:tcW w:w="0" w:type="auto"/>
            <w:shd w:val="clear" w:color="auto" w:fill="CCEEFF"/>
            <w:tcMar>
              <w:top w:w="40" w:type="dxa"/>
              <w:left w:w="40" w:type="dxa"/>
              <w:bottom w:w="40" w:type="dxa"/>
              <w:right w:w="40" w:type="dxa"/>
            </w:tcMar>
          </w:tcPr>
          <w:p w14:paraId="1446E97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Marketable securities:</w:t>
            </w:r>
          </w:p>
        </w:tc>
        <w:tc>
          <w:tcPr>
            <w:tcW w:w="0" w:type="auto"/>
            <w:shd w:val="clear" w:color="auto" w:fill="CCEEFF"/>
            <w:tcMar>
              <w:top w:w="40" w:type="dxa"/>
              <w:left w:w="40" w:type="dxa"/>
              <w:bottom w:w="40" w:type="dxa"/>
              <w:right w:w="40" w:type="dxa"/>
            </w:tcMar>
            <w:vAlign w:val="bottom"/>
          </w:tcPr>
          <w:p w14:paraId="1446E97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97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97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97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97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97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97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97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98D" w14:textId="77777777">
        <w:tc>
          <w:tcPr>
            <w:tcW w:w="0" w:type="auto"/>
            <w:shd w:val="clear" w:color="auto" w:fill="auto"/>
            <w:tcMar>
              <w:top w:w="40" w:type="dxa"/>
              <w:left w:w="560" w:type="dxa"/>
              <w:bottom w:w="40" w:type="dxa"/>
              <w:right w:w="40" w:type="dxa"/>
            </w:tcMar>
          </w:tcPr>
          <w:p w14:paraId="1446E98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auto"/>
            <w:tcMar>
              <w:top w:w="40" w:type="dxa"/>
              <w:left w:w="40" w:type="dxa"/>
              <w:bottom w:w="40" w:type="dxa"/>
              <w:right w:w="40" w:type="dxa"/>
            </w:tcMar>
            <w:vAlign w:val="bottom"/>
          </w:tcPr>
          <w:p w14:paraId="1446E98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98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19,331</w:t>
            </w:r>
          </w:p>
        </w:tc>
        <w:tc>
          <w:tcPr>
            <w:tcW w:w="0" w:type="auto"/>
            <w:shd w:val="clear" w:color="auto" w:fill="auto"/>
            <w:vAlign w:val="bottom"/>
          </w:tcPr>
          <w:p w14:paraId="1446E98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8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98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19,331</w:t>
            </w:r>
          </w:p>
        </w:tc>
        <w:tc>
          <w:tcPr>
            <w:tcW w:w="0" w:type="auto"/>
            <w:shd w:val="clear" w:color="auto" w:fill="auto"/>
            <w:vAlign w:val="bottom"/>
          </w:tcPr>
          <w:p w14:paraId="1446E98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8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98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989"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8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98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98C" w14:textId="77777777" w:rsidR="00FE42B5" w:rsidRDefault="00FE42B5">
            <w:pPr>
              <w:textAlignment w:val="bottom"/>
              <w:rPr>
                <w:rFonts w:ascii="Times New Roman" w:hAnsi="Times New Roman"/>
                <w:sz w:val="20"/>
                <w:szCs w:val="20"/>
              </w:rPr>
            </w:pPr>
          </w:p>
        </w:tc>
      </w:tr>
      <w:tr w:rsidR="00FE42B5" w14:paraId="1446E99B" w14:textId="77777777">
        <w:tc>
          <w:tcPr>
            <w:tcW w:w="0" w:type="auto"/>
            <w:shd w:val="clear" w:color="auto" w:fill="CCEEFF"/>
            <w:tcMar>
              <w:top w:w="40" w:type="dxa"/>
              <w:left w:w="560" w:type="dxa"/>
              <w:bottom w:w="40" w:type="dxa"/>
              <w:right w:w="40" w:type="dxa"/>
            </w:tcMar>
          </w:tcPr>
          <w:p w14:paraId="1446E98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U.S. government agency securities</w:t>
            </w:r>
          </w:p>
        </w:tc>
        <w:tc>
          <w:tcPr>
            <w:tcW w:w="0" w:type="auto"/>
            <w:shd w:val="clear" w:color="auto" w:fill="CCEEFF"/>
            <w:tcMar>
              <w:top w:w="40" w:type="dxa"/>
              <w:left w:w="40" w:type="dxa"/>
              <w:bottom w:w="40" w:type="dxa"/>
              <w:right w:w="40" w:type="dxa"/>
            </w:tcMar>
            <w:vAlign w:val="bottom"/>
          </w:tcPr>
          <w:p w14:paraId="1446E98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99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6,617</w:t>
            </w:r>
          </w:p>
        </w:tc>
        <w:tc>
          <w:tcPr>
            <w:tcW w:w="0" w:type="auto"/>
            <w:shd w:val="clear" w:color="auto" w:fill="CCEEFF"/>
            <w:vAlign w:val="bottom"/>
          </w:tcPr>
          <w:p w14:paraId="1446E99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99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99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6,617</w:t>
            </w:r>
          </w:p>
        </w:tc>
        <w:tc>
          <w:tcPr>
            <w:tcW w:w="0" w:type="auto"/>
            <w:shd w:val="clear" w:color="auto" w:fill="CCEEFF"/>
            <w:vAlign w:val="bottom"/>
          </w:tcPr>
          <w:p w14:paraId="1446E994"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99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99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99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99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99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99A" w14:textId="77777777" w:rsidR="00FE42B5" w:rsidRDefault="00FE42B5">
            <w:pPr>
              <w:textAlignment w:val="bottom"/>
              <w:rPr>
                <w:rFonts w:ascii="Times New Roman" w:hAnsi="Times New Roman"/>
                <w:sz w:val="20"/>
                <w:szCs w:val="20"/>
              </w:rPr>
            </w:pPr>
          </w:p>
        </w:tc>
      </w:tr>
      <w:tr w:rsidR="00FE42B5" w14:paraId="1446E9A9" w14:textId="77777777">
        <w:tc>
          <w:tcPr>
            <w:tcW w:w="0" w:type="auto"/>
            <w:shd w:val="clear" w:color="auto" w:fill="auto"/>
            <w:tcMar>
              <w:top w:w="40" w:type="dxa"/>
              <w:left w:w="560" w:type="dxa"/>
              <w:bottom w:w="40" w:type="dxa"/>
              <w:right w:w="40" w:type="dxa"/>
            </w:tcMar>
          </w:tcPr>
          <w:p w14:paraId="1446E99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1446E99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99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10,723</w:t>
            </w:r>
          </w:p>
        </w:tc>
        <w:tc>
          <w:tcPr>
            <w:tcW w:w="0" w:type="auto"/>
            <w:tcBorders>
              <w:bottom w:val="single" w:sz="8" w:space="0" w:color="000000"/>
            </w:tcBorders>
            <w:shd w:val="clear" w:color="auto" w:fill="auto"/>
            <w:vAlign w:val="bottom"/>
          </w:tcPr>
          <w:p w14:paraId="1446E99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A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9A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1446E9A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A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9A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10,723</w:t>
            </w:r>
          </w:p>
        </w:tc>
        <w:tc>
          <w:tcPr>
            <w:tcW w:w="0" w:type="auto"/>
            <w:tcBorders>
              <w:bottom w:val="single" w:sz="8" w:space="0" w:color="000000"/>
            </w:tcBorders>
            <w:shd w:val="clear" w:color="auto" w:fill="auto"/>
            <w:vAlign w:val="bottom"/>
          </w:tcPr>
          <w:p w14:paraId="1446E9A5"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A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9A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1446E9A8" w14:textId="77777777" w:rsidR="00FE42B5" w:rsidRDefault="00FE42B5">
            <w:pPr>
              <w:textAlignment w:val="bottom"/>
              <w:rPr>
                <w:rFonts w:ascii="Times New Roman" w:hAnsi="Times New Roman"/>
                <w:sz w:val="20"/>
                <w:szCs w:val="20"/>
              </w:rPr>
            </w:pPr>
          </w:p>
        </w:tc>
      </w:tr>
      <w:tr w:rsidR="00FE42B5" w14:paraId="1446E9BB" w14:textId="77777777">
        <w:tc>
          <w:tcPr>
            <w:tcW w:w="0" w:type="auto"/>
            <w:shd w:val="clear" w:color="auto" w:fill="CCEEFF"/>
            <w:tcMar>
              <w:top w:w="40" w:type="dxa"/>
              <w:left w:w="40" w:type="dxa"/>
              <w:bottom w:w="40" w:type="dxa"/>
              <w:right w:w="40" w:type="dxa"/>
            </w:tcMar>
          </w:tcPr>
          <w:p w14:paraId="1446E9A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Total cash equivalents and </w:t>
            </w:r>
            <w:r>
              <w:rPr>
                <w:rFonts w:ascii="Times New Roman" w:eastAsia="宋体" w:hAnsi="Times New Roman"/>
                <w:sz w:val="20"/>
                <w:szCs w:val="20"/>
              </w:rPr>
              <w:t>marketable securities</w:t>
            </w:r>
          </w:p>
        </w:tc>
        <w:tc>
          <w:tcPr>
            <w:tcW w:w="0" w:type="auto"/>
            <w:shd w:val="clear" w:color="auto" w:fill="CCEEFF"/>
            <w:tcMar>
              <w:top w:w="40" w:type="dxa"/>
              <w:left w:w="40" w:type="dxa"/>
              <w:bottom w:w="40" w:type="dxa"/>
              <w:right w:w="40" w:type="dxa"/>
            </w:tcMar>
            <w:vAlign w:val="bottom"/>
          </w:tcPr>
          <w:p w14:paraId="1446E9A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446E9A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9A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55,632</w:t>
            </w:r>
          </w:p>
        </w:tc>
        <w:tc>
          <w:tcPr>
            <w:tcW w:w="0" w:type="auto"/>
            <w:tcBorders>
              <w:bottom w:val="double" w:sz="6" w:space="0" w:color="000000"/>
            </w:tcBorders>
            <w:shd w:val="clear" w:color="auto" w:fill="CCEEFF"/>
            <w:vAlign w:val="bottom"/>
          </w:tcPr>
          <w:p w14:paraId="1446E9A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9A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E9B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E9B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44,607</w:t>
            </w:r>
          </w:p>
        </w:tc>
        <w:tc>
          <w:tcPr>
            <w:tcW w:w="0" w:type="auto"/>
            <w:tcBorders>
              <w:top w:val="single" w:sz="8" w:space="0" w:color="000000"/>
              <w:bottom w:val="double" w:sz="6" w:space="0" w:color="000000"/>
            </w:tcBorders>
            <w:shd w:val="clear" w:color="auto" w:fill="CCEEFF"/>
            <w:vAlign w:val="bottom"/>
          </w:tcPr>
          <w:p w14:paraId="1446E9B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9B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E9B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E9B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11,025</w:t>
            </w:r>
          </w:p>
        </w:tc>
        <w:tc>
          <w:tcPr>
            <w:tcW w:w="0" w:type="auto"/>
            <w:tcBorders>
              <w:top w:val="single" w:sz="8" w:space="0" w:color="000000"/>
              <w:bottom w:val="double" w:sz="6" w:space="0" w:color="000000"/>
            </w:tcBorders>
            <w:shd w:val="clear" w:color="auto" w:fill="CCEEFF"/>
            <w:vAlign w:val="bottom"/>
          </w:tcPr>
          <w:p w14:paraId="1446E9B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9B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E9B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E9B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1446E9BA" w14:textId="77777777" w:rsidR="00FE42B5" w:rsidRDefault="00FE42B5">
            <w:pPr>
              <w:textAlignment w:val="bottom"/>
              <w:rPr>
                <w:rFonts w:ascii="Times New Roman" w:hAnsi="Times New Roman"/>
                <w:sz w:val="20"/>
                <w:szCs w:val="20"/>
              </w:rPr>
            </w:pPr>
          </w:p>
        </w:tc>
      </w:tr>
    </w:tbl>
    <w:p w14:paraId="1446E9BC" w14:textId="77777777" w:rsidR="00FE42B5" w:rsidRDefault="00FE42B5">
      <w:pPr>
        <w:rPr>
          <w:vanish/>
        </w:rPr>
      </w:pPr>
    </w:p>
    <w:tbl>
      <w:tblPr>
        <w:tblW w:w="5000" w:type="pct"/>
        <w:tblCellMar>
          <w:left w:w="0" w:type="dxa"/>
          <w:right w:w="0" w:type="dxa"/>
        </w:tblCellMar>
        <w:tblLook w:val="04A0" w:firstRow="1" w:lastRow="0" w:firstColumn="1" w:lastColumn="0" w:noHBand="0" w:noVBand="1"/>
      </w:tblPr>
      <w:tblGrid>
        <w:gridCol w:w="3266"/>
        <w:gridCol w:w="130"/>
        <w:gridCol w:w="141"/>
        <w:gridCol w:w="941"/>
        <w:gridCol w:w="55"/>
        <w:gridCol w:w="130"/>
        <w:gridCol w:w="141"/>
        <w:gridCol w:w="987"/>
        <w:gridCol w:w="82"/>
        <w:gridCol w:w="130"/>
        <w:gridCol w:w="141"/>
        <w:gridCol w:w="839"/>
        <w:gridCol w:w="61"/>
        <w:gridCol w:w="130"/>
        <w:gridCol w:w="141"/>
        <w:gridCol w:w="918"/>
        <w:gridCol w:w="73"/>
      </w:tblGrid>
      <w:tr w:rsidR="00FE42B5" w14:paraId="1446E9BE" w14:textId="77777777">
        <w:tc>
          <w:tcPr>
            <w:tcW w:w="0" w:type="auto"/>
            <w:gridSpan w:val="17"/>
            <w:shd w:val="clear" w:color="auto" w:fill="auto"/>
            <w:vAlign w:val="center"/>
          </w:tcPr>
          <w:p w14:paraId="1446E9BD" w14:textId="77777777" w:rsidR="00FE42B5" w:rsidRDefault="00FE42B5">
            <w:pPr>
              <w:rPr>
                <w:rFonts w:ascii="Times New Roman" w:hAnsi="Times New Roman"/>
                <w:sz w:val="20"/>
                <w:szCs w:val="20"/>
              </w:rPr>
            </w:pPr>
          </w:p>
        </w:tc>
      </w:tr>
      <w:tr w:rsidR="00FE42B5" w14:paraId="1446E9D0" w14:textId="77777777">
        <w:tc>
          <w:tcPr>
            <w:tcW w:w="2000" w:type="pct"/>
            <w:shd w:val="clear" w:color="auto" w:fill="auto"/>
            <w:vAlign w:val="center"/>
          </w:tcPr>
          <w:p w14:paraId="1446E9BF" w14:textId="77777777" w:rsidR="00FE42B5" w:rsidRDefault="00FE42B5">
            <w:pPr>
              <w:rPr>
                <w:rFonts w:ascii="Times New Roman" w:hAnsi="Times New Roman"/>
                <w:sz w:val="20"/>
                <w:szCs w:val="20"/>
              </w:rPr>
            </w:pPr>
          </w:p>
        </w:tc>
        <w:tc>
          <w:tcPr>
            <w:tcW w:w="50" w:type="pct"/>
            <w:shd w:val="clear" w:color="auto" w:fill="auto"/>
            <w:vAlign w:val="center"/>
          </w:tcPr>
          <w:p w14:paraId="1446E9C0" w14:textId="77777777" w:rsidR="00FE42B5" w:rsidRDefault="00FE42B5">
            <w:pPr>
              <w:rPr>
                <w:rFonts w:ascii="Times New Roman" w:hAnsi="Times New Roman"/>
                <w:sz w:val="20"/>
                <w:szCs w:val="20"/>
              </w:rPr>
            </w:pPr>
          </w:p>
        </w:tc>
        <w:tc>
          <w:tcPr>
            <w:tcW w:w="50" w:type="pct"/>
            <w:shd w:val="clear" w:color="auto" w:fill="auto"/>
            <w:vAlign w:val="center"/>
          </w:tcPr>
          <w:p w14:paraId="1446E9C1" w14:textId="77777777" w:rsidR="00FE42B5" w:rsidRDefault="00FE42B5">
            <w:pPr>
              <w:rPr>
                <w:rFonts w:ascii="Times New Roman" w:hAnsi="Times New Roman"/>
                <w:sz w:val="20"/>
                <w:szCs w:val="20"/>
              </w:rPr>
            </w:pPr>
          </w:p>
        </w:tc>
        <w:tc>
          <w:tcPr>
            <w:tcW w:w="600" w:type="pct"/>
            <w:shd w:val="clear" w:color="auto" w:fill="auto"/>
            <w:vAlign w:val="center"/>
          </w:tcPr>
          <w:p w14:paraId="1446E9C2" w14:textId="77777777" w:rsidR="00FE42B5" w:rsidRDefault="00FE42B5">
            <w:pPr>
              <w:rPr>
                <w:rFonts w:ascii="Times New Roman" w:hAnsi="Times New Roman"/>
                <w:sz w:val="20"/>
                <w:szCs w:val="20"/>
              </w:rPr>
            </w:pPr>
          </w:p>
        </w:tc>
        <w:tc>
          <w:tcPr>
            <w:tcW w:w="50" w:type="pct"/>
            <w:shd w:val="clear" w:color="auto" w:fill="auto"/>
            <w:vAlign w:val="center"/>
          </w:tcPr>
          <w:p w14:paraId="1446E9C3" w14:textId="77777777" w:rsidR="00FE42B5" w:rsidRDefault="00FE42B5">
            <w:pPr>
              <w:rPr>
                <w:rFonts w:ascii="Times New Roman" w:hAnsi="Times New Roman"/>
                <w:sz w:val="20"/>
                <w:szCs w:val="20"/>
              </w:rPr>
            </w:pPr>
          </w:p>
        </w:tc>
        <w:tc>
          <w:tcPr>
            <w:tcW w:w="50" w:type="pct"/>
            <w:shd w:val="clear" w:color="auto" w:fill="auto"/>
            <w:vAlign w:val="center"/>
          </w:tcPr>
          <w:p w14:paraId="1446E9C4" w14:textId="77777777" w:rsidR="00FE42B5" w:rsidRDefault="00FE42B5">
            <w:pPr>
              <w:rPr>
                <w:rFonts w:ascii="Times New Roman" w:hAnsi="Times New Roman"/>
                <w:sz w:val="20"/>
                <w:szCs w:val="20"/>
              </w:rPr>
            </w:pPr>
          </w:p>
        </w:tc>
        <w:tc>
          <w:tcPr>
            <w:tcW w:w="50" w:type="pct"/>
            <w:shd w:val="clear" w:color="auto" w:fill="auto"/>
            <w:vAlign w:val="center"/>
          </w:tcPr>
          <w:p w14:paraId="1446E9C5" w14:textId="77777777" w:rsidR="00FE42B5" w:rsidRDefault="00FE42B5">
            <w:pPr>
              <w:rPr>
                <w:rFonts w:ascii="Times New Roman" w:hAnsi="Times New Roman"/>
                <w:sz w:val="20"/>
                <w:szCs w:val="20"/>
              </w:rPr>
            </w:pPr>
          </w:p>
        </w:tc>
        <w:tc>
          <w:tcPr>
            <w:tcW w:w="600" w:type="pct"/>
            <w:shd w:val="clear" w:color="auto" w:fill="auto"/>
            <w:vAlign w:val="center"/>
          </w:tcPr>
          <w:p w14:paraId="1446E9C6" w14:textId="77777777" w:rsidR="00FE42B5" w:rsidRDefault="00FE42B5">
            <w:pPr>
              <w:rPr>
                <w:rFonts w:ascii="Times New Roman" w:hAnsi="Times New Roman"/>
                <w:sz w:val="20"/>
                <w:szCs w:val="20"/>
              </w:rPr>
            </w:pPr>
          </w:p>
        </w:tc>
        <w:tc>
          <w:tcPr>
            <w:tcW w:w="50" w:type="pct"/>
            <w:shd w:val="clear" w:color="auto" w:fill="auto"/>
            <w:vAlign w:val="center"/>
          </w:tcPr>
          <w:p w14:paraId="1446E9C7" w14:textId="77777777" w:rsidR="00FE42B5" w:rsidRDefault="00FE42B5">
            <w:pPr>
              <w:rPr>
                <w:rFonts w:ascii="Times New Roman" w:hAnsi="Times New Roman"/>
                <w:sz w:val="20"/>
                <w:szCs w:val="20"/>
              </w:rPr>
            </w:pPr>
          </w:p>
        </w:tc>
        <w:tc>
          <w:tcPr>
            <w:tcW w:w="50" w:type="pct"/>
            <w:shd w:val="clear" w:color="auto" w:fill="auto"/>
            <w:vAlign w:val="center"/>
          </w:tcPr>
          <w:p w14:paraId="1446E9C8" w14:textId="77777777" w:rsidR="00FE42B5" w:rsidRDefault="00FE42B5">
            <w:pPr>
              <w:rPr>
                <w:rFonts w:ascii="Times New Roman" w:hAnsi="Times New Roman"/>
                <w:sz w:val="20"/>
                <w:szCs w:val="20"/>
              </w:rPr>
            </w:pPr>
          </w:p>
        </w:tc>
        <w:tc>
          <w:tcPr>
            <w:tcW w:w="50" w:type="pct"/>
            <w:shd w:val="clear" w:color="auto" w:fill="auto"/>
            <w:vAlign w:val="center"/>
          </w:tcPr>
          <w:p w14:paraId="1446E9C9" w14:textId="77777777" w:rsidR="00FE42B5" w:rsidRDefault="00FE42B5">
            <w:pPr>
              <w:rPr>
                <w:rFonts w:ascii="Times New Roman" w:hAnsi="Times New Roman"/>
                <w:sz w:val="20"/>
                <w:szCs w:val="20"/>
              </w:rPr>
            </w:pPr>
          </w:p>
        </w:tc>
        <w:tc>
          <w:tcPr>
            <w:tcW w:w="600" w:type="pct"/>
            <w:shd w:val="clear" w:color="auto" w:fill="auto"/>
            <w:vAlign w:val="center"/>
          </w:tcPr>
          <w:p w14:paraId="1446E9CA" w14:textId="77777777" w:rsidR="00FE42B5" w:rsidRDefault="00FE42B5">
            <w:pPr>
              <w:rPr>
                <w:rFonts w:ascii="Times New Roman" w:hAnsi="Times New Roman"/>
                <w:sz w:val="20"/>
                <w:szCs w:val="20"/>
              </w:rPr>
            </w:pPr>
          </w:p>
        </w:tc>
        <w:tc>
          <w:tcPr>
            <w:tcW w:w="50" w:type="pct"/>
            <w:shd w:val="clear" w:color="auto" w:fill="auto"/>
            <w:vAlign w:val="center"/>
          </w:tcPr>
          <w:p w14:paraId="1446E9CB" w14:textId="77777777" w:rsidR="00FE42B5" w:rsidRDefault="00FE42B5">
            <w:pPr>
              <w:rPr>
                <w:rFonts w:ascii="Times New Roman" w:hAnsi="Times New Roman"/>
                <w:sz w:val="20"/>
                <w:szCs w:val="20"/>
              </w:rPr>
            </w:pPr>
          </w:p>
        </w:tc>
        <w:tc>
          <w:tcPr>
            <w:tcW w:w="50" w:type="pct"/>
            <w:shd w:val="clear" w:color="auto" w:fill="auto"/>
            <w:vAlign w:val="center"/>
          </w:tcPr>
          <w:p w14:paraId="1446E9CC" w14:textId="77777777" w:rsidR="00FE42B5" w:rsidRDefault="00FE42B5">
            <w:pPr>
              <w:rPr>
                <w:rFonts w:ascii="Times New Roman" w:hAnsi="Times New Roman"/>
                <w:sz w:val="20"/>
                <w:szCs w:val="20"/>
              </w:rPr>
            </w:pPr>
          </w:p>
        </w:tc>
        <w:tc>
          <w:tcPr>
            <w:tcW w:w="50" w:type="pct"/>
            <w:shd w:val="clear" w:color="auto" w:fill="auto"/>
            <w:vAlign w:val="center"/>
          </w:tcPr>
          <w:p w14:paraId="1446E9CD" w14:textId="77777777" w:rsidR="00FE42B5" w:rsidRDefault="00FE42B5">
            <w:pPr>
              <w:rPr>
                <w:rFonts w:ascii="Times New Roman" w:hAnsi="Times New Roman"/>
                <w:sz w:val="20"/>
                <w:szCs w:val="20"/>
              </w:rPr>
            </w:pPr>
          </w:p>
        </w:tc>
        <w:tc>
          <w:tcPr>
            <w:tcW w:w="600" w:type="pct"/>
            <w:shd w:val="clear" w:color="auto" w:fill="auto"/>
            <w:vAlign w:val="center"/>
          </w:tcPr>
          <w:p w14:paraId="1446E9CE" w14:textId="77777777" w:rsidR="00FE42B5" w:rsidRDefault="00FE42B5">
            <w:pPr>
              <w:rPr>
                <w:rFonts w:ascii="Times New Roman" w:hAnsi="Times New Roman"/>
                <w:sz w:val="20"/>
                <w:szCs w:val="20"/>
              </w:rPr>
            </w:pPr>
          </w:p>
        </w:tc>
        <w:tc>
          <w:tcPr>
            <w:tcW w:w="50" w:type="pct"/>
            <w:shd w:val="clear" w:color="auto" w:fill="auto"/>
            <w:vAlign w:val="center"/>
          </w:tcPr>
          <w:p w14:paraId="1446E9CF" w14:textId="77777777" w:rsidR="00FE42B5" w:rsidRDefault="00FE42B5">
            <w:pPr>
              <w:rPr>
                <w:rFonts w:ascii="Times New Roman" w:hAnsi="Times New Roman"/>
                <w:sz w:val="20"/>
                <w:szCs w:val="20"/>
              </w:rPr>
            </w:pPr>
          </w:p>
        </w:tc>
      </w:tr>
      <w:tr w:rsidR="00FE42B5" w14:paraId="1446E9D7" w14:textId="77777777">
        <w:tc>
          <w:tcPr>
            <w:tcW w:w="0" w:type="auto"/>
            <w:shd w:val="clear" w:color="auto" w:fill="auto"/>
            <w:tcMar>
              <w:top w:w="40" w:type="dxa"/>
              <w:left w:w="40" w:type="dxa"/>
              <w:bottom w:w="40" w:type="dxa"/>
              <w:right w:w="40" w:type="dxa"/>
            </w:tcMar>
            <w:vAlign w:val="bottom"/>
          </w:tcPr>
          <w:p w14:paraId="1446E9D1"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E9D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9D3"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E9D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446E9D5"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Fair Value Measurement at</w:t>
            </w:r>
          </w:p>
          <w:p w14:paraId="1446E9D6"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Reporting Date Using</w:t>
            </w:r>
          </w:p>
        </w:tc>
      </w:tr>
      <w:tr w:rsidR="00FE42B5" w14:paraId="1446E9E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446E9D8" w14:textId="77777777" w:rsidR="00FE42B5" w:rsidRDefault="009213DC">
            <w:pPr>
              <w:textAlignment w:val="bottom"/>
              <w:rPr>
                <w:rFonts w:ascii="Times New Roman" w:hAnsi="Times New Roman"/>
                <w:sz w:val="16"/>
                <w:szCs w:val="16"/>
              </w:rPr>
            </w:pPr>
            <w:r>
              <w:rPr>
                <w:rFonts w:ascii="Times New Roman" w:eastAsia="宋体" w:hAnsi="Times New Roman"/>
                <w:b/>
                <w:bCs/>
                <w:sz w:val="16"/>
                <w:szCs w:val="16"/>
              </w:rPr>
              <w:t>Description</w:t>
            </w:r>
          </w:p>
        </w:tc>
        <w:tc>
          <w:tcPr>
            <w:tcW w:w="0" w:type="auto"/>
            <w:shd w:val="clear" w:color="auto" w:fill="auto"/>
            <w:tcMar>
              <w:top w:w="40" w:type="dxa"/>
              <w:left w:w="40" w:type="dxa"/>
              <w:bottom w:w="40" w:type="dxa"/>
              <w:right w:w="40" w:type="dxa"/>
            </w:tcMar>
            <w:vAlign w:val="bottom"/>
          </w:tcPr>
          <w:p w14:paraId="1446E9D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9DA"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c>
          <w:tcPr>
            <w:tcW w:w="0" w:type="auto"/>
            <w:shd w:val="clear" w:color="auto" w:fill="auto"/>
            <w:tcMar>
              <w:top w:w="40" w:type="dxa"/>
              <w:left w:w="40" w:type="dxa"/>
              <w:bottom w:w="40" w:type="dxa"/>
              <w:right w:w="40" w:type="dxa"/>
            </w:tcMar>
            <w:vAlign w:val="bottom"/>
          </w:tcPr>
          <w:p w14:paraId="1446E9D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9DC"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Quoted Prices in Active Markets for Identical Assets (Level 1)</w:t>
            </w:r>
          </w:p>
        </w:tc>
        <w:tc>
          <w:tcPr>
            <w:tcW w:w="0" w:type="auto"/>
            <w:shd w:val="clear" w:color="auto" w:fill="auto"/>
            <w:tcMar>
              <w:top w:w="40" w:type="dxa"/>
              <w:left w:w="40" w:type="dxa"/>
              <w:bottom w:w="40" w:type="dxa"/>
              <w:right w:w="40" w:type="dxa"/>
            </w:tcMar>
            <w:vAlign w:val="bottom"/>
          </w:tcPr>
          <w:p w14:paraId="1446E9D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9DE"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Significant Other Observable Inputs (Level 2)</w:t>
            </w:r>
          </w:p>
        </w:tc>
        <w:tc>
          <w:tcPr>
            <w:tcW w:w="0" w:type="auto"/>
            <w:shd w:val="clear" w:color="auto" w:fill="auto"/>
            <w:tcMar>
              <w:top w:w="40" w:type="dxa"/>
              <w:left w:w="40" w:type="dxa"/>
              <w:bottom w:w="40" w:type="dxa"/>
              <w:right w:w="40" w:type="dxa"/>
            </w:tcMar>
            <w:vAlign w:val="bottom"/>
          </w:tcPr>
          <w:p w14:paraId="1446E9D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9E0"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xml:space="preserve">Significant Unobservable Inputs </w:t>
            </w:r>
          </w:p>
          <w:p w14:paraId="1446E9E1"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(Level 3)</w:t>
            </w:r>
          </w:p>
        </w:tc>
      </w:tr>
      <w:tr w:rsidR="00FE42B5" w14:paraId="1446E9EC" w14:textId="77777777">
        <w:tc>
          <w:tcPr>
            <w:tcW w:w="0" w:type="auto"/>
            <w:shd w:val="clear" w:color="auto" w:fill="CCEEFF"/>
            <w:tcMar>
              <w:top w:w="40" w:type="dxa"/>
              <w:left w:w="40" w:type="dxa"/>
              <w:bottom w:w="40" w:type="dxa"/>
              <w:right w:w="40" w:type="dxa"/>
            </w:tcMar>
          </w:tcPr>
          <w:p w14:paraId="1446E9E3"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Cash equivalents:</w:t>
            </w:r>
          </w:p>
        </w:tc>
        <w:tc>
          <w:tcPr>
            <w:tcW w:w="0" w:type="auto"/>
            <w:shd w:val="clear" w:color="auto" w:fill="CCEEFF"/>
            <w:tcMar>
              <w:top w:w="40" w:type="dxa"/>
              <w:left w:w="40" w:type="dxa"/>
              <w:bottom w:w="40" w:type="dxa"/>
              <w:right w:w="40" w:type="dxa"/>
            </w:tcMar>
            <w:vAlign w:val="bottom"/>
          </w:tcPr>
          <w:p w14:paraId="1446E9E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9E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9E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9E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9E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9E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9E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9E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9FE" w14:textId="77777777">
        <w:tc>
          <w:tcPr>
            <w:tcW w:w="0" w:type="auto"/>
            <w:shd w:val="clear" w:color="auto" w:fill="auto"/>
            <w:tcMar>
              <w:top w:w="40" w:type="dxa"/>
              <w:left w:w="560" w:type="dxa"/>
              <w:bottom w:w="40" w:type="dxa"/>
              <w:right w:w="40" w:type="dxa"/>
            </w:tcMar>
          </w:tcPr>
          <w:p w14:paraId="1446E9E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Money market funds</w:t>
            </w:r>
          </w:p>
        </w:tc>
        <w:tc>
          <w:tcPr>
            <w:tcW w:w="0" w:type="auto"/>
            <w:shd w:val="clear" w:color="auto" w:fill="auto"/>
            <w:tcMar>
              <w:top w:w="40" w:type="dxa"/>
              <w:left w:w="40" w:type="dxa"/>
              <w:bottom w:w="40" w:type="dxa"/>
              <w:right w:w="40" w:type="dxa"/>
            </w:tcMar>
            <w:vAlign w:val="bottom"/>
          </w:tcPr>
          <w:p w14:paraId="1446E9E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9E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9F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12,787</w:t>
            </w:r>
          </w:p>
        </w:tc>
        <w:tc>
          <w:tcPr>
            <w:tcW w:w="0" w:type="auto"/>
            <w:shd w:val="clear" w:color="auto" w:fill="auto"/>
            <w:vAlign w:val="bottom"/>
          </w:tcPr>
          <w:p w14:paraId="1446E9F1"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F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9F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9F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12,787</w:t>
            </w:r>
          </w:p>
        </w:tc>
        <w:tc>
          <w:tcPr>
            <w:tcW w:w="0" w:type="auto"/>
            <w:shd w:val="clear" w:color="auto" w:fill="auto"/>
            <w:vAlign w:val="bottom"/>
          </w:tcPr>
          <w:p w14:paraId="1446E9F5"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F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9F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9F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9F9"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9F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9F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9F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9FD" w14:textId="77777777" w:rsidR="00FE42B5" w:rsidRDefault="00FE42B5">
            <w:pPr>
              <w:textAlignment w:val="bottom"/>
              <w:rPr>
                <w:rFonts w:ascii="Times New Roman" w:hAnsi="Times New Roman"/>
                <w:sz w:val="20"/>
                <w:szCs w:val="20"/>
              </w:rPr>
            </w:pPr>
          </w:p>
        </w:tc>
      </w:tr>
      <w:tr w:rsidR="00FE42B5" w14:paraId="1446EA0C" w14:textId="77777777">
        <w:tc>
          <w:tcPr>
            <w:tcW w:w="0" w:type="auto"/>
            <w:shd w:val="clear" w:color="auto" w:fill="CCEEFF"/>
            <w:tcMar>
              <w:top w:w="40" w:type="dxa"/>
              <w:left w:w="560" w:type="dxa"/>
              <w:bottom w:w="40" w:type="dxa"/>
              <w:right w:w="40" w:type="dxa"/>
            </w:tcMar>
          </w:tcPr>
          <w:p w14:paraId="1446E9F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CCEEFF"/>
            <w:tcMar>
              <w:top w:w="40" w:type="dxa"/>
              <w:left w:w="40" w:type="dxa"/>
              <w:bottom w:w="40" w:type="dxa"/>
              <w:right w:w="40" w:type="dxa"/>
            </w:tcMar>
            <w:vAlign w:val="bottom"/>
          </w:tcPr>
          <w:p w14:paraId="1446EA0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0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815</w:t>
            </w:r>
          </w:p>
        </w:tc>
        <w:tc>
          <w:tcPr>
            <w:tcW w:w="0" w:type="auto"/>
            <w:shd w:val="clear" w:color="auto" w:fill="CCEEFF"/>
            <w:vAlign w:val="bottom"/>
          </w:tcPr>
          <w:p w14:paraId="1446EA0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0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0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815</w:t>
            </w:r>
          </w:p>
        </w:tc>
        <w:tc>
          <w:tcPr>
            <w:tcW w:w="0" w:type="auto"/>
            <w:shd w:val="clear" w:color="auto" w:fill="CCEEFF"/>
            <w:vAlign w:val="bottom"/>
          </w:tcPr>
          <w:p w14:paraId="1446EA0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0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0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A08"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0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0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A0B" w14:textId="77777777" w:rsidR="00FE42B5" w:rsidRDefault="00FE42B5">
            <w:pPr>
              <w:textAlignment w:val="bottom"/>
              <w:rPr>
                <w:rFonts w:ascii="Times New Roman" w:hAnsi="Times New Roman"/>
                <w:sz w:val="20"/>
                <w:szCs w:val="20"/>
              </w:rPr>
            </w:pPr>
          </w:p>
        </w:tc>
      </w:tr>
      <w:tr w:rsidR="00FE42B5" w14:paraId="1446EA1A" w14:textId="77777777">
        <w:tc>
          <w:tcPr>
            <w:tcW w:w="0" w:type="auto"/>
            <w:shd w:val="clear" w:color="auto" w:fill="auto"/>
            <w:tcMar>
              <w:top w:w="40" w:type="dxa"/>
              <w:left w:w="560" w:type="dxa"/>
              <w:bottom w:w="40" w:type="dxa"/>
              <w:right w:w="40" w:type="dxa"/>
            </w:tcMar>
          </w:tcPr>
          <w:p w14:paraId="1446EA0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U.S. government agency securities</w:t>
            </w:r>
          </w:p>
        </w:tc>
        <w:tc>
          <w:tcPr>
            <w:tcW w:w="0" w:type="auto"/>
            <w:shd w:val="clear" w:color="auto" w:fill="auto"/>
            <w:tcMar>
              <w:top w:w="40" w:type="dxa"/>
              <w:left w:w="40" w:type="dxa"/>
              <w:bottom w:w="40" w:type="dxa"/>
              <w:right w:w="40" w:type="dxa"/>
            </w:tcMar>
            <w:vAlign w:val="bottom"/>
          </w:tcPr>
          <w:p w14:paraId="1446EA0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0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1446EA10"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1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1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1446EA1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1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1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A1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1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1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A19" w14:textId="77777777" w:rsidR="00FE42B5" w:rsidRDefault="00FE42B5">
            <w:pPr>
              <w:textAlignment w:val="bottom"/>
              <w:rPr>
                <w:rFonts w:ascii="Times New Roman" w:hAnsi="Times New Roman"/>
                <w:sz w:val="20"/>
                <w:szCs w:val="20"/>
              </w:rPr>
            </w:pPr>
          </w:p>
        </w:tc>
      </w:tr>
      <w:tr w:rsidR="00FE42B5" w14:paraId="1446EA28" w14:textId="77777777">
        <w:tc>
          <w:tcPr>
            <w:tcW w:w="0" w:type="auto"/>
            <w:shd w:val="clear" w:color="auto" w:fill="CCEEFF"/>
            <w:tcMar>
              <w:top w:w="40" w:type="dxa"/>
              <w:left w:w="560" w:type="dxa"/>
              <w:bottom w:w="40" w:type="dxa"/>
              <w:right w:w="40" w:type="dxa"/>
            </w:tcMar>
          </w:tcPr>
          <w:p w14:paraId="1446EA1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Certificate of deposits and time deposits</w:t>
            </w:r>
          </w:p>
        </w:tc>
        <w:tc>
          <w:tcPr>
            <w:tcW w:w="0" w:type="auto"/>
            <w:shd w:val="clear" w:color="auto" w:fill="CCEEFF"/>
            <w:tcMar>
              <w:top w:w="40" w:type="dxa"/>
              <w:left w:w="40" w:type="dxa"/>
              <w:bottom w:w="40" w:type="dxa"/>
              <w:right w:w="40" w:type="dxa"/>
            </w:tcMar>
            <w:vAlign w:val="bottom"/>
          </w:tcPr>
          <w:p w14:paraId="1446EA1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1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CCEEFF"/>
            <w:vAlign w:val="bottom"/>
          </w:tcPr>
          <w:p w14:paraId="1446EA1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1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2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A2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2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2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CCEEFF"/>
            <w:vAlign w:val="bottom"/>
          </w:tcPr>
          <w:p w14:paraId="1446EA24"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2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2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A27" w14:textId="77777777" w:rsidR="00FE42B5" w:rsidRDefault="00FE42B5">
            <w:pPr>
              <w:textAlignment w:val="bottom"/>
              <w:rPr>
                <w:rFonts w:ascii="Times New Roman" w:hAnsi="Times New Roman"/>
                <w:sz w:val="20"/>
                <w:szCs w:val="20"/>
              </w:rPr>
            </w:pPr>
          </w:p>
        </w:tc>
      </w:tr>
      <w:tr w:rsidR="00FE42B5" w14:paraId="1446EA36" w14:textId="77777777">
        <w:tc>
          <w:tcPr>
            <w:tcW w:w="0" w:type="auto"/>
            <w:shd w:val="clear" w:color="auto" w:fill="auto"/>
            <w:tcMar>
              <w:top w:w="40" w:type="dxa"/>
              <w:left w:w="560" w:type="dxa"/>
              <w:bottom w:w="40" w:type="dxa"/>
              <w:right w:w="40" w:type="dxa"/>
            </w:tcMar>
          </w:tcPr>
          <w:p w14:paraId="1446EA29"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1446EA2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2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auto"/>
            <w:vAlign w:val="bottom"/>
          </w:tcPr>
          <w:p w14:paraId="1446EA2C"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2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2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A2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3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3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auto"/>
            <w:vAlign w:val="bottom"/>
          </w:tcPr>
          <w:p w14:paraId="1446EA3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3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3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A35" w14:textId="77777777" w:rsidR="00FE42B5" w:rsidRDefault="00FE42B5">
            <w:pPr>
              <w:textAlignment w:val="bottom"/>
              <w:rPr>
                <w:rFonts w:ascii="Times New Roman" w:hAnsi="Times New Roman"/>
                <w:sz w:val="20"/>
                <w:szCs w:val="20"/>
              </w:rPr>
            </w:pPr>
          </w:p>
        </w:tc>
      </w:tr>
      <w:tr w:rsidR="00FE42B5" w14:paraId="1446EA40" w14:textId="77777777">
        <w:tc>
          <w:tcPr>
            <w:tcW w:w="0" w:type="auto"/>
            <w:shd w:val="clear" w:color="auto" w:fill="CCEEFF"/>
            <w:tcMar>
              <w:top w:w="40" w:type="dxa"/>
              <w:left w:w="40" w:type="dxa"/>
              <w:bottom w:w="40" w:type="dxa"/>
              <w:right w:w="40" w:type="dxa"/>
            </w:tcMar>
          </w:tcPr>
          <w:p w14:paraId="1446EA3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Marketable securities:</w:t>
            </w:r>
          </w:p>
        </w:tc>
        <w:tc>
          <w:tcPr>
            <w:tcW w:w="0" w:type="auto"/>
            <w:shd w:val="clear" w:color="auto" w:fill="CCEEFF"/>
            <w:tcMar>
              <w:top w:w="40" w:type="dxa"/>
              <w:left w:w="40" w:type="dxa"/>
              <w:bottom w:w="40" w:type="dxa"/>
              <w:right w:w="40" w:type="dxa"/>
            </w:tcMar>
            <w:vAlign w:val="bottom"/>
          </w:tcPr>
          <w:p w14:paraId="1446EA3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A3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A3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A3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A3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A3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A3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A3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A4E" w14:textId="77777777">
        <w:tc>
          <w:tcPr>
            <w:tcW w:w="0" w:type="auto"/>
            <w:shd w:val="clear" w:color="auto" w:fill="auto"/>
            <w:tcMar>
              <w:top w:w="40" w:type="dxa"/>
              <w:left w:w="560" w:type="dxa"/>
              <w:bottom w:w="40" w:type="dxa"/>
              <w:right w:w="40" w:type="dxa"/>
            </w:tcMar>
          </w:tcPr>
          <w:p w14:paraId="1446EA4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auto"/>
            <w:tcMar>
              <w:top w:w="40" w:type="dxa"/>
              <w:left w:w="40" w:type="dxa"/>
              <w:bottom w:w="40" w:type="dxa"/>
              <w:right w:w="40" w:type="dxa"/>
            </w:tcMar>
            <w:vAlign w:val="bottom"/>
          </w:tcPr>
          <w:p w14:paraId="1446EA4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4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18,679</w:t>
            </w:r>
          </w:p>
        </w:tc>
        <w:tc>
          <w:tcPr>
            <w:tcW w:w="0" w:type="auto"/>
            <w:shd w:val="clear" w:color="auto" w:fill="auto"/>
            <w:vAlign w:val="bottom"/>
          </w:tcPr>
          <w:p w14:paraId="1446EA44"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4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4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18,679</w:t>
            </w:r>
          </w:p>
        </w:tc>
        <w:tc>
          <w:tcPr>
            <w:tcW w:w="0" w:type="auto"/>
            <w:shd w:val="clear" w:color="auto" w:fill="auto"/>
            <w:vAlign w:val="bottom"/>
          </w:tcPr>
          <w:p w14:paraId="1446EA47"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4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4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A4A"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4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4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446EA4D" w14:textId="77777777" w:rsidR="00FE42B5" w:rsidRDefault="00FE42B5">
            <w:pPr>
              <w:textAlignment w:val="bottom"/>
              <w:rPr>
                <w:rFonts w:ascii="Times New Roman" w:hAnsi="Times New Roman"/>
                <w:sz w:val="20"/>
                <w:szCs w:val="20"/>
              </w:rPr>
            </w:pPr>
          </w:p>
        </w:tc>
      </w:tr>
      <w:tr w:rsidR="00FE42B5" w14:paraId="1446EA5C" w14:textId="77777777">
        <w:tc>
          <w:tcPr>
            <w:tcW w:w="0" w:type="auto"/>
            <w:shd w:val="clear" w:color="auto" w:fill="CCEEFF"/>
            <w:tcMar>
              <w:top w:w="40" w:type="dxa"/>
              <w:left w:w="560" w:type="dxa"/>
              <w:bottom w:w="40" w:type="dxa"/>
              <w:right w:w="40" w:type="dxa"/>
            </w:tcMar>
          </w:tcPr>
          <w:p w14:paraId="1446EA4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U.S. government agency </w:t>
            </w:r>
            <w:r>
              <w:rPr>
                <w:rFonts w:ascii="Times New Roman" w:eastAsia="宋体" w:hAnsi="Times New Roman"/>
                <w:sz w:val="20"/>
                <w:szCs w:val="20"/>
              </w:rPr>
              <w:t>securities</w:t>
            </w:r>
          </w:p>
        </w:tc>
        <w:tc>
          <w:tcPr>
            <w:tcW w:w="0" w:type="auto"/>
            <w:shd w:val="clear" w:color="auto" w:fill="CCEEFF"/>
            <w:tcMar>
              <w:top w:w="40" w:type="dxa"/>
              <w:left w:w="40" w:type="dxa"/>
              <w:bottom w:w="40" w:type="dxa"/>
              <w:right w:w="40" w:type="dxa"/>
            </w:tcMar>
            <w:vAlign w:val="bottom"/>
          </w:tcPr>
          <w:p w14:paraId="1446EA5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5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6,712</w:t>
            </w:r>
          </w:p>
        </w:tc>
        <w:tc>
          <w:tcPr>
            <w:tcW w:w="0" w:type="auto"/>
            <w:shd w:val="clear" w:color="auto" w:fill="CCEEFF"/>
            <w:vAlign w:val="bottom"/>
          </w:tcPr>
          <w:p w14:paraId="1446EA5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5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5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6,712</w:t>
            </w:r>
          </w:p>
        </w:tc>
        <w:tc>
          <w:tcPr>
            <w:tcW w:w="0" w:type="auto"/>
            <w:shd w:val="clear" w:color="auto" w:fill="CCEEFF"/>
            <w:vAlign w:val="bottom"/>
          </w:tcPr>
          <w:p w14:paraId="1446EA5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5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5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A58"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5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5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A5B" w14:textId="77777777" w:rsidR="00FE42B5" w:rsidRDefault="00FE42B5">
            <w:pPr>
              <w:textAlignment w:val="bottom"/>
              <w:rPr>
                <w:rFonts w:ascii="Times New Roman" w:hAnsi="Times New Roman"/>
                <w:sz w:val="20"/>
                <w:szCs w:val="20"/>
              </w:rPr>
            </w:pPr>
          </w:p>
        </w:tc>
      </w:tr>
      <w:tr w:rsidR="00FE42B5" w14:paraId="1446EA6A" w14:textId="77777777">
        <w:tc>
          <w:tcPr>
            <w:tcW w:w="0" w:type="auto"/>
            <w:shd w:val="clear" w:color="auto" w:fill="auto"/>
            <w:tcMar>
              <w:top w:w="40" w:type="dxa"/>
              <w:left w:w="560" w:type="dxa"/>
              <w:bottom w:w="40" w:type="dxa"/>
              <w:right w:w="40" w:type="dxa"/>
            </w:tcMar>
          </w:tcPr>
          <w:p w14:paraId="1446EA5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1446EA5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A5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10,385</w:t>
            </w:r>
          </w:p>
        </w:tc>
        <w:tc>
          <w:tcPr>
            <w:tcW w:w="0" w:type="auto"/>
            <w:tcBorders>
              <w:bottom w:val="single" w:sz="8" w:space="0" w:color="000000"/>
            </w:tcBorders>
            <w:shd w:val="clear" w:color="auto" w:fill="auto"/>
            <w:vAlign w:val="bottom"/>
          </w:tcPr>
          <w:p w14:paraId="1446EA60"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6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A6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1446EA6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6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A6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10,385</w:t>
            </w:r>
          </w:p>
        </w:tc>
        <w:tc>
          <w:tcPr>
            <w:tcW w:w="0" w:type="auto"/>
            <w:tcBorders>
              <w:bottom w:val="single" w:sz="8" w:space="0" w:color="000000"/>
            </w:tcBorders>
            <w:shd w:val="clear" w:color="auto" w:fill="auto"/>
            <w:vAlign w:val="bottom"/>
          </w:tcPr>
          <w:p w14:paraId="1446EA6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6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A6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1446EA69" w14:textId="77777777" w:rsidR="00FE42B5" w:rsidRDefault="00FE42B5">
            <w:pPr>
              <w:textAlignment w:val="bottom"/>
              <w:rPr>
                <w:rFonts w:ascii="Times New Roman" w:hAnsi="Times New Roman"/>
                <w:sz w:val="20"/>
                <w:szCs w:val="20"/>
              </w:rPr>
            </w:pPr>
          </w:p>
        </w:tc>
      </w:tr>
      <w:tr w:rsidR="00FE42B5" w14:paraId="1446EA7C" w14:textId="77777777">
        <w:tc>
          <w:tcPr>
            <w:tcW w:w="0" w:type="auto"/>
            <w:shd w:val="clear" w:color="auto" w:fill="CCEEFF"/>
            <w:tcMar>
              <w:top w:w="40" w:type="dxa"/>
              <w:left w:w="40" w:type="dxa"/>
              <w:bottom w:w="40" w:type="dxa"/>
              <w:right w:w="40" w:type="dxa"/>
            </w:tcMar>
          </w:tcPr>
          <w:p w14:paraId="1446EA6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 cash equivalents and marketable securities</w:t>
            </w:r>
          </w:p>
        </w:tc>
        <w:tc>
          <w:tcPr>
            <w:tcW w:w="0" w:type="auto"/>
            <w:shd w:val="clear" w:color="auto" w:fill="CCEEFF"/>
            <w:tcMar>
              <w:top w:w="40" w:type="dxa"/>
              <w:left w:w="40" w:type="dxa"/>
              <w:bottom w:w="40" w:type="dxa"/>
              <w:right w:w="40" w:type="dxa"/>
            </w:tcMar>
            <w:vAlign w:val="bottom"/>
          </w:tcPr>
          <w:p w14:paraId="1446EA6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446EA6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A6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50,120</w:t>
            </w:r>
          </w:p>
        </w:tc>
        <w:tc>
          <w:tcPr>
            <w:tcW w:w="0" w:type="auto"/>
            <w:tcBorders>
              <w:bottom w:val="double" w:sz="6" w:space="0" w:color="000000"/>
            </w:tcBorders>
            <w:shd w:val="clear" w:color="auto" w:fill="CCEEFF"/>
            <w:vAlign w:val="bottom"/>
          </w:tcPr>
          <w:p w14:paraId="1446EA6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7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446EA7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A7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39,437</w:t>
            </w:r>
          </w:p>
        </w:tc>
        <w:tc>
          <w:tcPr>
            <w:tcW w:w="0" w:type="auto"/>
            <w:tcBorders>
              <w:bottom w:val="double" w:sz="6" w:space="0" w:color="000000"/>
            </w:tcBorders>
            <w:shd w:val="clear" w:color="auto" w:fill="CCEEFF"/>
            <w:vAlign w:val="bottom"/>
          </w:tcPr>
          <w:p w14:paraId="1446EA73"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7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446EA7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A7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10,683</w:t>
            </w:r>
          </w:p>
        </w:tc>
        <w:tc>
          <w:tcPr>
            <w:tcW w:w="0" w:type="auto"/>
            <w:tcBorders>
              <w:bottom w:val="double" w:sz="6" w:space="0" w:color="000000"/>
            </w:tcBorders>
            <w:shd w:val="clear" w:color="auto" w:fill="CCEEFF"/>
            <w:vAlign w:val="bottom"/>
          </w:tcPr>
          <w:p w14:paraId="1446EA7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7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446EA7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A7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vAlign w:val="bottom"/>
          </w:tcPr>
          <w:p w14:paraId="1446EA7B" w14:textId="77777777" w:rsidR="00FE42B5" w:rsidRDefault="00FE42B5">
            <w:pPr>
              <w:textAlignment w:val="bottom"/>
              <w:rPr>
                <w:rFonts w:ascii="Times New Roman" w:hAnsi="Times New Roman"/>
                <w:sz w:val="20"/>
                <w:szCs w:val="20"/>
              </w:rPr>
            </w:pPr>
          </w:p>
        </w:tc>
      </w:tr>
    </w:tbl>
    <w:p w14:paraId="1446EA7D" w14:textId="77777777" w:rsidR="00FE42B5" w:rsidRDefault="00FE42B5">
      <w:pPr>
        <w:spacing w:line="288" w:lineRule="auto"/>
        <w:rPr>
          <w:rFonts w:ascii="Times New Roman" w:hAnsi="Times New Roman"/>
          <w:sz w:val="20"/>
          <w:szCs w:val="20"/>
        </w:rPr>
      </w:pPr>
    </w:p>
    <w:p w14:paraId="1446EA7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c</w:t>
      </w:r>
      <w:r>
        <w:rPr>
          <w:rFonts w:ascii="Times New Roman" w:eastAsia="宋体" w:hAnsi="Times New Roman"/>
          <w:sz w:val="20"/>
          <w:szCs w:val="20"/>
        </w:rPr>
        <w:t xml:space="preserve">lassify our cash equivalents and marketable securities within Level 1 or Level 2 because we use quoted market prices or alternative pricing sources and models utilizing market observable inputs to determine their fair value. </w:t>
      </w:r>
    </w:p>
    <w:p w14:paraId="1446EA7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Beginning in the three months </w:t>
      </w:r>
      <w:r>
        <w:rPr>
          <w:rFonts w:ascii="Times New Roman" w:eastAsia="宋体" w:hAnsi="Times New Roman"/>
          <w:sz w:val="20"/>
          <w:szCs w:val="20"/>
        </w:rPr>
        <w:t xml:space="preserve">ended March 31, 2020, we had other assets and liabilities classified within Level 3 as factors used to develop the estimated fair value are unobservable inputs that are not supported by market activity. The aggregate absolute value of these Level 3 assets </w:t>
      </w:r>
      <w:r>
        <w:rPr>
          <w:rFonts w:ascii="Times New Roman" w:eastAsia="宋体" w:hAnsi="Times New Roman"/>
          <w:sz w:val="20"/>
          <w:szCs w:val="20"/>
        </w:rPr>
        <w:t>and liabilities was not material to our condensed consolidated financial statements as of March 31, 2020.</w:t>
      </w:r>
    </w:p>
    <w:p w14:paraId="1446EA80" w14:textId="77777777" w:rsidR="00FE42B5" w:rsidRDefault="00FE42B5">
      <w:pPr>
        <w:rPr>
          <w:rFonts w:ascii="Times New Roman" w:hAnsi="Times New Roman"/>
          <w:sz w:val="20"/>
          <w:szCs w:val="20"/>
        </w:rPr>
      </w:pPr>
    </w:p>
    <w:p w14:paraId="1446EA81"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19</w:t>
      </w:r>
    </w:p>
    <w:p w14:paraId="1446EA82" w14:textId="77777777" w:rsidR="00FE42B5" w:rsidRDefault="009213DC">
      <w:r>
        <w:rPr>
          <w:rFonts w:ascii="Times New Roman" w:hAnsi="Times New Roman"/>
          <w:sz w:val="20"/>
          <w:szCs w:val="20"/>
        </w:rPr>
        <w:pict w14:anchorId="1446FACB">
          <v:rect id="_x0000_i1043" style="width:415.3pt;height:1.5pt" o:hralign="center" o:hrstd="t" o:hr="t" fillcolor="#a0a0a0" stroked="f"/>
        </w:pict>
      </w:r>
    </w:p>
    <w:p w14:paraId="1446EA83" w14:textId="77777777" w:rsidR="00FE42B5" w:rsidRDefault="009213DC">
      <w:pPr>
        <w:spacing w:line="288" w:lineRule="auto"/>
        <w:rPr>
          <w:rFonts w:ascii="Times New Roman" w:hAnsi="Times New Roman"/>
          <w:sz w:val="20"/>
          <w:szCs w:val="20"/>
        </w:rPr>
      </w:pPr>
      <w:hyperlink r:id="rId60" w:anchor="sBB4BED1571A45A16AF3DC2E3B69C901C" w:history="1">
        <w:r>
          <w:rPr>
            <w:rStyle w:val="a5"/>
            <w:rFonts w:ascii="Times New Roman" w:eastAsia="宋体" w:hAnsi="Times New Roman"/>
            <w:sz w:val="20"/>
            <w:szCs w:val="20"/>
          </w:rPr>
          <w:t>Table of Contents</w:t>
        </w:r>
      </w:hyperlink>
    </w:p>
    <w:p w14:paraId="1446EA84" w14:textId="77777777" w:rsidR="00FE42B5" w:rsidRDefault="00FE42B5">
      <w:pPr>
        <w:rPr>
          <w:rFonts w:ascii="Times New Roman" w:hAnsi="Times New Roman"/>
          <w:sz w:val="20"/>
          <w:szCs w:val="20"/>
        </w:rPr>
      </w:pPr>
    </w:p>
    <w:p w14:paraId="1446EA85"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Note 6. Property and Equipment</w:t>
      </w:r>
    </w:p>
    <w:p w14:paraId="1446EA86" w14:textId="77777777" w:rsidR="00FE42B5" w:rsidRDefault="00FE42B5">
      <w:pPr>
        <w:spacing w:line="288" w:lineRule="auto"/>
        <w:ind w:firstLine="720"/>
        <w:jc w:val="both"/>
        <w:rPr>
          <w:rFonts w:ascii="Times New Roman" w:hAnsi="Times New Roman"/>
          <w:sz w:val="20"/>
          <w:szCs w:val="20"/>
        </w:rPr>
      </w:pPr>
    </w:p>
    <w:p w14:paraId="1446EA8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Property and equipment, net consists of the followin</w:t>
      </w:r>
      <w:r>
        <w:rPr>
          <w:rFonts w:ascii="Times New Roman" w:eastAsia="宋体" w:hAnsi="Times New Roman"/>
          <w:sz w:val="20"/>
          <w:szCs w:val="20"/>
        </w:rPr>
        <w:t>g (in millions):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5495"/>
        <w:gridCol w:w="140"/>
        <w:gridCol w:w="1093"/>
        <w:gridCol w:w="107"/>
        <w:gridCol w:w="130"/>
        <w:gridCol w:w="141"/>
        <w:gridCol w:w="1093"/>
        <w:gridCol w:w="107"/>
      </w:tblGrid>
      <w:tr w:rsidR="00FE42B5" w14:paraId="1446EA89" w14:textId="77777777">
        <w:tc>
          <w:tcPr>
            <w:tcW w:w="0" w:type="auto"/>
            <w:gridSpan w:val="8"/>
            <w:shd w:val="clear" w:color="auto" w:fill="auto"/>
            <w:vAlign w:val="center"/>
          </w:tcPr>
          <w:p w14:paraId="1446EA88" w14:textId="77777777" w:rsidR="00FE42B5" w:rsidRDefault="00FE42B5">
            <w:pPr>
              <w:rPr>
                <w:rFonts w:ascii="Times New Roman" w:hAnsi="Times New Roman"/>
                <w:sz w:val="20"/>
                <w:szCs w:val="20"/>
              </w:rPr>
            </w:pPr>
          </w:p>
        </w:tc>
      </w:tr>
      <w:tr w:rsidR="00FE42B5" w14:paraId="1446EA92" w14:textId="77777777">
        <w:tc>
          <w:tcPr>
            <w:tcW w:w="3350" w:type="pct"/>
            <w:shd w:val="clear" w:color="auto" w:fill="auto"/>
            <w:vAlign w:val="center"/>
          </w:tcPr>
          <w:p w14:paraId="1446EA8A" w14:textId="77777777" w:rsidR="00FE42B5" w:rsidRDefault="00FE42B5">
            <w:pPr>
              <w:rPr>
                <w:rFonts w:ascii="Times New Roman" w:hAnsi="Times New Roman"/>
                <w:sz w:val="20"/>
                <w:szCs w:val="20"/>
              </w:rPr>
            </w:pPr>
          </w:p>
        </w:tc>
        <w:tc>
          <w:tcPr>
            <w:tcW w:w="50" w:type="pct"/>
            <w:shd w:val="clear" w:color="auto" w:fill="auto"/>
            <w:vAlign w:val="center"/>
          </w:tcPr>
          <w:p w14:paraId="1446EA8B" w14:textId="77777777" w:rsidR="00FE42B5" w:rsidRDefault="00FE42B5">
            <w:pPr>
              <w:rPr>
                <w:rFonts w:ascii="Times New Roman" w:hAnsi="Times New Roman"/>
                <w:sz w:val="20"/>
                <w:szCs w:val="20"/>
              </w:rPr>
            </w:pPr>
          </w:p>
        </w:tc>
        <w:tc>
          <w:tcPr>
            <w:tcW w:w="700" w:type="pct"/>
            <w:shd w:val="clear" w:color="auto" w:fill="auto"/>
            <w:vAlign w:val="center"/>
          </w:tcPr>
          <w:p w14:paraId="1446EA8C" w14:textId="77777777" w:rsidR="00FE42B5" w:rsidRDefault="00FE42B5">
            <w:pPr>
              <w:rPr>
                <w:rFonts w:ascii="Times New Roman" w:hAnsi="Times New Roman"/>
                <w:sz w:val="20"/>
                <w:szCs w:val="20"/>
              </w:rPr>
            </w:pPr>
          </w:p>
        </w:tc>
        <w:tc>
          <w:tcPr>
            <w:tcW w:w="50" w:type="pct"/>
            <w:shd w:val="clear" w:color="auto" w:fill="auto"/>
            <w:vAlign w:val="center"/>
          </w:tcPr>
          <w:p w14:paraId="1446EA8D" w14:textId="77777777" w:rsidR="00FE42B5" w:rsidRDefault="00FE42B5">
            <w:pPr>
              <w:rPr>
                <w:rFonts w:ascii="Times New Roman" w:hAnsi="Times New Roman"/>
                <w:sz w:val="20"/>
                <w:szCs w:val="20"/>
              </w:rPr>
            </w:pPr>
          </w:p>
        </w:tc>
        <w:tc>
          <w:tcPr>
            <w:tcW w:w="50" w:type="pct"/>
            <w:shd w:val="clear" w:color="auto" w:fill="auto"/>
            <w:vAlign w:val="center"/>
          </w:tcPr>
          <w:p w14:paraId="1446EA8E" w14:textId="77777777" w:rsidR="00FE42B5" w:rsidRDefault="00FE42B5">
            <w:pPr>
              <w:rPr>
                <w:rFonts w:ascii="Times New Roman" w:hAnsi="Times New Roman"/>
                <w:sz w:val="20"/>
                <w:szCs w:val="20"/>
              </w:rPr>
            </w:pPr>
          </w:p>
        </w:tc>
        <w:tc>
          <w:tcPr>
            <w:tcW w:w="50" w:type="pct"/>
            <w:shd w:val="clear" w:color="auto" w:fill="auto"/>
            <w:vAlign w:val="center"/>
          </w:tcPr>
          <w:p w14:paraId="1446EA8F" w14:textId="77777777" w:rsidR="00FE42B5" w:rsidRDefault="00FE42B5">
            <w:pPr>
              <w:rPr>
                <w:rFonts w:ascii="Times New Roman" w:hAnsi="Times New Roman"/>
                <w:sz w:val="20"/>
                <w:szCs w:val="20"/>
              </w:rPr>
            </w:pPr>
          </w:p>
        </w:tc>
        <w:tc>
          <w:tcPr>
            <w:tcW w:w="700" w:type="pct"/>
            <w:shd w:val="clear" w:color="auto" w:fill="auto"/>
            <w:vAlign w:val="center"/>
          </w:tcPr>
          <w:p w14:paraId="1446EA90" w14:textId="77777777" w:rsidR="00FE42B5" w:rsidRDefault="00FE42B5">
            <w:pPr>
              <w:rPr>
                <w:rFonts w:ascii="Times New Roman" w:hAnsi="Times New Roman"/>
                <w:sz w:val="20"/>
                <w:szCs w:val="20"/>
              </w:rPr>
            </w:pPr>
          </w:p>
        </w:tc>
        <w:tc>
          <w:tcPr>
            <w:tcW w:w="50" w:type="pct"/>
            <w:shd w:val="clear" w:color="auto" w:fill="auto"/>
            <w:vAlign w:val="center"/>
          </w:tcPr>
          <w:p w14:paraId="1446EA91" w14:textId="77777777" w:rsidR="00FE42B5" w:rsidRDefault="00FE42B5">
            <w:pPr>
              <w:rPr>
                <w:rFonts w:ascii="Times New Roman" w:hAnsi="Times New Roman"/>
                <w:sz w:val="20"/>
                <w:szCs w:val="20"/>
              </w:rPr>
            </w:pPr>
          </w:p>
        </w:tc>
      </w:tr>
      <w:tr w:rsidR="00FE42B5" w14:paraId="1446EA97" w14:textId="77777777">
        <w:tc>
          <w:tcPr>
            <w:tcW w:w="0" w:type="auto"/>
            <w:shd w:val="clear" w:color="auto" w:fill="auto"/>
            <w:tcMar>
              <w:top w:w="40" w:type="dxa"/>
              <w:left w:w="40" w:type="dxa"/>
              <w:bottom w:w="40" w:type="dxa"/>
              <w:right w:w="40" w:type="dxa"/>
            </w:tcMar>
            <w:vAlign w:val="bottom"/>
          </w:tcPr>
          <w:p w14:paraId="1446EA9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A94"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March 31, 2020</w:t>
            </w:r>
          </w:p>
        </w:tc>
        <w:tc>
          <w:tcPr>
            <w:tcW w:w="0" w:type="auto"/>
            <w:shd w:val="clear" w:color="auto" w:fill="auto"/>
            <w:tcMar>
              <w:top w:w="40" w:type="dxa"/>
              <w:left w:w="40" w:type="dxa"/>
              <w:bottom w:w="40" w:type="dxa"/>
              <w:right w:w="40" w:type="dxa"/>
            </w:tcMar>
            <w:vAlign w:val="bottom"/>
          </w:tcPr>
          <w:p w14:paraId="1446EA9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A96"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FE42B5" w14:paraId="1446EAA0" w14:textId="77777777">
        <w:tc>
          <w:tcPr>
            <w:tcW w:w="0" w:type="auto"/>
            <w:shd w:val="clear" w:color="auto" w:fill="CCEEFF"/>
            <w:tcMar>
              <w:top w:w="40" w:type="dxa"/>
              <w:left w:w="40" w:type="dxa"/>
              <w:bottom w:w="40" w:type="dxa"/>
              <w:right w:w="40" w:type="dxa"/>
            </w:tcMar>
            <w:vAlign w:val="bottom"/>
          </w:tcPr>
          <w:p w14:paraId="1446EA9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Land</w:t>
            </w:r>
          </w:p>
        </w:tc>
        <w:tc>
          <w:tcPr>
            <w:tcW w:w="0" w:type="auto"/>
            <w:shd w:val="clear" w:color="auto" w:fill="CCEEFF"/>
            <w:tcMar>
              <w:top w:w="40" w:type="dxa"/>
              <w:left w:w="40" w:type="dxa"/>
              <w:bottom w:w="40" w:type="dxa"/>
            </w:tcMar>
            <w:vAlign w:val="bottom"/>
          </w:tcPr>
          <w:p w14:paraId="1446EA9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A9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1,138</w:t>
            </w:r>
          </w:p>
        </w:tc>
        <w:tc>
          <w:tcPr>
            <w:tcW w:w="0" w:type="auto"/>
            <w:shd w:val="clear" w:color="auto" w:fill="CCEEFF"/>
            <w:vAlign w:val="bottom"/>
          </w:tcPr>
          <w:p w14:paraId="1446EA9B"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9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A9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A9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1,097</w:t>
            </w:r>
          </w:p>
        </w:tc>
        <w:tc>
          <w:tcPr>
            <w:tcW w:w="0" w:type="auto"/>
            <w:shd w:val="clear" w:color="auto" w:fill="CCEEFF"/>
            <w:vAlign w:val="bottom"/>
          </w:tcPr>
          <w:p w14:paraId="1446EA9F" w14:textId="77777777" w:rsidR="00FE42B5" w:rsidRDefault="00FE42B5">
            <w:pPr>
              <w:textAlignment w:val="bottom"/>
              <w:rPr>
                <w:rFonts w:ascii="Times New Roman" w:hAnsi="Times New Roman"/>
                <w:sz w:val="20"/>
                <w:szCs w:val="20"/>
              </w:rPr>
            </w:pPr>
          </w:p>
        </w:tc>
      </w:tr>
      <w:tr w:rsidR="00FE42B5" w14:paraId="1446EAA7" w14:textId="77777777">
        <w:tc>
          <w:tcPr>
            <w:tcW w:w="0" w:type="auto"/>
            <w:shd w:val="clear" w:color="auto" w:fill="auto"/>
            <w:tcMar>
              <w:top w:w="40" w:type="dxa"/>
              <w:left w:w="40" w:type="dxa"/>
              <w:bottom w:w="40" w:type="dxa"/>
              <w:right w:w="40" w:type="dxa"/>
            </w:tcMar>
            <w:vAlign w:val="bottom"/>
          </w:tcPr>
          <w:p w14:paraId="1446EAA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Buildings</w:t>
            </w:r>
          </w:p>
        </w:tc>
        <w:tc>
          <w:tcPr>
            <w:tcW w:w="0" w:type="auto"/>
            <w:gridSpan w:val="2"/>
            <w:shd w:val="clear" w:color="auto" w:fill="auto"/>
            <w:tcMar>
              <w:top w:w="40" w:type="dxa"/>
              <w:left w:w="40" w:type="dxa"/>
              <w:bottom w:w="40" w:type="dxa"/>
            </w:tcMar>
            <w:vAlign w:val="bottom"/>
          </w:tcPr>
          <w:p w14:paraId="1446EAA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11,908</w:t>
            </w:r>
          </w:p>
        </w:tc>
        <w:tc>
          <w:tcPr>
            <w:tcW w:w="0" w:type="auto"/>
            <w:shd w:val="clear" w:color="auto" w:fill="auto"/>
            <w:vAlign w:val="bottom"/>
          </w:tcPr>
          <w:p w14:paraId="1446EAA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A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A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11,226</w:t>
            </w:r>
          </w:p>
        </w:tc>
        <w:tc>
          <w:tcPr>
            <w:tcW w:w="0" w:type="auto"/>
            <w:shd w:val="clear" w:color="auto" w:fill="auto"/>
            <w:vAlign w:val="bottom"/>
          </w:tcPr>
          <w:p w14:paraId="1446EAA6" w14:textId="77777777" w:rsidR="00FE42B5" w:rsidRDefault="00FE42B5">
            <w:pPr>
              <w:textAlignment w:val="bottom"/>
              <w:rPr>
                <w:rFonts w:ascii="Times New Roman" w:hAnsi="Times New Roman"/>
                <w:sz w:val="20"/>
                <w:szCs w:val="20"/>
              </w:rPr>
            </w:pPr>
          </w:p>
        </w:tc>
      </w:tr>
      <w:tr w:rsidR="00FE42B5" w14:paraId="1446EAAE" w14:textId="77777777">
        <w:tc>
          <w:tcPr>
            <w:tcW w:w="0" w:type="auto"/>
            <w:shd w:val="clear" w:color="auto" w:fill="CCEEFF"/>
            <w:tcMar>
              <w:top w:w="40" w:type="dxa"/>
              <w:left w:w="40" w:type="dxa"/>
              <w:bottom w:w="40" w:type="dxa"/>
              <w:right w:w="40" w:type="dxa"/>
            </w:tcMar>
            <w:vAlign w:val="bottom"/>
          </w:tcPr>
          <w:p w14:paraId="1446EAA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Leasehold improvements</w:t>
            </w:r>
          </w:p>
        </w:tc>
        <w:tc>
          <w:tcPr>
            <w:tcW w:w="0" w:type="auto"/>
            <w:gridSpan w:val="2"/>
            <w:shd w:val="clear" w:color="auto" w:fill="CCEEFF"/>
            <w:tcMar>
              <w:top w:w="40" w:type="dxa"/>
              <w:left w:w="40" w:type="dxa"/>
              <w:bottom w:w="40" w:type="dxa"/>
            </w:tcMar>
            <w:vAlign w:val="bottom"/>
          </w:tcPr>
          <w:p w14:paraId="1446EAA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3,382</w:t>
            </w:r>
          </w:p>
        </w:tc>
        <w:tc>
          <w:tcPr>
            <w:tcW w:w="0" w:type="auto"/>
            <w:shd w:val="clear" w:color="auto" w:fill="CCEEFF"/>
            <w:vAlign w:val="bottom"/>
          </w:tcPr>
          <w:p w14:paraId="1446EAAA"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A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A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3,112</w:t>
            </w:r>
          </w:p>
        </w:tc>
        <w:tc>
          <w:tcPr>
            <w:tcW w:w="0" w:type="auto"/>
            <w:shd w:val="clear" w:color="auto" w:fill="CCEEFF"/>
            <w:vAlign w:val="bottom"/>
          </w:tcPr>
          <w:p w14:paraId="1446EAAD" w14:textId="77777777" w:rsidR="00FE42B5" w:rsidRDefault="00FE42B5">
            <w:pPr>
              <w:textAlignment w:val="bottom"/>
              <w:rPr>
                <w:rFonts w:ascii="Times New Roman" w:hAnsi="Times New Roman"/>
                <w:sz w:val="20"/>
                <w:szCs w:val="20"/>
              </w:rPr>
            </w:pPr>
          </w:p>
        </w:tc>
      </w:tr>
      <w:tr w:rsidR="00FE42B5" w14:paraId="1446EAB5" w14:textId="77777777">
        <w:tc>
          <w:tcPr>
            <w:tcW w:w="0" w:type="auto"/>
            <w:shd w:val="clear" w:color="auto" w:fill="auto"/>
            <w:tcMar>
              <w:top w:w="40" w:type="dxa"/>
              <w:left w:w="40" w:type="dxa"/>
              <w:bottom w:w="40" w:type="dxa"/>
              <w:right w:w="40" w:type="dxa"/>
            </w:tcMar>
            <w:vAlign w:val="bottom"/>
          </w:tcPr>
          <w:p w14:paraId="1446EAA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Network equipment</w:t>
            </w:r>
          </w:p>
        </w:tc>
        <w:tc>
          <w:tcPr>
            <w:tcW w:w="0" w:type="auto"/>
            <w:gridSpan w:val="2"/>
            <w:shd w:val="clear" w:color="auto" w:fill="auto"/>
            <w:tcMar>
              <w:top w:w="40" w:type="dxa"/>
              <w:left w:w="40" w:type="dxa"/>
              <w:bottom w:w="40" w:type="dxa"/>
            </w:tcMar>
            <w:vAlign w:val="bottom"/>
          </w:tcPr>
          <w:p w14:paraId="1446EAB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17,764</w:t>
            </w:r>
          </w:p>
        </w:tc>
        <w:tc>
          <w:tcPr>
            <w:tcW w:w="0" w:type="auto"/>
            <w:shd w:val="clear" w:color="auto" w:fill="auto"/>
            <w:vAlign w:val="bottom"/>
          </w:tcPr>
          <w:p w14:paraId="1446EAB1"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B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B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17,004</w:t>
            </w:r>
          </w:p>
        </w:tc>
        <w:tc>
          <w:tcPr>
            <w:tcW w:w="0" w:type="auto"/>
            <w:shd w:val="clear" w:color="auto" w:fill="auto"/>
            <w:vAlign w:val="bottom"/>
          </w:tcPr>
          <w:p w14:paraId="1446EAB4" w14:textId="77777777" w:rsidR="00FE42B5" w:rsidRDefault="00FE42B5">
            <w:pPr>
              <w:textAlignment w:val="bottom"/>
              <w:rPr>
                <w:rFonts w:ascii="Times New Roman" w:hAnsi="Times New Roman"/>
                <w:sz w:val="20"/>
                <w:szCs w:val="20"/>
              </w:rPr>
            </w:pPr>
          </w:p>
        </w:tc>
      </w:tr>
      <w:tr w:rsidR="00FE42B5" w14:paraId="1446EABC" w14:textId="77777777">
        <w:tc>
          <w:tcPr>
            <w:tcW w:w="0" w:type="auto"/>
            <w:shd w:val="clear" w:color="auto" w:fill="CCEEFF"/>
            <w:tcMar>
              <w:top w:w="40" w:type="dxa"/>
              <w:left w:w="40" w:type="dxa"/>
              <w:bottom w:w="40" w:type="dxa"/>
              <w:right w:w="40" w:type="dxa"/>
            </w:tcMar>
            <w:vAlign w:val="bottom"/>
          </w:tcPr>
          <w:p w14:paraId="1446EAB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Computer software, office equipment and other</w:t>
            </w:r>
          </w:p>
        </w:tc>
        <w:tc>
          <w:tcPr>
            <w:tcW w:w="0" w:type="auto"/>
            <w:gridSpan w:val="2"/>
            <w:shd w:val="clear" w:color="auto" w:fill="CCEEFF"/>
            <w:tcMar>
              <w:top w:w="40" w:type="dxa"/>
              <w:left w:w="40" w:type="dxa"/>
              <w:bottom w:w="40" w:type="dxa"/>
            </w:tcMar>
            <w:vAlign w:val="bottom"/>
          </w:tcPr>
          <w:p w14:paraId="1446EAB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1,951</w:t>
            </w:r>
          </w:p>
        </w:tc>
        <w:tc>
          <w:tcPr>
            <w:tcW w:w="0" w:type="auto"/>
            <w:shd w:val="clear" w:color="auto" w:fill="CCEEFF"/>
            <w:vAlign w:val="bottom"/>
          </w:tcPr>
          <w:p w14:paraId="1446EAB8"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B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AB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1,813</w:t>
            </w:r>
          </w:p>
        </w:tc>
        <w:tc>
          <w:tcPr>
            <w:tcW w:w="0" w:type="auto"/>
            <w:shd w:val="clear" w:color="auto" w:fill="CCEEFF"/>
            <w:vAlign w:val="bottom"/>
          </w:tcPr>
          <w:p w14:paraId="1446EABB" w14:textId="77777777" w:rsidR="00FE42B5" w:rsidRDefault="00FE42B5">
            <w:pPr>
              <w:textAlignment w:val="bottom"/>
              <w:rPr>
                <w:rFonts w:ascii="Times New Roman" w:hAnsi="Times New Roman"/>
                <w:sz w:val="20"/>
                <w:szCs w:val="20"/>
              </w:rPr>
            </w:pPr>
          </w:p>
        </w:tc>
      </w:tr>
      <w:tr w:rsidR="00FE42B5" w14:paraId="1446EAC3" w14:textId="77777777">
        <w:tc>
          <w:tcPr>
            <w:tcW w:w="0" w:type="auto"/>
            <w:shd w:val="clear" w:color="auto" w:fill="auto"/>
            <w:tcMar>
              <w:top w:w="40" w:type="dxa"/>
              <w:left w:w="40" w:type="dxa"/>
              <w:bottom w:w="40" w:type="dxa"/>
              <w:right w:w="40" w:type="dxa"/>
            </w:tcMar>
            <w:vAlign w:val="bottom"/>
          </w:tcPr>
          <w:p w14:paraId="1446EAB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Finance lease right-of-use assets</w:t>
            </w:r>
          </w:p>
        </w:tc>
        <w:tc>
          <w:tcPr>
            <w:tcW w:w="0" w:type="auto"/>
            <w:gridSpan w:val="2"/>
            <w:shd w:val="clear" w:color="auto" w:fill="auto"/>
            <w:tcMar>
              <w:top w:w="40" w:type="dxa"/>
              <w:left w:w="40" w:type="dxa"/>
              <w:bottom w:w="40" w:type="dxa"/>
            </w:tcMar>
            <w:vAlign w:val="bottom"/>
          </w:tcPr>
          <w:p w14:paraId="1446EAB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1,688</w:t>
            </w:r>
          </w:p>
        </w:tc>
        <w:tc>
          <w:tcPr>
            <w:tcW w:w="0" w:type="auto"/>
            <w:shd w:val="clear" w:color="auto" w:fill="auto"/>
            <w:vAlign w:val="bottom"/>
          </w:tcPr>
          <w:p w14:paraId="1446EAB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C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C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1,635</w:t>
            </w:r>
          </w:p>
        </w:tc>
        <w:tc>
          <w:tcPr>
            <w:tcW w:w="0" w:type="auto"/>
            <w:shd w:val="clear" w:color="auto" w:fill="auto"/>
            <w:vAlign w:val="bottom"/>
          </w:tcPr>
          <w:p w14:paraId="1446EAC2" w14:textId="77777777" w:rsidR="00FE42B5" w:rsidRDefault="00FE42B5">
            <w:pPr>
              <w:textAlignment w:val="bottom"/>
              <w:rPr>
                <w:rFonts w:ascii="Times New Roman" w:hAnsi="Times New Roman"/>
                <w:sz w:val="20"/>
                <w:szCs w:val="20"/>
              </w:rPr>
            </w:pPr>
          </w:p>
        </w:tc>
      </w:tr>
      <w:tr w:rsidR="00FE42B5" w14:paraId="1446EACA" w14:textId="77777777">
        <w:tc>
          <w:tcPr>
            <w:tcW w:w="0" w:type="auto"/>
            <w:shd w:val="clear" w:color="auto" w:fill="CCEEFF"/>
            <w:tcMar>
              <w:top w:w="40" w:type="dxa"/>
              <w:left w:w="40" w:type="dxa"/>
              <w:bottom w:w="40" w:type="dxa"/>
              <w:right w:w="40" w:type="dxa"/>
            </w:tcMar>
            <w:vAlign w:val="bottom"/>
          </w:tcPr>
          <w:p w14:paraId="1446EAC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Construction in progress</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AC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10,908</w:t>
            </w:r>
          </w:p>
        </w:tc>
        <w:tc>
          <w:tcPr>
            <w:tcW w:w="0" w:type="auto"/>
            <w:tcBorders>
              <w:bottom w:val="single" w:sz="8" w:space="0" w:color="000000"/>
            </w:tcBorders>
            <w:shd w:val="clear" w:color="auto" w:fill="CCEEFF"/>
            <w:vAlign w:val="bottom"/>
          </w:tcPr>
          <w:p w14:paraId="1446EAC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AC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AC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10,099</w:t>
            </w:r>
          </w:p>
        </w:tc>
        <w:tc>
          <w:tcPr>
            <w:tcW w:w="0" w:type="auto"/>
            <w:tcBorders>
              <w:bottom w:val="single" w:sz="8" w:space="0" w:color="000000"/>
            </w:tcBorders>
            <w:shd w:val="clear" w:color="auto" w:fill="CCEEFF"/>
            <w:vAlign w:val="bottom"/>
          </w:tcPr>
          <w:p w14:paraId="1446EAC9" w14:textId="77777777" w:rsidR="00FE42B5" w:rsidRDefault="00FE42B5">
            <w:pPr>
              <w:textAlignment w:val="bottom"/>
              <w:rPr>
                <w:rFonts w:ascii="Times New Roman" w:hAnsi="Times New Roman"/>
                <w:sz w:val="20"/>
                <w:szCs w:val="20"/>
              </w:rPr>
            </w:pPr>
          </w:p>
        </w:tc>
      </w:tr>
      <w:tr w:rsidR="00FE42B5" w14:paraId="1446EAD1" w14:textId="77777777">
        <w:tc>
          <w:tcPr>
            <w:tcW w:w="0" w:type="auto"/>
            <w:shd w:val="clear" w:color="auto" w:fill="auto"/>
            <w:tcMar>
              <w:top w:w="40" w:type="dxa"/>
              <w:left w:w="40" w:type="dxa"/>
              <w:bottom w:w="40" w:type="dxa"/>
              <w:right w:w="40" w:type="dxa"/>
            </w:tcMar>
            <w:vAlign w:val="bottom"/>
          </w:tcPr>
          <w:p w14:paraId="1446EAC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Total</w:t>
            </w:r>
          </w:p>
        </w:tc>
        <w:tc>
          <w:tcPr>
            <w:tcW w:w="0" w:type="auto"/>
            <w:gridSpan w:val="2"/>
            <w:shd w:val="clear" w:color="auto" w:fill="auto"/>
            <w:tcMar>
              <w:top w:w="40" w:type="dxa"/>
              <w:left w:w="40" w:type="dxa"/>
              <w:bottom w:w="40" w:type="dxa"/>
            </w:tcMar>
            <w:vAlign w:val="bottom"/>
          </w:tcPr>
          <w:p w14:paraId="1446EAC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48,739</w:t>
            </w:r>
          </w:p>
        </w:tc>
        <w:tc>
          <w:tcPr>
            <w:tcW w:w="0" w:type="auto"/>
            <w:shd w:val="clear" w:color="auto" w:fill="auto"/>
            <w:vAlign w:val="bottom"/>
          </w:tcPr>
          <w:p w14:paraId="1446EAC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C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AC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45,986</w:t>
            </w:r>
          </w:p>
        </w:tc>
        <w:tc>
          <w:tcPr>
            <w:tcW w:w="0" w:type="auto"/>
            <w:shd w:val="clear" w:color="auto" w:fill="auto"/>
            <w:vAlign w:val="bottom"/>
          </w:tcPr>
          <w:p w14:paraId="1446EAD0" w14:textId="77777777" w:rsidR="00FE42B5" w:rsidRDefault="00FE42B5">
            <w:pPr>
              <w:textAlignment w:val="bottom"/>
              <w:rPr>
                <w:rFonts w:ascii="Times New Roman" w:hAnsi="Times New Roman"/>
                <w:sz w:val="20"/>
                <w:szCs w:val="20"/>
              </w:rPr>
            </w:pPr>
          </w:p>
        </w:tc>
      </w:tr>
      <w:tr w:rsidR="00FE42B5" w14:paraId="1446EAD8" w14:textId="77777777">
        <w:tc>
          <w:tcPr>
            <w:tcW w:w="0" w:type="auto"/>
            <w:shd w:val="clear" w:color="auto" w:fill="CCEEFF"/>
            <w:tcMar>
              <w:top w:w="40" w:type="dxa"/>
              <w:left w:w="40" w:type="dxa"/>
              <w:bottom w:w="40" w:type="dxa"/>
              <w:right w:w="40" w:type="dxa"/>
            </w:tcMar>
            <w:vAlign w:val="bottom"/>
          </w:tcPr>
          <w:p w14:paraId="1446EAD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Less: Accumulated depreciation</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AD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(11,612</w:t>
            </w:r>
          </w:p>
        </w:tc>
        <w:tc>
          <w:tcPr>
            <w:tcW w:w="0" w:type="auto"/>
            <w:tcBorders>
              <w:bottom w:val="single" w:sz="8" w:space="0" w:color="000000"/>
            </w:tcBorders>
            <w:shd w:val="clear" w:color="auto" w:fill="CCEEFF"/>
            <w:tcMar>
              <w:top w:w="40" w:type="dxa"/>
              <w:bottom w:w="40" w:type="dxa"/>
              <w:right w:w="40" w:type="dxa"/>
            </w:tcMar>
            <w:vAlign w:val="bottom"/>
          </w:tcPr>
          <w:p w14:paraId="1446EAD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AD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AD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(10,663</w:t>
            </w:r>
          </w:p>
        </w:tc>
        <w:tc>
          <w:tcPr>
            <w:tcW w:w="0" w:type="auto"/>
            <w:tcBorders>
              <w:bottom w:val="single" w:sz="8" w:space="0" w:color="000000"/>
            </w:tcBorders>
            <w:shd w:val="clear" w:color="auto" w:fill="CCEEFF"/>
            <w:tcMar>
              <w:top w:w="40" w:type="dxa"/>
              <w:bottom w:w="40" w:type="dxa"/>
              <w:right w:w="40" w:type="dxa"/>
            </w:tcMar>
            <w:vAlign w:val="bottom"/>
          </w:tcPr>
          <w:p w14:paraId="1446EAD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AE1" w14:textId="77777777">
        <w:tc>
          <w:tcPr>
            <w:tcW w:w="0" w:type="auto"/>
            <w:shd w:val="clear" w:color="auto" w:fill="auto"/>
            <w:tcMar>
              <w:top w:w="40" w:type="dxa"/>
              <w:left w:w="40" w:type="dxa"/>
              <w:bottom w:w="40" w:type="dxa"/>
              <w:right w:w="40" w:type="dxa"/>
            </w:tcMar>
            <w:vAlign w:val="bottom"/>
          </w:tcPr>
          <w:p w14:paraId="1446EAD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Property and equipment,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AD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AD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37,127</w:t>
            </w:r>
          </w:p>
        </w:tc>
        <w:tc>
          <w:tcPr>
            <w:tcW w:w="0" w:type="auto"/>
            <w:tcBorders>
              <w:top w:val="single" w:sz="8" w:space="0" w:color="000000"/>
              <w:bottom w:val="double" w:sz="6" w:space="0" w:color="000000"/>
            </w:tcBorders>
            <w:shd w:val="clear" w:color="auto" w:fill="auto"/>
            <w:vAlign w:val="bottom"/>
          </w:tcPr>
          <w:p w14:paraId="1446EADC"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AD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446EAD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1446EAD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35,323</w:t>
            </w:r>
          </w:p>
        </w:tc>
        <w:tc>
          <w:tcPr>
            <w:tcW w:w="0" w:type="auto"/>
            <w:tcBorders>
              <w:bottom w:val="double" w:sz="6" w:space="0" w:color="000000"/>
            </w:tcBorders>
            <w:shd w:val="clear" w:color="auto" w:fill="auto"/>
            <w:vAlign w:val="bottom"/>
          </w:tcPr>
          <w:p w14:paraId="1446EAE0" w14:textId="77777777" w:rsidR="00FE42B5" w:rsidRDefault="00FE42B5">
            <w:pPr>
              <w:textAlignment w:val="bottom"/>
              <w:rPr>
                <w:rFonts w:ascii="Times New Roman" w:hAnsi="Times New Roman"/>
                <w:sz w:val="20"/>
                <w:szCs w:val="20"/>
              </w:rPr>
            </w:pPr>
          </w:p>
        </w:tc>
      </w:tr>
    </w:tbl>
    <w:p w14:paraId="1446EAE2" w14:textId="77777777" w:rsidR="00FE42B5" w:rsidRDefault="00FE42B5">
      <w:pPr>
        <w:spacing w:line="288" w:lineRule="auto"/>
        <w:rPr>
          <w:rFonts w:ascii="Times New Roman" w:hAnsi="Times New Roman"/>
          <w:sz w:val="20"/>
          <w:szCs w:val="20"/>
        </w:rPr>
      </w:pPr>
    </w:p>
    <w:p w14:paraId="1446EAE3" w14:textId="77777777" w:rsidR="00FE42B5" w:rsidRDefault="00FE42B5">
      <w:pPr>
        <w:spacing w:line="288" w:lineRule="auto"/>
        <w:ind w:firstLine="720"/>
        <w:jc w:val="both"/>
        <w:rPr>
          <w:rFonts w:ascii="Times New Roman" w:hAnsi="Times New Roman"/>
          <w:sz w:val="20"/>
          <w:szCs w:val="20"/>
        </w:rPr>
      </w:pPr>
    </w:p>
    <w:p w14:paraId="1446EAE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Depreciation expense on property and equipment was $1.49 billion and $1.20 billion for the three months ended March 31, 2020 and 2019, respectively. Construction in progress includes costs mostly related to construction of data centers, network equipment i</w:t>
      </w:r>
      <w:r>
        <w:rPr>
          <w:rFonts w:ascii="Times New Roman" w:eastAsia="宋体" w:hAnsi="Times New Roman"/>
          <w:sz w:val="20"/>
          <w:szCs w:val="20"/>
        </w:rPr>
        <w:t>nfrastructure to support our data centers around the world, and office buildings. No interest was capitalized for any period presented.</w:t>
      </w:r>
    </w:p>
    <w:p w14:paraId="1446EAE5"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Note 7. Leases</w:t>
      </w:r>
    </w:p>
    <w:p w14:paraId="1446EAE6" w14:textId="77777777" w:rsidR="00FE42B5" w:rsidRDefault="00FE42B5">
      <w:pPr>
        <w:spacing w:line="288" w:lineRule="auto"/>
        <w:rPr>
          <w:rFonts w:ascii="Times New Roman" w:hAnsi="Times New Roman"/>
          <w:sz w:val="20"/>
          <w:szCs w:val="20"/>
        </w:rPr>
      </w:pPr>
    </w:p>
    <w:p w14:paraId="1446EAE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have entered into various non-cancelable operating lease agreements for certain of our offices, data </w:t>
      </w:r>
      <w:r>
        <w:rPr>
          <w:rFonts w:ascii="Times New Roman" w:eastAsia="宋体" w:hAnsi="Times New Roman"/>
          <w:sz w:val="20"/>
          <w:szCs w:val="20"/>
        </w:rPr>
        <w:t xml:space="preserve">centers, land, colocations, and equipment. We have also entered into various non-cancelable finance lease agreements for certain network equipment. Our leases have original lease periods expiring between the remainder of 2020 and 2093. Many leases include </w:t>
      </w:r>
      <w:r>
        <w:rPr>
          <w:rFonts w:ascii="Times New Roman" w:eastAsia="宋体" w:hAnsi="Times New Roman"/>
          <w:sz w:val="20"/>
          <w:szCs w:val="20"/>
        </w:rPr>
        <w:t>one or more options to renew. We do not assume renewals in our determination of the lease term unless the renewals are deemed to be reasonably assured. Our lease agreements generally do not contain any material residual value guarantees or material restric</w:t>
      </w:r>
      <w:r>
        <w:rPr>
          <w:rFonts w:ascii="Times New Roman" w:eastAsia="宋体" w:hAnsi="Times New Roman"/>
          <w:sz w:val="20"/>
          <w:szCs w:val="20"/>
        </w:rPr>
        <w:t>tive covenants.</w:t>
      </w:r>
    </w:p>
    <w:p w14:paraId="1446EAE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components of lease costs, lease term and discount rate are as follows (in millions):</w:t>
      </w:r>
    </w:p>
    <w:tbl>
      <w:tblPr>
        <w:tblW w:w="5000" w:type="pct"/>
        <w:tblCellMar>
          <w:left w:w="0" w:type="dxa"/>
          <w:right w:w="0" w:type="dxa"/>
        </w:tblCellMar>
        <w:tblLook w:val="04A0" w:firstRow="1" w:lastRow="0" w:firstColumn="1" w:lastColumn="0" w:noHBand="0" w:noVBand="1"/>
      </w:tblPr>
      <w:tblGrid>
        <w:gridCol w:w="5594"/>
        <w:gridCol w:w="141"/>
        <w:gridCol w:w="943"/>
        <w:gridCol w:w="207"/>
        <w:gridCol w:w="130"/>
        <w:gridCol w:w="141"/>
        <w:gridCol w:w="943"/>
        <w:gridCol w:w="207"/>
      </w:tblGrid>
      <w:tr w:rsidR="00FE42B5" w14:paraId="1446EAEA" w14:textId="77777777">
        <w:tc>
          <w:tcPr>
            <w:tcW w:w="0" w:type="auto"/>
            <w:gridSpan w:val="8"/>
            <w:shd w:val="clear" w:color="auto" w:fill="auto"/>
            <w:vAlign w:val="center"/>
          </w:tcPr>
          <w:p w14:paraId="1446EAE9" w14:textId="77777777" w:rsidR="00FE42B5" w:rsidRDefault="00FE42B5">
            <w:pPr>
              <w:rPr>
                <w:rFonts w:ascii="Times New Roman" w:hAnsi="Times New Roman"/>
                <w:sz w:val="20"/>
                <w:szCs w:val="20"/>
              </w:rPr>
            </w:pPr>
          </w:p>
        </w:tc>
      </w:tr>
      <w:tr w:rsidR="00FE42B5" w14:paraId="1446EAF3" w14:textId="77777777">
        <w:tc>
          <w:tcPr>
            <w:tcW w:w="3449" w:type="pct"/>
            <w:shd w:val="clear" w:color="auto" w:fill="auto"/>
            <w:vAlign w:val="center"/>
          </w:tcPr>
          <w:p w14:paraId="1446EAEB" w14:textId="77777777" w:rsidR="00FE42B5" w:rsidRDefault="00FE42B5">
            <w:pPr>
              <w:rPr>
                <w:rFonts w:ascii="Times New Roman" w:hAnsi="Times New Roman"/>
                <w:sz w:val="20"/>
                <w:szCs w:val="20"/>
              </w:rPr>
            </w:pPr>
          </w:p>
        </w:tc>
        <w:tc>
          <w:tcPr>
            <w:tcW w:w="50" w:type="pct"/>
            <w:shd w:val="clear" w:color="auto" w:fill="auto"/>
            <w:vAlign w:val="center"/>
          </w:tcPr>
          <w:p w14:paraId="1446EAEC" w14:textId="77777777" w:rsidR="00FE42B5" w:rsidRDefault="00FE42B5">
            <w:pPr>
              <w:rPr>
                <w:rFonts w:ascii="Times New Roman" w:hAnsi="Times New Roman"/>
                <w:sz w:val="20"/>
                <w:szCs w:val="20"/>
              </w:rPr>
            </w:pPr>
          </w:p>
        </w:tc>
        <w:tc>
          <w:tcPr>
            <w:tcW w:w="650" w:type="pct"/>
            <w:shd w:val="clear" w:color="auto" w:fill="auto"/>
            <w:vAlign w:val="center"/>
          </w:tcPr>
          <w:p w14:paraId="1446EAED" w14:textId="77777777" w:rsidR="00FE42B5" w:rsidRDefault="00FE42B5">
            <w:pPr>
              <w:rPr>
                <w:rFonts w:ascii="Times New Roman" w:hAnsi="Times New Roman"/>
                <w:sz w:val="20"/>
                <w:szCs w:val="20"/>
              </w:rPr>
            </w:pPr>
          </w:p>
        </w:tc>
        <w:tc>
          <w:tcPr>
            <w:tcW w:w="50" w:type="pct"/>
            <w:shd w:val="clear" w:color="auto" w:fill="auto"/>
            <w:vAlign w:val="center"/>
          </w:tcPr>
          <w:p w14:paraId="1446EAEE" w14:textId="77777777" w:rsidR="00FE42B5" w:rsidRDefault="00FE42B5">
            <w:pPr>
              <w:rPr>
                <w:rFonts w:ascii="Times New Roman" w:hAnsi="Times New Roman"/>
                <w:sz w:val="20"/>
                <w:szCs w:val="20"/>
              </w:rPr>
            </w:pPr>
          </w:p>
        </w:tc>
        <w:tc>
          <w:tcPr>
            <w:tcW w:w="50" w:type="pct"/>
            <w:shd w:val="clear" w:color="auto" w:fill="auto"/>
            <w:vAlign w:val="center"/>
          </w:tcPr>
          <w:p w14:paraId="1446EAEF" w14:textId="77777777" w:rsidR="00FE42B5" w:rsidRDefault="00FE42B5">
            <w:pPr>
              <w:rPr>
                <w:rFonts w:ascii="Times New Roman" w:hAnsi="Times New Roman"/>
                <w:sz w:val="20"/>
                <w:szCs w:val="20"/>
              </w:rPr>
            </w:pPr>
          </w:p>
        </w:tc>
        <w:tc>
          <w:tcPr>
            <w:tcW w:w="50" w:type="pct"/>
            <w:shd w:val="clear" w:color="auto" w:fill="auto"/>
            <w:vAlign w:val="center"/>
          </w:tcPr>
          <w:p w14:paraId="1446EAF0" w14:textId="77777777" w:rsidR="00FE42B5" w:rsidRDefault="00FE42B5">
            <w:pPr>
              <w:rPr>
                <w:rFonts w:ascii="Times New Roman" w:hAnsi="Times New Roman"/>
                <w:sz w:val="20"/>
                <w:szCs w:val="20"/>
              </w:rPr>
            </w:pPr>
          </w:p>
        </w:tc>
        <w:tc>
          <w:tcPr>
            <w:tcW w:w="650" w:type="pct"/>
            <w:shd w:val="clear" w:color="auto" w:fill="auto"/>
            <w:vAlign w:val="center"/>
          </w:tcPr>
          <w:p w14:paraId="1446EAF1" w14:textId="77777777" w:rsidR="00FE42B5" w:rsidRDefault="00FE42B5">
            <w:pPr>
              <w:rPr>
                <w:rFonts w:ascii="Times New Roman" w:hAnsi="Times New Roman"/>
                <w:sz w:val="20"/>
                <w:szCs w:val="20"/>
              </w:rPr>
            </w:pPr>
          </w:p>
        </w:tc>
        <w:tc>
          <w:tcPr>
            <w:tcW w:w="50" w:type="pct"/>
            <w:shd w:val="clear" w:color="auto" w:fill="auto"/>
            <w:vAlign w:val="center"/>
          </w:tcPr>
          <w:p w14:paraId="1446EAF2" w14:textId="77777777" w:rsidR="00FE42B5" w:rsidRDefault="00FE42B5">
            <w:pPr>
              <w:rPr>
                <w:rFonts w:ascii="Times New Roman" w:hAnsi="Times New Roman"/>
                <w:sz w:val="20"/>
                <w:szCs w:val="20"/>
              </w:rPr>
            </w:pPr>
          </w:p>
        </w:tc>
      </w:tr>
      <w:tr w:rsidR="00FE42B5" w14:paraId="1446EAF6" w14:textId="77777777">
        <w:tc>
          <w:tcPr>
            <w:tcW w:w="0" w:type="auto"/>
            <w:shd w:val="clear" w:color="auto" w:fill="auto"/>
            <w:tcMar>
              <w:top w:w="40" w:type="dxa"/>
              <w:left w:w="40" w:type="dxa"/>
              <w:bottom w:w="40" w:type="dxa"/>
              <w:right w:w="40" w:type="dxa"/>
            </w:tcMar>
            <w:vAlign w:val="bottom"/>
          </w:tcPr>
          <w:p w14:paraId="1446EAF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1446EAF5" w14:textId="77777777" w:rsidR="00FE42B5" w:rsidRDefault="009213DC">
            <w:pPr>
              <w:jc w:val="center"/>
              <w:textAlignment w:val="center"/>
              <w:rPr>
                <w:rFonts w:ascii="Times New Roman" w:hAnsi="Times New Roman"/>
                <w:sz w:val="16"/>
                <w:szCs w:val="16"/>
              </w:rPr>
            </w:pPr>
            <w:r>
              <w:rPr>
                <w:rFonts w:ascii="Times New Roman" w:eastAsia="宋体" w:hAnsi="Times New Roman"/>
                <w:b/>
                <w:bCs/>
                <w:sz w:val="16"/>
                <w:szCs w:val="16"/>
              </w:rPr>
              <w:t>Three Months Ended</w:t>
            </w:r>
          </w:p>
        </w:tc>
      </w:tr>
      <w:tr w:rsidR="00FE42B5" w14:paraId="1446EAFB" w14:textId="77777777">
        <w:tc>
          <w:tcPr>
            <w:tcW w:w="0" w:type="auto"/>
            <w:shd w:val="clear" w:color="auto" w:fill="auto"/>
            <w:tcMar>
              <w:top w:w="40" w:type="dxa"/>
              <w:left w:w="40" w:type="dxa"/>
              <w:bottom w:w="40" w:type="dxa"/>
              <w:right w:w="40" w:type="dxa"/>
            </w:tcMar>
            <w:vAlign w:val="bottom"/>
          </w:tcPr>
          <w:p w14:paraId="1446EAF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1446EAF8" w14:textId="77777777" w:rsidR="00FE42B5" w:rsidRDefault="009213DC">
            <w:pPr>
              <w:jc w:val="center"/>
              <w:textAlignment w:val="center"/>
              <w:rPr>
                <w:rFonts w:ascii="Times New Roman" w:hAnsi="Times New Roman"/>
                <w:sz w:val="16"/>
                <w:szCs w:val="16"/>
              </w:rPr>
            </w:pPr>
            <w:r>
              <w:rPr>
                <w:rFonts w:ascii="Times New Roman" w:eastAsia="宋体" w:hAnsi="Times New Roman"/>
                <w:b/>
                <w:bCs/>
                <w:sz w:val="16"/>
                <w:szCs w:val="16"/>
              </w:rPr>
              <w:t>March 31, 2020</w:t>
            </w:r>
          </w:p>
        </w:tc>
        <w:tc>
          <w:tcPr>
            <w:tcW w:w="0" w:type="auto"/>
            <w:shd w:val="clear" w:color="auto" w:fill="auto"/>
            <w:tcMar>
              <w:top w:w="40" w:type="dxa"/>
              <w:left w:w="40" w:type="dxa"/>
              <w:bottom w:w="40" w:type="dxa"/>
              <w:right w:w="40" w:type="dxa"/>
            </w:tcMar>
            <w:vAlign w:val="center"/>
          </w:tcPr>
          <w:p w14:paraId="1446EAF9" w14:textId="77777777" w:rsidR="00FE42B5" w:rsidRDefault="00FE42B5">
            <w:pPr>
              <w:jc w:val="center"/>
              <w:textAlignment w:val="center"/>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1446EAFA" w14:textId="77777777" w:rsidR="00FE42B5" w:rsidRDefault="009213DC">
            <w:pPr>
              <w:jc w:val="center"/>
              <w:textAlignment w:val="center"/>
              <w:rPr>
                <w:rFonts w:ascii="Times New Roman" w:hAnsi="Times New Roman"/>
                <w:sz w:val="16"/>
                <w:szCs w:val="16"/>
              </w:rPr>
            </w:pPr>
            <w:r>
              <w:rPr>
                <w:rFonts w:ascii="Times New Roman" w:eastAsia="宋体" w:hAnsi="Times New Roman"/>
                <w:b/>
                <w:bCs/>
                <w:sz w:val="16"/>
                <w:szCs w:val="16"/>
              </w:rPr>
              <w:t>March 31, 2019</w:t>
            </w:r>
          </w:p>
        </w:tc>
      </w:tr>
      <w:tr w:rsidR="00FE42B5" w14:paraId="1446EB00" w14:textId="77777777">
        <w:tc>
          <w:tcPr>
            <w:tcW w:w="0" w:type="auto"/>
            <w:shd w:val="clear" w:color="auto" w:fill="CCEEFF"/>
            <w:tcMar>
              <w:top w:w="40" w:type="dxa"/>
              <w:left w:w="40" w:type="dxa"/>
              <w:bottom w:w="40" w:type="dxa"/>
              <w:right w:w="40" w:type="dxa"/>
            </w:tcMar>
          </w:tcPr>
          <w:p w14:paraId="1446EAF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Finance lease cost</w:t>
            </w:r>
          </w:p>
        </w:tc>
        <w:tc>
          <w:tcPr>
            <w:tcW w:w="0" w:type="auto"/>
            <w:gridSpan w:val="3"/>
            <w:shd w:val="clear" w:color="auto" w:fill="CCEEFF"/>
            <w:tcMar>
              <w:top w:w="40" w:type="dxa"/>
              <w:left w:w="40" w:type="dxa"/>
              <w:bottom w:w="40" w:type="dxa"/>
              <w:right w:w="40" w:type="dxa"/>
            </w:tcMar>
            <w:vAlign w:val="bottom"/>
          </w:tcPr>
          <w:p w14:paraId="1446EAF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AF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AF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B09" w14:textId="77777777">
        <w:tc>
          <w:tcPr>
            <w:tcW w:w="0" w:type="auto"/>
            <w:shd w:val="clear" w:color="auto" w:fill="auto"/>
            <w:tcMar>
              <w:top w:w="40" w:type="dxa"/>
              <w:left w:w="240" w:type="dxa"/>
              <w:bottom w:w="40" w:type="dxa"/>
              <w:right w:w="40" w:type="dxa"/>
            </w:tcMar>
          </w:tcPr>
          <w:p w14:paraId="1446EB0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Amortization of right-of-use assets</w:t>
            </w:r>
          </w:p>
        </w:tc>
        <w:tc>
          <w:tcPr>
            <w:tcW w:w="0" w:type="auto"/>
            <w:shd w:val="clear" w:color="auto" w:fill="auto"/>
            <w:tcMar>
              <w:top w:w="40" w:type="dxa"/>
              <w:left w:w="40" w:type="dxa"/>
              <w:bottom w:w="40" w:type="dxa"/>
            </w:tcMar>
          </w:tcPr>
          <w:p w14:paraId="1446EB0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1446EB03"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60</w:t>
            </w:r>
          </w:p>
        </w:tc>
        <w:tc>
          <w:tcPr>
            <w:tcW w:w="0" w:type="auto"/>
            <w:shd w:val="clear" w:color="auto" w:fill="auto"/>
            <w:vAlign w:val="bottom"/>
          </w:tcPr>
          <w:p w14:paraId="1446EB04"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B0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446EB0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1446EB07"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42</w:t>
            </w:r>
          </w:p>
        </w:tc>
        <w:tc>
          <w:tcPr>
            <w:tcW w:w="0" w:type="auto"/>
            <w:shd w:val="clear" w:color="auto" w:fill="auto"/>
            <w:vAlign w:val="bottom"/>
          </w:tcPr>
          <w:p w14:paraId="1446EB08" w14:textId="77777777" w:rsidR="00FE42B5" w:rsidRDefault="00FE42B5">
            <w:pPr>
              <w:textAlignment w:val="bottom"/>
              <w:rPr>
                <w:rFonts w:ascii="Times New Roman" w:hAnsi="Times New Roman"/>
                <w:sz w:val="20"/>
                <w:szCs w:val="20"/>
              </w:rPr>
            </w:pPr>
          </w:p>
        </w:tc>
      </w:tr>
      <w:tr w:rsidR="00FE42B5" w14:paraId="1446EB10" w14:textId="77777777">
        <w:tc>
          <w:tcPr>
            <w:tcW w:w="0" w:type="auto"/>
            <w:shd w:val="clear" w:color="auto" w:fill="CCEEFF"/>
            <w:tcMar>
              <w:top w:w="40" w:type="dxa"/>
              <w:left w:w="240" w:type="dxa"/>
              <w:bottom w:w="40" w:type="dxa"/>
              <w:right w:w="40" w:type="dxa"/>
            </w:tcMar>
          </w:tcPr>
          <w:p w14:paraId="1446EB0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Interest</w:t>
            </w:r>
          </w:p>
        </w:tc>
        <w:tc>
          <w:tcPr>
            <w:tcW w:w="0" w:type="auto"/>
            <w:gridSpan w:val="2"/>
            <w:shd w:val="clear" w:color="auto" w:fill="CCEEFF"/>
            <w:tcMar>
              <w:top w:w="40" w:type="dxa"/>
              <w:left w:w="40" w:type="dxa"/>
              <w:bottom w:w="40" w:type="dxa"/>
            </w:tcMar>
          </w:tcPr>
          <w:p w14:paraId="1446EB0B"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1446EB0C"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B0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446EB0E"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1446EB0F" w14:textId="77777777" w:rsidR="00FE42B5" w:rsidRDefault="00FE42B5">
            <w:pPr>
              <w:textAlignment w:val="bottom"/>
              <w:rPr>
                <w:rFonts w:ascii="Times New Roman" w:hAnsi="Times New Roman"/>
                <w:sz w:val="20"/>
                <w:szCs w:val="20"/>
              </w:rPr>
            </w:pPr>
          </w:p>
        </w:tc>
      </w:tr>
      <w:tr w:rsidR="00FE42B5" w14:paraId="1446EB17" w14:textId="77777777">
        <w:tc>
          <w:tcPr>
            <w:tcW w:w="0" w:type="auto"/>
            <w:shd w:val="clear" w:color="auto" w:fill="auto"/>
            <w:tcMar>
              <w:top w:w="40" w:type="dxa"/>
              <w:left w:w="40" w:type="dxa"/>
              <w:bottom w:w="40" w:type="dxa"/>
              <w:right w:w="40" w:type="dxa"/>
            </w:tcMar>
          </w:tcPr>
          <w:p w14:paraId="1446EB1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Operating lease cost</w:t>
            </w:r>
          </w:p>
        </w:tc>
        <w:tc>
          <w:tcPr>
            <w:tcW w:w="0" w:type="auto"/>
            <w:gridSpan w:val="2"/>
            <w:shd w:val="clear" w:color="auto" w:fill="auto"/>
            <w:tcMar>
              <w:top w:w="40" w:type="dxa"/>
              <w:left w:w="40" w:type="dxa"/>
              <w:bottom w:w="40" w:type="dxa"/>
            </w:tcMar>
          </w:tcPr>
          <w:p w14:paraId="1446EB12"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340</w:t>
            </w:r>
          </w:p>
        </w:tc>
        <w:tc>
          <w:tcPr>
            <w:tcW w:w="0" w:type="auto"/>
            <w:shd w:val="clear" w:color="auto" w:fill="auto"/>
            <w:vAlign w:val="bottom"/>
          </w:tcPr>
          <w:p w14:paraId="1446EB1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B1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446EB15"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246</w:t>
            </w:r>
          </w:p>
        </w:tc>
        <w:tc>
          <w:tcPr>
            <w:tcW w:w="0" w:type="auto"/>
            <w:shd w:val="clear" w:color="auto" w:fill="auto"/>
            <w:vAlign w:val="bottom"/>
          </w:tcPr>
          <w:p w14:paraId="1446EB16" w14:textId="77777777" w:rsidR="00FE42B5" w:rsidRDefault="00FE42B5">
            <w:pPr>
              <w:textAlignment w:val="bottom"/>
              <w:rPr>
                <w:rFonts w:ascii="Times New Roman" w:hAnsi="Times New Roman"/>
                <w:sz w:val="20"/>
                <w:szCs w:val="20"/>
              </w:rPr>
            </w:pPr>
          </w:p>
        </w:tc>
      </w:tr>
      <w:tr w:rsidR="00FE42B5" w14:paraId="1446EB1E" w14:textId="77777777">
        <w:tc>
          <w:tcPr>
            <w:tcW w:w="0" w:type="auto"/>
            <w:shd w:val="clear" w:color="auto" w:fill="CCEEFF"/>
            <w:tcMar>
              <w:top w:w="40" w:type="dxa"/>
              <w:left w:w="40" w:type="dxa"/>
              <w:bottom w:w="40" w:type="dxa"/>
              <w:right w:w="40" w:type="dxa"/>
            </w:tcMar>
          </w:tcPr>
          <w:p w14:paraId="1446EB1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Variable lease cost and other, net</w:t>
            </w:r>
          </w:p>
        </w:tc>
        <w:tc>
          <w:tcPr>
            <w:tcW w:w="0" w:type="auto"/>
            <w:gridSpan w:val="2"/>
            <w:tcBorders>
              <w:bottom w:val="single" w:sz="8" w:space="0" w:color="000000"/>
            </w:tcBorders>
            <w:shd w:val="clear" w:color="auto" w:fill="CCEEFF"/>
            <w:tcMar>
              <w:top w:w="40" w:type="dxa"/>
              <w:left w:w="40" w:type="dxa"/>
              <w:bottom w:w="40" w:type="dxa"/>
            </w:tcMar>
          </w:tcPr>
          <w:p w14:paraId="1446EB19"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60</w:t>
            </w:r>
          </w:p>
        </w:tc>
        <w:tc>
          <w:tcPr>
            <w:tcW w:w="0" w:type="auto"/>
            <w:tcBorders>
              <w:bottom w:val="single" w:sz="8" w:space="0" w:color="000000"/>
            </w:tcBorders>
            <w:shd w:val="clear" w:color="auto" w:fill="CCEEFF"/>
            <w:vAlign w:val="bottom"/>
          </w:tcPr>
          <w:p w14:paraId="1446EB1A"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B1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1446EB1C"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49</w:t>
            </w:r>
          </w:p>
        </w:tc>
        <w:tc>
          <w:tcPr>
            <w:tcW w:w="0" w:type="auto"/>
            <w:tcBorders>
              <w:bottom w:val="single" w:sz="8" w:space="0" w:color="000000"/>
            </w:tcBorders>
            <w:shd w:val="clear" w:color="auto" w:fill="CCEEFF"/>
            <w:vAlign w:val="bottom"/>
          </w:tcPr>
          <w:p w14:paraId="1446EB1D" w14:textId="77777777" w:rsidR="00FE42B5" w:rsidRDefault="00FE42B5">
            <w:pPr>
              <w:textAlignment w:val="bottom"/>
              <w:rPr>
                <w:rFonts w:ascii="Times New Roman" w:hAnsi="Times New Roman"/>
                <w:sz w:val="20"/>
                <w:szCs w:val="20"/>
              </w:rPr>
            </w:pPr>
          </w:p>
        </w:tc>
      </w:tr>
      <w:tr w:rsidR="00FE42B5" w14:paraId="1446EB27" w14:textId="77777777">
        <w:tc>
          <w:tcPr>
            <w:tcW w:w="0" w:type="auto"/>
            <w:shd w:val="clear" w:color="auto" w:fill="auto"/>
            <w:tcMar>
              <w:top w:w="40" w:type="dxa"/>
              <w:left w:w="40" w:type="dxa"/>
              <w:bottom w:w="40" w:type="dxa"/>
              <w:right w:w="40" w:type="dxa"/>
            </w:tcMar>
          </w:tcPr>
          <w:p w14:paraId="1446EB1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Total lease cost</w:t>
            </w:r>
          </w:p>
        </w:tc>
        <w:tc>
          <w:tcPr>
            <w:tcW w:w="0" w:type="auto"/>
            <w:tcBorders>
              <w:bottom w:val="double" w:sz="6" w:space="0" w:color="000000"/>
            </w:tcBorders>
            <w:shd w:val="clear" w:color="auto" w:fill="auto"/>
            <w:tcMar>
              <w:top w:w="40" w:type="dxa"/>
              <w:left w:w="40" w:type="dxa"/>
              <w:bottom w:w="40" w:type="dxa"/>
            </w:tcMar>
          </w:tcPr>
          <w:p w14:paraId="1446EB2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tcPr>
          <w:p w14:paraId="1446EB21"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463</w:t>
            </w:r>
          </w:p>
        </w:tc>
        <w:tc>
          <w:tcPr>
            <w:tcW w:w="0" w:type="auto"/>
            <w:tcBorders>
              <w:bottom w:val="double" w:sz="6" w:space="0" w:color="000000"/>
            </w:tcBorders>
            <w:shd w:val="clear" w:color="auto" w:fill="auto"/>
            <w:vAlign w:val="bottom"/>
          </w:tcPr>
          <w:p w14:paraId="1446EB2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B2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tcPr>
          <w:p w14:paraId="1446EB2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tcPr>
          <w:p w14:paraId="1446EB25"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339</w:t>
            </w:r>
          </w:p>
        </w:tc>
        <w:tc>
          <w:tcPr>
            <w:tcW w:w="0" w:type="auto"/>
            <w:tcBorders>
              <w:bottom w:val="double" w:sz="6" w:space="0" w:color="000000"/>
            </w:tcBorders>
            <w:shd w:val="clear" w:color="auto" w:fill="auto"/>
            <w:vAlign w:val="bottom"/>
          </w:tcPr>
          <w:p w14:paraId="1446EB26" w14:textId="77777777" w:rsidR="00FE42B5" w:rsidRDefault="00FE42B5">
            <w:pPr>
              <w:textAlignment w:val="bottom"/>
              <w:rPr>
                <w:rFonts w:ascii="Times New Roman" w:hAnsi="Times New Roman"/>
                <w:sz w:val="20"/>
                <w:szCs w:val="20"/>
              </w:rPr>
            </w:pPr>
          </w:p>
        </w:tc>
      </w:tr>
      <w:tr w:rsidR="00FE42B5" w14:paraId="1446EB2C" w14:textId="77777777">
        <w:tc>
          <w:tcPr>
            <w:tcW w:w="0" w:type="auto"/>
            <w:shd w:val="clear" w:color="auto" w:fill="CCEEFF"/>
            <w:tcMar>
              <w:top w:w="40" w:type="dxa"/>
              <w:left w:w="40" w:type="dxa"/>
              <w:bottom w:w="40" w:type="dxa"/>
              <w:right w:w="40" w:type="dxa"/>
            </w:tcMar>
            <w:vAlign w:val="bottom"/>
          </w:tcPr>
          <w:p w14:paraId="1446EB2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B2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B2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B2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B31" w14:textId="77777777">
        <w:tc>
          <w:tcPr>
            <w:tcW w:w="0" w:type="auto"/>
            <w:shd w:val="clear" w:color="auto" w:fill="auto"/>
            <w:tcMar>
              <w:top w:w="40" w:type="dxa"/>
              <w:left w:w="40" w:type="dxa"/>
              <w:bottom w:w="40" w:type="dxa"/>
              <w:right w:w="40" w:type="dxa"/>
            </w:tcMar>
          </w:tcPr>
          <w:p w14:paraId="1446EB2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Weighted-average remaining lease term</w:t>
            </w:r>
          </w:p>
        </w:tc>
        <w:tc>
          <w:tcPr>
            <w:tcW w:w="0" w:type="auto"/>
            <w:gridSpan w:val="3"/>
            <w:shd w:val="clear" w:color="auto" w:fill="auto"/>
            <w:tcMar>
              <w:top w:w="40" w:type="dxa"/>
              <w:left w:w="40" w:type="dxa"/>
              <w:bottom w:w="40" w:type="dxa"/>
              <w:right w:w="40" w:type="dxa"/>
            </w:tcMar>
            <w:vAlign w:val="bottom"/>
          </w:tcPr>
          <w:p w14:paraId="1446EB2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B2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B3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B38" w14:textId="77777777">
        <w:tc>
          <w:tcPr>
            <w:tcW w:w="0" w:type="auto"/>
            <w:shd w:val="clear" w:color="auto" w:fill="CCEEFF"/>
            <w:tcMar>
              <w:top w:w="40" w:type="dxa"/>
              <w:left w:w="240" w:type="dxa"/>
              <w:bottom w:w="40" w:type="dxa"/>
              <w:right w:w="40" w:type="dxa"/>
            </w:tcMar>
          </w:tcPr>
          <w:p w14:paraId="1446EB3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     Operating leases </w:t>
            </w:r>
          </w:p>
        </w:tc>
        <w:tc>
          <w:tcPr>
            <w:tcW w:w="0" w:type="auto"/>
            <w:gridSpan w:val="2"/>
            <w:shd w:val="clear" w:color="auto" w:fill="CCEEFF"/>
            <w:tcMar>
              <w:top w:w="40" w:type="dxa"/>
              <w:left w:w="40" w:type="dxa"/>
              <w:bottom w:w="40" w:type="dxa"/>
            </w:tcMar>
            <w:vAlign w:val="bottom"/>
          </w:tcPr>
          <w:p w14:paraId="1446EB3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12.8 years</w:t>
            </w:r>
          </w:p>
        </w:tc>
        <w:tc>
          <w:tcPr>
            <w:tcW w:w="0" w:type="auto"/>
            <w:shd w:val="clear" w:color="auto" w:fill="CCEEFF"/>
            <w:vAlign w:val="bottom"/>
          </w:tcPr>
          <w:p w14:paraId="1446EB34"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B3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446EB36"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13.1 years</w:t>
            </w:r>
          </w:p>
        </w:tc>
        <w:tc>
          <w:tcPr>
            <w:tcW w:w="0" w:type="auto"/>
            <w:shd w:val="clear" w:color="auto" w:fill="CCEEFF"/>
            <w:vAlign w:val="bottom"/>
          </w:tcPr>
          <w:p w14:paraId="1446EB37" w14:textId="77777777" w:rsidR="00FE42B5" w:rsidRDefault="00FE42B5">
            <w:pPr>
              <w:textAlignment w:val="bottom"/>
              <w:rPr>
                <w:rFonts w:ascii="Times New Roman" w:hAnsi="Times New Roman"/>
                <w:sz w:val="20"/>
                <w:szCs w:val="20"/>
              </w:rPr>
            </w:pPr>
          </w:p>
        </w:tc>
      </w:tr>
      <w:tr w:rsidR="00FE42B5" w14:paraId="1446EB3F" w14:textId="77777777">
        <w:tc>
          <w:tcPr>
            <w:tcW w:w="0" w:type="auto"/>
            <w:shd w:val="clear" w:color="auto" w:fill="auto"/>
            <w:tcMar>
              <w:top w:w="40" w:type="dxa"/>
              <w:left w:w="240" w:type="dxa"/>
              <w:bottom w:w="40" w:type="dxa"/>
              <w:right w:w="40" w:type="dxa"/>
            </w:tcMar>
          </w:tcPr>
          <w:p w14:paraId="1446EB39"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Finance leases</w:t>
            </w:r>
          </w:p>
        </w:tc>
        <w:tc>
          <w:tcPr>
            <w:tcW w:w="0" w:type="auto"/>
            <w:gridSpan w:val="2"/>
            <w:shd w:val="clear" w:color="auto" w:fill="auto"/>
            <w:tcMar>
              <w:top w:w="40" w:type="dxa"/>
              <w:left w:w="40" w:type="dxa"/>
              <w:bottom w:w="40" w:type="dxa"/>
            </w:tcMar>
            <w:vAlign w:val="bottom"/>
          </w:tcPr>
          <w:p w14:paraId="1446EB3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15.2 years</w:t>
            </w:r>
          </w:p>
        </w:tc>
        <w:tc>
          <w:tcPr>
            <w:tcW w:w="0" w:type="auto"/>
            <w:shd w:val="clear" w:color="auto" w:fill="auto"/>
            <w:vAlign w:val="bottom"/>
          </w:tcPr>
          <w:p w14:paraId="1446EB3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B3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446EB3D"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15.1 years</w:t>
            </w:r>
          </w:p>
        </w:tc>
        <w:tc>
          <w:tcPr>
            <w:tcW w:w="0" w:type="auto"/>
            <w:shd w:val="clear" w:color="auto" w:fill="auto"/>
            <w:vAlign w:val="bottom"/>
          </w:tcPr>
          <w:p w14:paraId="1446EB3E" w14:textId="77777777" w:rsidR="00FE42B5" w:rsidRDefault="00FE42B5">
            <w:pPr>
              <w:textAlignment w:val="bottom"/>
              <w:rPr>
                <w:rFonts w:ascii="Times New Roman" w:hAnsi="Times New Roman"/>
                <w:sz w:val="20"/>
                <w:szCs w:val="20"/>
              </w:rPr>
            </w:pPr>
          </w:p>
        </w:tc>
      </w:tr>
      <w:tr w:rsidR="00FE42B5" w14:paraId="1446EB44" w14:textId="77777777">
        <w:tc>
          <w:tcPr>
            <w:tcW w:w="0" w:type="auto"/>
            <w:shd w:val="clear" w:color="auto" w:fill="CCEEFF"/>
            <w:tcMar>
              <w:top w:w="40" w:type="dxa"/>
              <w:left w:w="40" w:type="dxa"/>
              <w:bottom w:w="40" w:type="dxa"/>
              <w:right w:w="40" w:type="dxa"/>
            </w:tcMar>
            <w:vAlign w:val="bottom"/>
          </w:tcPr>
          <w:p w14:paraId="1446EB4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B4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B4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B4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B49" w14:textId="77777777">
        <w:tc>
          <w:tcPr>
            <w:tcW w:w="0" w:type="auto"/>
            <w:shd w:val="clear" w:color="auto" w:fill="auto"/>
            <w:tcMar>
              <w:top w:w="40" w:type="dxa"/>
              <w:left w:w="40" w:type="dxa"/>
              <w:bottom w:w="40" w:type="dxa"/>
              <w:right w:w="40" w:type="dxa"/>
            </w:tcMar>
          </w:tcPr>
          <w:p w14:paraId="1446EB4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Weighted-average discount rate</w:t>
            </w:r>
          </w:p>
        </w:tc>
        <w:tc>
          <w:tcPr>
            <w:tcW w:w="0" w:type="auto"/>
            <w:gridSpan w:val="3"/>
            <w:shd w:val="clear" w:color="auto" w:fill="auto"/>
            <w:tcMar>
              <w:top w:w="40" w:type="dxa"/>
              <w:left w:w="40" w:type="dxa"/>
              <w:bottom w:w="40" w:type="dxa"/>
              <w:right w:w="40" w:type="dxa"/>
            </w:tcMar>
            <w:vAlign w:val="bottom"/>
          </w:tcPr>
          <w:p w14:paraId="1446EB4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B4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B4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B50" w14:textId="77777777">
        <w:tc>
          <w:tcPr>
            <w:tcW w:w="0" w:type="auto"/>
            <w:shd w:val="clear" w:color="auto" w:fill="CCEEFF"/>
            <w:tcMar>
              <w:top w:w="40" w:type="dxa"/>
              <w:left w:w="240" w:type="dxa"/>
              <w:bottom w:w="40" w:type="dxa"/>
              <w:right w:w="40" w:type="dxa"/>
            </w:tcMar>
          </w:tcPr>
          <w:p w14:paraId="1446EB4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     Operating leases </w:t>
            </w:r>
          </w:p>
        </w:tc>
        <w:tc>
          <w:tcPr>
            <w:tcW w:w="0" w:type="auto"/>
            <w:gridSpan w:val="2"/>
            <w:shd w:val="clear" w:color="auto" w:fill="CCEEFF"/>
            <w:tcMar>
              <w:top w:w="40" w:type="dxa"/>
              <w:left w:w="40" w:type="dxa"/>
              <w:bottom w:w="40" w:type="dxa"/>
            </w:tcMar>
            <w:vAlign w:val="bottom"/>
          </w:tcPr>
          <w:p w14:paraId="1446EB4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CCEEFF"/>
            <w:tcMar>
              <w:top w:w="40" w:type="dxa"/>
              <w:bottom w:w="40" w:type="dxa"/>
              <w:right w:w="40" w:type="dxa"/>
            </w:tcMar>
            <w:vAlign w:val="bottom"/>
          </w:tcPr>
          <w:p w14:paraId="1446EB4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B4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446EB4E"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3.6</w:t>
            </w:r>
          </w:p>
        </w:tc>
        <w:tc>
          <w:tcPr>
            <w:tcW w:w="0" w:type="auto"/>
            <w:shd w:val="clear" w:color="auto" w:fill="CCEEFF"/>
            <w:tcMar>
              <w:top w:w="40" w:type="dxa"/>
              <w:bottom w:w="40" w:type="dxa"/>
              <w:right w:w="40" w:type="dxa"/>
            </w:tcMar>
          </w:tcPr>
          <w:p w14:paraId="1446EB4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r>
      <w:tr w:rsidR="00FE42B5" w14:paraId="1446EB57" w14:textId="77777777">
        <w:tc>
          <w:tcPr>
            <w:tcW w:w="0" w:type="auto"/>
            <w:shd w:val="clear" w:color="auto" w:fill="auto"/>
            <w:tcMar>
              <w:top w:w="40" w:type="dxa"/>
              <w:left w:w="240" w:type="dxa"/>
              <w:bottom w:w="40" w:type="dxa"/>
              <w:right w:w="40" w:type="dxa"/>
            </w:tcMar>
          </w:tcPr>
          <w:p w14:paraId="1446EB5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Finance leases</w:t>
            </w:r>
          </w:p>
        </w:tc>
        <w:tc>
          <w:tcPr>
            <w:tcW w:w="0" w:type="auto"/>
            <w:gridSpan w:val="2"/>
            <w:shd w:val="clear" w:color="auto" w:fill="auto"/>
            <w:tcMar>
              <w:top w:w="40" w:type="dxa"/>
              <w:left w:w="40" w:type="dxa"/>
              <w:bottom w:w="40" w:type="dxa"/>
            </w:tcMar>
            <w:vAlign w:val="bottom"/>
          </w:tcPr>
          <w:p w14:paraId="1446EB5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bottom w:w="40" w:type="dxa"/>
              <w:right w:w="40" w:type="dxa"/>
            </w:tcMar>
            <w:vAlign w:val="bottom"/>
          </w:tcPr>
          <w:p w14:paraId="1446EB5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B5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446EB55"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tcMar>
              <w:top w:w="40" w:type="dxa"/>
              <w:bottom w:w="40" w:type="dxa"/>
              <w:right w:w="40" w:type="dxa"/>
            </w:tcMar>
          </w:tcPr>
          <w:p w14:paraId="1446EB5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r>
    </w:tbl>
    <w:p w14:paraId="1446EB58" w14:textId="77777777" w:rsidR="00FE42B5" w:rsidRDefault="00FE42B5">
      <w:pPr>
        <w:spacing w:line="288" w:lineRule="auto"/>
        <w:jc w:val="both"/>
        <w:rPr>
          <w:rFonts w:ascii="Times New Roman" w:hAnsi="Times New Roman"/>
          <w:sz w:val="20"/>
          <w:szCs w:val="20"/>
        </w:rPr>
      </w:pPr>
    </w:p>
    <w:p w14:paraId="1446EB59" w14:textId="77777777" w:rsidR="00FE42B5" w:rsidRDefault="00FE42B5">
      <w:pPr>
        <w:rPr>
          <w:rFonts w:ascii="Times New Roman" w:hAnsi="Times New Roman"/>
          <w:sz w:val="20"/>
          <w:szCs w:val="20"/>
        </w:rPr>
      </w:pPr>
    </w:p>
    <w:p w14:paraId="1446EB5A"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20</w:t>
      </w:r>
    </w:p>
    <w:p w14:paraId="1446EB5B" w14:textId="77777777" w:rsidR="00FE42B5" w:rsidRDefault="009213DC">
      <w:r>
        <w:rPr>
          <w:rFonts w:ascii="Times New Roman" w:hAnsi="Times New Roman"/>
          <w:sz w:val="20"/>
          <w:szCs w:val="20"/>
        </w:rPr>
        <w:pict w14:anchorId="1446FACC">
          <v:rect id="_x0000_i1044" style="width:415.3pt;height:1.5pt" o:hralign="center" o:hrstd="t" o:hr="t" fillcolor="#a0a0a0" stroked="f"/>
        </w:pict>
      </w:r>
    </w:p>
    <w:p w14:paraId="1446EB5C" w14:textId="77777777" w:rsidR="00FE42B5" w:rsidRDefault="009213DC">
      <w:pPr>
        <w:spacing w:line="288" w:lineRule="auto"/>
        <w:rPr>
          <w:rFonts w:ascii="Times New Roman" w:hAnsi="Times New Roman"/>
          <w:sz w:val="20"/>
          <w:szCs w:val="20"/>
        </w:rPr>
      </w:pPr>
      <w:hyperlink r:id="rId61" w:anchor="sBB4BED1571A45A16AF3DC2E3B69C901C" w:history="1">
        <w:r>
          <w:rPr>
            <w:rStyle w:val="a5"/>
            <w:rFonts w:ascii="Times New Roman" w:eastAsia="宋体" w:hAnsi="Times New Roman"/>
            <w:sz w:val="20"/>
            <w:szCs w:val="20"/>
          </w:rPr>
          <w:t>Table of Contents</w:t>
        </w:r>
      </w:hyperlink>
    </w:p>
    <w:p w14:paraId="1446EB5D" w14:textId="77777777" w:rsidR="00FE42B5" w:rsidRDefault="00FE42B5">
      <w:pPr>
        <w:rPr>
          <w:rFonts w:ascii="Times New Roman" w:hAnsi="Times New Roman"/>
          <w:sz w:val="20"/>
          <w:szCs w:val="20"/>
        </w:rPr>
      </w:pPr>
    </w:p>
    <w:p w14:paraId="1446EB5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following is a schedule, by years, of maturities of lease liabilities as of </w:t>
      </w:r>
      <w:r>
        <w:rPr>
          <w:rFonts w:ascii="Times New Roman" w:eastAsia="宋体" w:hAnsi="Times New Roman"/>
          <w:sz w:val="20"/>
          <w:szCs w:val="20"/>
        </w:rPr>
        <w:t>March 31, 2020 (in millions):</w:t>
      </w:r>
    </w:p>
    <w:tbl>
      <w:tblPr>
        <w:tblW w:w="5000" w:type="pct"/>
        <w:tblCellMar>
          <w:left w:w="0" w:type="dxa"/>
          <w:right w:w="0" w:type="dxa"/>
        </w:tblCellMar>
        <w:tblLook w:val="04A0" w:firstRow="1" w:lastRow="0" w:firstColumn="1" w:lastColumn="0" w:noHBand="0" w:noVBand="1"/>
      </w:tblPr>
      <w:tblGrid>
        <w:gridCol w:w="5661"/>
        <w:gridCol w:w="140"/>
        <w:gridCol w:w="1010"/>
        <w:gridCol w:w="107"/>
        <w:gridCol w:w="130"/>
        <w:gridCol w:w="141"/>
        <w:gridCol w:w="1010"/>
        <w:gridCol w:w="107"/>
      </w:tblGrid>
      <w:tr w:rsidR="00FE42B5" w14:paraId="1446EB60" w14:textId="77777777">
        <w:tc>
          <w:tcPr>
            <w:tcW w:w="0" w:type="auto"/>
            <w:gridSpan w:val="8"/>
            <w:shd w:val="clear" w:color="auto" w:fill="auto"/>
            <w:vAlign w:val="center"/>
          </w:tcPr>
          <w:p w14:paraId="1446EB5F" w14:textId="77777777" w:rsidR="00FE42B5" w:rsidRDefault="00FE42B5">
            <w:pPr>
              <w:rPr>
                <w:rFonts w:ascii="Times New Roman" w:hAnsi="Times New Roman"/>
                <w:sz w:val="20"/>
                <w:szCs w:val="20"/>
              </w:rPr>
            </w:pPr>
          </w:p>
        </w:tc>
      </w:tr>
      <w:tr w:rsidR="00FE42B5" w14:paraId="1446EB69" w14:textId="77777777">
        <w:tc>
          <w:tcPr>
            <w:tcW w:w="3449" w:type="pct"/>
            <w:shd w:val="clear" w:color="auto" w:fill="auto"/>
            <w:vAlign w:val="center"/>
          </w:tcPr>
          <w:p w14:paraId="1446EB61" w14:textId="77777777" w:rsidR="00FE42B5" w:rsidRDefault="00FE42B5">
            <w:pPr>
              <w:rPr>
                <w:rFonts w:ascii="Times New Roman" w:hAnsi="Times New Roman"/>
                <w:sz w:val="20"/>
                <w:szCs w:val="20"/>
              </w:rPr>
            </w:pPr>
          </w:p>
        </w:tc>
        <w:tc>
          <w:tcPr>
            <w:tcW w:w="50" w:type="pct"/>
            <w:shd w:val="clear" w:color="auto" w:fill="auto"/>
            <w:vAlign w:val="center"/>
          </w:tcPr>
          <w:p w14:paraId="1446EB62" w14:textId="77777777" w:rsidR="00FE42B5" w:rsidRDefault="00FE42B5">
            <w:pPr>
              <w:rPr>
                <w:rFonts w:ascii="Times New Roman" w:hAnsi="Times New Roman"/>
                <w:sz w:val="20"/>
                <w:szCs w:val="20"/>
              </w:rPr>
            </w:pPr>
          </w:p>
        </w:tc>
        <w:tc>
          <w:tcPr>
            <w:tcW w:w="650" w:type="pct"/>
            <w:shd w:val="clear" w:color="auto" w:fill="auto"/>
            <w:vAlign w:val="center"/>
          </w:tcPr>
          <w:p w14:paraId="1446EB63" w14:textId="77777777" w:rsidR="00FE42B5" w:rsidRDefault="00FE42B5">
            <w:pPr>
              <w:rPr>
                <w:rFonts w:ascii="Times New Roman" w:hAnsi="Times New Roman"/>
                <w:sz w:val="20"/>
                <w:szCs w:val="20"/>
              </w:rPr>
            </w:pPr>
          </w:p>
        </w:tc>
        <w:tc>
          <w:tcPr>
            <w:tcW w:w="50" w:type="pct"/>
            <w:shd w:val="clear" w:color="auto" w:fill="auto"/>
            <w:vAlign w:val="center"/>
          </w:tcPr>
          <w:p w14:paraId="1446EB64" w14:textId="77777777" w:rsidR="00FE42B5" w:rsidRDefault="00FE42B5">
            <w:pPr>
              <w:rPr>
                <w:rFonts w:ascii="Times New Roman" w:hAnsi="Times New Roman"/>
                <w:sz w:val="20"/>
                <w:szCs w:val="20"/>
              </w:rPr>
            </w:pPr>
          </w:p>
        </w:tc>
        <w:tc>
          <w:tcPr>
            <w:tcW w:w="50" w:type="pct"/>
            <w:shd w:val="clear" w:color="auto" w:fill="auto"/>
            <w:vAlign w:val="center"/>
          </w:tcPr>
          <w:p w14:paraId="1446EB65" w14:textId="77777777" w:rsidR="00FE42B5" w:rsidRDefault="00FE42B5">
            <w:pPr>
              <w:rPr>
                <w:rFonts w:ascii="Times New Roman" w:hAnsi="Times New Roman"/>
                <w:sz w:val="20"/>
                <w:szCs w:val="20"/>
              </w:rPr>
            </w:pPr>
          </w:p>
        </w:tc>
        <w:tc>
          <w:tcPr>
            <w:tcW w:w="50" w:type="pct"/>
            <w:shd w:val="clear" w:color="auto" w:fill="auto"/>
            <w:vAlign w:val="center"/>
          </w:tcPr>
          <w:p w14:paraId="1446EB66" w14:textId="77777777" w:rsidR="00FE42B5" w:rsidRDefault="00FE42B5">
            <w:pPr>
              <w:rPr>
                <w:rFonts w:ascii="Times New Roman" w:hAnsi="Times New Roman"/>
                <w:sz w:val="20"/>
                <w:szCs w:val="20"/>
              </w:rPr>
            </w:pPr>
          </w:p>
        </w:tc>
        <w:tc>
          <w:tcPr>
            <w:tcW w:w="650" w:type="pct"/>
            <w:shd w:val="clear" w:color="auto" w:fill="auto"/>
            <w:vAlign w:val="center"/>
          </w:tcPr>
          <w:p w14:paraId="1446EB67" w14:textId="77777777" w:rsidR="00FE42B5" w:rsidRDefault="00FE42B5">
            <w:pPr>
              <w:rPr>
                <w:rFonts w:ascii="Times New Roman" w:hAnsi="Times New Roman"/>
                <w:sz w:val="20"/>
                <w:szCs w:val="20"/>
              </w:rPr>
            </w:pPr>
          </w:p>
        </w:tc>
        <w:tc>
          <w:tcPr>
            <w:tcW w:w="50" w:type="pct"/>
            <w:shd w:val="clear" w:color="auto" w:fill="auto"/>
            <w:vAlign w:val="center"/>
          </w:tcPr>
          <w:p w14:paraId="1446EB68" w14:textId="77777777" w:rsidR="00FE42B5" w:rsidRDefault="00FE42B5">
            <w:pPr>
              <w:rPr>
                <w:rFonts w:ascii="Times New Roman" w:hAnsi="Times New Roman"/>
                <w:sz w:val="20"/>
                <w:szCs w:val="20"/>
              </w:rPr>
            </w:pPr>
          </w:p>
        </w:tc>
      </w:tr>
      <w:tr w:rsidR="00FE42B5" w14:paraId="1446EB6E" w14:textId="77777777">
        <w:tc>
          <w:tcPr>
            <w:tcW w:w="0" w:type="auto"/>
            <w:shd w:val="clear" w:color="auto" w:fill="auto"/>
            <w:tcMar>
              <w:top w:w="40" w:type="dxa"/>
              <w:left w:w="40" w:type="dxa"/>
              <w:bottom w:w="40" w:type="dxa"/>
              <w:right w:w="40" w:type="dxa"/>
            </w:tcMar>
            <w:vAlign w:val="bottom"/>
          </w:tcPr>
          <w:p w14:paraId="1446EB6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1446EB6B" w14:textId="77777777" w:rsidR="00FE42B5" w:rsidRDefault="009213DC">
            <w:pPr>
              <w:jc w:val="center"/>
              <w:textAlignment w:val="center"/>
              <w:rPr>
                <w:rFonts w:ascii="Times New Roman" w:hAnsi="Times New Roman"/>
                <w:sz w:val="16"/>
                <w:szCs w:val="16"/>
              </w:rPr>
            </w:pPr>
            <w:r>
              <w:rPr>
                <w:rFonts w:ascii="Times New Roman" w:eastAsia="宋体" w:hAnsi="Times New Roman"/>
                <w:b/>
                <w:bCs/>
                <w:sz w:val="16"/>
                <w:szCs w:val="16"/>
              </w:rPr>
              <w:t>Operating Leases</w:t>
            </w:r>
          </w:p>
        </w:tc>
        <w:tc>
          <w:tcPr>
            <w:tcW w:w="0" w:type="auto"/>
            <w:shd w:val="clear" w:color="auto" w:fill="auto"/>
            <w:tcMar>
              <w:top w:w="40" w:type="dxa"/>
              <w:left w:w="40" w:type="dxa"/>
              <w:bottom w:w="40" w:type="dxa"/>
              <w:right w:w="40" w:type="dxa"/>
            </w:tcMar>
            <w:vAlign w:val="bottom"/>
          </w:tcPr>
          <w:p w14:paraId="1446EB6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1446EB6D" w14:textId="77777777" w:rsidR="00FE42B5" w:rsidRDefault="009213DC">
            <w:pPr>
              <w:jc w:val="center"/>
              <w:textAlignment w:val="center"/>
              <w:rPr>
                <w:rFonts w:ascii="Times New Roman" w:hAnsi="Times New Roman"/>
                <w:sz w:val="16"/>
                <w:szCs w:val="16"/>
              </w:rPr>
            </w:pPr>
            <w:r>
              <w:rPr>
                <w:rFonts w:ascii="Times New Roman" w:eastAsia="宋体" w:hAnsi="Times New Roman"/>
                <w:b/>
                <w:bCs/>
                <w:sz w:val="16"/>
                <w:szCs w:val="16"/>
              </w:rPr>
              <w:t>Finance Leases</w:t>
            </w:r>
          </w:p>
        </w:tc>
      </w:tr>
      <w:tr w:rsidR="00FE42B5" w14:paraId="1446EB77" w14:textId="77777777">
        <w:tc>
          <w:tcPr>
            <w:tcW w:w="0" w:type="auto"/>
            <w:shd w:val="clear" w:color="auto" w:fill="CCEEFF"/>
            <w:tcMar>
              <w:top w:w="40" w:type="dxa"/>
              <w:left w:w="40" w:type="dxa"/>
              <w:bottom w:w="40" w:type="dxa"/>
              <w:right w:w="40" w:type="dxa"/>
            </w:tcMar>
          </w:tcPr>
          <w:p w14:paraId="1446EB6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The remainder of 2020</w:t>
            </w:r>
          </w:p>
        </w:tc>
        <w:tc>
          <w:tcPr>
            <w:tcW w:w="0" w:type="auto"/>
            <w:shd w:val="clear" w:color="auto" w:fill="CCEEFF"/>
            <w:tcMar>
              <w:top w:w="40" w:type="dxa"/>
              <w:left w:w="40" w:type="dxa"/>
              <w:bottom w:w="40" w:type="dxa"/>
            </w:tcMar>
          </w:tcPr>
          <w:p w14:paraId="1446EB7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1446EB71"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795</w:t>
            </w:r>
          </w:p>
        </w:tc>
        <w:tc>
          <w:tcPr>
            <w:tcW w:w="0" w:type="auto"/>
            <w:shd w:val="clear" w:color="auto" w:fill="CCEEFF"/>
            <w:vAlign w:val="bottom"/>
          </w:tcPr>
          <w:p w14:paraId="1446EB7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B7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1446EB7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1446EB75"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45</w:t>
            </w:r>
          </w:p>
        </w:tc>
        <w:tc>
          <w:tcPr>
            <w:tcW w:w="0" w:type="auto"/>
            <w:shd w:val="clear" w:color="auto" w:fill="CCEEFF"/>
            <w:vAlign w:val="bottom"/>
          </w:tcPr>
          <w:p w14:paraId="1446EB76" w14:textId="77777777" w:rsidR="00FE42B5" w:rsidRDefault="00FE42B5">
            <w:pPr>
              <w:textAlignment w:val="bottom"/>
              <w:rPr>
                <w:rFonts w:ascii="Times New Roman" w:hAnsi="Times New Roman"/>
                <w:sz w:val="20"/>
                <w:szCs w:val="20"/>
              </w:rPr>
            </w:pPr>
          </w:p>
        </w:tc>
      </w:tr>
      <w:tr w:rsidR="00FE42B5" w14:paraId="1446EB7E" w14:textId="77777777">
        <w:tc>
          <w:tcPr>
            <w:tcW w:w="0" w:type="auto"/>
            <w:shd w:val="clear" w:color="auto" w:fill="auto"/>
            <w:tcMar>
              <w:top w:w="40" w:type="dxa"/>
              <w:left w:w="40" w:type="dxa"/>
              <w:bottom w:w="40" w:type="dxa"/>
              <w:right w:w="40" w:type="dxa"/>
            </w:tcMar>
          </w:tcPr>
          <w:p w14:paraId="1446EB7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tcPr>
          <w:p w14:paraId="1446EB79"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1,281</w:t>
            </w:r>
          </w:p>
        </w:tc>
        <w:tc>
          <w:tcPr>
            <w:tcW w:w="0" w:type="auto"/>
            <w:shd w:val="clear" w:color="auto" w:fill="auto"/>
            <w:vAlign w:val="bottom"/>
          </w:tcPr>
          <w:p w14:paraId="1446EB7A"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B7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446EB7C"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49</w:t>
            </w:r>
          </w:p>
        </w:tc>
        <w:tc>
          <w:tcPr>
            <w:tcW w:w="0" w:type="auto"/>
            <w:shd w:val="clear" w:color="auto" w:fill="auto"/>
            <w:vAlign w:val="bottom"/>
          </w:tcPr>
          <w:p w14:paraId="1446EB7D" w14:textId="77777777" w:rsidR="00FE42B5" w:rsidRDefault="00FE42B5">
            <w:pPr>
              <w:textAlignment w:val="bottom"/>
              <w:rPr>
                <w:rFonts w:ascii="Times New Roman" w:hAnsi="Times New Roman"/>
                <w:sz w:val="20"/>
                <w:szCs w:val="20"/>
              </w:rPr>
            </w:pPr>
          </w:p>
        </w:tc>
      </w:tr>
      <w:tr w:rsidR="00FE42B5" w14:paraId="1446EB85" w14:textId="77777777">
        <w:tc>
          <w:tcPr>
            <w:tcW w:w="0" w:type="auto"/>
            <w:shd w:val="clear" w:color="auto" w:fill="CCEEFF"/>
            <w:tcMar>
              <w:top w:w="40" w:type="dxa"/>
              <w:left w:w="40" w:type="dxa"/>
              <w:bottom w:w="40" w:type="dxa"/>
              <w:right w:w="40" w:type="dxa"/>
            </w:tcMar>
          </w:tcPr>
          <w:p w14:paraId="1446EB7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tcPr>
          <w:p w14:paraId="1446EB80"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1,198</w:t>
            </w:r>
          </w:p>
        </w:tc>
        <w:tc>
          <w:tcPr>
            <w:tcW w:w="0" w:type="auto"/>
            <w:shd w:val="clear" w:color="auto" w:fill="CCEEFF"/>
            <w:vAlign w:val="bottom"/>
          </w:tcPr>
          <w:p w14:paraId="1446EB8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B8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446EB83"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vAlign w:val="bottom"/>
          </w:tcPr>
          <w:p w14:paraId="1446EB84" w14:textId="77777777" w:rsidR="00FE42B5" w:rsidRDefault="00FE42B5">
            <w:pPr>
              <w:textAlignment w:val="bottom"/>
              <w:rPr>
                <w:rFonts w:ascii="Times New Roman" w:hAnsi="Times New Roman"/>
                <w:sz w:val="20"/>
                <w:szCs w:val="20"/>
              </w:rPr>
            </w:pPr>
          </w:p>
        </w:tc>
      </w:tr>
      <w:tr w:rsidR="00FE42B5" w14:paraId="1446EB8C" w14:textId="77777777">
        <w:tc>
          <w:tcPr>
            <w:tcW w:w="0" w:type="auto"/>
            <w:shd w:val="clear" w:color="auto" w:fill="auto"/>
            <w:tcMar>
              <w:top w:w="40" w:type="dxa"/>
              <w:left w:w="40" w:type="dxa"/>
              <w:bottom w:w="40" w:type="dxa"/>
              <w:right w:w="40" w:type="dxa"/>
            </w:tcMar>
          </w:tcPr>
          <w:p w14:paraId="1446EB8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tcPr>
          <w:p w14:paraId="1446EB87"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1,137</w:t>
            </w:r>
          </w:p>
        </w:tc>
        <w:tc>
          <w:tcPr>
            <w:tcW w:w="0" w:type="auto"/>
            <w:shd w:val="clear" w:color="auto" w:fill="auto"/>
            <w:vAlign w:val="bottom"/>
          </w:tcPr>
          <w:p w14:paraId="1446EB88"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B8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446EB8A"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36</w:t>
            </w:r>
          </w:p>
        </w:tc>
        <w:tc>
          <w:tcPr>
            <w:tcW w:w="0" w:type="auto"/>
            <w:shd w:val="clear" w:color="auto" w:fill="auto"/>
            <w:vAlign w:val="bottom"/>
          </w:tcPr>
          <w:p w14:paraId="1446EB8B" w14:textId="77777777" w:rsidR="00FE42B5" w:rsidRDefault="00FE42B5">
            <w:pPr>
              <w:textAlignment w:val="bottom"/>
              <w:rPr>
                <w:rFonts w:ascii="Times New Roman" w:hAnsi="Times New Roman"/>
                <w:sz w:val="20"/>
                <w:szCs w:val="20"/>
              </w:rPr>
            </w:pPr>
          </w:p>
        </w:tc>
      </w:tr>
      <w:tr w:rsidR="00FE42B5" w14:paraId="1446EB93" w14:textId="77777777">
        <w:tc>
          <w:tcPr>
            <w:tcW w:w="0" w:type="auto"/>
            <w:shd w:val="clear" w:color="auto" w:fill="CCEEFF"/>
            <w:tcMar>
              <w:top w:w="40" w:type="dxa"/>
              <w:left w:w="40" w:type="dxa"/>
              <w:bottom w:w="40" w:type="dxa"/>
              <w:right w:w="40" w:type="dxa"/>
            </w:tcMar>
          </w:tcPr>
          <w:p w14:paraId="1446EB8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tcPr>
          <w:p w14:paraId="1446EB8E"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1,061</w:t>
            </w:r>
          </w:p>
        </w:tc>
        <w:tc>
          <w:tcPr>
            <w:tcW w:w="0" w:type="auto"/>
            <w:shd w:val="clear" w:color="auto" w:fill="CCEEFF"/>
            <w:vAlign w:val="bottom"/>
          </w:tcPr>
          <w:p w14:paraId="1446EB8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B9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446EB91"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36</w:t>
            </w:r>
          </w:p>
        </w:tc>
        <w:tc>
          <w:tcPr>
            <w:tcW w:w="0" w:type="auto"/>
            <w:shd w:val="clear" w:color="auto" w:fill="CCEEFF"/>
            <w:vAlign w:val="bottom"/>
          </w:tcPr>
          <w:p w14:paraId="1446EB92" w14:textId="77777777" w:rsidR="00FE42B5" w:rsidRDefault="00FE42B5">
            <w:pPr>
              <w:textAlignment w:val="bottom"/>
              <w:rPr>
                <w:rFonts w:ascii="Times New Roman" w:hAnsi="Times New Roman"/>
                <w:sz w:val="20"/>
                <w:szCs w:val="20"/>
              </w:rPr>
            </w:pPr>
          </w:p>
        </w:tc>
      </w:tr>
      <w:tr w:rsidR="00FE42B5" w14:paraId="1446EB9A" w14:textId="77777777">
        <w:tc>
          <w:tcPr>
            <w:tcW w:w="0" w:type="auto"/>
            <w:shd w:val="clear" w:color="auto" w:fill="auto"/>
            <w:tcMar>
              <w:top w:w="40" w:type="dxa"/>
              <w:left w:w="40" w:type="dxa"/>
              <w:bottom w:w="40" w:type="dxa"/>
              <w:right w:w="40" w:type="dxa"/>
            </w:tcMar>
          </w:tcPr>
          <w:p w14:paraId="1446EB9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shd w:val="clear" w:color="auto" w:fill="auto"/>
            <w:tcMar>
              <w:top w:w="40" w:type="dxa"/>
              <w:left w:w="40" w:type="dxa"/>
              <w:bottom w:w="40" w:type="dxa"/>
            </w:tcMar>
          </w:tcPr>
          <w:p w14:paraId="1446EB95"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7,657</w:t>
            </w:r>
          </w:p>
        </w:tc>
        <w:tc>
          <w:tcPr>
            <w:tcW w:w="0" w:type="auto"/>
            <w:shd w:val="clear" w:color="auto" w:fill="auto"/>
            <w:vAlign w:val="bottom"/>
          </w:tcPr>
          <w:p w14:paraId="1446EB9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B9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446EB98"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386</w:t>
            </w:r>
          </w:p>
        </w:tc>
        <w:tc>
          <w:tcPr>
            <w:tcW w:w="0" w:type="auto"/>
            <w:shd w:val="clear" w:color="auto" w:fill="auto"/>
            <w:vAlign w:val="bottom"/>
          </w:tcPr>
          <w:p w14:paraId="1446EB99" w14:textId="77777777" w:rsidR="00FE42B5" w:rsidRDefault="00FE42B5">
            <w:pPr>
              <w:textAlignment w:val="bottom"/>
              <w:rPr>
                <w:rFonts w:ascii="Times New Roman" w:hAnsi="Times New Roman"/>
                <w:sz w:val="20"/>
                <w:szCs w:val="20"/>
              </w:rPr>
            </w:pPr>
          </w:p>
        </w:tc>
      </w:tr>
      <w:tr w:rsidR="00FE42B5" w14:paraId="1446EBA1" w14:textId="77777777">
        <w:tc>
          <w:tcPr>
            <w:tcW w:w="0" w:type="auto"/>
            <w:shd w:val="clear" w:color="auto" w:fill="CCEEFF"/>
            <w:tcMar>
              <w:top w:w="40" w:type="dxa"/>
              <w:left w:w="40" w:type="dxa"/>
              <w:bottom w:w="40" w:type="dxa"/>
              <w:right w:w="40" w:type="dxa"/>
            </w:tcMar>
          </w:tcPr>
          <w:p w14:paraId="1446EB9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 undiscounted cash flows</w:t>
            </w:r>
          </w:p>
        </w:tc>
        <w:tc>
          <w:tcPr>
            <w:tcW w:w="0" w:type="auto"/>
            <w:gridSpan w:val="2"/>
            <w:tcBorders>
              <w:top w:val="single" w:sz="8" w:space="0" w:color="000000"/>
            </w:tcBorders>
            <w:shd w:val="clear" w:color="auto" w:fill="CCEEFF"/>
            <w:tcMar>
              <w:top w:w="40" w:type="dxa"/>
              <w:left w:w="40" w:type="dxa"/>
              <w:bottom w:w="40" w:type="dxa"/>
            </w:tcMar>
          </w:tcPr>
          <w:p w14:paraId="1446EB9C"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13,129</w:t>
            </w:r>
          </w:p>
        </w:tc>
        <w:tc>
          <w:tcPr>
            <w:tcW w:w="0" w:type="auto"/>
            <w:tcBorders>
              <w:top w:val="single" w:sz="8" w:space="0" w:color="000000"/>
            </w:tcBorders>
            <w:shd w:val="clear" w:color="auto" w:fill="CCEEFF"/>
            <w:vAlign w:val="bottom"/>
          </w:tcPr>
          <w:p w14:paraId="1446EB9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B9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tcPr>
          <w:p w14:paraId="1446EB9F"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590</w:t>
            </w:r>
          </w:p>
        </w:tc>
        <w:tc>
          <w:tcPr>
            <w:tcW w:w="0" w:type="auto"/>
            <w:tcBorders>
              <w:top w:val="single" w:sz="8" w:space="0" w:color="000000"/>
            </w:tcBorders>
            <w:shd w:val="clear" w:color="auto" w:fill="CCEEFF"/>
            <w:vAlign w:val="bottom"/>
          </w:tcPr>
          <w:p w14:paraId="1446EBA0" w14:textId="77777777" w:rsidR="00FE42B5" w:rsidRDefault="00FE42B5">
            <w:pPr>
              <w:textAlignment w:val="bottom"/>
              <w:rPr>
                <w:rFonts w:ascii="Times New Roman" w:hAnsi="Times New Roman"/>
                <w:sz w:val="20"/>
                <w:szCs w:val="20"/>
              </w:rPr>
            </w:pPr>
          </w:p>
        </w:tc>
      </w:tr>
      <w:tr w:rsidR="00FE42B5" w14:paraId="1446EBA8" w14:textId="77777777">
        <w:tc>
          <w:tcPr>
            <w:tcW w:w="0" w:type="auto"/>
            <w:shd w:val="clear" w:color="auto" w:fill="auto"/>
            <w:tcMar>
              <w:top w:w="40" w:type="dxa"/>
              <w:left w:w="40" w:type="dxa"/>
              <w:bottom w:w="40" w:type="dxa"/>
              <w:right w:w="40" w:type="dxa"/>
            </w:tcMar>
          </w:tcPr>
          <w:p w14:paraId="1446EBA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Less: Imputed interest</w:t>
            </w:r>
          </w:p>
        </w:tc>
        <w:tc>
          <w:tcPr>
            <w:tcW w:w="0" w:type="auto"/>
            <w:gridSpan w:val="2"/>
            <w:shd w:val="clear" w:color="auto" w:fill="auto"/>
            <w:tcMar>
              <w:top w:w="40" w:type="dxa"/>
              <w:left w:w="40" w:type="dxa"/>
              <w:bottom w:w="40" w:type="dxa"/>
            </w:tcMar>
          </w:tcPr>
          <w:p w14:paraId="1446EBA3"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(2,785</w:t>
            </w:r>
          </w:p>
        </w:tc>
        <w:tc>
          <w:tcPr>
            <w:tcW w:w="0" w:type="auto"/>
            <w:shd w:val="clear" w:color="auto" w:fill="auto"/>
            <w:tcMar>
              <w:top w:w="40" w:type="dxa"/>
              <w:bottom w:w="40" w:type="dxa"/>
              <w:right w:w="40" w:type="dxa"/>
            </w:tcMar>
          </w:tcPr>
          <w:p w14:paraId="1446EBA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BA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446EBA6"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(120</w:t>
            </w:r>
          </w:p>
        </w:tc>
        <w:tc>
          <w:tcPr>
            <w:tcW w:w="0" w:type="auto"/>
            <w:shd w:val="clear" w:color="auto" w:fill="auto"/>
            <w:tcMar>
              <w:top w:w="40" w:type="dxa"/>
              <w:bottom w:w="40" w:type="dxa"/>
              <w:right w:w="40" w:type="dxa"/>
            </w:tcMar>
          </w:tcPr>
          <w:p w14:paraId="1446EBA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r>
      <w:tr w:rsidR="00FE42B5" w14:paraId="1446EBB1" w14:textId="77777777">
        <w:tc>
          <w:tcPr>
            <w:tcW w:w="0" w:type="auto"/>
            <w:shd w:val="clear" w:color="auto" w:fill="CCEEFF"/>
            <w:tcMar>
              <w:top w:w="40" w:type="dxa"/>
              <w:left w:w="40" w:type="dxa"/>
              <w:bottom w:w="40" w:type="dxa"/>
              <w:right w:w="40" w:type="dxa"/>
            </w:tcMar>
          </w:tcPr>
          <w:p w14:paraId="1446EBA9"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Present value of lease liabilities</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1446EBA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1446EBAB"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10,344</w:t>
            </w:r>
          </w:p>
        </w:tc>
        <w:tc>
          <w:tcPr>
            <w:tcW w:w="0" w:type="auto"/>
            <w:tcBorders>
              <w:top w:val="single" w:sz="8" w:space="0" w:color="000000"/>
              <w:bottom w:val="double" w:sz="6" w:space="0" w:color="000000"/>
            </w:tcBorders>
            <w:shd w:val="clear" w:color="auto" w:fill="CCEEFF"/>
            <w:vAlign w:val="bottom"/>
          </w:tcPr>
          <w:p w14:paraId="1446EBAC"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BA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1446EBA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1446EBAF"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470</w:t>
            </w:r>
          </w:p>
        </w:tc>
        <w:tc>
          <w:tcPr>
            <w:tcW w:w="0" w:type="auto"/>
            <w:tcBorders>
              <w:top w:val="single" w:sz="8" w:space="0" w:color="000000"/>
              <w:bottom w:val="double" w:sz="6" w:space="0" w:color="000000"/>
            </w:tcBorders>
            <w:shd w:val="clear" w:color="auto" w:fill="CCEEFF"/>
            <w:vAlign w:val="bottom"/>
          </w:tcPr>
          <w:p w14:paraId="1446EBB0" w14:textId="77777777" w:rsidR="00FE42B5" w:rsidRDefault="00FE42B5">
            <w:pPr>
              <w:textAlignment w:val="bottom"/>
              <w:rPr>
                <w:rFonts w:ascii="Times New Roman" w:hAnsi="Times New Roman"/>
                <w:sz w:val="20"/>
                <w:szCs w:val="20"/>
              </w:rPr>
            </w:pPr>
          </w:p>
        </w:tc>
      </w:tr>
      <w:tr w:rsidR="00FE42B5" w14:paraId="1446EBB6" w14:textId="77777777">
        <w:tc>
          <w:tcPr>
            <w:tcW w:w="0" w:type="auto"/>
            <w:shd w:val="clear" w:color="auto" w:fill="auto"/>
            <w:tcMar>
              <w:top w:w="40" w:type="dxa"/>
              <w:left w:w="40" w:type="dxa"/>
              <w:bottom w:w="40" w:type="dxa"/>
              <w:right w:w="40" w:type="dxa"/>
            </w:tcMar>
            <w:vAlign w:val="bottom"/>
          </w:tcPr>
          <w:p w14:paraId="1446EBB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BB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BB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BB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BBF" w14:textId="77777777">
        <w:tc>
          <w:tcPr>
            <w:tcW w:w="0" w:type="auto"/>
            <w:shd w:val="clear" w:color="auto" w:fill="CCEEFF"/>
            <w:tcMar>
              <w:top w:w="40" w:type="dxa"/>
              <w:left w:w="40" w:type="dxa"/>
              <w:bottom w:w="40" w:type="dxa"/>
              <w:right w:w="40" w:type="dxa"/>
            </w:tcMar>
          </w:tcPr>
          <w:p w14:paraId="1446EBB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Lease liabilities, current</w:t>
            </w:r>
          </w:p>
        </w:tc>
        <w:tc>
          <w:tcPr>
            <w:tcW w:w="0" w:type="auto"/>
            <w:shd w:val="clear" w:color="auto" w:fill="CCEEFF"/>
            <w:tcMar>
              <w:top w:w="40" w:type="dxa"/>
              <w:left w:w="40" w:type="dxa"/>
              <w:bottom w:w="40" w:type="dxa"/>
            </w:tcMar>
            <w:vAlign w:val="bottom"/>
          </w:tcPr>
          <w:p w14:paraId="1446EBB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BB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835</w:t>
            </w:r>
          </w:p>
        </w:tc>
        <w:tc>
          <w:tcPr>
            <w:tcW w:w="0" w:type="auto"/>
            <w:shd w:val="clear" w:color="auto" w:fill="CCEEFF"/>
            <w:vAlign w:val="bottom"/>
          </w:tcPr>
          <w:p w14:paraId="1446EBBA"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BB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BB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BB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CCEEFF"/>
            <w:vAlign w:val="bottom"/>
          </w:tcPr>
          <w:p w14:paraId="1446EBBE" w14:textId="77777777" w:rsidR="00FE42B5" w:rsidRDefault="00FE42B5">
            <w:pPr>
              <w:textAlignment w:val="bottom"/>
              <w:rPr>
                <w:rFonts w:ascii="Times New Roman" w:hAnsi="Times New Roman"/>
                <w:sz w:val="20"/>
                <w:szCs w:val="20"/>
              </w:rPr>
            </w:pPr>
          </w:p>
        </w:tc>
      </w:tr>
      <w:tr w:rsidR="00FE42B5" w14:paraId="1446EBC6" w14:textId="77777777">
        <w:tc>
          <w:tcPr>
            <w:tcW w:w="0" w:type="auto"/>
            <w:shd w:val="clear" w:color="auto" w:fill="auto"/>
            <w:tcMar>
              <w:top w:w="40" w:type="dxa"/>
              <w:left w:w="40" w:type="dxa"/>
              <w:bottom w:w="40" w:type="dxa"/>
              <w:right w:w="40" w:type="dxa"/>
            </w:tcMar>
          </w:tcPr>
          <w:p w14:paraId="1446EBC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Lease liabilities, non-current</w:t>
            </w:r>
          </w:p>
        </w:tc>
        <w:tc>
          <w:tcPr>
            <w:tcW w:w="0" w:type="auto"/>
            <w:gridSpan w:val="2"/>
            <w:tcBorders>
              <w:bottom w:val="single" w:sz="8" w:space="0" w:color="000000"/>
            </w:tcBorders>
            <w:shd w:val="clear" w:color="auto" w:fill="auto"/>
            <w:tcMar>
              <w:top w:w="40" w:type="dxa"/>
              <w:left w:w="40" w:type="dxa"/>
              <w:bottom w:w="40" w:type="dxa"/>
            </w:tcMar>
            <w:vAlign w:val="bottom"/>
          </w:tcPr>
          <w:p w14:paraId="1446EBC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9,509</w:t>
            </w:r>
          </w:p>
        </w:tc>
        <w:tc>
          <w:tcPr>
            <w:tcW w:w="0" w:type="auto"/>
            <w:tcBorders>
              <w:bottom w:val="single" w:sz="8" w:space="0" w:color="000000"/>
            </w:tcBorders>
            <w:shd w:val="clear" w:color="auto" w:fill="auto"/>
            <w:vAlign w:val="bottom"/>
          </w:tcPr>
          <w:p w14:paraId="1446EBC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BC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BC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426</w:t>
            </w:r>
          </w:p>
        </w:tc>
        <w:tc>
          <w:tcPr>
            <w:tcW w:w="0" w:type="auto"/>
            <w:tcBorders>
              <w:bottom w:val="single" w:sz="8" w:space="0" w:color="000000"/>
            </w:tcBorders>
            <w:shd w:val="clear" w:color="auto" w:fill="auto"/>
            <w:vAlign w:val="bottom"/>
          </w:tcPr>
          <w:p w14:paraId="1446EBC5" w14:textId="77777777" w:rsidR="00FE42B5" w:rsidRDefault="00FE42B5">
            <w:pPr>
              <w:textAlignment w:val="bottom"/>
              <w:rPr>
                <w:rFonts w:ascii="Times New Roman" w:hAnsi="Times New Roman"/>
                <w:sz w:val="20"/>
                <w:szCs w:val="20"/>
              </w:rPr>
            </w:pPr>
          </w:p>
        </w:tc>
      </w:tr>
      <w:tr w:rsidR="00FE42B5" w14:paraId="1446EBCF" w14:textId="77777777">
        <w:tc>
          <w:tcPr>
            <w:tcW w:w="0" w:type="auto"/>
            <w:shd w:val="clear" w:color="auto" w:fill="CCEEFF"/>
            <w:tcMar>
              <w:top w:w="40" w:type="dxa"/>
              <w:left w:w="560" w:type="dxa"/>
              <w:bottom w:w="40" w:type="dxa"/>
              <w:right w:w="40" w:type="dxa"/>
            </w:tcMar>
          </w:tcPr>
          <w:p w14:paraId="1446EBC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Present value of lease liabilities</w:t>
            </w:r>
          </w:p>
        </w:tc>
        <w:tc>
          <w:tcPr>
            <w:tcW w:w="0" w:type="auto"/>
            <w:tcBorders>
              <w:bottom w:val="double" w:sz="6" w:space="0" w:color="000000"/>
            </w:tcBorders>
            <w:shd w:val="clear" w:color="auto" w:fill="CCEEFF"/>
            <w:tcMar>
              <w:top w:w="40" w:type="dxa"/>
              <w:left w:w="40" w:type="dxa"/>
              <w:bottom w:w="40" w:type="dxa"/>
            </w:tcMar>
          </w:tcPr>
          <w:p w14:paraId="1446EBC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tcPr>
          <w:p w14:paraId="1446EBC9"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10,344</w:t>
            </w:r>
          </w:p>
        </w:tc>
        <w:tc>
          <w:tcPr>
            <w:tcW w:w="0" w:type="auto"/>
            <w:tcBorders>
              <w:bottom w:val="double" w:sz="6" w:space="0" w:color="000000"/>
            </w:tcBorders>
            <w:shd w:val="clear" w:color="auto" w:fill="CCEEFF"/>
            <w:vAlign w:val="bottom"/>
          </w:tcPr>
          <w:p w14:paraId="1446EBCA"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BC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tcPr>
          <w:p w14:paraId="1446EBC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tcPr>
          <w:p w14:paraId="1446EBCD"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470</w:t>
            </w:r>
          </w:p>
        </w:tc>
        <w:tc>
          <w:tcPr>
            <w:tcW w:w="0" w:type="auto"/>
            <w:tcBorders>
              <w:bottom w:val="double" w:sz="6" w:space="0" w:color="000000"/>
            </w:tcBorders>
            <w:shd w:val="clear" w:color="auto" w:fill="CCEEFF"/>
            <w:vAlign w:val="bottom"/>
          </w:tcPr>
          <w:p w14:paraId="1446EBCE" w14:textId="77777777" w:rsidR="00FE42B5" w:rsidRDefault="00FE42B5">
            <w:pPr>
              <w:textAlignment w:val="bottom"/>
              <w:rPr>
                <w:rFonts w:ascii="Times New Roman" w:hAnsi="Times New Roman"/>
                <w:sz w:val="20"/>
                <w:szCs w:val="20"/>
              </w:rPr>
            </w:pPr>
          </w:p>
        </w:tc>
      </w:tr>
    </w:tbl>
    <w:p w14:paraId="1446EBD0" w14:textId="77777777" w:rsidR="00FE42B5" w:rsidRDefault="00FE42B5">
      <w:pPr>
        <w:spacing w:line="288" w:lineRule="auto"/>
        <w:rPr>
          <w:rFonts w:ascii="Times New Roman" w:hAnsi="Times New Roman"/>
          <w:sz w:val="20"/>
          <w:szCs w:val="20"/>
        </w:rPr>
      </w:pPr>
    </w:p>
    <w:p w14:paraId="1446EBD1" w14:textId="77777777" w:rsidR="00FE42B5" w:rsidRDefault="00FE42B5">
      <w:pPr>
        <w:spacing w:line="288" w:lineRule="auto"/>
        <w:rPr>
          <w:rFonts w:ascii="Times New Roman" w:hAnsi="Times New Roman"/>
          <w:sz w:val="20"/>
          <w:szCs w:val="20"/>
        </w:rPr>
      </w:pPr>
    </w:p>
    <w:p w14:paraId="1446EBD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of March 31, 2020, we have additional operating and finance leases for facilities and network equipment that have not yet commenced with lease obligations of approximately $5.07 billion and $332 million, respectively. These </w:t>
      </w:r>
      <w:r>
        <w:rPr>
          <w:rFonts w:ascii="Times New Roman" w:eastAsia="宋体" w:hAnsi="Times New Roman"/>
          <w:sz w:val="20"/>
          <w:szCs w:val="20"/>
        </w:rPr>
        <w:t>operating and finance leases will commence between the remainder of 2020 and 2023 with lease terms of greater than one year to 25 years. This table does not include lease payments that were not fixed at commencement or modification.</w:t>
      </w:r>
    </w:p>
    <w:p w14:paraId="1446EBD3" w14:textId="77777777" w:rsidR="00FE42B5" w:rsidRDefault="00FE42B5">
      <w:pPr>
        <w:spacing w:line="288" w:lineRule="auto"/>
        <w:ind w:firstLine="720"/>
        <w:jc w:val="both"/>
        <w:rPr>
          <w:rFonts w:ascii="Times New Roman" w:hAnsi="Times New Roman"/>
          <w:sz w:val="20"/>
          <w:szCs w:val="20"/>
        </w:rPr>
      </w:pPr>
    </w:p>
    <w:p w14:paraId="1446EBD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Supplemental cash flow</w:t>
      </w:r>
      <w:r>
        <w:rPr>
          <w:rFonts w:ascii="Times New Roman" w:eastAsia="宋体" w:hAnsi="Times New Roman"/>
          <w:sz w:val="20"/>
          <w:szCs w:val="20"/>
        </w:rPr>
        <w:t xml:space="preserve"> information related to leases are as follows (in millions):</w:t>
      </w:r>
    </w:p>
    <w:tbl>
      <w:tblPr>
        <w:tblW w:w="5000" w:type="pct"/>
        <w:tblCellMar>
          <w:left w:w="0" w:type="dxa"/>
          <w:right w:w="0" w:type="dxa"/>
        </w:tblCellMar>
        <w:tblLook w:val="04A0" w:firstRow="1" w:lastRow="0" w:firstColumn="1" w:lastColumn="0" w:noHBand="0" w:noVBand="1"/>
      </w:tblPr>
      <w:tblGrid>
        <w:gridCol w:w="5697"/>
        <w:gridCol w:w="141"/>
        <w:gridCol w:w="1047"/>
        <w:gridCol w:w="52"/>
        <w:gridCol w:w="130"/>
        <w:gridCol w:w="141"/>
        <w:gridCol w:w="1046"/>
        <w:gridCol w:w="52"/>
      </w:tblGrid>
      <w:tr w:rsidR="00FE42B5" w14:paraId="1446EBD6" w14:textId="77777777">
        <w:tc>
          <w:tcPr>
            <w:tcW w:w="0" w:type="auto"/>
            <w:gridSpan w:val="8"/>
            <w:shd w:val="clear" w:color="auto" w:fill="auto"/>
            <w:vAlign w:val="center"/>
          </w:tcPr>
          <w:p w14:paraId="1446EBD5" w14:textId="77777777" w:rsidR="00FE42B5" w:rsidRDefault="00FE42B5">
            <w:pPr>
              <w:rPr>
                <w:rFonts w:ascii="Times New Roman" w:hAnsi="Times New Roman"/>
                <w:sz w:val="20"/>
                <w:szCs w:val="20"/>
              </w:rPr>
            </w:pPr>
          </w:p>
        </w:tc>
      </w:tr>
      <w:tr w:rsidR="00FE42B5" w14:paraId="1446EBDF" w14:textId="77777777">
        <w:tc>
          <w:tcPr>
            <w:tcW w:w="3449" w:type="pct"/>
            <w:shd w:val="clear" w:color="auto" w:fill="auto"/>
            <w:vAlign w:val="center"/>
          </w:tcPr>
          <w:p w14:paraId="1446EBD7" w14:textId="77777777" w:rsidR="00FE42B5" w:rsidRDefault="00FE42B5">
            <w:pPr>
              <w:rPr>
                <w:rFonts w:ascii="Times New Roman" w:hAnsi="Times New Roman"/>
                <w:sz w:val="20"/>
                <w:szCs w:val="20"/>
              </w:rPr>
            </w:pPr>
          </w:p>
        </w:tc>
        <w:tc>
          <w:tcPr>
            <w:tcW w:w="50" w:type="pct"/>
            <w:shd w:val="clear" w:color="auto" w:fill="auto"/>
            <w:vAlign w:val="center"/>
          </w:tcPr>
          <w:p w14:paraId="1446EBD8" w14:textId="77777777" w:rsidR="00FE42B5" w:rsidRDefault="00FE42B5">
            <w:pPr>
              <w:rPr>
                <w:rFonts w:ascii="Times New Roman" w:hAnsi="Times New Roman"/>
                <w:sz w:val="20"/>
                <w:szCs w:val="20"/>
              </w:rPr>
            </w:pPr>
          </w:p>
        </w:tc>
        <w:tc>
          <w:tcPr>
            <w:tcW w:w="650" w:type="pct"/>
            <w:shd w:val="clear" w:color="auto" w:fill="auto"/>
            <w:vAlign w:val="center"/>
          </w:tcPr>
          <w:p w14:paraId="1446EBD9" w14:textId="77777777" w:rsidR="00FE42B5" w:rsidRDefault="00FE42B5">
            <w:pPr>
              <w:rPr>
                <w:rFonts w:ascii="Times New Roman" w:hAnsi="Times New Roman"/>
                <w:sz w:val="20"/>
                <w:szCs w:val="20"/>
              </w:rPr>
            </w:pPr>
          </w:p>
        </w:tc>
        <w:tc>
          <w:tcPr>
            <w:tcW w:w="50" w:type="pct"/>
            <w:shd w:val="clear" w:color="auto" w:fill="auto"/>
            <w:vAlign w:val="center"/>
          </w:tcPr>
          <w:p w14:paraId="1446EBDA" w14:textId="77777777" w:rsidR="00FE42B5" w:rsidRDefault="00FE42B5">
            <w:pPr>
              <w:rPr>
                <w:rFonts w:ascii="Times New Roman" w:hAnsi="Times New Roman"/>
                <w:sz w:val="20"/>
                <w:szCs w:val="20"/>
              </w:rPr>
            </w:pPr>
          </w:p>
        </w:tc>
        <w:tc>
          <w:tcPr>
            <w:tcW w:w="50" w:type="pct"/>
            <w:shd w:val="clear" w:color="auto" w:fill="auto"/>
            <w:vAlign w:val="center"/>
          </w:tcPr>
          <w:p w14:paraId="1446EBDB" w14:textId="77777777" w:rsidR="00FE42B5" w:rsidRDefault="00FE42B5">
            <w:pPr>
              <w:rPr>
                <w:rFonts w:ascii="Times New Roman" w:hAnsi="Times New Roman"/>
                <w:sz w:val="20"/>
                <w:szCs w:val="20"/>
              </w:rPr>
            </w:pPr>
          </w:p>
        </w:tc>
        <w:tc>
          <w:tcPr>
            <w:tcW w:w="50" w:type="pct"/>
            <w:shd w:val="clear" w:color="auto" w:fill="auto"/>
            <w:vAlign w:val="center"/>
          </w:tcPr>
          <w:p w14:paraId="1446EBDC" w14:textId="77777777" w:rsidR="00FE42B5" w:rsidRDefault="00FE42B5">
            <w:pPr>
              <w:rPr>
                <w:rFonts w:ascii="Times New Roman" w:hAnsi="Times New Roman"/>
                <w:sz w:val="20"/>
                <w:szCs w:val="20"/>
              </w:rPr>
            </w:pPr>
          </w:p>
        </w:tc>
        <w:tc>
          <w:tcPr>
            <w:tcW w:w="650" w:type="pct"/>
            <w:shd w:val="clear" w:color="auto" w:fill="auto"/>
            <w:vAlign w:val="center"/>
          </w:tcPr>
          <w:p w14:paraId="1446EBDD" w14:textId="77777777" w:rsidR="00FE42B5" w:rsidRDefault="00FE42B5">
            <w:pPr>
              <w:rPr>
                <w:rFonts w:ascii="Times New Roman" w:hAnsi="Times New Roman"/>
                <w:sz w:val="20"/>
                <w:szCs w:val="20"/>
              </w:rPr>
            </w:pPr>
          </w:p>
        </w:tc>
        <w:tc>
          <w:tcPr>
            <w:tcW w:w="50" w:type="pct"/>
            <w:shd w:val="clear" w:color="auto" w:fill="auto"/>
            <w:vAlign w:val="center"/>
          </w:tcPr>
          <w:p w14:paraId="1446EBDE" w14:textId="77777777" w:rsidR="00FE42B5" w:rsidRDefault="00FE42B5">
            <w:pPr>
              <w:rPr>
                <w:rFonts w:ascii="Times New Roman" w:hAnsi="Times New Roman"/>
                <w:sz w:val="20"/>
                <w:szCs w:val="20"/>
              </w:rPr>
            </w:pPr>
          </w:p>
        </w:tc>
      </w:tr>
      <w:tr w:rsidR="00FE42B5" w14:paraId="1446EBE2" w14:textId="77777777">
        <w:tc>
          <w:tcPr>
            <w:tcW w:w="0" w:type="auto"/>
            <w:shd w:val="clear" w:color="auto" w:fill="auto"/>
            <w:tcMar>
              <w:top w:w="40" w:type="dxa"/>
              <w:left w:w="40" w:type="dxa"/>
              <w:bottom w:w="40" w:type="dxa"/>
              <w:right w:w="40" w:type="dxa"/>
            </w:tcMar>
            <w:vAlign w:val="bottom"/>
          </w:tcPr>
          <w:p w14:paraId="1446EBE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1446EBE1" w14:textId="77777777" w:rsidR="00FE42B5" w:rsidRDefault="009213DC">
            <w:pPr>
              <w:jc w:val="center"/>
              <w:textAlignment w:val="center"/>
              <w:rPr>
                <w:rFonts w:ascii="Times New Roman" w:hAnsi="Times New Roman"/>
                <w:sz w:val="16"/>
                <w:szCs w:val="16"/>
              </w:rPr>
            </w:pPr>
            <w:r>
              <w:rPr>
                <w:rFonts w:ascii="Times New Roman" w:eastAsia="宋体" w:hAnsi="Times New Roman"/>
                <w:b/>
                <w:bCs/>
                <w:sz w:val="16"/>
                <w:szCs w:val="16"/>
              </w:rPr>
              <w:t>Three Months Ended</w:t>
            </w:r>
          </w:p>
        </w:tc>
      </w:tr>
      <w:tr w:rsidR="00FE42B5" w14:paraId="1446EBE7" w14:textId="77777777">
        <w:tc>
          <w:tcPr>
            <w:tcW w:w="0" w:type="auto"/>
            <w:shd w:val="clear" w:color="auto" w:fill="auto"/>
            <w:tcMar>
              <w:top w:w="40" w:type="dxa"/>
              <w:left w:w="40" w:type="dxa"/>
              <w:bottom w:w="40" w:type="dxa"/>
              <w:right w:w="40" w:type="dxa"/>
            </w:tcMar>
            <w:vAlign w:val="bottom"/>
          </w:tcPr>
          <w:p w14:paraId="1446EBE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1446EBE4" w14:textId="77777777" w:rsidR="00FE42B5" w:rsidRDefault="009213DC">
            <w:pPr>
              <w:jc w:val="center"/>
              <w:textAlignment w:val="center"/>
              <w:rPr>
                <w:rFonts w:ascii="Times New Roman" w:hAnsi="Times New Roman"/>
                <w:sz w:val="16"/>
                <w:szCs w:val="16"/>
              </w:rPr>
            </w:pPr>
            <w:r>
              <w:rPr>
                <w:rFonts w:ascii="Times New Roman" w:eastAsia="宋体" w:hAnsi="Times New Roman"/>
                <w:b/>
                <w:bCs/>
                <w:sz w:val="16"/>
                <w:szCs w:val="16"/>
              </w:rPr>
              <w:t>March 31, 2020</w:t>
            </w:r>
          </w:p>
        </w:tc>
        <w:tc>
          <w:tcPr>
            <w:tcW w:w="0" w:type="auto"/>
            <w:tcBorders>
              <w:bottom w:val="single" w:sz="8" w:space="0" w:color="000000"/>
            </w:tcBorders>
            <w:shd w:val="clear" w:color="auto" w:fill="auto"/>
            <w:tcMar>
              <w:top w:w="40" w:type="dxa"/>
              <w:left w:w="40" w:type="dxa"/>
              <w:bottom w:w="40" w:type="dxa"/>
              <w:right w:w="40" w:type="dxa"/>
            </w:tcMar>
            <w:vAlign w:val="bottom"/>
          </w:tcPr>
          <w:p w14:paraId="1446EBE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1446EBE6" w14:textId="77777777" w:rsidR="00FE42B5" w:rsidRDefault="009213DC">
            <w:pPr>
              <w:jc w:val="center"/>
              <w:textAlignment w:val="center"/>
              <w:rPr>
                <w:rFonts w:ascii="Times New Roman" w:hAnsi="Times New Roman"/>
                <w:sz w:val="16"/>
                <w:szCs w:val="16"/>
              </w:rPr>
            </w:pPr>
            <w:r>
              <w:rPr>
                <w:rFonts w:ascii="Times New Roman" w:eastAsia="宋体" w:hAnsi="Times New Roman"/>
                <w:b/>
                <w:bCs/>
                <w:sz w:val="16"/>
                <w:szCs w:val="16"/>
              </w:rPr>
              <w:t>March 31, 2019</w:t>
            </w:r>
          </w:p>
        </w:tc>
      </w:tr>
      <w:tr w:rsidR="00FE42B5" w14:paraId="1446EBEC" w14:textId="77777777">
        <w:tc>
          <w:tcPr>
            <w:tcW w:w="0" w:type="auto"/>
            <w:shd w:val="clear" w:color="auto" w:fill="CCEEFF"/>
            <w:tcMar>
              <w:top w:w="40" w:type="dxa"/>
              <w:left w:w="40" w:type="dxa"/>
              <w:bottom w:w="40" w:type="dxa"/>
              <w:right w:w="40" w:type="dxa"/>
            </w:tcMar>
          </w:tcPr>
          <w:p w14:paraId="1446EBE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Cash paid for amounts included in the measurement of lease liabilities:</w:t>
            </w:r>
          </w:p>
        </w:tc>
        <w:tc>
          <w:tcPr>
            <w:tcW w:w="0" w:type="auto"/>
            <w:gridSpan w:val="3"/>
            <w:shd w:val="clear" w:color="auto" w:fill="CCEEFF"/>
            <w:tcMar>
              <w:top w:w="40" w:type="dxa"/>
              <w:left w:w="40" w:type="dxa"/>
              <w:bottom w:w="40" w:type="dxa"/>
              <w:right w:w="40" w:type="dxa"/>
            </w:tcMar>
            <w:vAlign w:val="bottom"/>
          </w:tcPr>
          <w:p w14:paraId="1446EBE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BE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BE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BF5" w14:textId="77777777">
        <w:tc>
          <w:tcPr>
            <w:tcW w:w="0" w:type="auto"/>
            <w:shd w:val="clear" w:color="auto" w:fill="auto"/>
            <w:tcMar>
              <w:top w:w="40" w:type="dxa"/>
              <w:left w:w="240" w:type="dxa"/>
              <w:bottom w:w="40" w:type="dxa"/>
              <w:right w:w="40" w:type="dxa"/>
            </w:tcMar>
          </w:tcPr>
          <w:p w14:paraId="1446EBE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     Operating cash flows from </w:t>
            </w:r>
            <w:r>
              <w:rPr>
                <w:rFonts w:ascii="Times New Roman" w:eastAsia="宋体" w:hAnsi="Times New Roman"/>
                <w:sz w:val="20"/>
                <w:szCs w:val="20"/>
              </w:rPr>
              <w:t>operating leases</w:t>
            </w:r>
          </w:p>
        </w:tc>
        <w:tc>
          <w:tcPr>
            <w:tcW w:w="0" w:type="auto"/>
            <w:shd w:val="clear" w:color="auto" w:fill="auto"/>
            <w:tcMar>
              <w:top w:w="40" w:type="dxa"/>
              <w:left w:w="40" w:type="dxa"/>
              <w:bottom w:w="40" w:type="dxa"/>
            </w:tcMar>
          </w:tcPr>
          <w:p w14:paraId="1446EBE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1446EBEF"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276</w:t>
            </w:r>
          </w:p>
        </w:tc>
        <w:tc>
          <w:tcPr>
            <w:tcW w:w="0" w:type="auto"/>
            <w:shd w:val="clear" w:color="auto" w:fill="auto"/>
            <w:vAlign w:val="bottom"/>
          </w:tcPr>
          <w:p w14:paraId="1446EBF0"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BF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446EBF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1446EBF3"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188</w:t>
            </w:r>
          </w:p>
        </w:tc>
        <w:tc>
          <w:tcPr>
            <w:tcW w:w="0" w:type="auto"/>
            <w:shd w:val="clear" w:color="auto" w:fill="auto"/>
            <w:vAlign w:val="bottom"/>
          </w:tcPr>
          <w:p w14:paraId="1446EBF4" w14:textId="77777777" w:rsidR="00FE42B5" w:rsidRDefault="00FE42B5">
            <w:pPr>
              <w:textAlignment w:val="bottom"/>
              <w:rPr>
                <w:rFonts w:ascii="Times New Roman" w:hAnsi="Times New Roman"/>
                <w:sz w:val="20"/>
                <w:szCs w:val="20"/>
              </w:rPr>
            </w:pPr>
          </w:p>
        </w:tc>
      </w:tr>
      <w:tr w:rsidR="00FE42B5" w14:paraId="1446EBFE" w14:textId="77777777">
        <w:tc>
          <w:tcPr>
            <w:tcW w:w="0" w:type="auto"/>
            <w:shd w:val="clear" w:color="auto" w:fill="CCEEFF"/>
            <w:tcMar>
              <w:top w:w="40" w:type="dxa"/>
              <w:left w:w="240" w:type="dxa"/>
              <w:bottom w:w="40" w:type="dxa"/>
              <w:right w:w="40" w:type="dxa"/>
            </w:tcMar>
          </w:tcPr>
          <w:p w14:paraId="1446EBF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Operating cash flows from finance leases</w:t>
            </w:r>
          </w:p>
        </w:tc>
        <w:tc>
          <w:tcPr>
            <w:tcW w:w="0" w:type="auto"/>
            <w:shd w:val="clear" w:color="auto" w:fill="CCEEFF"/>
            <w:tcMar>
              <w:top w:w="40" w:type="dxa"/>
              <w:left w:w="40" w:type="dxa"/>
              <w:bottom w:w="40" w:type="dxa"/>
            </w:tcMar>
          </w:tcPr>
          <w:p w14:paraId="1446EBF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1446EBF8"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1446EBF9"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BF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1446EBF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1446EBFC"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1446EBFD" w14:textId="77777777" w:rsidR="00FE42B5" w:rsidRDefault="00FE42B5">
            <w:pPr>
              <w:textAlignment w:val="bottom"/>
              <w:rPr>
                <w:rFonts w:ascii="Times New Roman" w:hAnsi="Times New Roman"/>
                <w:sz w:val="20"/>
                <w:szCs w:val="20"/>
              </w:rPr>
            </w:pPr>
          </w:p>
        </w:tc>
      </w:tr>
      <w:tr w:rsidR="00FE42B5" w14:paraId="1446EC07" w14:textId="77777777">
        <w:tc>
          <w:tcPr>
            <w:tcW w:w="0" w:type="auto"/>
            <w:shd w:val="clear" w:color="auto" w:fill="auto"/>
            <w:tcMar>
              <w:top w:w="40" w:type="dxa"/>
              <w:left w:w="240" w:type="dxa"/>
              <w:bottom w:w="40" w:type="dxa"/>
              <w:right w:w="40" w:type="dxa"/>
            </w:tcMar>
          </w:tcPr>
          <w:p w14:paraId="1446EBF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Financing cash flows from finance leases</w:t>
            </w:r>
          </w:p>
        </w:tc>
        <w:tc>
          <w:tcPr>
            <w:tcW w:w="0" w:type="auto"/>
            <w:shd w:val="clear" w:color="auto" w:fill="auto"/>
            <w:tcMar>
              <w:top w:w="40" w:type="dxa"/>
              <w:left w:w="40" w:type="dxa"/>
              <w:bottom w:w="40" w:type="dxa"/>
            </w:tcMar>
          </w:tcPr>
          <w:p w14:paraId="1446EC0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1446EC01"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100</w:t>
            </w:r>
          </w:p>
        </w:tc>
        <w:tc>
          <w:tcPr>
            <w:tcW w:w="0" w:type="auto"/>
            <w:shd w:val="clear" w:color="auto" w:fill="auto"/>
            <w:vAlign w:val="bottom"/>
          </w:tcPr>
          <w:p w14:paraId="1446EC0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C0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446EC0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1446EC05"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125</w:t>
            </w:r>
          </w:p>
        </w:tc>
        <w:tc>
          <w:tcPr>
            <w:tcW w:w="0" w:type="auto"/>
            <w:shd w:val="clear" w:color="auto" w:fill="auto"/>
            <w:vAlign w:val="bottom"/>
          </w:tcPr>
          <w:p w14:paraId="1446EC06" w14:textId="77777777" w:rsidR="00FE42B5" w:rsidRDefault="00FE42B5">
            <w:pPr>
              <w:textAlignment w:val="bottom"/>
              <w:rPr>
                <w:rFonts w:ascii="Times New Roman" w:hAnsi="Times New Roman"/>
                <w:sz w:val="20"/>
                <w:szCs w:val="20"/>
              </w:rPr>
            </w:pPr>
          </w:p>
        </w:tc>
      </w:tr>
      <w:tr w:rsidR="00FE42B5" w14:paraId="1446EC0C" w14:textId="77777777">
        <w:tc>
          <w:tcPr>
            <w:tcW w:w="0" w:type="auto"/>
            <w:shd w:val="clear" w:color="auto" w:fill="CCEEFF"/>
            <w:tcMar>
              <w:top w:w="40" w:type="dxa"/>
              <w:left w:w="40" w:type="dxa"/>
              <w:bottom w:w="40" w:type="dxa"/>
              <w:right w:w="40" w:type="dxa"/>
            </w:tcMar>
          </w:tcPr>
          <w:p w14:paraId="1446EC0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Lease liabilities arising from obtaining right-of-use assets:</w:t>
            </w:r>
          </w:p>
        </w:tc>
        <w:tc>
          <w:tcPr>
            <w:tcW w:w="0" w:type="auto"/>
            <w:gridSpan w:val="3"/>
            <w:shd w:val="clear" w:color="auto" w:fill="CCEEFF"/>
            <w:tcMar>
              <w:top w:w="40" w:type="dxa"/>
              <w:left w:w="40" w:type="dxa"/>
              <w:bottom w:w="40" w:type="dxa"/>
              <w:right w:w="40" w:type="dxa"/>
            </w:tcMar>
            <w:vAlign w:val="bottom"/>
          </w:tcPr>
          <w:p w14:paraId="1446EC0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446EC0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446EC0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C15" w14:textId="77777777">
        <w:tc>
          <w:tcPr>
            <w:tcW w:w="0" w:type="auto"/>
            <w:shd w:val="clear" w:color="auto" w:fill="auto"/>
            <w:tcMar>
              <w:top w:w="40" w:type="dxa"/>
              <w:left w:w="240" w:type="dxa"/>
              <w:bottom w:w="40" w:type="dxa"/>
              <w:right w:w="40" w:type="dxa"/>
            </w:tcMar>
          </w:tcPr>
          <w:p w14:paraId="1446EC0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Operating leases</w:t>
            </w:r>
          </w:p>
        </w:tc>
        <w:tc>
          <w:tcPr>
            <w:tcW w:w="0" w:type="auto"/>
            <w:shd w:val="clear" w:color="auto" w:fill="auto"/>
            <w:tcMar>
              <w:top w:w="40" w:type="dxa"/>
              <w:left w:w="40" w:type="dxa"/>
              <w:bottom w:w="40" w:type="dxa"/>
            </w:tcMar>
          </w:tcPr>
          <w:p w14:paraId="1446EC0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1446EC0F"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304</w:t>
            </w:r>
          </w:p>
        </w:tc>
        <w:tc>
          <w:tcPr>
            <w:tcW w:w="0" w:type="auto"/>
            <w:shd w:val="clear" w:color="auto" w:fill="auto"/>
            <w:vAlign w:val="bottom"/>
          </w:tcPr>
          <w:p w14:paraId="1446EC10"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C1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446EC1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1446EC13"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1,383</w:t>
            </w:r>
          </w:p>
        </w:tc>
        <w:tc>
          <w:tcPr>
            <w:tcW w:w="0" w:type="auto"/>
            <w:shd w:val="clear" w:color="auto" w:fill="auto"/>
            <w:vAlign w:val="bottom"/>
          </w:tcPr>
          <w:p w14:paraId="1446EC14" w14:textId="77777777" w:rsidR="00FE42B5" w:rsidRDefault="00FE42B5">
            <w:pPr>
              <w:textAlignment w:val="bottom"/>
              <w:rPr>
                <w:rFonts w:ascii="Times New Roman" w:hAnsi="Times New Roman"/>
                <w:sz w:val="20"/>
                <w:szCs w:val="20"/>
              </w:rPr>
            </w:pPr>
          </w:p>
        </w:tc>
      </w:tr>
      <w:tr w:rsidR="00FE42B5" w14:paraId="1446EC1E" w14:textId="77777777">
        <w:tc>
          <w:tcPr>
            <w:tcW w:w="0" w:type="auto"/>
            <w:shd w:val="clear" w:color="auto" w:fill="CCEEFF"/>
            <w:tcMar>
              <w:top w:w="40" w:type="dxa"/>
              <w:left w:w="240" w:type="dxa"/>
              <w:bottom w:w="40" w:type="dxa"/>
              <w:right w:w="40" w:type="dxa"/>
            </w:tcMar>
          </w:tcPr>
          <w:p w14:paraId="1446EC1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Finance leases</w:t>
            </w:r>
          </w:p>
        </w:tc>
        <w:tc>
          <w:tcPr>
            <w:tcW w:w="0" w:type="auto"/>
            <w:shd w:val="clear" w:color="auto" w:fill="CCEEFF"/>
            <w:tcMar>
              <w:top w:w="40" w:type="dxa"/>
              <w:left w:w="40" w:type="dxa"/>
              <w:bottom w:w="40" w:type="dxa"/>
            </w:tcMar>
          </w:tcPr>
          <w:p w14:paraId="1446EC1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1446EC18"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25</w:t>
            </w:r>
          </w:p>
        </w:tc>
        <w:tc>
          <w:tcPr>
            <w:tcW w:w="0" w:type="auto"/>
            <w:shd w:val="clear" w:color="auto" w:fill="CCEEFF"/>
            <w:vAlign w:val="bottom"/>
          </w:tcPr>
          <w:p w14:paraId="1446EC19"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C1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1446EC1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1446EC1C"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vAlign w:val="bottom"/>
          </w:tcPr>
          <w:p w14:paraId="1446EC1D" w14:textId="77777777" w:rsidR="00FE42B5" w:rsidRDefault="00FE42B5">
            <w:pPr>
              <w:textAlignment w:val="bottom"/>
              <w:rPr>
                <w:rFonts w:ascii="Times New Roman" w:hAnsi="Times New Roman"/>
                <w:sz w:val="20"/>
                <w:szCs w:val="20"/>
              </w:rPr>
            </w:pPr>
          </w:p>
        </w:tc>
      </w:tr>
    </w:tbl>
    <w:p w14:paraId="1446EC1F" w14:textId="77777777" w:rsidR="00FE42B5" w:rsidRDefault="00FE42B5">
      <w:pPr>
        <w:spacing w:line="288" w:lineRule="auto"/>
        <w:rPr>
          <w:rFonts w:ascii="Times New Roman" w:hAnsi="Times New Roman"/>
          <w:sz w:val="20"/>
          <w:szCs w:val="20"/>
        </w:rPr>
      </w:pPr>
    </w:p>
    <w:p w14:paraId="1446EC20"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   </w:t>
      </w:r>
    </w:p>
    <w:p w14:paraId="1446EC21" w14:textId="77777777" w:rsidR="00FE42B5" w:rsidRDefault="00FE42B5">
      <w:pPr>
        <w:rPr>
          <w:rFonts w:ascii="Times New Roman" w:hAnsi="Times New Roman"/>
          <w:sz w:val="20"/>
          <w:szCs w:val="20"/>
        </w:rPr>
      </w:pPr>
    </w:p>
    <w:p w14:paraId="1446EC22"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21</w:t>
      </w:r>
    </w:p>
    <w:p w14:paraId="1446EC23" w14:textId="77777777" w:rsidR="00FE42B5" w:rsidRDefault="009213DC">
      <w:r>
        <w:rPr>
          <w:rFonts w:ascii="Times New Roman" w:hAnsi="Times New Roman"/>
          <w:sz w:val="20"/>
          <w:szCs w:val="20"/>
        </w:rPr>
        <w:pict w14:anchorId="1446FACD">
          <v:rect id="_x0000_i1045" style="width:415.3pt;height:1.5pt" o:hralign="center" o:hrstd="t" o:hr="t" fillcolor="#a0a0a0" stroked="f"/>
        </w:pict>
      </w:r>
    </w:p>
    <w:p w14:paraId="1446EC24" w14:textId="77777777" w:rsidR="00FE42B5" w:rsidRDefault="009213DC">
      <w:pPr>
        <w:spacing w:line="288" w:lineRule="auto"/>
        <w:rPr>
          <w:rFonts w:ascii="Times New Roman" w:hAnsi="Times New Roman"/>
          <w:sz w:val="20"/>
          <w:szCs w:val="20"/>
        </w:rPr>
      </w:pPr>
      <w:hyperlink r:id="rId62" w:anchor="sBB4BED1571A45A16AF3DC2E3B69C901C" w:history="1">
        <w:r>
          <w:rPr>
            <w:rStyle w:val="a5"/>
            <w:rFonts w:ascii="Times New Roman" w:eastAsia="宋体" w:hAnsi="Times New Roman"/>
            <w:sz w:val="20"/>
            <w:szCs w:val="20"/>
          </w:rPr>
          <w:t>Table of Contents</w:t>
        </w:r>
      </w:hyperlink>
    </w:p>
    <w:p w14:paraId="1446EC25" w14:textId="77777777" w:rsidR="00FE42B5" w:rsidRDefault="00FE42B5">
      <w:pPr>
        <w:rPr>
          <w:rFonts w:ascii="Times New Roman" w:hAnsi="Times New Roman"/>
          <w:sz w:val="20"/>
          <w:szCs w:val="20"/>
        </w:rPr>
      </w:pPr>
    </w:p>
    <w:p w14:paraId="1446EC26"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Note 8. Goodwill and Intangible Assets</w:t>
      </w:r>
    </w:p>
    <w:p w14:paraId="1446EC27" w14:textId="77777777" w:rsidR="00FE42B5" w:rsidRDefault="00FE42B5">
      <w:pPr>
        <w:spacing w:line="288" w:lineRule="auto"/>
        <w:rPr>
          <w:rFonts w:ascii="Times New Roman" w:hAnsi="Times New Roman"/>
          <w:sz w:val="20"/>
          <w:szCs w:val="20"/>
        </w:rPr>
      </w:pPr>
    </w:p>
    <w:p w14:paraId="1446EC2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During the three months ended March 31, 2020, we completed business acquisitions that were not material to our condensed consolidated financial statements, either individually or in the aggregate. Accordingly, pro forma historical results of operations rel</w:t>
      </w:r>
      <w:r>
        <w:rPr>
          <w:rFonts w:ascii="Times New Roman" w:eastAsia="宋体" w:hAnsi="Times New Roman"/>
          <w:sz w:val="20"/>
          <w:szCs w:val="20"/>
        </w:rPr>
        <w:t>ated to these business acquisitions during the three months ended March 31, 2020 have not been presented. We have included the financial results of these business acquisitions in our condensed consolidated financial statements from their respective dates o</w:t>
      </w:r>
      <w:r>
        <w:rPr>
          <w:rFonts w:ascii="Times New Roman" w:eastAsia="宋体" w:hAnsi="Times New Roman"/>
          <w:sz w:val="20"/>
          <w:szCs w:val="20"/>
        </w:rPr>
        <w:t xml:space="preserve">f acquisition. </w:t>
      </w:r>
    </w:p>
    <w:p w14:paraId="1446EC2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changes in the carrying amount of goodwill for the three months ended </w:t>
      </w:r>
      <w:r>
        <w:rPr>
          <w:rFonts w:ascii="Times New Roman" w:eastAsia="宋体" w:hAnsi="Times New Roman"/>
          <w:color w:val="000000"/>
          <w:sz w:val="20"/>
          <w:szCs w:val="20"/>
        </w:rPr>
        <w:t>March 31, 2020</w:t>
      </w:r>
      <w:r>
        <w:rPr>
          <w:rFonts w:ascii="Times New Roman" w:eastAsia="宋体" w:hAnsi="Times New Roman"/>
          <w:sz w:val="20"/>
          <w:szCs w:val="20"/>
        </w:rPr>
        <w:t xml:space="preserve"> are as follows (in millions):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7019"/>
        <w:gridCol w:w="140"/>
        <w:gridCol w:w="1040"/>
        <w:gridCol w:w="107"/>
      </w:tblGrid>
      <w:tr w:rsidR="00FE42B5" w14:paraId="1446EC2B" w14:textId="77777777">
        <w:tc>
          <w:tcPr>
            <w:tcW w:w="0" w:type="auto"/>
            <w:gridSpan w:val="4"/>
            <w:shd w:val="clear" w:color="auto" w:fill="auto"/>
            <w:vAlign w:val="center"/>
          </w:tcPr>
          <w:p w14:paraId="1446EC2A" w14:textId="77777777" w:rsidR="00FE42B5" w:rsidRDefault="00FE42B5">
            <w:pPr>
              <w:rPr>
                <w:rFonts w:ascii="Times New Roman" w:hAnsi="Times New Roman"/>
                <w:sz w:val="20"/>
                <w:szCs w:val="20"/>
              </w:rPr>
            </w:pPr>
          </w:p>
        </w:tc>
      </w:tr>
      <w:tr w:rsidR="00FE42B5" w14:paraId="1446EC30" w14:textId="77777777">
        <w:tc>
          <w:tcPr>
            <w:tcW w:w="4250" w:type="pct"/>
            <w:shd w:val="clear" w:color="auto" w:fill="auto"/>
            <w:vAlign w:val="center"/>
          </w:tcPr>
          <w:p w14:paraId="1446EC2C" w14:textId="77777777" w:rsidR="00FE42B5" w:rsidRDefault="00FE42B5">
            <w:pPr>
              <w:rPr>
                <w:rFonts w:ascii="Times New Roman" w:hAnsi="Times New Roman"/>
                <w:sz w:val="20"/>
                <w:szCs w:val="20"/>
              </w:rPr>
            </w:pPr>
          </w:p>
        </w:tc>
        <w:tc>
          <w:tcPr>
            <w:tcW w:w="50" w:type="pct"/>
            <w:shd w:val="clear" w:color="auto" w:fill="auto"/>
            <w:vAlign w:val="center"/>
          </w:tcPr>
          <w:p w14:paraId="1446EC2D" w14:textId="77777777" w:rsidR="00FE42B5" w:rsidRDefault="00FE42B5">
            <w:pPr>
              <w:rPr>
                <w:rFonts w:ascii="Times New Roman" w:hAnsi="Times New Roman"/>
                <w:sz w:val="20"/>
                <w:szCs w:val="20"/>
              </w:rPr>
            </w:pPr>
          </w:p>
        </w:tc>
        <w:tc>
          <w:tcPr>
            <w:tcW w:w="650" w:type="pct"/>
            <w:shd w:val="clear" w:color="auto" w:fill="auto"/>
            <w:vAlign w:val="center"/>
          </w:tcPr>
          <w:p w14:paraId="1446EC2E" w14:textId="77777777" w:rsidR="00FE42B5" w:rsidRDefault="00FE42B5">
            <w:pPr>
              <w:rPr>
                <w:rFonts w:ascii="Times New Roman" w:hAnsi="Times New Roman"/>
                <w:sz w:val="20"/>
                <w:szCs w:val="20"/>
              </w:rPr>
            </w:pPr>
          </w:p>
        </w:tc>
        <w:tc>
          <w:tcPr>
            <w:tcW w:w="50" w:type="pct"/>
            <w:shd w:val="clear" w:color="auto" w:fill="auto"/>
            <w:vAlign w:val="center"/>
          </w:tcPr>
          <w:p w14:paraId="1446EC2F" w14:textId="77777777" w:rsidR="00FE42B5" w:rsidRDefault="00FE42B5">
            <w:pPr>
              <w:rPr>
                <w:rFonts w:ascii="Times New Roman" w:hAnsi="Times New Roman"/>
                <w:sz w:val="20"/>
                <w:szCs w:val="20"/>
              </w:rPr>
            </w:pPr>
          </w:p>
        </w:tc>
      </w:tr>
      <w:tr w:rsidR="00FE42B5" w14:paraId="1446EC35" w14:textId="77777777">
        <w:tc>
          <w:tcPr>
            <w:tcW w:w="0" w:type="auto"/>
            <w:shd w:val="clear" w:color="auto" w:fill="CCEEFF"/>
            <w:tcMar>
              <w:top w:w="40" w:type="dxa"/>
              <w:left w:w="40" w:type="dxa"/>
              <w:bottom w:w="40" w:type="dxa"/>
              <w:right w:w="40" w:type="dxa"/>
            </w:tcMar>
            <w:vAlign w:val="bottom"/>
          </w:tcPr>
          <w:p w14:paraId="1446EC3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Balance as of December 31, 2019</w:t>
            </w:r>
          </w:p>
        </w:tc>
        <w:tc>
          <w:tcPr>
            <w:tcW w:w="0" w:type="auto"/>
            <w:shd w:val="clear" w:color="auto" w:fill="CCEEFF"/>
            <w:tcMar>
              <w:top w:w="40" w:type="dxa"/>
              <w:left w:w="40" w:type="dxa"/>
              <w:bottom w:w="40" w:type="dxa"/>
            </w:tcMar>
            <w:vAlign w:val="bottom"/>
          </w:tcPr>
          <w:p w14:paraId="1446EC3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C3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18,715</w:t>
            </w:r>
          </w:p>
        </w:tc>
        <w:tc>
          <w:tcPr>
            <w:tcW w:w="0" w:type="auto"/>
            <w:shd w:val="clear" w:color="auto" w:fill="CCEEFF"/>
            <w:vAlign w:val="bottom"/>
          </w:tcPr>
          <w:p w14:paraId="1446EC34" w14:textId="77777777" w:rsidR="00FE42B5" w:rsidRDefault="00FE42B5">
            <w:pPr>
              <w:textAlignment w:val="bottom"/>
              <w:rPr>
                <w:rFonts w:ascii="Times New Roman" w:hAnsi="Times New Roman"/>
                <w:sz w:val="20"/>
                <w:szCs w:val="20"/>
              </w:rPr>
            </w:pPr>
          </w:p>
        </w:tc>
      </w:tr>
      <w:tr w:rsidR="00FE42B5" w14:paraId="1446EC39" w14:textId="77777777">
        <w:tc>
          <w:tcPr>
            <w:tcW w:w="0" w:type="auto"/>
            <w:shd w:val="clear" w:color="auto" w:fill="auto"/>
            <w:tcMar>
              <w:top w:w="40" w:type="dxa"/>
              <w:left w:w="40" w:type="dxa"/>
              <w:bottom w:w="40" w:type="dxa"/>
              <w:right w:w="40" w:type="dxa"/>
            </w:tcMar>
            <w:vAlign w:val="bottom"/>
          </w:tcPr>
          <w:p w14:paraId="1446EC3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Goodwill acquired</w:t>
            </w:r>
          </w:p>
        </w:tc>
        <w:tc>
          <w:tcPr>
            <w:tcW w:w="0" w:type="auto"/>
            <w:gridSpan w:val="2"/>
            <w:shd w:val="clear" w:color="auto" w:fill="auto"/>
            <w:tcMar>
              <w:top w:w="40" w:type="dxa"/>
              <w:left w:w="40" w:type="dxa"/>
              <w:bottom w:w="40" w:type="dxa"/>
            </w:tcMar>
            <w:vAlign w:val="bottom"/>
          </w:tcPr>
          <w:p w14:paraId="1446EC3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shd w:val="clear" w:color="auto" w:fill="auto"/>
            <w:vAlign w:val="bottom"/>
          </w:tcPr>
          <w:p w14:paraId="1446EC38" w14:textId="77777777" w:rsidR="00FE42B5" w:rsidRDefault="00FE42B5">
            <w:pPr>
              <w:textAlignment w:val="bottom"/>
              <w:rPr>
                <w:rFonts w:ascii="Times New Roman" w:hAnsi="Times New Roman"/>
                <w:sz w:val="20"/>
                <w:szCs w:val="20"/>
              </w:rPr>
            </w:pPr>
          </w:p>
        </w:tc>
      </w:tr>
      <w:tr w:rsidR="00FE42B5" w14:paraId="1446EC3D" w14:textId="77777777">
        <w:tc>
          <w:tcPr>
            <w:tcW w:w="0" w:type="auto"/>
            <w:shd w:val="clear" w:color="auto" w:fill="CCEEFF"/>
            <w:tcMar>
              <w:top w:w="40" w:type="dxa"/>
              <w:left w:w="40" w:type="dxa"/>
              <w:bottom w:w="40" w:type="dxa"/>
              <w:right w:w="40" w:type="dxa"/>
            </w:tcMar>
            <w:vAlign w:val="bottom"/>
          </w:tcPr>
          <w:p w14:paraId="1446EC3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xml:space="preserve">Effect of currency translation </w:t>
            </w:r>
            <w:r>
              <w:rPr>
                <w:rFonts w:ascii="Times New Roman" w:eastAsia="宋体" w:hAnsi="Times New Roman"/>
                <w:sz w:val="20"/>
                <w:szCs w:val="20"/>
              </w:rPr>
              <w:t>adjustment</w:t>
            </w:r>
          </w:p>
        </w:tc>
        <w:tc>
          <w:tcPr>
            <w:tcW w:w="0" w:type="auto"/>
            <w:gridSpan w:val="2"/>
            <w:shd w:val="clear" w:color="auto" w:fill="CCEEFF"/>
            <w:tcMar>
              <w:top w:w="40" w:type="dxa"/>
              <w:left w:w="40" w:type="dxa"/>
              <w:bottom w:w="40" w:type="dxa"/>
            </w:tcMar>
            <w:vAlign w:val="bottom"/>
          </w:tcPr>
          <w:p w14:paraId="1446EC3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1446EC3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C42" w14:textId="77777777">
        <w:tc>
          <w:tcPr>
            <w:tcW w:w="0" w:type="auto"/>
            <w:shd w:val="clear" w:color="auto" w:fill="auto"/>
            <w:tcMar>
              <w:top w:w="40" w:type="dxa"/>
              <w:left w:w="40" w:type="dxa"/>
              <w:bottom w:w="40" w:type="dxa"/>
              <w:right w:w="40" w:type="dxa"/>
            </w:tcMar>
            <w:vAlign w:val="bottom"/>
          </w:tcPr>
          <w:p w14:paraId="1446EC3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Balance as of March 31, 2020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C3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C4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18,811</w:t>
            </w:r>
          </w:p>
        </w:tc>
        <w:tc>
          <w:tcPr>
            <w:tcW w:w="0" w:type="auto"/>
            <w:tcBorders>
              <w:top w:val="single" w:sz="8" w:space="0" w:color="000000"/>
              <w:bottom w:val="double" w:sz="6" w:space="0" w:color="000000"/>
            </w:tcBorders>
            <w:shd w:val="clear" w:color="auto" w:fill="auto"/>
            <w:vAlign w:val="bottom"/>
          </w:tcPr>
          <w:p w14:paraId="1446EC41" w14:textId="77777777" w:rsidR="00FE42B5" w:rsidRDefault="00FE42B5">
            <w:pPr>
              <w:textAlignment w:val="bottom"/>
              <w:rPr>
                <w:rFonts w:ascii="Times New Roman" w:hAnsi="Times New Roman"/>
                <w:sz w:val="20"/>
                <w:szCs w:val="20"/>
              </w:rPr>
            </w:pPr>
          </w:p>
        </w:tc>
      </w:tr>
    </w:tbl>
    <w:p w14:paraId="1446EC43" w14:textId="77777777" w:rsidR="00FE42B5" w:rsidRDefault="00FE42B5">
      <w:pPr>
        <w:spacing w:line="288" w:lineRule="auto"/>
        <w:rPr>
          <w:rFonts w:ascii="Times New Roman" w:hAnsi="Times New Roman"/>
          <w:sz w:val="20"/>
          <w:szCs w:val="20"/>
        </w:rPr>
      </w:pPr>
    </w:p>
    <w:p w14:paraId="1446EC4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sets forth the major categories of the intangible assets and the weighted</w:t>
      </w:r>
      <w:r>
        <w:rPr>
          <w:rFonts w:ascii="Times New Roman" w:eastAsia="宋体" w:hAnsi="Times New Roman"/>
          <w:sz w:val="20"/>
          <w:szCs w:val="20"/>
        </w:rPr>
        <w:noBreakHyphen/>
        <w:t xml:space="preserve">average remaining useful lives for those assets that are not already fully amortized (in </w:t>
      </w:r>
      <w:r>
        <w:rPr>
          <w:rFonts w:ascii="Times New Roman" w:eastAsia="宋体" w:hAnsi="Times New Roman"/>
          <w:sz w:val="20"/>
          <w:szCs w:val="20"/>
        </w:rPr>
        <w:t>millions):</w:t>
      </w:r>
    </w:p>
    <w:tbl>
      <w:tblPr>
        <w:tblW w:w="5000" w:type="pct"/>
        <w:tblCellMar>
          <w:left w:w="0" w:type="dxa"/>
          <w:right w:w="0" w:type="dxa"/>
        </w:tblCellMar>
        <w:tblLook w:val="04A0" w:firstRow="1" w:lastRow="0" w:firstColumn="1" w:lastColumn="0" w:noHBand="0" w:noVBand="1"/>
      </w:tblPr>
      <w:tblGrid>
        <w:gridCol w:w="889"/>
        <w:gridCol w:w="1389"/>
        <w:gridCol w:w="125"/>
        <w:gridCol w:w="135"/>
        <w:gridCol w:w="574"/>
        <w:gridCol w:w="72"/>
        <w:gridCol w:w="125"/>
        <w:gridCol w:w="135"/>
        <w:gridCol w:w="841"/>
        <w:gridCol w:w="101"/>
        <w:gridCol w:w="125"/>
        <w:gridCol w:w="135"/>
        <w:gridCol w:w="574"/>
        <w:gridCol w:w="72"/>
        <w:gridCol w:w="125"/>
        <w:gridCol w:w="135"/>
        <w:gridCol w:w="574"/>
        <w:gridCol w:w="72"/>
        <w:gridCol w:w="125"/>
        <w:gridCol w:w="135"/>
        <w:gridCol w:w="841"/>
        <w:gridCol w:w="101"/>
        <w:gridCol w:w="125"/>
        <w:gridCol w:w="135"/>
        <w:gridCol w:w="574"/>
        <w:gridCol w:w="72"/>
      </w:tblGrid>
      <w:tr w:rsidR="00FE42B5" w14:paraId="1446EC46" w14:textId="77777777">
        <w:tc>
          <w:tcPr>
            <w:tcW w:w="0" w:type="auto"/>
            <w:gridSpan w:val="26"/>
            <w:shd w:val="clear" w:color="auto" w:fill="auto"/>
            <w:vAlign w:val="center"/>
          </w:tcPr>
          <w:p w14:paraId="1446EC45" w14:textId="77777777" w:rsidR="00FE42B5" w:rsidRDefault="00FE42B5">
            <w:pPr>
              <w:rPr>
                <w:rFonts w:ascii="Times New Roman" w:hAnsi="Times New Roman"/>
                <w:sz w:val="20"/>
                <w:szCs w:val="20"/>
              </w:rPr>
            </w:pPr>
          </w:p>
        </w:tc>
      </w:tr>
      <w:tr w:rsidR="00FE42B5" w14:paraId="1446EC61" w14:textId="77777777">
        <w:tc>
          <w:tcPr>
            <w:tcW w:w="900" w:type="pct"/>
            <w:shd w:val="clear" w:color="auto" w:fill="auto"/>
            <w:vAlign w:val="center"/>
          </w:tcPr>
          <w:p w14:paraId="1446EC47" w14:textId="77777777" w:rsidR="00FE42B5" w:rsidRDefault="00FE42B5">
            <w:pPr>
              <w:rPr>
                <w:rFonts w:ascii="Times New Roman" w:hAnsi="Times New Roman"/>
                <w:sz w:val="20"/>
                <w:szCs w:val="20"/>
              </w:rPr>
            </w:pPr>
          </w:p>
        </w:tc>
        <w:tc>
          <w:tcPr>
            <w:tcW w:w="600" w:type="pct"/>
            <w:shd w:val="clear" w:color="auto" w:fill="auto"/>
            <w:vAlign w:val="center"/>
          </w:tcPr>
          <w:p w14:paraId="1446EC48" w14:textId="77777777" w:rsidR="00FE42B5" w:rsidRDefault="00FE42B5">
            <w:pPr>
              <w:rPr>
                <w:rFonts w:ascii="Times New Roman" w:hAnsi="Times New Roman"/>
                <w:sz w:val="20"/>
                <w:szCs w:val="20"/>
              </w:rPr>
            </w:pPr>
          </w:p>
        </w:tc>
        <w:tc>
          <w:tcPr>
            <w:tcW w:w="50" w:type="pct"/>
            <w:shd w:val="clear" w:color="auto" w:fill="auto"/>
            <w:vAlign w:val="center"/>
          </w:tcPr>
          <w:p w14:paraId="1446EC49" w14:textId="77777777" w:rsidR="00FE42B5" w:rsidRDefault="00FE42B5">
            <w:pPr>
              <w:rPr>
                <w:rFonts w:ascii="Times New Roman" w:hAnsi="Times New Roman"/>
                <w:sz w:val="20"/>
                <w:szCs w:val="20"/>
              </w:rPr>
            </w:pPr>
          </w:p>
        </w:tc>
        <w:tc>
          <w:tcPr>
            <w:tcW w:w="50" w:type="pct"/>
            <w:shd w:val="clear" w:color="auto" w:fill="auto"/>
            <w:vAlign w:val="center"/>
          </w:tcPr>
          <w:p w14:paraId="1446EC4A" w14:textId="77777777" w:rsidR="00FE42B5" w:rsidRDefault="00FE42B5">
            <w:pPr>
              <w:rPr>
                <w:rFonts w:ascii="Times New Roman" w:hAnsi="Times New Roman"/>
                <w:sz w:val="20"/>
                <w:szCs w:val="20"/>
              </w:rPr>
            </w:pPr>
          </w:p>
        </w:tc>
        <w:tc>
          <w:tcPr>
            <w:tcW w:w="400" w:type="pct"/>
            <w:shd w:val="clear" w:color="auto" w:fill="auto"/>
            <w:vAlign w:val="center"/>
          </w:tcPr>
          <w:p w14:paraId="1446EC4B" w14:textId="77777777" w:rsidR="00FE42B5" w:rsidRDefault="00FE42B5">
            <w:pPr>
              <w:rPr>
                <w:rFonts w:ascii="Times New Roman" w:hAnsi="Times New Roman"/>
                <w:sz w:val="20"/>
                <w:szCs w:val="20"/>
              </w:rPr>
            </w:pPr>
          </w:p>
        </w:tc>
        <w:tc>
          <w:tcPr>
            <w:tcW w:w="50" w:type="pct"/>
            <w:shd w:val="clear" w:color="auto" w:fill="auto"/>
            <w:vAlign w:val="center"/>
          </w:tcPr>
          <w:p w14:paraId="1446EC4C" w14:textId="77777777" w:rsidR="00FE42B5" w:rsidRDefault="00FE42B5">
            <w:pPr>
              <w:rPr>
                <w:rFonts w:ascii="Times New Roman" w:hAnsi="Times New Roman"/>
                <w:sz w:val="20"/>
                <w:szCs w:val="20"/>
              </w:rPr>
            </w:pPr>
          </w:p>
        </w:tc>
        <w:tc>
          <w:tcPr>
            <w:tcW w:w="50" w:type="pct"/>
            <w:shd w:val="clear" w:color="auto" w:fill="auto"/>
            <w:vAlign w:val="center"/>
          </w:tcPr>
          <w:p w14:paraId="1446EC4D" w14:textId="77777777" w:rsidR="00FE42B5" w:rsidRDefault="00FE42B5">
            <w:pPr>
              <w:rPr>
                <w:rFonts w:ascii="Times New Roman" w:hAnsi="Times New Roman"/>
                <w:sz w:val="20"/>
                <w:szCs w:val="20"/>
              </w:rPr>
            </w:pPr>
          </w:p>
        </w:tc>
        <w:tc>
          <w:tcPr>
            <w:tcW w:w="50" w:type="pct"/>
            <w:shd w:val="clear" w:color="auto" w:fill="auto"/>
            <w:vAlign w:val="center"/>
          </w:tcPr>
          <w:p w14:paraId="1446EC4E" w14:textId="77777777" w:rsidR="00FE42B5" w:rsidRDefault="00FE42B5">
            <w:pPr>
              <w:rPr>
                <w:rFonts w:ascii="Times New Roman" w:hAnsi="Times New Roman"/>
                <w:sz w:val="20"/>
                <w:szCs w:val="20"/>
              </w:rPr>
            </w:pPr>
          </w:p>
        </w:tc>
        <w:tc>
          <w:tcPr>
            <w:tcW w:w="500" w:type="pct"/>
            <w:shd w:val="clear" w:color="auto" w:fill="auto"/>
            <w:vAlign w:val="center"/>
          </w:tcPr>
          <w:p w14:paraId="1446EC4F" w14:textId="77777777" w:rsidR="00FE42B5" w:rsidRDefault="00FE42B5">
            <w:pPr>
              <w:rPr>
                <w:rFonts w:ascii="Times New Roman" w:hAnsi="Times New Roman"/>
                <w:sz w:val="20"/>
                <w:szCs w:val="20"/>
              </w:rPr>
            </w:pPr>
          </w:p>
        </w:tc>
        <w:tc>
          <w:tcPr>
            <w:tcW w:w="50" w:type="pct"/>
            <w:shd w:val="clear" w:color="auto" w:fill="auto"/>
            <w:vAlign w:val="center"/>
          </w:tcPr>
          <w:p w14:paraId="1446EC50" w14:textId="77777777" w:rsidR="00FE42B5" w:rsidRDefault="00FE42B5">
            <w:pPr>
              <w:rPr>
                <w:rFonts w:ascii="Times New Roman" w:hAnsi="Times New Roman"/>
                <w:sz w:val="20"/>
                <w:szCs w:val="20"/>
              </w:rPr>
            </w:pPr>
          </w:p>
        </w:tc>
        <w:tc>
          <w:tcPr>
            <w:tcW w:w="50" w:type="pct"/>
            <w:shd w:val="clear" w:color="auto" w:fill="auto"/>
            <w:vAlign w:val="center"/>
          </w:tcPr>
          <w:p w14:paraId="1446EC51" w14:textId="77777777" w:rsidR="00FE42B5" w:rsidRDefault="00FE42B5">
            <w:pPr>
              <w:rPr>
                <w:rFonts w:ascii="Times New Roman" w:hAnsi="Times New Roman"/>
                <w:sz w:val="20"/>
                <w:szCs w:val="20"/>
              </w:rPr>
            </w:pPr>
          </w:p>
        </w:tc>
        <w:tc>
          <w:tcPr>
            <w:tcW w:w="50" w:type="pct"/>
            <w:shd w:val="clear" w:color="auto" w:fill="auto"/>
            <w:vAlign w:val="center"/>
          </w:tcPr>
          <w:p w14:paraId="1446EC52" w14:textId="77777777" w:rsidR="00FE42B5" w:rsidRDefault="00FE42B5">
            <w:pPr>
              <w:rPr>
                <w:rFonts w:ascii="Times New Roman" w:hAnsi="Times New Roman"/>
                <w:sz w:val="20"/>
                <w:szCs w:val="20"/>
              </w:rPr>
            </w:pPr>
          </w:p>
        </w:tc>
        <w:tc>
          <w:tcPr>
            <w:tcW w:w="400" w:type="pct"/>
            <w:shd w:val="clear" w:color="auto" w:fill="auto"/>
            <w:vAlign w:val="center"/>
          </w:tcPr>
          <w:p w14:paraId="1446EC53" w14:textId="77777777" w:rsidR="00FE42B5" w:rsidRDefault="00FE42B5">
            <w:pPr>
              <w:rPr>
                <w:rFonts w:ascii="Times New Roman" w:hAnsi="Times New Roman"/>
                <w:sz w:val="20"/>
                <w:szCs w:val="20"/>
              </w:rPr>
            </w:pPr>
          </w:p>
        </w:tc>
        <w:tc>
          <w:tcPr>
            <w:tcW w:w="50" w:type="pct"/>
            <w:shd w:val="clear" w:color="auto" w:fill="auto"/>
            <w:vAlign w:val="center"/>
          </w:tcPr>
          <w:p w14:paraId="1446EC54" w14:textId="77777777" w:rsidR="00FE42B5" w:rsidRDefault="00FE42B5">
            <w:pPr>
              <w:rPr>
                <w:rFonts w:ascii="Times New Roman" w:hAnsi="Times New Roman"/>
                <w:sz w:val="20"/>
                <w:szCs w:val="20"/>
              </w:rPr>
            </w:pPr>
          </w:p>
        </w:tc>
        <w:tc>
          <w:tcPr>
            <w:tcW w:w="50" w:type="pct"/>
            <w:shd w:val="clear" w:color="auto" w:fill="auto"/>
            <w:vAlign w:val="center"/>
          </w:tcPr>
          <w:p w14:paraId="1446EC55" w14:textId="77777777" w:rsidR="00FE42B5" w:rsidRDefault="00FE42B5">
            <w:pPr>
              <w:rPr>
                <w:rFonts w:ascii="Times New Roman" w:hAnsi="Times New Roman"/>
                <w:sz w:val="20"/>
                <w:szCs w:val="20"/>
              </w:rPr>
            </w:pPr>
          </w:p>
        </w:tc>
        <w:tc>
          <w:tcPr>
            <w:tcW w:w="50" w:type="pct"/>
            <w:shd w:val="clear" w:color="auto" w:fill="auto"/>
            <w:vAlign w:val="center"/>
          </w:tcPr>
          <w:p w14:paraId="1446EC56" w14:textId="77777777" w:rsidR="00FE42B5" w:rsidRDefault="00FE42B5">
            <w:pPr>
              <w:rPr>
                <w:rFonts w:ascii="Times New Roman" w:hAnsi="Times New Roman"/>
                <w:sz w:val="20"/>
                <w:szCs w:val="20"/>
              </w:rPr>
            </w:pPr>
          </w:p>
        </w:tc>
        <w:tc>
          <w:tcPr>
            <w:tcW w:w="400" w:type="pct"/>
            <w:shd w:val="clear" w:color="auto" w:fill="auto"/>
            <w:vAlign w:val="center"/>
          </w:tcPr>
          <w:p w14:paraId="1446EC57" w14:textId="77777777" w:rsidR="00FE42B5" w:rsidRDefault="00FE42B5">
            <w:pPr>
              <w:rPr>
                <w:rFonts w:ascii="Times New Roman" w:hAnsi="Times New Roman"/>
                <w:sz w:val="20"/>
                <w:szCs w:val="20"/>
              </w:rPr>
            </w:pPr>
          </w:p>
        </w:tc>
        <w:tc>
          <w:tcPr>
            <w:tcW w:w="50" w:type="pct"/>
            <w:shd w:val="clear" w:color="auto" w:fill="auto"/>
            <w:vAlign w:val="center"/>
          </w:tcPr>
          <w:p w14:paraId="1446EC58" w14:textId="77777777" w:rsidR="00FE42B5" w:rsidRDefault="00FE42B5">
            <w:pPr>
              <w:rPr>
                <w:rFonts w:ascii="Times New Roman" w:hAnsi="Times New Roman"/>
                <w:sz w:val="20"/>
                <w:szCs w:val="20"/>
              </w:rPr>
            </w:pPr>
          </w:p>
        </w:tc>
        <w:tc>
          <w:tcPr>
            <w:tcW w:w="50" w:type="pct"/>
            <w:shd w:val="clear" w:color="auto" w:fill="auto"/>
            <w:vAlign w:val="center"/>
          </w:tcPr>
          <w:p w14:paraId="1446EC59" w14:textId="77777777" w:rsidR="00FE42B5" w:rsidRDefault="00FE42B5">
            <w:pPr>
              <w:rPr>
                <w:rFonts w:ascii="Times New Roman" w:hAnsi="Times New Roman"/>
                <w:sz w:val="20"/>
                <w:szCs w:val="20"/>
              </w:rPr>
            </w:pPr>
          </w:p>
        </w:tc>
        <w:tc>
          <w:tcPr>
            <w:tcW w:w="50" w:type="pct"/>
            <w:shd w:val="clear" w:color="auto" w:fill="auto"/>
            <w:vAlign w:val="center"/>
          </w:tcPr>
          <w:p w14:paraId="1446EC5A" w14:textId="77777777" w:rsidR="00FE42B5" w:rsidRDefault="00FE42B5">
            <w:pPr>
              <w:rPr>
                <w:rFonts w:ascii="Times New Roman" w:hAnsi="Times New Roman"/>
                <w:sz w:val="20"/>
                <w:szCs w:val="20"/>
              </w:rPr>
            </w:pPr>
          </w:p>
        </w:tc>
        <w:tc>
          <w:tcPr>
            <w:tcW w:w="500" w:type="pct"/>
            <w:shd w:val="clear" w:color="auto" w:fill="auto"/>
            <w:vAlign w:val="center"/>
          </w:tcPr>
          <w:p w14:paraId="1446EC5B" w14:textId="77777777" w:rsidR="00FE42B5" w:rsidRDefault="00FE42B5">
            <w:pPr>
              <w:rPr>
                <w:rFonts w:ascii="Times New Roman" w:hAnsi="Times New Roman"/>
                <w:sz w:val="20"/>
                <w:szCs w:val="20"/>
              </w:rPr>
            </w:pPr>
          </w:p>
        </w:tc>
        <w:tc>
          <w:tcPr>
            <w:tcW w:w="50" w:type="pct"/>
            <w:shd w:val="clear" w:color="auto" w:fill="auto"/>
            <w:vAlign w:val="center"/>
          </w:tcPr>
          <w:p w14:paraId="1446EC5C" w14:textId="77777777" w:rsidR="00FE42B5" w:rsidRDefault="00FE42B5">
            <w:pPr>
              <w:rPr>
                <w:rFonts w:ascii="Times New Roman" w:hAnsi="Times New Roman"/>
                <w:sz w:val="20"/>
                <w:szCs w:val="20"/>
              </w:rPr>
            </w:pPr>
          </w:p>
        </w:tc>
        <w:tc>
          <w:tcPr>
            <w:tcW w:w="50" w:type="pct"/>
            <w:shd w:val="clear" w:color="auto" w:fill="auto"/>
            <w:vAlign w:val="center"/>
          </w:tcPr>
          <w:p w14:paraId="1446EC5D" w14:textId="77777777" w:rsidR="00FE42B5" w:rsidRDefault="00FE42B5">
            <w:pPr>
              <w:rPr>
                <w:rFonts w:ascii="Times New Roman" w:hAnsi="Times New Roman"/>
                <w:sz w:val="20"/>
                <w:szCs w:val="20"/>
              </w:rPr>
            </w:pPr>
          </w:p>
        </w:tc>
        <w:tc>
          <w:tcPr>
            <w:tcW w:w="50" w:type="pct"/>
            <w:shd w:val="clear" w:color="auto" w:fill="auto"/>
            <w:vAlign w:val="center"/>
          </w:tcPr>
          <w:p w14:paraId="1446EC5E" w14:textId="77777777" w:rsidR="00FE42B5" w:rsidRDefault="00FE42B5">
            <w:pPr>
              <w:rPr>
                <w:rFonts w:ascii="Times New Roman" w:hAnsi="Times New Roman"/>
                <w:sz w:val="20"/>
                <w:szCs w:val="20"/>
              </w:rPr>
            </w:pPr>
          </w:p>
        </w:tc>
        <w:tc>
          <w:tcPr>
            <w:tcW w:w="400" w:type="pct"/>
            <w:shd w:val="clear" w:color="auto" w:fill="auto"/>
            <w:vAlign w:val="center"/>
          </w:tcPr>
          <w:p w14:paraId="1446EC5F" w14:textId="77777777" w:rsidR="00FE42B5" w:rsidRDefault="00FE42B5">
            <w:pPr>
              <w:rPr>
                <w:rFonts w:ascii="Times New Roman" w:hAnsi="Times New Roman"/>
                <w:sz w:val="20"/>
                <w:szCs w:val="20"/>
              </w:rPr>
            </w:pPr>
          </w:p>
        </w:tc>
        <w:tc>
          <w:tcPr>
            <w:tcW w:w="50" w:type="pct"/>
            <w:shd w:val="clear" w:color="auto" w:fill="auto"/>
            <w:vAlign w:val="center"/>
          </w:tcPr>
          <w:p w14:paraId="1446EC60" w14:textId="77777777" w:rsidR="00FE42B5" w:rsidRDefault="00FE42B5">
            <w:pPr>
              <w:rPr>
                <w:rFonts w:ascii="Times New Roman" w:hAnsi="Times New Roman"/>
                <w:sz w:val="20"/>
                <w:szCs w:val="20"/>
              </w:rPr>
            </w:pPr>
          </w:p>
        </w:tc>
      </w:tr>
      <w:tr w:rsidR="00FE42B5" w14:paraId="1446EC68" w14:textId="77777777">
        <w:tc>
          <w:tcPr>
            <w:tcW w:w="0" w:type="auto"/>
            <w:shd w:val="clear" w:color="auto" w:fill="auto"/>
            <w:tcMar>
              <w:top w:w="40" w:type="dxa"/>
              <w:left w:w="40" w:type="dxa"/>
              <w:bottom w:w="40" w:type="dxa"/>
              <w:right w:w="40" w:type="dxa"/>
            </w:tcMar>
            <w:vAlign w:val="bottom"/>
          </w:tcPr>
          <w:p w14:paraId="1446EC6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C6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C6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446EC65" w14:textId="77777777" w:rsidR="00FE42B5" w:rsidRDefault="009213DC">
            <w:pPr>
              <w:jc w:val="center"/>
              <w:textAlignment w:val="bottom"/>
              <w:rPr>
                <w:rFonts w:ascii="Times New Roman" w:hAnsi="Times New Roman"/>
                <w:sz w:val="18"/>
                <w:szCs w:val="18"/>
              </w:rPr>
            </w:pPr>
            <w:r>
              <w:rPr>
                <w:rFonts w:ascii="Times New Roman" w:eastAsia="宋体" w:hAnsi="Times New Roman"/>
                <w:b/>
                <w:bCs/>
                <w:sz w:val="18"/>
                <w:szCs w:val="18"/>
              </w:rPr>
              <w:t>March 31, 2020</w:t>
            </w:r>
          </w:p>
        </w:tc>
        <w:tc>
          <w:tcPr>
            <w:tcW w:w="0" w:type="auto"/>
            <w:shd w:val="clear" w:color="auto" w:fill="auto"/>
            <w:tcMar>
              <w:top w:w="40" w:type="dxa"/>
              <w:left w:w="40" w:type="dxa"/>
              <w:bottom w:w="40" w:type="dxa"/>
              <w:right w:w="40" w:type="dxa"/>
            </w:tcMar>
            <w:vAlign w:val="bottom"/>
          </w:tcPr>
          <w:p w14:paraId="1446EC6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446EC67" w14:textId="77777777" w:rsidR="00FE42B5" w:rsidRDefault="009213DC">
            <w:pPr>
              <w:jc w:val="center"/>
              <w:textAlignment w:val="bottom"/>
              <w:rPr>
                <w:rFonts w:ascii="Times New Roman" w:hAnsi="Times New Roman"/>
                <w:sz w:val="18"/>
                <w:szCs w:val="18"/>
              </w:rPr>
            </w:pPr>
            <w:r>
              <w:rPr>
                <w:rFonts w:ascii="Times New Roman" w:eastAsia="宋体" w:hAnsi="Times New Roman"/>
                <w:b/>
                <w:bCs/>
                <w:sz w:val="18"/>
                <w:szCs w:val="18"/>
              </w:rPr>
              <w:t>December 31, 2019</w:t>
            </w:r>
          </w:p>
        </w:tc>
      </w:tr>
      <w:tr w:rsidR="00FE42B5" w14:paraId="1446EC77" w14:textId="77777777">
        <w:tc>
          <w:tcPr>
            <w:tcW w:w="0" w:type="auto"/>
            <w:shd w:val="clear" w:color="auto" w:fill="auto"/>
            <w:tcMar>
              <w:top w:w="40" w:type="dxa"/>
              <w:left w:w="40" w:type="dxa"/>
              <w:bottom w:w="40" w:type="dxa"/>
              <w:right w:w="40" w:type="dxa"/>
            </w:tcMar>
            <w:vAlign w:val="bottom"/>
          </w:tcPr>
          <w:p w14:paraId="1446EC6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446EC6A" w14:textId="77777777" w:rsidR="00FE42B5" w:rsidRDefault="009213DC">
            <w:pPr>
              <w:jc w:val="center"/>
              <w:textAlignment w:val="bottom"/>
              <w:rPr>
                <w:rFonts w:ascii="Times New Roman" w:hAnsi="Times New Roman"/>
                <w:sz w:val="18"/>
                <w:szCs w:val="18"/>
              </w:rPr>
            </w:pPr>
            <w:r>
              <w:rPr>
                <w:rFonts w:ascii="Times New Roman" w:eastAsia="宋体" w:hAnsi="Times New Roman"/>
                <w:b/>
                <w:bCs/>
                <w:sz w:val="18"/>
                <w:szCs w:val="18"/>
              </w:rPr>
              <w:t>Weighted-Average Remaining Useful Lives (in years)</w:t>
            </w:r>
          </w:p>
        </w:tc>
        <w:tc>
          <w:tcPr>
            <w:tcW w:w="0" w:type="auto"/>
            <w:shd w:val="clear" w:color="auto" w:fill="auto"/>
            <w:tcMar>
              <w:top w:w="40" w:type="dxa"/>
              <w:left w:w="40" w:type="dxa"/>
              <w:bottom w:w="40" w:type="dxa"/>
              <w:right w:w="40" w:type="dxa"/>
            </w:tcMar>
            <w:vAlign w:val="bottom"/>
          </w:tcPr>
          <w:p w14:paraId="1446EC6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C6C" w14:textId="77777777" w:rsidR="00FE42B5" w:rsidRDefault="009213DC">
            <w:pPr>
              <w:jc w:val="center"/>
              <w:textAlignment w:val="bottom"/>
              <w:rPr>
                <w:rFonts w:ascii="Times New Roman" w:hAnsi="Times New Roman"/>
                <w:sz w:val="18"/>
                <w:szCs w:val="18"/>
              </w:rPr>
            </w:pPr>
            <w:r>
              <w:rPr>
                <w:rFonts w:ascii="Times New Roman" w:eastAsia="宋体" w:hAnsi="Times New Roman"/>
                <w:b/>
                <w:bCs/>
                <w:sz w:val="18"/>
                <w:szCs w:val="18"/>
              </w:rPr>
              <w:t>Gross Carrying Amount</w:t>
            </w:r>
          </w:p>
        </w:tc>
        <w:tc>
          <w:tcPr>
            <w:tcW w:w="0" w:type="auto"/>
            <w:shd w:val="clear" w:color="auto" w:fill="auto"/>
            <w:tcMar>
              <w:top w:w="40" w:type="dxa"/>
              <w:left w:w="40" w:type="dxa"/>
              <w:bottom w:w="40" w:type="dxa"/>
              <w:right w:w="40" w:type="dxa"/>
            </w:tcMar>
            <w:vAlign w:val="bottom"/>
          </w:tcPr>
          <w:p w14:paraId="1446EC6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C6E" w14:textId="77777777" w:rsidR="00FE42B5" w:rsidRDefault="009213DC">
            <w:pPr>
              <w:jc w:val="center"/>
              <w:textAlignment w:val="bottom"/>
              <w:rPr>
                <w:rFonts w:ascii="Times New Roman" w:hAnsi="Times New Roman"/>
                <w:sz w:val="18"/>
                <w:szCs w:val="18"/>
              </w:rPr>
            </w:pPr>
            <w:r>
              <w:rPr>
                <w:rFonts w:ascii="Times New Roman" w:eastAsia="宋体" w:hAnsi="Times New Roman"/>
                <w:b/>
                <w:bCs/>
                <w:sz w:val="18"/>
                <w:szCs w:val="18"/>
              </w:rPr>
              <w:t>Accumulated Amortization</w:t>
            </w:r>
          </w:p>
        </w:tc>
        <w:tc>
          <w:tcPr>
            <w:tcW w:w="0" w:type="auto"/>
            <w:shd w:val="clear" w:color="auto" w:fill="auto"/>
            <w:tcMar>
              <w:top w:w="40" w:type="dxa"/>
              <w:left w:w="40" w:type="dxa"/>
              <w:bottom w:w="40" w:type="dxa"/>
              <w:right w:w="40" w:type="dxa"/>
            </w:tcMar>
            <w:vAlign w:val="bottom"/>
          </w:tcPr>
          <w:p w14:paraId="1446EC6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C70" w14:textId="77777777" w:rsidR="00FE42B5" w:rsidRDefault="009213DC">
            <w:pPr>
              <w:jc w:val="center"/>
              <w:textAlignment w:val="bottom"/>
              <w:rPr>
                <w:rFonts w:ascii="Times New Roman" w:hAnsi="Times New Roman"/>
                <w:sz w:val="18"/>
                <w:szCs w:val="18"/>
              </w:rPr>
            </w:pPr>
            <w:r>
              <w:rPr>
                <w:rFonts w:ascii="Times New Roman" w:eastAsia="宋体" w:hAnsi="Times New Roman"/>
                <w:b/>
                <w:bCs/>
                <w:sz w:val="18"/>
                <w:szCs w:val="18"/>
              </w:rPr>
              <w:t>Net Carrying Amount</w:t>
            </w:r>
          </w:p>
        </w:tc>
        <w:tc>
          <w:tcPr>
            <w:tcW w:w="0" w:type="auto"/>
            <w:shd w:val="clear" w:color="auto" w:fill="auto"/>
            <w:tcMar>
              <w:top w:w="40" w:type="dxa"/>
              <w:left w:w="40" w:type="dxa"/>
              <w:bottom w:w="40" w:type="dxa"/>
              <w:right w:w="40" w:type="dxa"/>
            </w:tcMar>
            <w:vAlign w:val="bottom"/>
          </w:tcPr>
          <w:p w14:paraId="1446EC7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C72" w14:textId="77777777" w:rsidR="00FE42B5" w:rsidRDefault="009213DC">
            <w:pPr>
              <w:jc w:val="center"/>
              <w:textAlignment w:val="bottom"/>
              <w:rPr>
                <w:rFonts w:ascii="Times New Roman" w:hAnsi="Times New Roman"/>
                <w:sz w:val="18"/>
                <w:szCs w:val="18"/>
              </w:rPr>
            </w:pPr>
            <w:r>
              <w:rPr>
                <w:rFonts w:ascii="Times New Roman" w:eastAsia="宋体" w:hAnsi="Times New Roman"/>
                <w:b/>
                <w:bCs/>
                <w:sz w:val="18"/>
                <w:szCs w:val="18"/>
              </w:rPr>
              <w:t>Gross Carrying Amount</w:t>
            </w:r>
          </w:p>
        </w:tc>
        <w:tc>
          <w:tcPr>
            <w:tcW w:w="0" w:type="auto"/>
            <w:shd w:val="clear" w:color="auto" w:fill="auto"/>
            <w:tcMar>
              <w:top w:w="40" w:type="dxa"/>
              <w:left w:w="40" w:type="dxa"/>
              <w:bottom w:w="40" w:type="dxa"/>
              <w:right w:w="40" w:type="dxa"/>
            </w:tcMar>
            <w:vAlign w:val="bottom"/>
          </w:tcPr>
          <w:p w14:paraId="1446EC7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C74" w14:textId="77777777" w:rsidR="00FE42B5" w:rsidRDefault="009213DC">
            <w:pPr>
              <w:jc w:val="center"/>
              <w:textAlignment w:val="bottom"/>
              <w:rPr>
                <w:rFonts w:ascii="Times New Roman" w:hAnsi="Times New Roman"/>
                <w:sz w:val="18"/>
                <w:szCs w:val="18"/>
              </w:rPr>
            </w:pPr>
            <w:r>
              <w:rPr>
                <w:rFonts w:ascii="Times New Roman" w:eastAsia="宋体" w:hAnsi="Times New Roman"/>
                <w:b/>
                <w:bCs/>
                <w:sz w:val="18"/>
                <w:szCs w:val="18"/>
              </w:rPr>
              <w:t>Accumulated Amortization</w:t>
            </w:r>
          </w:p>
        </w:tc>
        <w:tc>
          <w:tcPr>
            <w:tcW w:w="0" w:type="auto"/>
            <w:shd w:val="clear" w:color="auto" w:fill="auto"/>
            <w:tcMar>
              <w:top w:w="40" w:type="dxa"/>
              <w:left w:w="40" w:type="dxa"/>
              <w:bottom w:w="40" w:type="dxa"/>
              <w:right w:w="40" w:type="dxa"/>
            </w:tcMar>
            <w:vAlign w:val="bottom"/>
          </w:tcPr>
          <w:p w14:paraId="1446EC7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C76" w14:textId="77777777" w:rsidR="00FE42B5" w:rsidRDefault="009213DC">
            <w:pPr>
              <w:jc w:val="center"/>
              <w:textAlignment w:val="bottom"/>
              <w:rPr>
                <w:rFonts w:ascii="Times New Roman" w:hAnsi="Times New Roman"/>
                <w:sz w:val="18"/>
                <w:szCs w:val="18"/>
              </w:rPr>
            </w:pPr>
            <w:r>
              <w:rPr>
                <w:rFonts w:ascii="Times New Roman" w:eastAsia="宋体" w:hAnsi="Times New Roman"/>
                <w:b/>
                <w:bCs/>
                <w:sz w:val="18"/>
                <w:szCs w:val="18"/>
              </w:rPr>
              <w:t>Net Carrying Amount</w:t>
            </w:r>
          </w:p>
        </w:tc>
      </w:tr>
      <w:tr w:rsidR="00FE42B5" w14:paraId="1446EC92" w14:textId="77777777">
        <w:tc>
          <w:tcPr>
            <w:tcW w:w="0" w:type="auto"/>
            <w:shd w:val="clear" w:color="auto" w:fill="CCEEFF"/>
            <w:tcMar>
              <w:top w:w="40" w:type="dxa"/>
              <w:left w:w="40" w:type="dxa"/>
              <w:bottom w:w="40" w:type="dxa"/>
              <w:right w:w="40" w:type="dxa"/>
            </w:tcMar>
            <w:vAlign w:val="bottom"/>
          </w:tcPr>
          <w:p w14:paraId="1446EC7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Acquired users</w:t>
            </w:r>
          </w:p>
        </w:tc>
        <w:tc>
          <w:tcPr>
            <w:tcW w:w="0" w:type="auto"/>
            <w:shd w:val="clear" w:color="auto" w:fill="CCEEFF"/>
            <w:tcMar>
              <w:top w:w="40" w:type="dxa"/>
              <w:left w:w="40" w:type="dxa"/>
              <w:bottom w:w="40" w:type="dxa"/>
              <w:right w:w="40" w:type="dxa"/>
            </w:tcMar>
            <w:vAlign w:val="bottom"/>
          </w:tcPr>
          <w:p w14:paraId="1446EC79" w14:textId="77777777" w:rsidR="00FE42B5" w:rsidRDefault="009213DC">
            <w:pPr>
              <w:jc w:val="center"/>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tcMar>
              <w:top w:w="40" w:type="dxa"/>
              <w:left w:w="40" w:type="dxa"/>
              <w:bottom w:w="40" w:type="dxa"/>
              <w:right w:w="40" w:type="dxa"/>
            </w:tcMar>
            <w:vAlign w:val="bottom"/>
          </w:tcPr>
          <w:p w14:paraId="1446EC7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C7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C7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2,056</w:t>
            </w:r>
          </w:p>
        </w:tc>
        <w:tc>
          <w:tcPr>
            <w:tcW w:w="0" w:type="auto"/>
            <w:shd w:val="clear" w:color="auto" w:fill="CCEEFF"/>
            <w:vAlign w:val="bottom"/>
          </w:tcPr>
          <w:p w14:paraId="1446EC7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C7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C7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C8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(1,622</w:t>
            </w:r>
          </w:p>
        </w:tc>
        <w:tc>
          <w:tcPr>
            <w:tcW w:w="0" w:type="auto"/>
            <w:shd w:val="clear" w:color="auto" w:fill="CCEEFF"/>
            <w:tcMar>
              <w:top w:w="40" w:type="dxa"/>
              <w:bottom w:w="40" w:type="dxa"/>
              <w:right w:w="40" w:type="dxa"/>
            </w:tcMar>
            <w:vAlign w:val="bottom"/>
          </w:tcPr>
          <w:p w14:paraId="1446EC8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C8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C8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C8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434</w:t>
            </w:r>
          </w:p>
        </w:tc>
        <w:tc>
          <w:tcPr>
            <w:tcW w:w="0" w:type="auto"/>
            <w:shd w:val="clear" w:color="auto" w:fill="CCEEFF"/>
            <w:vAlign w:val="bottom"/>
          </w:tcPr>
          <w:p w14:paraId="1446EC8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C8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C8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C8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2,056</w:t>
            </w:r>
          </w:p>
        </w:tc>
        <w:tc>
          <w:tcPr>
            <w:tcW w:w="0" w:type="auto"/>
            <w:shd w:val="clear" w:color="auto" w:fill="CCEEFF"/>
            <w:vAlign w:val="bottom"/>
          </w:tcPr>
          <w:p w14:paraId="1446EC89"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C8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C8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C8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(1,550</w:t>
            </w:r>
          </w:p>
        </w:tc>
        <w:tc>
          <w:tcPr>
            <w:tcW w:w="0" w:type="auto"/>
            <w:shd w:val="clear" w:color="auto" w:fill="CCEEFF"/>
            <w:tcMar>
              <w:top w:w="40" w:type="dxa"/>
              <w:bottom w:w="40" w:type="dxa"/>
              <w:right w:w="40" w:type="dxa"/>
            </w:tcMar>
            <w:vAlign w:val="bottom"/>
          </w:tcPr>
          <w:p w14:paraId="1446EC8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C8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C8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C9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506</w:t>
            </w:r>
          </w:p>
        </w:tc>
        <w:tc>
          <w:tcPr>
            <w:tcW w:w="0" w:type="auto"/>
            <w:shd w:val="clear" w:color="auto" w:fill="CCEEFF"/>
            <w:vAlign w:val="bottom"/>
          </w:tcPr>
          <w:p w14:paraId="1446EC91" w14:textId="77777777" w:rsidR="00FE42B5" w:rsidRDefault="00FE42B5">
            <w:pPr>
              <w:textAlignment w:val="bottom"/>
              <w:rPr>
                <w:rFonts w:ascii="Times New Roman" w:hAnsi="Times New Roman"/>
                <w:sz w:val="20"/>
                <w:szCs w:val="20"/>
              </w:rPr>
            </w:pPr>
          </w:p>
        </w:tc>
      </w:tr>
      <w:tr w:rsidR="00FE42B5" w14:paraId="1446ECA7" w14:textId="77777777">
        <w:tc>
          <w:tcPr>
            <w:tcW w:w="0" w:type="auto"/>
            <w:shd w:val="clear" w:color="auto" w:fill="auto"/>
            <w:tcMar>
              <w:top w:w="40" w:type="dxa"/>
              <w:left w:w="40" w:type="dxa"/>
              <w:bottom w:w="40" w:type="dxa"/>
              <w:right w:w="40" w:type="dxa"/>
            </w:tcMar>
            <w:vAlign w:val="bottom"/>
          </w:tcPr>
          <w:p w14:paraId="1446EC9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Acquired technology</w:t>
            </w:r>
          </w:p>
        </w:tc>
        <w:tc>
          <w:tcPr>
            <w:tcW w:w="0" w:type="auto"/>
            <w:shd w:val="clear" w:color="auto" w:fill="auto"/>
            <w:tcMar>
              <w:top w:w="40" w:type="dxa"/>
              <w:left w:w="40" w:type="dxa"/>
              <w:bottom w:w="40" w:type="dxa"/>
              <w:right w:w="40" w:type="dxa"/>
            </w:tcMar>
            <w:vAlign w:val="bottom"/>
          </w:tcPr>
          <w:p w14:paraId="1446EC94" w14:textId="77777777" w:rsidR="00FE42B5" w:rsidRDefault="009213DC">
            <w:pPr>
              <w:jc w:val="center"/>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auto"/>
            <w:tcMar>
              <w:top w:w="40" w:type="dxa"/>
              <w:left w:w="40" w:type="dxa"/>
              <w:bottom w:w="40" w:type="dxa"/>
              <w:right w:w="40" w:type="dxa"/>
            </w:tcMar>
            <w:vAlign w:val="bottom"/>
          </w:tcPr>
          <w:p w14:paraId="1446EC9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C9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1,213</w:t>
            </w:r>
          </w:p>
        </w:tc>
        <w:tc>
          <w:tcPr>
            <w:tcW w:w="0" w:type="auto"/>
            <w:shd w:val="clear" w:color="auto" w:fill="auto"/>
            <w:vAlign w:val="bottom"/>
          </w:tcPr>
          <w:p w14:paraId="1446EC97"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C9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C9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(1,007</w:t>
            </w:r>
          </w:p>
        </w:tc>
        <w:tc>
          <w:tcPr>
            <w:tcW w:w="0" w:type="auto"/>
            <w:shd w:val="clear" w:color="auto" w:fill="auto"/>
            <w:tcMar>
              <w:top w:w="40" w:type="dxa"/>
              <w:bottom w:w="40" w:type="dxa"/>
              <w:right w:w="40" w:type="dxa"/>
            </w:tcMar>
            <w:vAlign w:val="bottom"/>
          </w:tcPr>
          <w:p w14:paraId="1446EC9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C9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C9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206</w:t>
            </w:r>
          </w:p>
        </w:tc>
        <w:tc>
          <w:tcPr>
            <w:tcW w:w="0" w:type="auto"/>
            <w:shd w:val="clear" w:color="auto" w:fill="auto"/>
            <w:vAlign w:val="bottom"/>
          </w:tcPr>
          <w:p w14:paraId="1446EC9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C9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C9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1,158</w:t>
            </w:r>
          </w:p>
        </w:tc>
        <w:tc>
          <w:tcPr>
            <w:tcW w:w="0" w:type="auto"/>
            <w:shd w:val="clear" w:color="auto" w:fill="auto"/>
            <w:vAlign w:val="bottom"/>
          </w:tcPr>
          <w:p w14:paraId="1446ECA0"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CA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CA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(986</w:t>
            </w:r>
          </w:p>
        </w:tc>
        <w:tc>
          <w:tcPr>
            <w:tcW w:w="0" w:type="auto"/>
            <w:shd w:val="clear" w:color="auto" w:fill="auto"/>
            <w:tcMar>
              <w:top w:w="40" w:type="dxa"/>
              <w:bottom w:w="40" w:type="dxa"/>
              <w:right w:w="40" w:type="dxa"/>
            </w:tcMar>
            <w:vAlign w:val="bottom"/>
          </w:tcPr>
          <w:p w14:paraId="1446ECA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CA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CA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shd w:val="clear" w:color="auto" w:fill="auto"/>
            <w:vAlign w:val="bottom"/>
          </w:tcPr>
          <w:p w14:paraId="1446ECA6" w14:textId="77777777" w:rsidR="00FE42B5" w:rsidRDefault="00FE42B5">
            <w:pPr>
              <w:textAlignment w:val="bottom"/>
              <w:rPr>
                <w:rFonts w:ascii="Times New Roman" w:hAnsi="Times New Roman"/>
                <w:sz w:val="20"/>
                <w:szCs w:val="20"/>
              </w:rPr>
            </w:pPr>
          </w:p>
        </w:tc>
      </w:tr>
      <w:tr w:rsidR="00FE42B5" w14:paraId="1446ECBC" w14:textId="77777777">
        <w:tc>
          <w:tcPr>
            <w:tcW w:w="0" w:type="auto"/>
            <w:shd w:val="clear" w:color="auto" w:fill="CCEEFF"/>
            <w:tcMar>
              <w:top w:w="40" w:type="dxa"/>
              <w:left w:w="40" w:type="dxa"/>
              <w:bottom w:w="40" w:type="dxa"/>
              <w:right w:w="40" w:type="dxa"/>
            </w:tcMar>
            <w:vAlign w:val="bottom"/>
          </w:tcPr>
          <w:p w14:paraId="1446ECA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Acquired patents</w:t>
            </w:r>
          </w:p>
        </w:tc>
        <w:tc>
          <w:tcPr>
            <w:tcW w:w="0" w:type="auto"/>
            <w:shd w:val="clear" w:color="auto" w:fill="CCEEFF"/>
            <w:tcMar>
              <w:top w:w="40" w:type="dxa"/>
              <w:left w:w="40" w:type="dxa"/>
              <w:bottom w:w="40" w:type="dxa"/>
              <w:right w:w="40" w:type="dxa"/>
            </w:tcMar>
            <w:vAlign w:val="bottom"/>
          </w:tcPr>
          <w:p w14:paraId="1446ECA9" w14:textId="77777777" w:rsidR="00FE42B5" w:rsidRDefault="009213DC">
            <w:pPr>
              <w:jc w:val="center"/>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CCEEFF"/>
            <w:tcMar>
              <w:top w:w="40" w:type="dxa"/>
              <w:left w:w="40" w:type="dxa"/>
              <w:bottom w:w="40" w:type="dxa"/>
              <w:right w:w="40" w:type="dxa"/>
            </w:tcMar>
            <w:vAlign w:val="bottom"/>
          </w:tcPr>
          <w:p w14:paraId="1446ECA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CA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805</w:t>
            </w:r>
          </w:p>
        </w:tc>
        <w:tc>
          <w:tcPr>
            <w:tcW w:w="0" w:type="auto"/>
            <w:shd w:val="clear" w:color="auto" w:fill="CCEEFF"/>
            <w:vAlign w:val="bottom"/>
          </w:tcPr>
          <w:p w14:paraId="1446ECAC"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CA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CA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(638</w:t>
            </w:r>
          </w:p>
        </w:tc>
        <w:tc>
          <w:tcPr>
            <w:tcW w:w="0" w:type="auto"/>
            <w:shd w:val="clear" w:color="auto" w:fill="CCEEFF"/>
            <w:tcMar>
              <w:top w:w="40" w:type="dxa"/>
              <w:bottom w:w="40" w:type="dxa"/>
              <w:right w:w="40" w:type="dxa"/>
            </w:tcMar>
            <w:vAlign w:val="bottom"/>
          </w:tcPr>
          <w:p w14:paraId="1446ECA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CB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CB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167</w:t>
            </w:r>
          </w:p>
        </w:tc>
        <w:tc>
          <w:tcPr>
            <w:tcW w:w="0" w:type="auto"/>
            <w:shd w:val="clear" w:color="auto" w:fill="CCEEFF"/>
            <w:vAlign w:val="bottom"/>
          </w:tcPr>
          <w:p w14:paraId="1446ECB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CB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CB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805</w:t>
            </w:r>
          </w:p>
        </w:tc>
        <w:tc>
          <w:tcPr>
            <w:tcW w:w="0" w:type="auto"/>
            <w:shd w:val="clear" w:color="auto" w:fill="CCEEFF"/>
            <w:vAlign w:val="bottom"/>
          </w:tcPr>
          <w:p w14:paraId="1446ECB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CB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CB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(625</w:t>
            </w:r>
          </w:p>
        </w:tc>
        <w:tc>
          <w:tcPr>
            <w:tcW w:w="0" w:type="auto"/>
            <w:shd w:val="clear" w:color="auto" w:fill="CCEEFF"/>
            <w:tcMar>
              <w:top w:w="40" w:type="dxa"/>
              <w:bottom w:w="40" w:type="dxa"/>
              <w:right w:w="40" w:type="dxa"/>
            </w:tcMar>
            <w:vAlign w:val="bottom"/>
          </w:tcPr>
          <w:p w14:paraId="1446ECB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CB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CB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shd w:val="clear" w:color="auto" w:fill="CCEEFF"/>
            <w:vAlign w:val="bottom"/>
          </w:tcPr>
          <w:p w14:paraId="1446ECBB" w14:textId="77777777" w:rsidR="00FE42B5" w:rsidRDefault="00FE42B5">
            <w:pPr>
              <w:textAlignment w:val="bottom"/>
              <w:rPr>
                <w:rFonts w:ascii="Times New Roman" w:hAnsi="Times New Roman"/>
                <w:sz w:val="20"/>
                <w:szCs w:val="20"/>
              </w:rPr>
            </w:pPr>
          </w:p>
        </w:tc>
      </w:tr>
      <w:tr w:rsidR="00FE42B5" w14:paraId="1446ECD1" w14:textId="77777777">
        <w:tc>
          <w:tcPr>
            <w:tcW w:w="0" w:type="auto"/>
            <w:shd w:val="clear" w:color="auto" w:fill="auto"/>
            <w:tcMar>
              <w:top w:w="40" w:type="dxa"/>
              <w:left w:w="40" w:type="dxa"/>
              <w:bottom w:w="40" w:type="dxa"/>
              <w:right w:w="40" w:type="dxa"/>
            </w:tcMar>
            <w:vAlign w:val="bottom"/>
          </w:tcPr>
          <w:p w14:paraId="1446ECB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Trade names</w:t>
            </w:r>
          </w:p>
        </w:tc>
        <w:tc>
          <w:tcPr>
            <w:tcW w:w="0" w:type="auto"/>
            <w:shd w:val="clear" w:color="auto" w:fill="auto"/>
            <w:tcMar>
              <w:top w:w="40" w:type="dxa"/>
              <w:left w:w="40" w:type="dxa"/>
              <w:bottom w:w="40" w:type="dxa"/>
              <w:right w:w="40" w:type="dxa"/>
            </w:tcMar>
            <w:vAlign w:val="bottom"/>
          </w:tcPr>
          <w:p w14:paraId="1446ECBE" w14:textId="77777777" w:rsidR="00FE42B5" w:rsidRDefault="009213DC">
            <w:pPr>
              <w:jc w:val="center"/>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tcMar>
              <w:top w:w="40" w:type="dxa"/>
              <w:left w:w="40" w:type="dxa"/>
              <w:bottom w:w="40" w:type="dxa"/>
              <w:right w:w="40" w:type="dxa"/>
            </w:tcMar>
            <w:vAlign w:val="bottom"/>
          </w:tcPr>
          <w:p w14:paraId="1446ECB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CC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635</w:t>
            </w:r>
          </w:p>
        </w:tc>
        <w:tc>
          <w:tcPr>
            <w:tcW w:w="0" w:type="auto"/>
            <w:shd w:val="clear" w:color="auto" w:fill="auto"/>
            <w:vAlign w:val="bottom"/>
          </w:tcPr>
          <w:p w14:paraId="1446ECC1"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CC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CC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(609</w:t>
            </w:r>
          </w:p>
        </w:tc>
        <w:tc>
          <w:tcPr>
            <w:tcW w:w="0" w:type="auto"/>
            <w:shd w:val="clear" w:color="auto" w:fill="auto"/>
            <w:tcMar>
              <w:top w:w="40" w:type="dxa"/>
              <w:bottom w:w="40" w:type="dxa"/>
              <w:right w:w="40" w:type="dxa"/>
            </w:tcMar>
            <w:vAlign w:val="bottom"/>
          </w:tcPr>
          <w:p w14:paraId="1446ECC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CC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CC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auto"/>
            <w:vAlign w:val="bottom"/>
          </w:tcPr>
          <w:p w14:paraId="1446ECC7"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CC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CC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635</w:t>
            </w:r>
          </w:p>
        </w:tc>
        <w:tc>
          <w:tcPr>
            <w:tcW w:w="0" w:type="auto"/>
            <w:shd w:val="clear" w:color="auto" w:fill="auto"/>
            <w:vAlign w:val="bottom"/>
          </w:tcPr>
          <w:p w14:paraId="1446ECCA"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CC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CC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(604</w:t>
            </w:r>
          </w:p>
        </w:tc>
        <w:tc>
          <w:tcPr>
            <w:tcW w:w="0" w:type="auto"/>
            <w:shd w:val="clear" w:color="auto" w:fill="auto"/>
            <w:tcMar>
              <w:top w:w="40" w:type="dxa"/>
              <w:bottom w:w="40" w:type="dxa"/>
              <w:right w:w="40" w:type="dxa"/>
            </w:tcMar>
            <w:vAlign w:val="bottom"/>
          </w:tcPr>
          <w:p w14:paraId="1446ECC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CC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CC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1446ECD0" w14:textId="77777777" w:rsidR="00FE42B5" w:rsidRDefault="00FE42B5">
            <w:pPr>
              <w:textAlignment w:val="bottom"/>
              <w:rPr>
                <w:rFonts w:ascii="Times New Roman" w:hAnsi="Times New Roman"/>
                <w:sz w:val="20"/>
                <w:szCs w:val="20"/>
              </w:rPr>
            </w:pPr>
          </w:p>
        </w:tc>
      </w:tr>
      <w:tr w:rsidR="00FE42B5" w14:paraId="1446ECE6" w14:textId="77777777">
        <w:tc>
          <w:tcPr>
            <w:tcW w:w="0" w:type="auto"/>
            <w:shd w:val="clear" w:color="auto" w:fill="CCEEFF"/>
            <w:tcMar>
              <w:top w:w="40" w:type="dxa"/>
              <w:left w:w="40" w:type="dxa"/>
              <w:bottom w:w="40" w:type="dxa"/>
              <w:right w:w="40" w:type="dxa"/>
            </w:tcMar>
            <w:vAlign w:val="bottom"/>
          </w:tcPr>
          <w:p w14:paraId="1446ECD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Other</w:t>
            </w:r>
          </w:p>
        </w:tc>
        <w:tc>
          <w:tcPr>
            <w:tcW w:w="0" w:type="auto"/>
            <w:shd w:val="clear" w:color="auto" w:fill="CCEEFF"/>
            <w:tcMar>
              <w:top w:w="40" w:type="dxa"/>
              <w:left w:w="40" w:type="dxa"/>
              <w:bottom w:w="40" w:type="dxa"/>
              <w:right w:w="40" w:type="dxa"/>
            </w:tcMar>
            <w:vAlign w:val="bottom"/>
          </w:tcPr>
          <w:p w14:paraId="1446ECD3" w14:textId="77777777" w:rsidR="00FE42B5" w:rsidRDefault="009213DC">
            <w:pPr>
              <w:jc w:val="center"/>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CCEEFF"/>
            <w:tcMar>
              <w:top w:w="40" w:type="dxa"/>
              <w:left w:w="40" w:type="dxa"/>
              <w:bottom w:w="40" w:type="dxa"/>
              <w:right w:w="40" w:type="dxa"/>
            </w:tcMar>
            <w:vAlign w:val="bottom"/>
          </w:tcPr>
          <w:p w14:paraId="1446ECD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CD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CCEEFF"/>
            <w:vAlign w:val="bottom"/>
          </w:tcPr>
          <w:p w14:paraId="1446ECD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CD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CD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(157</w:t>
            </w:r>
          </w:p>
        </w:tc>
        <w:tc>
          <w:tcPr>
            <w:tcW w:w="0" w:type="auto"/>
            <w:shd w:val="clear" w:color="auto" w:fill="CCEEFF"/>
            <w:tcMar>
              <w:top w:w="40" w:type="dxa"/>
              <w:bottom w:w="40" w:type="dxa"/>
              <w:right w:w="40" w:type="dxa"/>
            </w:tcMar>
            <w:vAlign w:val="bottom"/>
          </w:tcPr>
          <w:p w14:paraId="1446ECD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CD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CD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vAlign w:val="bottom"/>
          </w:tcPr>
          <w:p w14:paraId="1446ECDC"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CD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CD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CCEEFF"/>
            <w:vAlign w:val="bottom"/>
          </w:tcPr>
          <w:p w14:paraId="1446ECD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CE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CE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(157</w:t>
            </w:r>
          </w:p>
        </w:tc>
        <w:tc>
          <w:tcPr>
            <w:tcW w:w="0" w:type="auto"/>
            <w:shd w:val="clear" w:color="auto" w:fill="CCEEFF"/>
            <w:tcMar>
              <w:top w:w="40" w:type="dxa"/>
              <w:bottom w:w="40" w:type="dxa"/>
              <w:right w:w="40" w:type="dxa"/>
            </w:tcMar>
            <w:vAlign w:val="bottom"/>
          </w:tcPr>
          <w:p w14:paraId="1446ECE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CE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CE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vAlign w:val="bottom"/>
          </w:tcPr>
          <w:p w14:paraId="1446ECE5" w14:textId="77777777" w:rsidR="00FE42B5" w:rsidRDefault="00FE42B5">
            <w:pPr>
              <w:textAlignment w:val="bottom"/>
              <w:rPr>
                <w:rFonts w:ascii="Times New Roman" w:hAnsi="Times New Roman"/>
                <w:sz w:val="20"/>
                <w:szCs w:val="20"/>
              </w:rPr>
            </w:pPr>
          </w:p>
        </w:tc>
      </w:tr>
      <w:tr w:rsidR="00FE42B5" w14:paraId="1446ED01" w14:textId="77777777">
        <w:tc>
          <w:tcPr>
            <w:tcW w:w="0" w:type="auto"/>
            <w:shd w:val="clear" w:color="auto" w:fill="auto"/>
            <w:tcMar>
              <w:top w:w="40" w:type="dxa"/>
              <w:left w:w="40" w:type="dxa"/>
              <w:bottom w:w="40" w:type="dxa"/>
              <w:right w:w="40" w:type="dxa"/>
            </w:tcMar>
            <w:vAlign w:val="bottom"/>
          </w:tcPr>
          <w:p w14:paraId="1446ECE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Total intangible assets</w:t>
            </w:r>
          </w:p>
        </w:tc>
        <w:tc>
          <w:tcPr>
            <w:tcW w:w="0" w:type="auto"/>
            <w:shd w:val="clear" w:color="auto" w:fill="auto"/>
            <w:tcMar>
              <w:top w:w="40" w:type="dxa"/>
              <w:left w:w="40" w:type="dxa"/>
              <w:bottom w:w="40" w:type="dxa"/>
              <w:right w:w="40" w:type="dxa"/>
            </w:tcMar>
            <w:vAlign w:val="bottom"/>
          </w:tcPr>
          <w:p w14:paraId="1446ECE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CE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CE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CE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4,871</w:t>
            </w:r>
          </w:p>
        </w:tc>
        <w:tc>
          <w:tcPr>
            <w:tcW w:w="0" w:type="auto"/>
            <w:tcBorders>
              <w:top w:val="single" w:sz="8" w:space="0" w:color="000000"/>
              <w:bottom w:val="double" w:sz="6" w:space="0" w:color="000000"/>
            </w:tcBorders>
            <w:shd w:val="clear" w:color="auto" w:fill="auto"/>
            <w:vAlign w:val="bottom"/>
          </w:tcPr>
          <w:p w14:paraId="1446ECEC"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CE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CE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CE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(4,033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446ECF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CF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CF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CF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838</w:t>
            </w:r>
          </w:p>
        </w:tc>
        <w:tc>
          <w:tcPr>
            <w:tcW w:w="0" w:type="auto"/>
            <w:tcBorders>
              <w:top w:val="single" w:sz="8" w:space="0" w:color="000000"/>
              <w:bottom w:val="double" w:sz="6" w:space="0" w:color="000000"/>
            </w:tcBorders>
            <w:shd w:val="clear" w:color="auto" w:fill="auto"/>
            <w:vAlign w:val="bottom"/>
          </w:tcPr>
          <w:p w14:paraId="1446ECF4"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CF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CF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CF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4,816</w:t>
            </w:r>
          </w:p>
        </w:tc>
        <w:tc>
          <w:tcPr>
            <w:tcW w:w="0" w:type="auto"/>
            <w:tcBorders>
              <w:top w:val="single" w:sz="8" w:space="0" w:color="000000"/>
              <w:bottom w:val="double" w:sz="6" w:space="0" w:color="000000"/>
            </w:tcBorders>
            <w:shd w:val="clear" w:color="auto" w:fill="auto"/>
            <w:vAlign w:val="bottom"/>
          </w:tcPr>
          <w:p w14:paraId="1446ECF8"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CF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CF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CF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(3,922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446ECF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CF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CF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CF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894</w:t>
            </w:r>
          </w:p>
        </w:tc>
        <w:tc>
          <w:tcPr>
            <w:tcW w:w="0" w:type="auto"/>
            <w:tcBorders>
              <w:top w:val="single" w:sz="8" w:space="0" w:color="000000"/>
              <w:bottom w:val="double" w:sz="6" w:space="0" w:color="000000"/>
            </w:tcBorders>
            <w:shd w:val="clear" w:color="auto" w:fill="auto"/>
            <w:vAlign w:val="bottom"/>
          </w:tcPr>
          <w:p w14:paraId="1446ED00" w14:textId="77777777" w:rsidR="00FE42B5" w:rsidRDefault="00FE42B5">
            <w:pPr>
              <w:textAlignment w:val="bottom"/>
              <w:rPr>
                <w:rFonts w:ascii="Times New Roman" w:hAnsi="Times New Roman"/>
                <w:sz w:val="20"/>
                <w:szCs w:val="20"/>
              </w:rPr>
            </w:pPr>
          </w:p>
        </w:tc>
      </w:tr>
    </w:tbl>
    <w:p w14:paraId="1446ED02" w14:textId="77777777" w:rsidR="00FE42B5" w:rsidRDefault="00FE42B5">
      <w:pPr>
        <w:spacing w:line="288" w:lineRule="auto"/>
        <w:rPr>
          <w:rFonts w:ascii="Times New Roman" w:hAnsi="Times New Roman"/>
          <w:sz w:val="20"/>
          <w:szCs w:val="20"/>
        </w:rPr>
      </w:pPr>
    </w:p>
    <w:p w14:paraId="1446ED0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Amortization expense of intangible assets was $111 million and $156 million for the three mont</w:t>
      </w:r>
      <w:r>
        <w:rPr>
          <w:rFonts w:ascii="Times New Roman" w:eastAsia="宋体" w:hAnsi="Times New Roman"/>
          <w:sz w:val="20"/>
          <w:szCs w:val="20"/>
        </w:rPr>
        <w:t>hs ended March 31, 2020 and 2019, respectively.</w:t>
      </w:r>
    </w:p>
    <w:p w14:paraId="1446ED0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As of March 31, 2020, expected amortization expense for the unamortized acquired intangible assets for the next five years and thereafter is as follows (in millions):</w:t>
      </w:r>
    </w:p>
    <w:tbl>
      <w:tblPr>
        <w:tblW w:w="5000" w:type="pct"/>
        <w:tblCellMar>
          <w:left w:w="0" w:type="dxa"/>
          <w:right w:w="0" w:type="dxa"/>
        </w:tblCellMar>
        <w:tblLook w:val="04A0" w:firstRow="1" w:lastRow="0" w:firstColumn="1" w:lastColumn="0" w:noHBand="0" w:noVBand="1"/>
      </w:tblPr>
      <w:tblGrid>
        <w:gridCol w:w="7041"/>
        <w:gridCol w:w="140"/>
        <w:gridCol w:w="1061"/>
        <w:gridCol w:w="64"/>
      </w:tblGrid>
      <w:tr w:rsidR="00FE42B5" w14:paraId="1446ED06" w14:textId="77777777">
        <w:tc>
          <w:tcPr>
            <w:tcW w:w="0" w:type="auto"/>
            <w:gridSpan w:val="4"/>
            <w:shd w:val="clear" w:color="auto" w:fill="auto"/>
            <w:vAlign w:val="center"/>
          </w:tcPr>
          <w:p w14:paraId="1446ED05" w14:textId="77777777" w:rsidR="00FE42B5" w:rsidRDefault="00FE42B5">
            <w:pPr>
              <w:rPr>
                <w:rFonts w:ascii="Times New Roman" w:hAnsi="Times New Roman"/>
                <w:sz w:val="20"/>
                <w:szCs w:val="20"/>
              </w:rPr>
            </w:pPr>
          </w:p>
        </w:tc>
      </w:tr>
      <w:tr w:rsidR="00FE42B5" w14:paraId="1446ED0B" w14:textId="77777777">
        <w:tc>
          <w:tcPr>
            <w:tcW w:w="4250" w:type="pct"/>
            <w:shd w:val="clear" w:color="auto" w:fill="auto"/>
            <w:vAlign w:val="center"/>
          </w:tcPr>
          <w:p w14:paraId="1446ED07" w14:textId="77777777" w:rsidR="00FE42B5" w:rsidRDefault="00FE42B5">
            <w:pPr>
              <w:rPr>
                <w:rFonts w:ascii="Times New Roman" w:hAnsi="Times New Roman"/>
                <w:sz w:val="20"/>
                <w:szCs w:val="20"/>
              </w:rPr>
            </w:pPr>
          </w:p>
        </w:tc>
        <w:tc>
          <w:tcPr>
            <w:tcW w:w="50" w:type="pct"/>
            <w:shd w:val="clear" w:color="auto" w:fill="auto"/>
            <w:vAlign w:val="center"/>
          </w:tcPr>
          <w:p w14:paraId="1446ED08" w14:textId="77777777" w:rsidR="00FE42B5" w:rsidRDefault="00FE42B5">
            <w:pPr>
              <w:rPr>
                <w:rFonts w:ascii="Times New Roman" w:hAnsi="Times New Roman"/>
                <w:sz w:val="20"/>
                <w:szCs w:val="20"/>
              </w:rPr>
            </w:pPr>
          </w:p>
        </w:tc>
        <w:tc>
          <w:tcPr>
            <w:tcW w:w="650" w:type="pct"/>
            <w:shd w:val="clear" w:color="auto" w:fill="auto"/>
            <w:vAlign w:val="center"/>
          </w:tcPr>
          <w:p w14:paraId="1446ED09" w14:textId="77777777" w:rsidR="00FE42B5" w:rsidRDefault="00FE42B5">
            <w:pPr>
              <w:rPr>
                <w:rFonts w:ascii="Times New Roman" w:hAnsi="Times New Roman"/>
                <w:sz w:val="20"/>
                <w:szCs w:val="20"/>
              </w:rPr>
            </w:pPr>
          </w:p>
        </w:tc>
        <w:tc>
          <w:tcPr>
            <w:tcW w:w="50" w:type="pct"/>
            <w:shd w:val="clear" w:color="auto" w:fill="auto"/>
            <w:vAlign w:val="center"/>
          </w:tcPr>
          <w:p w14:paraId="1446ED0A" w14:textId="77777777" w:rsidR="00FE42B5" w:rsidRDefault="00FE42B5">
            <w:pPr>
              <w:rPr>
                <w:rFonts w:ascii="Times New Roman" w:hAnsi="Times New Roman"/>
                <w:sz w:val="20"/>
                <w:szCs w:val="20"/>
              </w:rPr>
            </w:pPr>
          </w:p>
        </w:tc>
      </w:tr>
      <w:tr w:rsidR="00FE42B5" w14:paraId="1446ED10" w14:textId="77777777">
        <w:tc>
          <w:tcPr>
            <w:tcW w:w="0" w:type="auto"/>
            <w:shd w:val="clear" w:color="auto" w:fill="CCEEFF"/>
            <w:tcMar>
              <w:top w:w="40" w:type="dxa"/>
              <w:left w:w="40" w:type="dxa"/>
              <w:bottom w:w="40" w:type="dxa"/>
              <w:right w:w="40" w:type="dxa"/>
            </w:tcMar>
          </w:tcPr>
          <w:p w14:paraId="1446ED0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The remainder of 2020</w:t>
            </w:r>
          </w:p>
        </w:tc>
        <w:tc>
          <w:tcPr>
            <w:tcW w:w="0" w:type="auto"/>
            <w:shd w:val="clear" w:color="auto" w:fill="CCEEFF"/>
            <w:tcMar>
              <w:top w:w="40" w:type="dxa"/>
              <w:left w:w="40" w:type="dxa"/>
              <w:bottom w:w="40" w:type="dxa"/>
            </w:tcMar>
            <w:vAlign w:val="bottom"/>
          </w:tcPr>
          <w:p w14:paraId="1446ED0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D0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329</w:t>
            </w:r>
          </w:p>
        </w:tc>
        <w:tc>
          <w:tcPr>
            <w:tcW w:w="0" w:type="auto"/>
            <w:shd w:val="clear" w:color="auto" w:fill="CCEEFF"/>
            <w:vAlign w:val="bottom"/>
          </w:tcPr>
          <w:p w14:paraId="1446ED0F" w14:textId="77777777" w:rsidR="00FE42B5" w:rsidRDefault="00FE42B5">
            <w:pPr>
              <w:textAlignment w:val="bottom"/>
              <w:rPr>
                <w:rFonts w:ascii="Times New Roman" w:hAnsi="Times New Roman"/>
                <w:sz w:val="20"/>
                <w:szCs w:val="20"/>
              </w:rPr>
            </w:pPr>
          </w:p>
        </w:tc>
      </w:tr>
      <w:tr w:rsidR="00FE42B5" w14:paraId="1446ED14" w14:textId="77777777">
        <w:tc>
          <w:tcPr>
            <w:tcW w:w="0" w:type="auto"/>
            <w:shd w:val="clear" w:color="auto" w:fill="auto"/>
            <w:tcMar>
              <w:top w:w="40" w:type="dxa"/>
              <w:left w:w="40" w:type="dxa"/>
              <w:bottom w:w="40" w:type="dxa"/>
              <w:right w:w="40" w:type="dxa"/>
            </w:tcMar>
          </w:tcPr>
          <w:p w14:paraId="1446ED1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1446ED1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335</w:t>
            </w:r>
          </w:p>
        </w:tc>
        <w:tc>
          <w:tcPr>
            <w:tcW w:w="0" w:type="auto"/>
            <w:shd w:val="clear" w:color="auto" w:fill="auto"/>
            <w:vAlign w:val="bottom"/>
          </w:tcPr>
          <w:p w14:paraId="1446ED13" w14:textId="77777777" w:rsidR="00FE42B5" w:rsidRDefault="00FE42B5">
            <w:pPr>
              <w:textAlignment w:val="bottom"/>
              <w:rPr>
                <w:rFonts w:ascii="Times New Roman" w:hAnsi="Times New Roman"/>
                <w:sz w:val="20"/>
                <w:szCs w:val="20"/>
              </w:rPr>
            </w:pPr>
          </w:p>
        </w:tc>
      </w:tr>
      <w:tr w:rsidR="00FE42B5" w14:paraId="1446ED18" w14:textId="77777777">
        <w:tc>
          <w:tcPr>
            <w:tcW w:w="0" w:type="auto"/>
            <w:shd w:val="clear" w:color="auto" w:fill="CCEEFF"/>
            <w:tcMar>
              <w:top w:w="40" w:type="dxa"/>
              <w:left w:w="40" w:type="dxa"/>
              <w:bottom w:w="40" w:type="dxa"/>
              <w:right w:w="40" w:type="dxa"/>
            </w:tcMar>
          </w:tcPr>
          <w:p w14:paraId="1446ED1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1446ED1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shd w:val="clear" w:color="auto" w:fill="CCEEFF"/>
            <w:vAlign w:val="bottom"/>
          </w:tcPr>
          <w:p w14:paraId="1446ED17" w14:textId="77777777" w:rsidR="00FE42B5" w:rsidRDefault="00FE42B5">
            <w:pPr>
              <w:textAlignment w:val="bottom"/>
              <w:rPr>
                <w:rFonts w:ascii="Times New Roman" w:hAnsi="Times New Roman"/>
                <w:sz w:val="20"/>
                <w:szCs w:val="20"/>
              </w:rPr>
            </w:pPr>
          </w:p>
        </w:tc>
      </w:tr>
      <w:tr w:rsidR="00FE42B5" w14:paraId="1446ED1C" w14:textId="77777777">
        <w:tc>
          <w:tcPr>
            <w:tcW w:w="0" w:type="auto"/>
            <w:shd w:val="clear" w:color="auto" w:fill="auto"/>
            <w:tcMar>
              <w:top w:w="40" w:type="dxa"/>
              <w:left w:w="40" w:type="dxa"/>
              <w:bottom w:w="40" w:type="dxa"/>
              <w:right w:w="40" w:type="dxa"/>
            </w:tcMar>
          </w:tcPr>
          <w:p w14:paraId="1446ED19"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1446ED1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vAlign w:val="bottom"/>
          </w:tcPr>
          <w:p w14:paraId="1446ED1B" w14:textId="77777777" w:rsidR="00FE42B5" w:rsidRDefault="00FE42B5">
            <w:pPr>
              <w:textAlignment w:val="bottom"/>
              <w:rPr>
                <w:rFonts w:ascii="Times New Roman" w:hAnsi="Times New Roman"/>
                <w:sz w:val="20"/>
                <w:szCs w:val="20"/>
              </w:rPr>
            </w:pPr>
          </w:p>
        </w:tc>
      </w:tr>
      <w:tr w:rsidR="00FE42B5" w14:paraId="1446ED20" w14:textId="77777777">
        <w:tc>
          <w:tcPr>
            <w:tcW w:w="0" w:type="auto"/>
            <w:shd w:val="clear" w:color="auto" w:fill="CCEEFF"/>
            <w:tcMar>
              <w:top w:w="40" w:type="dxa"/>
              <w:left w:w="40" w:type="dxa"/>
              <w:bottom w:w="40" w:type="dxa"/>
              <w:right w:w="40" w:type="dxa"/>
            </w:tcMar>
          </w:tcPr>
          <w:p w14:paraId="1446ED1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1446ED1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CCEEFF"/>
            <w:vAlign w:val="bottom"/>
          </w:tcPr>
          <w:p w14:paraId="1446ED1F" w14:textId="77777777" w:rsidR="00FE42B5" w:rsidRDefault="00FE42B5">
            <w:pPr>
              <w:textAlignment w:val="bottom"/>
              <w:rPr>
                <w:rFonts w:ascii="Times New Roman" w:hAnsi="Times New Roman"/>
                <w:sz w:val="20"/>
                <w:szCs w:val="20"/>
              </w:rPr>
            </w:pPr>
          </w:p>
        </w:tc>
      </w:tr>
      <w:tr w:rsidR="00FE42B5" w14:paraId="1446ED24" w14:textId="77777777">
        <w:tc>
          <w:tcPr>
            <w:tcW w:w="0" w:type="auto"/>
            <w:shd w:val="clear" w:color="auto" w:fill="auto"/>
            <w:tcMar>
              <w:top w:w="40" w:type="dxa"/>
              <w:left w:w="40" w:type="dxa"/>
              <w:bottom w:w="40" w:type="dxa"/>
              <w:right w:w="40" w:type="dxa"/>
            </w:tcMar>
          </w:tcPr>
          <w:p w14:paraId="1446ED2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shd w:val="clear" w:color="auto" w:fill="auto"/>
            <w:tcMar>
              <w:top w:w="40" w:type="dxa"/>
              <w:left w:w="40" w:type="dxa"/>
              <w:bottom w:w="40" w:type="dxa"/>
            </w:tcMar>
            <w:vAlign w:val="bottom"/>
          </w:tcPr>
          <w:p w14:paraId="1446ED2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1446ED23" w14:textId="77777777" w:rsidR="00FE42B5" w:rsidRDefault="00FE42B5">
            <w:pPr>
              <w:textAlignment w:val="bottom"/>
              <w:rPr>
                <w:rFonts w:ascii="Times New Roman" w:hAnsi="Times New Roman"/>
                <w:sz w:val="20"/>
                <w:szCs w:val="20"/>
              </w:rPr>
            </w:pPr>
          </w:p>
        </w:tc>
      </w:tr>
      <w:tr w:rsidR="00FE42B5" w14:paraId="1446ED29" w14:textId="77777777">
        <w:tc>
          <w:tcPr>
            <w:tcW w:w="0" w:type="auto"/>
            <w:shd w:val="clear" w:color="auto" w:fill="CCEEFF"/>
            <w:tcMar>
              <w:top w:w="40" w:type="dxa"/>
              <w:left w:w="400" w:type="dxa"/>
              <w:bottom w:w="40" w:type="dxa"/>
              <w:right w:w="40" w:type="dxa"/>
            </w:tcMar>
          </w:tcPr>
          <w:p w14:paraId="1446ED2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ED2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ED2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838</w:t>
            </w:r>
          </w:p>
        </w:tc>
        <w:tc>
          <w:tcPr>
            <w:tcW w:w="0" w:type="auto"/>
            <w:tcBorders>
              <w:top w:val="single" w:sz="8" w:space="0" w:color="000000"/>
              <w:bottom w:val="double" w:sz="6" w:space="0" w:color="000000"/>
            </w:tcBorders>
            <w:shd w:val="clear" w:color="auto" w:fill="CCEEFF"/>
            <w:vAlign w:val="bottom"/>
          </w:tcPr>
          <w:p w14:paraId="1446ED28" w14:textId="77777777" w:rsidR="00FE42B5" w:rsidRDefault="00FE42B5">
            <w:pPr>
              <w:textAlignment w:val="bottom"/>
              <w:rPr>
                <w:rFonts w:ascii="Times New Roman" w:hAnsi="Times New Roman"/>
                <w:sz w:val="20"/>
                <w:szCs w:val="20"/>
              </w:rPr>
            </w:pPr>
          </w:p>
        </w:tc>
      </w:tr>
    </w:tbl>
    <w:p w14:paraId="1446ED2A" w14:textId="77777777" w:rsidR="00FE42B5" w:rsidRDefault="00FE42B5">
      <w:pPr>
        <w:spacing w:line="288" w:lineRule="auto"/>
        <w:rPr>
          <w:rFonts w:ascii="Times New Roman" w:hAnsi="Times New Roman"/>
          <w:sz w:val="20"/>
          <w:szCs w:val="20"/>
        </w:rPr>
      </w:pPr>
    </w:p>
    <w:p w14:paraId="1446ED2B" w14:textId="77777777" w:rsidR="00FE42B5" w:rsidRDefault="00FE42B5">
      <w:pPr>
        <w:spacing w:line="288" w:lineRule="auto"/>
        <w:rPr>
          <w:rFonts w:ascii="Times New Roman" w:hAnsi="Times New Roman"/>
          <w:sz w:val="20"/>
          <w:szCs w:val="20"/>
        </w:rPr>
      </w:pPr>
    </w:p>
    <w:p w14:paraId="1446ED2C" w14:textId="77777777" w:rsidR="00FE42B5" w:rsidRDefault="00FE42B5">
      <w:pPr>
        <w:rPr>
          <w:rFonts w:ascii="Times New Roman" w:hAnsi="Times New Roman"/>
          <w:sz w:val="20"/>
          <w:szCs w:val="20"/>
        </w:rPr>
      </w:pPr>
    </w:p>
    <w:p w14:paraId="1446ED2D"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22</w:t>
      </w:r>
    </w:p>
    <w:p w14:paraId="1446ED2E" w14:textId="77777777" w:rsidR="00FE42B5" w:rsidRDefault="009213DC">
      <w:r>
        <w:rPr>
          <w:rFonts w:ascii="Times New Roman" w:hAnsi="Times New Roman"/>
          <w:sz w:val="20"/>
          <w:szCs w:val="20"/>
        </w:rPr>
        <w:pict w14:anchorId="1446FACE">
          <v:rect id="_x0000_i1046" style="width:415.3pt;height:1.5pt" o:hralign="center" o:hrstd="t" o:hr="t" fillcolor="#a0a0a0" stroked="f"/>
        </w:pict>
      </w:r>
    </w:p>
    <w:p w14:paraId="1446ED2F" w14:textId="77777777" w:rsidR="00FE42B5" w:rsidRDefault="00FE42B5">
      <w:pPr>
        <w:rPr>
          <w:rFonts w:ascii="Times New Roman" w:hAnsi="Times New Roman"/>
          <w:sz w:val="20"/>
          <w:szCs w:val="20"/>
        </w:rPr>
      </w:pPr>
    </w:p>
    <w:p w14:paraId="1446ED30"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Note 9. Long-term Debt</w:t>
      </w:r>
    </w:p>
    <w:p w14:paraId="1446ED3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May 2016, we entered into a $2.0 billion senior unsecured revolving credit facility, and any amounts outstanding under this facility will be due and payable on May 20, 2021. As of </w:t>
      </w:r>
      <w:r>
        <w:rPr>
          <w:rFonts w:ascii="Times New Roman" w:eastAsia="宋体" w:hAnsi="Times New Roman"/>
          <w:color w:val="000000"/>
          <w:sz w:val="20"/>
          <w:szCs w:val="20"/>
        </w:rPr>
        <w:t>March 31, 2020</w:t>
      </w:r>
      <w:r>
        <w:rPr>
          <w:rFonts w:ascii="Times New Roman" w:eastAsia="宋体" w:hAnsi="Times New Roman"/>
          <w:sz w:val="20"/>
          <w:szCs w:val="20"/>
        </w:rPr>
        <w:t xml:space="preserve">, no amounts had been drawn down, and we were in </w:t>
      </w:r>
      <w:r>
        <w:rPr>
          <w:rFonts w:ascii="Times New Roman" w:eastAsia="宋体" w:hAnsi="Times New Roman"/>
          <w:sz w:val="20"/>
          <w:szCs w:val="20"/>
        </w:rPr>
        <w:t>compliance with the covenants under this facility.</w:t>
      </w:r>
    </w:p>
    <w:p w14:paraId="1446ED32" w14:textId="77777777" w:rsidR="00FE42B5" w:rsidRDefault="00FE42B5">
      <w:pPr>
        <w:spacing w:line="288" w:lineRule="auto"/>
        <w:rPr>
          <w:rFonts w:ascii="Times New Roman" w:hAnsi="Times New Roman"/>
          <w:sz w:val="20"/>
          <w:szCs w:val="20"/>
        </w:rPr>
      </w:pPr>
    </w:p>
    <w:p w14:paraId="1446ED33"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 xml:space="preserve">Note 10. Commitments and Contingencies </w:t>
      </w:r>
    </w:p>
    <w:p w14:paraId="1446ED34" w14:textId="77777777" w:rsidR="00FE42B5" w:rsidRDefault="00FE42B5">
      <w:pPr>
        <w:spacing w:line="288" w:lineRule="auto"/>
        <w:jc w:val="both"/>
        <w:rPr>
          <w:rFonts w:ascii="Times New Roman" w:hAnsi="Times New Roman"/>
          <w:sz w:val="20"/>
          <w:szCs w:val="20"/>
        </w:rPr>
      </w:pPr>
    </w:p>
    <w:p w14:paraId="1446ED35"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Guarantee</w:t>
      </w:r>
    </w:p>
    <w:p w14:paraId="1446ED36" w14:textId="77777777" w:rsidR="00FE42B5" w:rsidRDefault="00FE42B5">
      <w:pPr>
        <w:spacing w:line="288" w:lineRule="auto"/>
        <w:ind w:firstLine="720"/>
        <w:jc w:val="both"/>
        <w:rPr>
          <w:rFonts w:ascii="Times New Roman" w:hAnsi="Times New Roman"/>
          <w:sz w:val="20"/>
          <w:szCs w:val="20"/>
        </w:rPr>
      </w:pPr>
    </w:p>
    <w:p w14:paraId="1446ED3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2018, we established a multi-currency notional cash pool for certain of our entities with a third-party bank provider. Actual cash balances are </w:t>
      </w:r>
      <w:r>
        <w:rPr>
          <w:rFonts w:ascii="Times New Roman" w:eastAsia="宋体" w:hAnsi="Times New Roman"/>
          <w:sz w:val="20"/>
          <w:szCs w:val="20"/>
        </w:rPr>
        <w:t>not physically converted and are not commingled between participating legal entities. As part of the notional cash pool agreement, the bank extends overdraft credit to our participating entities as needed, provided that the overall notionally pooled balanc</w:t>
      </w:r>
      <w:r>
        <w:rPr>
          <w:rFonts w:ascii="Times New Roman" w:eastAsia="宋体" w:hAnsi="Times New Roman"/>
          <w:sz w:val="20"/>
          <w:szCs w:val="20"/>
        </w:rPr>
        <w:t>e of all accounts in the pool at the end of each day is at least zero. In the unlikely event of a default by our collective entities participating in the pool, any overdraft balances incurred would be guaranteed by Facebook, Inc.</w:t>
      </w:r>
    </w:p>
    <w:p w14:paraId="1446ED38" w14:textId="77777777" w:rsidR="00FE42B5" w:rsidRDefault="00FE42B5">
      <w:pPr>
        <w:spacing w:line="288" w:lineRule="auto"/>
        <w:ind w:firstLine="720"/>
        <w:jc w:val="both"/>
        <w:rPr>
          <w:rFonts w:ascii="Times New Roman" w:hAnsi="Times New Roman"/>
          <w:sz w:val="20"/>
          <w:szCs w:val="20"/>
        </w:rPr>
      </w:pPr>
    </w:p>
    <w:p w14:paraId="1446ED39"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Other contractual commitm</w:t>
      </w:r>
      <w:r>
        <w:rPr>
          <w:rFonts w:ascii="Times New Roman" w:eastAsia="宋体" w:hAnsi="Times New Roman"/>
          <w:b/>
          <w:bCs/>
          <w:i/>
          <w:iCs/>
          <w:sz w:val="20"/>
          <w:szCs w:val="20"/>
        </w:rPr>
        <w:t>ents</w:t>
      </w:r>
    </w:p>
    <w:p w14:paraId="1446ED3A" w14:textId="77777777" w:rsidR="00FE42B5" w:rsidRDefault="00FE42B5">
      <w:pPr>
        <w:spacing w:line="288" w:lineRule="auto"/>
        <w:ind w:firstLine="720"/>
        <w:jc w:val="both"/>
        <w:rPr>
          <w:rFonts w:ascii="Times New Roman" w:hAnsi="Times New Roman"/>
          <w:sz w:val="20"/>
          <w:szCs w:val="20"/>
        </w:rPr>
      </w:pPr>
    </w:p>
    <w:p w14:paraId="1446ED3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also have $7.62 billion of non-cancelable contractual commitments as of March 31, 2020, the majority of which is related to network infrastructure and our data center operations. These commitments are primarily due within five years.</w:t>
      </w:r>
    </w:p>
    <w:p w14:paraId="1446ED3C" w14:textId="77777777" w:rsidR="00FE42B5" w:rsidRDefault="00FE42B5">
      <w:pPr>
        <w:spacing w:line="288" w:lineRule="auto"/>
        <w:jc w:val="both"/>
        <w:rPr>
          <w:rFonts w:ascii="Times New Roman" w:hAnsi="Times New Roman"/>
          <w:sz w:val="20"/>
          <w:szCs w:val="20"/>
        </w:rPr>
      </w:pPr>
    </w:p>
    <w:p w14:paraId="1446ED3D"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Legal Matter</w:t>
      </w:r>
      <w:r>
        <w:rPr>
          <w:rFonts w:ascii="Times New Roman" w:eastAsia="宋体" w:hAnsi="Times New Roman"/>
          <w:b/>
          <w:bCs/>
          <w:i/>
          <w:iCs/>
          <w:sz w:val="20"/>
          <w:szCs w:val="20"/>
        </w:rPr>
        <w:t>s</w:t>
      </w:r>
    </w:p>
    <w:p w14:paraId="1446ED3E" w14:textId="77777777" w:rsidR="00FE42B5" w:rsidRDefault="00FE42B5">
      <w:pPr>
        <w:spacing w:line="288" w:lineRule="auto"/>
        <w:ind w:firstLine="720"/>
        <w:jc w:val="both"/>
        <w:rPr>
          <w:rFonts w:ascii="Times New Roman" w:hAnsi="Times New Roman"/>
          <w:sz w:val="20"/>
          <w:szCs w:val="20"/>
        </w:rPr>
      </w:pPr>
    </w:p>
    <w:p w14:paraId="1446ED3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Beginning on March 20, 2018, multiple putative class actions and derivative actions were filed in state and federal courts in the United States and elsewhere against us and certain of our directors and officers alleging violations of securities laws, br</w:t>
      </w:r>
      <w:r>
        <w:rPr>
          <w:rFonts w:ascii="Times New Roman" w:eastAsia="宋体" w:hAnsi="Times New Roman"/>
          <w:sz w:val="20"/>
          <w:szCs w:val="20"/>
        </w:rPr>
        <w:t>each of fiduciary duties, and other causes of action in connection with our platform and user data practices as well as the misuse of certain data by a developer that shared such data with third parties in violation of our terms and policies, and seeking u</w:t>
      </w:r>
      <w:r>
        <w:rPr>
          <w:rFonts w:ascii="Times New Roman" w:eastAsia="宋体" w:hAnsi="Times New Roman"/>
          <w:sz w:val="20"/>
          <w:szCs w:val="20"/>
        </w:rPr>
        <w:t>nspecified damages and injunctive relief. Beginning on July 27, 2018, two putative class actions were filed in federal court in the United States against us and certain of our directors and officers alleging violations of securities laws in connection with</w:t>
      </w:r>
      <w:r>
        <w:rPr>
          <w:rFonts w:ascii="Times New Roman" w:eastAsia="宋体" w:hAnsi="Times New Roman"/>
          <w:sz w:val="20"/>
          <w:szCs w:val="20"/>
        </w:rPr>
        <w:t xml:space="preserve"> the disclosure of our earnings results for the second quarter of 2018 and seeking unspecified damages. These two actions subsequently were transferred and consolidated in the U.S. District Court for the Northern District of California with the putative se</w:t>
      </w:r>
      <w:r>
        <w:rPr>
          <w:rFonts w:ascii="Times New Roman" w:eastAsia="宋体" w:hAnsi="Times New Roman"/>
          <w:sz w:val="20"/>
          <w:szCs w:val="20"/>
        </w:rPr>
        <w:t>curities class action described above relating to our platform and user data practices. On September 25, 2019, the district court granted our motion to dismiss the consolidated putative securities class action, with leave to amend. On November 15, 2019, an</w:t>
      </w:r>
      <w:r>
        <w:rPr>
          <w:rFonts w:ascii="Times New Roman" w:eastAsia="宋体" w:hAnsi="Times New Roman"/>
          <w:sz w:val="20"/>
          <w:szCs w:val="20"/>
        </w:rPr>
        <w:t xml:space="preserve"> amended complaint was filed in the consolidated putative securities class action. We believe these lawsuits are without merit, and we are vigorously defending them. In addition, our platform and user data practices, as well as the events surrounding the m</w:t>
      </w:r>
      <w:r>
        <w:rPr>
          <w:rFonts w:ascii="Times New Roman" w:eastAsia="宋体" w:hAnsi="Times New Roman"/>
          <w:sz w:val="20"/>
          <w:szCs w:val="20"/>
        </w:rPr>
        <w:t>isuse of certain data by a developer, became the subject of U.S. Federal Trade Commission (FTC), state attorneys general, and other government inquiries in the United States, Europe, and other jurisdictions. In July 2019, we entered into a settlement and m</w:t>
      </w:r>
      <w:r>
        <w:rPr>
          <w:rFonts w:ascii="Times New Roman" w:eastAsia="宋体" w:hAnsi="Times New Roman"/>
          <w:sz w:val="20"/>
          <w:szCs w:val="20"/>
        </w:rPr>
        <w:t>odified consent order to resolve the FTC inquiry, which was approved by the federal court and took effect in April 2020. Among other matters, our settlement with the FTC requires us to pay a penalty of $5.0 billion and to significantly enhance our practice</w:t>
      </w:r>
      <w:r>
        <w:rPr>
          <w:rFonts w:ascii="Times New Roman" w:eastAsia="宋体" w:hAnsi="Times New Roman"/>
          <w:sz w:val="20"/>
          <w:szCs w:val="20"/>
        </w:rPr>
        <w:t xml:space="preserve">s and processes for privacy compliance and oversight. This penalty is reflected in accrued expenses and other current liabilities on our condensed consolidated balance sheet as of March 31, 2020. We paid the penalty in April 2020 upon the effectiveness of </w:t>
      </w:r>
      <w:r>
        <w:rPr>
          <w:rFonts w:ascii="Times New Roman" w:eastAsia="宋体" w:hAnsi="Times New Roman"/>
          <w:sz w:val="20"/>
          <w:szCs w:val="20"/>
        </w:rPr>
        <w:t>the modified consent order.</w:t>
      </w:r>
    </w:p>
    <w:p w14:paraId="1446ED40" w14:textId="77777777" w:rsidR="00FE42B5" w:rsidRDefault="00FE42B5">
      <w:pPr>
        <w:spacing w:line="288" w:lineRule="auto"/>
        <w:ind w:firstLine="720"/>
        <w:jc w:val="both"/>
        <w:rPr>
          <w:rFonts w:ascii="Times New Roman" w:hAnsi="Times New Roman"/>
          <w:sz w:val="20"/>
          <w:szCs w:val="20"/>
        </w:rPr>
      </w:pPr>
    </w:p>
    <w:p w14:paraId="1446ED4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On April 1, 2015, a putative class action was filed against us in the U.S. District Court for the Northern District of California by Facebook users alleging that the "tag suggestions" facial recognition feature violates the Ill</w:t>
      </w:r>
      <w:r>
        <w:rPr>
          <w:rFonts w:ascii="Times New Roman" w:eastAsia="宋体" w:hAnsi="Times New Roman"/>
          <w:sz w:val="20"/>
          <w:szCs w:val="20"/>
        </w:rPr>
        <w:t>inois Biometric Information Privacy Act, and seeking statutory damages and injunctive relief. On April 16, 2018, the district court certified a class of Illinois residents, and on May 14, 2018, the district court denied both parties' motions for summary ju</w:t>
      </w:r>
      <w:r>
        <w:rPr>
          <w:rFonts w:ascii="Times New Roman" w:eastAsia="宋体" w:hAnsi="Times New Roman"/>
          <w:sz w:val="20"/>
          <w:szCs w:val="20"/>
        </w:rPr>
        <w:t>dgment. On May 29, 2018, the U.S. Court of Appeals for the Ninth Circuit granted our petition for review of the class certification order and stayed the proceeding. On August 8, 2019, the Ninth Circuit affirmed the class certification order. On December 2,</w:t>
      </w:r>
      <w:r>
        <w:rPr>
          <w:rFonts w:ascii="Times New Roman" w:eastAsia="宋体" w:hAnsi="Times New Roman"/>
          <w:sz w:val="20"/>
          <w:szCs w:val="20"/>
        </w:rPr>
        <w:t xml:space="preserve"> 2019, we filed a petition with the U.S. Supreme Court seeking review of the decision of the Ninth Circuit, which was denied. On January 15, 2020, the parties agreed to a settlement in principle to resolve the lawsuit, which will require a payment of $550 </w:t>
      </w:r>
      <w:r>
        <w:rPr>
          <w:rFonts w:ascii="Times New Roman" w:eastAsia="宋体" w:hAnsi="Times New Roman"/>
          <w:sz w:val="20"/>
          <w:szCs w:val="20"/>
        </w:rPr>
        <w:t xml:space="preserve">million by us and is subject to approval by the district court. This settlement amount is reflected in accrued expenses and other current liabilities on our condensed consolidated balance sheet as of March 31, 2020. </w:t>
      </w:r>
    </w:p>
    <w:p w14:paraId="1446ED42" w14:textId="77777777" w:rsidR="00FE42B5" w:rsidRDefault="00FE42B5">
      <w:pPr>
        <w:spacing w:line="288" w:lineRule="auto"/>
        <w:ind w:firstLine="720"/>
        <w:jc w:val="both"/>
        <w:rPr>
          <w:rFonts w:ascii="Times New Roman" w:hAnsi="Times New Roman"/>
          <w:sz w:val="20"/>
          <w:szCs w:val="20"/>
        </w:rPr>
      </w:pPr>
    </w:p>
    <w:p w14:paraId="1446ED4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Beginning on September 28, 2018, multi</w:t>
      </w:r>
      <w:r>
        <w:rPr>
          <w:rFonts w:ascii="Times New Roman" w:eastAsia="宋体" w:hAnsi="Times New Roman"/>
          <w:sz w:val="20"/>
          <w:szCs w:val="20"/>
        </w:rPr>
        <w:t xml:space="preserve">ple putative class actions were filed in state and federal courts in the United States and elsewhere against us alleging violations of consumer protection laws and other causes of action in connection with </w:t>
      </w:r>
    </w:p>
    <w:p w14:paraId="1446ED44" w14:textId="77777777" w:rsidR="00FE42B5" w:rsidRDefault="00FE42B5">
      <w:pPr>
        <w:rPr>
          <w:rFonts w:ascii="Times New Roman" w:hAnsi="Times New Roman"/>
          <w:sz w:val="20"/>
          <w:szCs w:val="20"/>
        </w:rPr>
      </w:pPr>
    </w:p>
    <w:p w14:paraId="1446ED45"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23</w:t>
      </w:r>
    </w:p>
    <w:p w14:paraId="1446ED46" w14:textId="77777777" w:rsidR="00FE42B5" w:rsidRDefault="009213DC">
      <w:r>
        <w:rPr>
          <w:rFonts w:ascii="Times New Roman" w:hAnsi="Times New Roman"/>
          <w:sz w:val="20"/>
          <w:szCs w:val="20"/>
        </w:rPr>
        <w:pict w14:anchorId="1446FACF">
          <v:rect id="_x0000_i1047" style="width:415.3pt;height:1.5pt" o:hralign="center" o:hrstd="t" o:hr="t" fillcolor="#a0a0a0" stroked="f"/>
        </w:pict>
      </w:r>
    </w:p>
    <w:p w14:paraId="1446ED47" w14:textId="77777777" w:rsidR="00FE42B5" w:rsidRDefault="009213DC">
      <w:pPr>
        <w:spacing w:line="288" w:lineRule="auto"/>
        <w:rPr>
          <w:rFonts w:ascii="Times New Roman" w:hAnsi="Times New Roman"/>
          <w:sz w:val="20"/>
          <w:szCs w:val="20"/>
        </w:rPr>
      </w:pPr>
      <w:hyperlink r:id="rId63" w:anchor="sBB4BED1571A45A16AF3DC2E3B69C901C" w:history="1">
        <w:r>
          <w:rPr>
            <w:rStyle w:val="a5"/>
            <w:rFonts w:ascii="Times New Roman" w:eastAsia="宋体" w:hAnsi="Times New Roman"/>
            <w:sz w:val="20"/>
            <w:szCs w:val="20"/>
          </w:rPr>
          <w:t>Table of Contents</w:t>
        </w:r>
      </w:hyperlink>
    </w:p>
    <w:p w14:paraId="1446ED48" w14:textId="77777777" w:rsidR="00FE42B5" w:rsidRDefault="00FE42B5">
      <w:pPr>
        <w:rPr>
          <w:rFonts w:ascii="Times New Roman" w:hAnsi="Times New Roman"/>
          <w:sz w:val="20"/>
          <w:szCs w:val="20"/>
        </w:rPr>
      </w:pPr>
    </w:p>
    <w:p w14:paraId="1446ED49"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a third-party cyber-attack that exploited a vulnerability in Facebook's code to steal user access tokens and access certain pro</w:t>
      </w:r>
      <w:r>
        <w:rPr>
          <w:rFonts w:ascii="Times New Roman" w:eastAsia="宋体" w:hAnsi="Times New Roman"/>
          <w:sz w:val="20"/>
          <w:szCs w:val="20"/>
        </w:rPr>
        <w:t>file information from user accounts on Facebook, and seeking unspecified damages and injunctive relief. The actions filed in the United States were consolidated in the U.S. District Court for the Northern District of California. On November 26, 2019, the d</w:t>
      </w:r>
      <w:r>
        <w:rPr>
          <w:rFonts w:ascii="Times New Roman" w:eastAsia="宋体" w:hAnsi="Times New Roman"/>
          <w:sz w:val="20"/>
          <w:szCs w:val="20"/>
        </w:rPr>
        <w:t>istrict court certified a class for injunctive relief purposes, but denied certification of a class for purposes of pursuing damages. On January 16, 2020, the parties agreed to a settlement in principle to resolve the lawsuit. We believe the remaining laws</w:t>
      </w:r>
      <w:r>
        <w:rPr>
          <w:rFonts w:ascii="Times New Roman" w:eastAsia="宋体" w:hAnsi="Times New Roman"/>
          <w:sz w:val="20"/>
          <w:szCs w:val="20"/>
        </w:rPr>
        <w:t xml:space="preserve">uits are without merit, and we are vigorously defending them. In addition, the events surrounding this cyber-attack became the subject of Irish Data Protection Commission (IDPC) and other government inquiries. </w:t>
      </w:r>
    </w:p>
    <w:p w14:paraId="1446ED4A" w14:textId="77777777" w:rsidR="00FE42B5" w:rsidRDefault="00FE42B5">
      <w:pPr>
        <w:spacing w:line="288" w:lineRule="auto"/>
        <w:ind w:firstLine="720"/>
        <w:jc w:val="both"/>
        <w:rPr>
          <w:rFonts w:ascii="Times New Roman" w:hAnsi="Times New Roman"/>
          <w:sz w:val="20"/>
          <w:szCs w:val="20"/>
        </w:rPr>
      </w:pPr>
    </w:p>
    <w:p w14:paraId="1446ED4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From time to time we also notify the </w:t>
      </w:r>
      <w:r>
        <w:rPr>
          <w:rFonts w:ascii="Times New Roman" w:eastAsia="宋体" w:hAnsi="Times New Roman"/>
          <w:sz w:val="20"/>
          <w:szCs w:val="20"/>
        </w:rPr>
        <w:t>IDPC, our designated European privacy regulator under the General Data Protection Regulation, of certain other personal data breaches and privacy issues, and are subject to inquiries and investigations regarding various aspects of our regulatory compliance</w:t>
      </w:r>
      <w:r>
        <w:rPr>
          <w:rFonts w:ascii="Times New Roman" w:eastAsia="宋体" w:hAnsi="Times New Roman"/>
          <w:sz w:val="20"/>
          <w:szCs w:val="20"/>
        </w:rPr>
        <w:t>. Although we are vigorously defending our regulatory compliance, we believe there is a reasonable possibility that the ultimate potential loss related to the inquiries and investigations by the IDPC could be material in the aggregate.</w:t>
      </w:r>
    </w:p>
    <w:p w14:paraId="1446ED4C" w14:textId="77777777" w:rsidR="00FE42B5" w:rsidRDefault="00FE42B5">
      <w:pPr>
        <w:spacing w:line="288" w:lineRule="auto"/>
        <w:ind w:firstLine="720"/>
        <w:jc w:val="both"/>
        <w:rPr>
          <w:rFonts w:ascii="Times New Roman" w:hAnsi="Times New Roman"/>
          <w:sz w:val="20"/>
          <w:szCs w:val="20"/>
        </w:rPr>
      </w:pPr>
    </w:p>
    <w:p w14:paraId="1446ED4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from t</w:t>
      </w:r>
      <w:r>
        <w:rPr>
          <w:rFonts w:ascii="Times New Roman" w:eastAsia="宋体" w:hAnsi="Times New Roman"/>
          <w:sz w:val="20"/>
          <w:szCs w:val="20"/>
        </w:rPr>
        <w:t>ime to time, we are subject to litigation and other proceedings involving law enforcement and other regulatory agencies, including in particular in Brazil and Europe, in order to ascertain the precise scope of our legal obligations to comply with the reque</w:t>
      </w:r>
      <w:r>
        <w:rPr>
          <w:rFonts w:ascii="Times New Roman" w:eastAsia="宋体" w:hAnsi="Times New Roman"/>
          <w:sz w:val="20"/>
          <w:szCs w:val="20"/>
        </w:rPr>
        <w:t>sts of those agencies, including our obligation to disclose user information in particular circumstances. A number of such instances have resulted in the assessment of fines and penalties against us. We believe we have multiple legal grounds to satisfy the</w:t>
      </w:r>
      <w:r>
        <w:rPr>
          <w:rFonts w:ascii="Times New Roman" w:eastAsia="宋体" w:hAnsi="Times New Roman"/>
          <w:sz w:val="20"/>
          <w:szCs w:val="20"/>
        </w:rPr>
        <w:t xml:space="preserve">se requests or prevail against associated fines and penalties, and we intend to vigorously defend such fines and penalties. </w:t>
      </w:r>
    </w:p>
    <w:p w14:paraId="1446ED4E" w14:textId="77777777" w:rsidR="00FE42B5" w:rsidRDefault="00FE42B5">
      <w:pPr>
        <w:spacing w:line="288" w:lineRule="auto"/>
        <w:ind w:firstLine="720"/>
        <w:jc w:val="both"/>
        <w:rPr>
          <w:rFonts w:ascii="Times New Roman" w:hAnsi="Times New Roman"/>
          <w:sz w:val="20"/>
          <w:szCs w:val="20"/>
        </w:rPr>
      </w:pPr>
    </w:p>
    <w:p w14:paraId="1446ED4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With respect to the cases, actions, and inquiries described above, we evaluate the associated developments on a regular basis and </w:t>
      </w:r>
      <w:r>
        <w:rPr>
          <w:rFonts w:ascii="Times New Roman" w:eastAsia="宋体" w:hAnsi="Times New Roman"/>
          <w:sz w:val="20"/>
          <w:szCs w:val="20"/>
        </w:rPr>
        <w:t xml:space="preserve">accrue a liability when we believe a loss is probable and the amount can be reasonably estimated. In addition, we believe there is a reasonable possibility that we may incur a loss in some of these matters. With respect to the matters described above that </w:t>
      </w:r>
      <w:r>
        <w:rPr>
          <w:rFonts w:ascii="Times New Roman" w:eastAsia="宋体" w:hAnsi="Times New Roman"/>
          <w:sz w:val="20"/>
          <w:szCs w:val="20"/>
        </w:rPr>
        <w:t>do not include an estimate of the amount of loss or range of possible loss, such losses or range of possible losses either cannot be estimated or are not individually material, but we believe there is a reasonable possibility that they may be material in t</w:t>
      </w:r>
      <w:r>
        <w:rPr>
          <w:rFonts w:ascii="Times New Roman" w:eastAsia="宋体" w:hAnsi="Times New Roman"/>
          <w:sz w:val="20"/>
          <w:szCs w:val="20"/>
        </w:rPr>
        <w:t>he aggregate.</w:t>
      </w:r>
    </w:p>
    <w:p w14:paraId="1446ED50" w14:textId="77777777" w:rsidR="00FE42B5" w:rsidRDefault="00FE42B5">
      <w:pPr>
        <w:spacing w:line="288" w:lineRule="auto"/>
        <w:ind w:firstLine="720"/>
        <w:jc w:val="both"/>
        <w:rPr>
          <w:rFonts w:ascii="Times New Roman" w:hAnsi="Times New Roman"/>
          <w:sz w:val="20"/>
          <w:szCs w:val="20"/>
        </w:rPr>
      </w:pPr>
    </w:p>
    <w:p w14:paraId="1446ED5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party to various other legal proceedings, claims, and regulatory, tax or government inquiries and investigations that arise in the ordinary course of business. With respect to these other matters, we evaluate the associated devel</w:t>
      </w:r>
      <w:r>
        <w:rPr>
          <w:rFonts w:ascii="Times New Roman" w:eastAsia="宋体" w:hAnsi="Times New Roman"/>
          <w:sz w:val="20"/>
          <w:szCs w:val="20"/>
        </w:rPr>
        <w:t>opments on a regular basis and accrue a liability when we believe a loss is probable and the amount can be reasonably estimated. In addition, we believe there is a reasonable possibility that we may incur a loss in some of these other matters. We believe t</w:t>
      </w:r>
      <w:r>
        <w:rPr>
          <w:rFonts w:ascii="Times New Roman" w:eastAsia="宋体" w:hAnsi="Times New Roman"/>
          <w:sz w:val="20"/>
          <w:szCs w:val="20"/>
        </w:rPr>
        <w:t xml:space="preserve">hat the amount of losses or any estimable range of possible losses with respect to these other matters will not, either individually or in the aggregate, have a material adverse effect on our business and condensed consolidated financial statements. </w:t>
      </w:r>
    </w:p>
    <w:p w14:paraId="1446ED52" w14:textId="77777777" w:rsidR="00FE42B5" w:rsidRDefault="00FE42B5">
      <w:pPr>
        <w:spacing w:line="288" w:lineRule="auto"/>
        <w:ind w:firstLine="720"/>
        <w:jc w:val="both"/>
        <w:rPr>
          <w:rFonts w:ascii="Times New Roman" w:hAnsi="Times New Roman"/>
          <w:sz w:val="20"/>
          <w:szCs w:val="20"/>
        </w:rPr>
      </w:pPr>
    </w:p>
    <w:p w14:paraId="1446ED5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Howe</w:t>
      </w:r>
      <w:r>
        <w:rPr>
          <w:rFonts w:ascii="Times New Roman" w:eastAsia="宋体" w:hAnsi="Times New Roman"/>
          <w:sz w:val="20"/>
          <w:szCs w:val="20"/>
        </w:rPr>
        <w:t>ver, the outcome of the legal matters described in this section is inherently uncertain. Therefore, if one or more of these matters were resolved against us for amounts in excess of management's expectations, our results of operations and financial conditi</w:t>
      </w:r>
      <w:r>
        <w:rPr>
          <w:rFonts w:ascii="Times New Roman" w:eastAsia="宋体" w:hAnsi="Times New Roman"/>
          <w:sz w:val="20"/>
          <w:szCs w:val="20"/>
        </w:rPr>
        <w:t>on, including in a particular reporting period in which any such outcome becomes probable and estimable, could be materially adversely affected.</w:t>
      </w:r>
    </w:p>
    <w:p w14:paraId="1446ED54" w14:textId="77777777" w:rsidR="00FE42B5" w:rsidRDefault="00FE42B5">
      <w:pPr>
        <w:spacing w:line="288" w:lineRule="auto"/>
        <w:ind w:firstLine="720"/>
        <w:rPr>
          <w:rFonts w:ascii="Times New Roman" w:hAnsi="Times New Roman"/>
          <w:sz w:val="20"/>
          <w:szCs w:val="20"/>
        </w:rPr>
      </w:pPr>
    </w:p>
    <w:p w14:paraId="1446ED55" w14:textId="77777777" w:rsidR="00FE42B5" w:rsidRDefault="009213DC">
      <w:pPr>
        <w:spacing w:line="288" w:lineRule="auto"/>
        <w:ind w:firstLine="720"/>
        <w:rPr>
          <w:rFonts w:ascii="Times New Roman" w:hAnsi="Times New Roman"/>
          <w:sz w:val="20"/>
          <w:szCs w:val="20"/>
        </w:rPr>
      </w:pPr>
      <w:r>
        <w:rPr>
          <w:rFonts w:ascii="Times New Roman" w:eastAsia="宋体" w:hAnsi="Times New Roman"/>
          <w:sz w:val="20"/>
          <w:szCs w:val="20"/>
        </w:rPr>
        <w:t>For information regarding income tax contingencies, see Note 12 — Income Taxes.</w:t>
      </w:r>
    </w:p>
    <w:p w14:paraId="1446ED56" w14:textId="77777777" w:rsidR="00FE42B5" w:rsidRDefault="00FE42B5">
      <w:pPr>
        <w:spacing w:line="288" w:lineRule="auto"/>
        <w:ind w:firstLine="720"/>
        <w:rPr>
          <w:rFonts w:ascii="Times New Roman" w:hAnsi="Times New Roman"/>
          <w:sz w:val="20"/>
          <w:szCs w:val="20"/>
        </w:rPr>
      </w:pPr>
    </w:p>
    <w:p w14:paraId="1446ED57"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Note 11. Stockholders' Equity</w:t>
      </w:r>
    </w:p>
    <w:p w14:paraId="1446ED58" w14:textId="77777777" w:rsidR="00FE42B5" w:rsidRDefault="00FE42B5">
      <w:pPr>
        <w:spacing w:line="288" w:lineRule="auto"/>
        <w:rPr>
          <w:rFonts w:ascii="Times New Roman" w:hAnsi="Times New Roman"/>
          <w:sz w:val="20"/>
          <w:szCs w:val="20"/>
        </w:rPr>
      </w:pPr>
    </w:p>
    <w:p w14:paraId="1446ED59"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Share Repurchase Program</w:t>
      </w:r>
    </w:p>
    <w:p w14:paraId="1446ED5A" w14:textId="77777777" w:rsidR="00FE42B5" w:rsidRDefault="00FE42B5">
      <w:pPr>
        <w:spacing w:line="288" w:lineRule="auto"/>
        <w:ind w:firstLine="720"/>
        <w:jc w:val="both"/>
        <w:rPr>
          <w:rFonts w:ascii="Times New Roman" w:hAnsi="Times New Roman"/>
          <w:sz w:val="20"/>
          <w:szCs w:val="20"/>
        </w:rPr>
      </w:pPr>
    </w:p>
    <w:p w14:paraId="1446ED5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board of directors has authorized a share repurchase program of our Class A common stock, which commenced in January 2017 and does not have an expiration date. As of December 31, 2019, $4.90 billion remained available and au</w:t>
      </w:r>
      <w:r>
        <w:rPr>
          <w:rFonts w:ascii="Times New Roman" w:eastAsia="宋体" w:hAnsi="Times New Roman"/>
          <w:sz w:val="20"/>
          <w:szCs w:val="20"/>
        </w:rPr>
        <w:t xml:space="preserve">thorized for repurchases. In January 2020, an additional $10.0 billion of repurchases was authorized under this program. During the three months ended March 31, 2020, we repurchased and subsequently retired 6 million shares of our Class A common stock for </w:t>
      </w:r>
      <w:r>
        <w:rPr>
          <w:rFonts w:ascii="Times New Roman" w:eastAsia="宋体" w:hAnsi="Times New Roman"/>
          <w:sz w:val="20"/>
          <w:szCs w:val="20"/>
        </w:rPr>
        <w:t xml:space="preserve">an aggregate amount of $1.24 billion. As of March 31, 2020, </w:t>
      </w:r>
      <w:r>
        <w:rPr>
          <w:rFonts w:ascii="Times New Roman" w:eastAsia="宋体" w:hAnsi="Times New Roman"/>
          <w:color w:val="000000"/>
          <w:sz w:val="20"/>
          <w:szCs w:val="20"/>
        </w:rPr>
        <w:t>$13.66 billion</w:t>
      </w:r>
      <w:r>
        <w:rPr>
          <w:rFonts w:ascii="Times New Roman" w:eastAsia="宋体" w:hAnsi="Times New Roman"/>
          <w:sz w:val="20"/>
          <w:szCs w:val="20"/>
        </w:rPr>
        <w:t xml:space="preserve"> remained available and authorized for repurchases.</w:t>
      </w:r>
    </w:p>
    <w:p w14:paraId="1446ED5C" w14:textId="77777777" w:rsidR="00FE42B5" w:rsidRDefault="00FE42B5">
      <w:pPr>
        <w:spacing w:line="288" w:lineRule="auto"/>
        <w:ind w:firstLine="720"/>
        <w:jc w:val="both"/>
        <w:rPr>
          <w:rFonts w:ascii="Times New Roman" w:hAnsi="Times New Roman"/>
          <w:sz w:val="20"/>
          <w:szCs w:val="20"/>
        </w:rPr>
      </w:pPr>
    </w:p>
    <w:p w14:paraId="1446ED5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timing and actual number of shares repurchased under the repurchase program depend on a variety of factors, including price, general business and market conditions, and other investment opportunities, and shares may be repurchased through open </w:t>
      </w:r>
    </w:p>
    <w:p w14:paraId="1446ED5E" w14:textId="77777777" w:rsidR="00FE42B5" w:rsidRDefault="00FE42B5">
      <w:pPr>
        <w:rPr>
          <w:rFonts w:ascii="Times New Roman" w:hAnsi="Times New Roman"/>
          <w:sz w:val="20"/>
          <w:szCs w:val="20"/>
        </w:rPr>
      </w:pPr>
    </w:p>
    <w:p w14:paraId="1446ED5F"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24</w:t>
      </w:r>
    </w:p>
    <w:p w14:paraId="1446ED60" w14:textId="77777777" w:rsidR="00FE42B5" w:rsidRDefault="009213DC">
      <w:r>
        <w:rPr>
          <w:rFonts w:ascii="Times New Roman" w:hAnsi="Times New Roman"/>
          <w:sz w:val="20"/>
          <w:szCs w:val="20"/>
        </w:rPr>
        <w:pict w14:anchorId="1446FAD0">
          <v:rect id="_x0000_i1048" style="width:415.3pt;height:1.5pt" o:hralign="center" o:hrstd="t" o:hr="t" fillcolor="#a0a0a0" stroked="f"/>
        </w:pict>
      </w:r>
    </w:p>
    <w:p w14:paraId="1446ED61" w14:textId="77777777" w:rsidR="00FE42B5" w:rsidRDefault="009213DC">
      <w:pPr>
        <w:spacing w:line="288" w:lineRule="auto"/>
        <w:rPr>
          <w:rFonts w:ascii="Times New Roman" w:hAnsi="Times New Roman"/>
          <w:sz w:val="20"/>
          <w:szCs w:val="20"/>
        </w:rPr>
      </w:pPr>
      <w:hyperlink r:id="rId64" w:anchor="sBB4BED1571A45A16AF3DC2E3B69C901C" w:history="1">
        <w:r>
          <w:rPr>
            <w:rStyle w:val="a5"/>
            <w:rFonts w:ascii="Times New Roman" w:eastAsia="宋体" w:hAnsi="Times New Roman"/>
            <w:sz w:val="20"/>
            <w:szCs w:val="20"/>
          </w:rPr>
          <w:t>Table of Contents</w:t>
        </w:r>
      </w:hyperlink>
    </w:p>
    <w:p w14:paraId="1446ED62" w14:textId="77777777" w:rsidR="00FE42B5" w:rsidRDefault="00FE42B5">
      <w:pPr>
        <w:rPr>
          <w:rFonts w:ascii="Times New Roman" w:hAnsi="Times New Roman"/>
          <w:sz w:val="20"/>
          <w:szCs w:val="20"/>
        </w:rPr>
      </w:pPr>
    </w:p>
    <w:p w14:paraId="1446ED63"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 xml:space="preserve">market purchases or privately negotiated transactions, including through the use of trading plans intended to qualify under Rule 10b5-1 under the Securities Exchange Act of 1934, as amended. </w:t>
      </w:r>
    </w:p>
    <w:p w14:paraId="1446ED64" w14:textId="77777777" w:rsidR="00FE42B5" w:rsidRDefault="00FE42B5">
      <w:pPr>
        <w:spacing w:line="288" w:lineRule="auto"/>
        <w:rPr>
          <w:rFonts w:ascii="Times New Roman" w:hAnsi="Times New Roman"/>
          <w:sz w:val="20"/>
          <w:szCs w:val="20"/>
        </w:rPr>
      </w:pPr>
    </w:p>
    <w:p w14:paraId="1446ED65"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Share-based Compensation Plans</w:t>
      </w:r>
    </w:p>
    <w:p w14:paraId="1446ED66" w14:textId="77777777" w:rsidR="00FE42B5" w:rsidRDefault="00FE42B5">
      <w:pPr>
        <w:spacing w:line="288" w:lineRule="auto"/>
        <w:ind w:firstLine="720"/>
        <w:jc w:val="both"/>
        <w:rPr>
          <w:rFonts w:ascii="Times New Roman" w:hAnsi="Times New Roman"/>
          <w:sz w:val="20"/>
          <w:szCs w:val="20"/>
        </w:rPr>
      </w:pPr>
    </w:p>
    <w:p w14:paraId="1446ED6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maintain two share-based emp</w:t>
      </w:r>
      <w:r>
        <w:rPr>
          <w:rFonts w:ascii="Times New Roman" w:eastAsia="宋体" w:hAnsi="Times New Roman"/>
          <w:sz w:val="20"/>
          <w:szCs w:val="20"/>
        </w:rPr>
        <w:t>loyee compensation plans: the 2012 Equity Incentive Plan, which was amended in each of June 2016 and February 2018 (Amended 2012 Plan), and the 2005 Stock Plan (collectively, Stock Plans). Our Amended 2012 Plan serves as the successor to our 2005 Stock Pla</w:t>
      </w:r>
      <w:r>
        <w:rPr>
          <w:rFonts w:ascii="Times New Roman" w:eastAsia="宋体" w:hAnsi="Times New Roman"/>
          <w:sz w:val="20"/>
          <w:szCs w:val="20"/>
        </w:rPr>
        <w:t>n and provides for the issuance of incentive and nonstatutory stock options, restricted stock awards, stock appreciation rights, RSUs, performance shares, and stock bonuses to qualified employees, directors and consultants. Outstanding awards under the 200</w:t>
      </w:r>
      <w:r>
        <w:rPr>
          <w:rFonts w:ascii="Times New Roman" w:eastAsia="宋体" w:hAnsi="Times New Roman"/>
          <w:sz w:val="20"/>
          <w:szCs w:val="20"/>
        </w:rPr>
        <w:t>5 Stock Plan continue to be subject to the terms and conditions of the 2005 Stock Plan. Shares that are withheld in connection with the net settlement of RSUs or forfeited under our Stock Plans are added to the reserves of the Amended 2012 Plan. We account</w:t>
      </w:r>
      <w:r>
        <w:rPr>
          <w:rFonts w:ascii="Times New Roman" w:eastAsia="宋体" w:hAnsi="Times New Roman"/>
          <w:sz w:val="20"/>
          <w:szCs w:val="20"/>
        </w:rPr>
        <w:t xml:space="preserve"> for forfeitures as they occur.</w:t>
      </w:r>
    </w:p>
    <w:p w14:paraId="1446ED68" w14:textId="77777777" w:rsidR="00FE42B5" w:rsidRDefault="00FE42B5">
      <w:pPr>
        <w:spacing w:line="288" w:lineRule="auto"/>
        <w:ind w:firstLine="720"/>
        <w:jc w:val="both"/>
        <w:rPr>
          <w:rFonts w:ascii="Times New Roman" w:hAnsi="Times New Roman"/>
          <w:sz w:val="20"/>
          <w:szCs w:val="20"/>
        </w:rPr>
      </w:pPr>
    </w:p>
    <w:p w14:paraId="1446ED6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Share-based compensation expense consists of our RSU expense. RSUs granted to employees are measured based on the grant-date fair value. In general, our RSUs vest over a service period of four years. Share-based compensatio</w:t>
      </w:r>
      <w:r>
        <w:rPr>
          <w:rFonts w:ascii="Times New Roman" w:eastAsia="宋体" w:hAnsi="Times New Roman"/>
          <w:sz w:val="20"/>
          <w:szCs w:val="20"/>
        </w:rPr>
        <w:t>n expense is generally recognized based on the straight-line basis over the requisite service period.</w:t>
      </w:r>
    </w:p>
    <w:p w14:paraId="1446ED6A" w14:textId="77777777" w:rsidR="00FE42B5" w:rsidRDefault="00FE42B5">
      <w:pPr>
        <w:spacing w:line="288" w:lineRule="auto"/>
        <w:ind w:firstLine="720"/>
        <w:jc w:val="both"/>
        <w:rPr>
          <w:rFonts w:ascii="Times New Roman" w:hAnsi="Times New Roman"/>
          <w:sz w:val="20"/>
          <w:szCs w:val="20"/>
        </w:rPr>
      </w:pPr>
    </w:p>
    <w:p w14:paraId="1446ED6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Effective January 1, 2020, there were 171 million shares of our Class A common stock reserved for future issuance under our Amended 2012 Plan. The number</w:t>
      </w:r>
      <w:r>
        <w:rPr>
          <w:rFonts w:ascii="Times New Roman" w:eastAsia="宋体" w:hAnsi="Times New Roman"/>
          <w:sz w:val="20"/>
          <w:szCs w:val="20"/>
        </w:rPr>
        <w:t xml:space="preserve"> of shares reserved for issuance under our Amended 2012 Plan increases automatically on January 1 of each of the calendar years during the term of the Amended 2012 Plan, which will continue through April 2026, by a number of shares of Class A common stock </w:t>
      </w:r>
      <w:r>
        <w:rPr>
          <w:rFonts w:ascii="Times New Roman" w:eastAsia="宋体" w:hAnsi="Times New Roman"/>
          <w:sz w:val="20"/>
          <w:szCs w:val="20"/>
        </w:rPr>
        <w:t xml:space="preserve">equal to the lesser of (i) 2.5% of the total issued and outstanding shares of our Class A common stock as of the immediately preceding December 31st or (ii) a number of shares determined by our board of directors. </w:t>
      </w:r>
    </w:p>
    <w:p w14:paraId="1446ED6C" w14:textId="77777777" w:rsidR="00FE42B5" w:rsidRDefault="00FE42B5">
      <w:pPr>
        <w:spacing w:line="288" w:lineRule="auto"/>
        <w:ind w:firstLine="720"/>
        <w:rPr>
          <w:rFonts w:ascii="Times New Roman" w:hAnsi="Times New Roman"/>
          <w:sz w:val="20"/>
          <w:szCs w:val="20"/>
        </w:rPr>
      </w:pPr>
    </w:p>
    <w:p w14:paraId="1446ED6D" w14:textId="77777777" w:rsidR="00FE42B5" w:rsidRDefault="009213DC">
      <w:pPr>
        <w:spacing w:line="288" w:lineRule="auto"/>
        <w:ind w:firstLine="720"/>
        <w:rPr>
          <w:rFonts w:ascii="Times New Roman" w:hAnsi="Times New Roman"/>
          <w:sz w:val="20"/>
          <w:szCs w:val="20"/>
        </w:rPr>
      </w:pPr>
      <w:r>
        <w:rPr>
          <w:rFonts w:ascii="Times New Roman" w:eastAsia="宋体" w:hAnsi="Times New Roman"/>
          <w:sz w:val="20"/>
          <w:szCs w:val="20"/>
        </w:rPr>
        <w:t>The following table summarizes the activ</w:t>
      </w:r>
      <w:r>
        <w:rPr>
          <w:rFonts w:ascii="Times New Roman" w:eastAsia="宋体" w:hAnsi="Times New Roman"/>
          <w:sz w:val="20"/>
          <w:szCs w:val="20"/>
        </w:rPr>
        <w:t xml:space="preserve">ities for our unvested RSUs for the three months ended March 31, 2020: </w:t>
      </w:r>
    </w:p>
    <w:tbl>
      <w:tblPr>
        <w:tblW w:w="5000" w:type="pct"/>
        <w:tblCellMar>
          <w:left w:w="0" w:type="dxa"/>
          <w:right w:w="0" w:type="dxa"/>
        </w:tblCellMar>
        <w:tblLook w:val="04A0" w:firstRow="1" w:lastRow="0" w:firstColumn="1" w:lastColumn="0" w:noHBand="0" w:noVBand="1"/>
      </w:tblPr>
      <w:tblGrid>
        <w:gridCol w:w="5613"/>
        <w:gridCol w:w="1045"/>
        <w:gridCol w:w="108"/>
        <w:gridCol w:w="130"/>
        <w:gridCol w:w="141"/>
        <w:gridCol w:w="1179"/>
        <w:gridCol w:w="90"/>
      </w:tblGrid>
      <w:tr w:rsidR="00FE42B5" w14:paraId="1446ED6F" w14:textId="77777777">
        <w:tc>
          <w:tcPr>
            <w:tcW w:w="0" w:type="auto"/>
            <w:gridSpan w:val="7"/>
            <w:shd w:val="clear" w:color="auto" w:fill="auto"/>
            <w:vAlign w:val="center"/>
          </w:tcPr>
          <w:p w14:paraId="1446ED6E" w14:textId="77777777" w:rsidR="00FE42B5" w:rsidRDefault="00FE42B5">
            <w:pPr>
              <w:rPr>
                <w:rFonts w:ascii="Times New Roman" w:hAnsi="Times New Roman"/>
                <w:sz w:val="20"/>
                <w:szCs w:val="20"/>
              </w:rPr>
            </w:pPr>
          </w:p>
        </w:tc>
      </w:tr>
      <w:tr w:rsidR="00FE42B5" w14:paraId="1446ED77" w14:textId="77777777">
        <w:tc>
          <w:tcPr>
            <w:tcW w:w="3449" w:type="pct"/>
            <w:shd w:val="clear" w:color="auto" w:fill="auto"/>
            <w:vAlign w:val="center"/>
          </w:tcPr>
          <w:p w14:paraId="1446ED70" w14:textId="77777777" w:rsidR="00FE42B5" w:rsidRDefault="00FE42B5">
            <w:pPr>
              <w:rPr>
                <w:rFonts w:ascii="Times New Roman" w:hAnsi="Times New Roman"/>
                <w:sz w:val="20"/>
                <w:szCs w:val="20"/>
              </w:rPr>
            </w:pPr>
          </w:p>
        </w:tc>
        <w:tc>
          <w:tcPr>
            <w:tcW w:w="700" w:type="pct"/>
            <w:shd w:val="clear" w:color="auto" w:fill="auto"/>
            <w:vAlign w:val="center"/>
          </w:tcPr>
          <w:p w14:paraId="1446ED71" w14:textId="77777777" w:rsidR="00FE42B5" w:rsidRDefault="00FE42B5">
            <w:pPr>
              <w:rPr>
                <w:rFonts w:ascii="Times New Roman" w:hAnsi="Times New Roman"/>
                <w:sz w:val="20"/>
                <w:szCs w:val="20"/>
              </w:rPr>
            </w:pPr>
          </w:p>
        </w:tc>
        <w:tc>
          <w:tcPr>
            <w:tcW w:w="50" w:type="pct"/>
            <w:shd w:val="clear" w:color="auto" w:fill="auto"/>
            <w:vAlign w:val="center"/>
          </w:tcPr>
          <w:p w14:paraId="1446ED72" w14:textId="77777777" w:rsidR="00FE42B5" w:rsidRDefault="00FE42B5">
            <w:pPr>
              <w:rPr>
                <w:rFonts w:ascii="Times New Roman" w:hAnsi="Times New Roman"/>
                <w:sz w:val="20"/>
                <w:szCs w:val="20"/>
              </w:rPr>
            </w:pPr>
          </w:p>
        </w:tc>
        <w:tc>
          <w:tcPr>
            <w:tcW w:w="50" w:type="pct"/>
            <w:shd w:val="clear" w:color="auto" w:fill="auto"/>
            <w:vAlign w:val="center"/>
          </w:tcPr>
          <w:p w14:paraId="1446ED73" w14:textId="77777777" w:rsidR="00FE42B5" w:rsidRDefault="00FE42B5">
            <w:pPr>
              <w:rPr>
                <w:rFonts w:ascii="Times New Roman" w:hAnsi="Times New Roman"/>
                <w:sz w:val="20"/>
                <w:szCs w:val="20"/>
              </w:rPr>
            </w:pPr>
          </w:p>
        </w:tc>
        <w:tc>
          <w:tcPr>
            <w:tcW w:w="50" w:type="pct"/>
            <w:shd w:val="clear" w:color="auto" w:fill="auto"/>
            <w:vAlign w:val="center"/>
          </w:tcPr>
          <w:p w14:paraId="1446ED74" w14:textId="77777777" w:rsidR="00FE42B5" w:rsidRDefault="00FE42B5">
            <w:pPr>
              <w:rPr>
                <w:rFonts w:ascii="Times New Roman" w:hAnsi="Times New Roman"/>
                <w:sz w:val="20"/>
                <w:szCs w:val="20"/>
              </w:rPr>
            </w:pPr>
          </w:p>
        </w:tc>
        <w:tc>
          <w:tcPr>
            <w:tcW w:w="650" w:type="pct"/>
            <w:shd w:val="clear" w:color="auto" w:fill="auto"/>
            <w:vAlign w:val="center"/>
          </w:tcPr>
          <w:p w14:paraId="1446ED75" w14:textId="77777777" w:rsidR="00FE42B5" w:rsidRDefault="00FE42B5">
            <w:pPr>
              <w:rPr>
                <w:rFonts w:ascii="Times New Roman" w:hAnsi="Times New Roman"/>
                <w:sz w:val="20"/>
                <w:szCs w:val="20"/>
              </w:rPr>
            </w:pPr>
          </w:p>
        </w:tc>
        <w:tc>
          <w:tcPr>
            <w:tcW w:w="50" w:type="pct"/>
            <w:shd w:val="clear" w:color="auto" w:fill="auto"/>
            <w:vAlign w:val="center"/>
          </w:tcPr>
          <w:p w14:paraId="1446ED76" w14:textId="77777777" w:rsidR="00FE42B5" w:rsidRDefault="00FE42B5">
            <w:pPr>
              <w:rPr>
                <w:rFonts w:ascii="Times New Roman" w:hAnsi="Times New Roman"/>
                <w:sz w:val="20"/>
                <w:szCs w:val="20"/>
              </w:rPr>
            </w:pPr>
          </w:p>
        </w:tc>
      </w:tr>
      <w:tr w:rsidR="00FE42B5" w14:paraId="1446ED7A" w14:textId="77777777">
        <w:tc>
          <w:tcPr>
            <w:tcW w:w="0" w:type="auto"/>
            <w:shd w:val="clear" w:color="auto" w:fill="auto"/>
            <w:tcMar>
              <w:top w:w="40" w:type="dxa"/>
              <w:left w:w="40" w:type="dxa"/>
              <w:bottom w:w="40" w:type="dxa"/>
              <w:right w:w="40" w:type="dxa"/>
            </w:tcMar>
            <w:vAlign w:val="bottom"/>
          </w:tcPr>
          <w:p w14:paraId="1446ED7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1446ED79"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Unvested RSUs</w:t>
            </w:r>
          </w:p>
        </w:tc>
      </w:tr>
      <w:tr w:rsidR="00FE42B5" w14:paraId="1446ED7F" w14:textId="77777777">
        <w:tc>
          <w:tcPr>
            <w:tcW w:w="0" w:type="auto"/>
            <w:shd w:val="clear" w:color="auto" w:fill="auto"/>
            <w:tcMar>
              <w:top w:w="40" w:type="dxa"/>
              <w:left w:w="40" w:type="dxa"/>
              <w:bottom w:w="40" w:type="dxa"/>
              <w:right w:w="40" w:type="dxa"/>
            </w:tcMar>
            <w:vAlign w:val="bottom"/>
          </w:tcPr>
          <w:p w14:paraId="1446ED7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D7C"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Number of Shares</w:t>
            </w:r>
          </w:p>
        </w:tc>
        <w:tc>
          <w:tcPr>
            <w:tcW w:w="0" w:type="auto"/>
            <w:shd w:val="clear" w:color="auto" w:fill="auto"/>
            <w:tcMar>
              <w:top w:w="40" w:type="dxa"/>
              <w:left w:w="40" w:type="dxa"/>
              <w:bottom w:w="40" w:type="dxa"/>
              <w:right w:w="40" w:type="dxa"/>
            </w:tcMar>
            <w:vAlign w:val="bottom"/>
          </w:tcPr>
          <w:p w14:paraId="1446ED7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D7E"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Weighted-Average Grant Date Fair Value</w:t>
            </w:r>
          </w:p>
        </w:tc>
      </w:tr>
      <w:tr w:rsidR="00FE42B5" w14:paraId="1446ED84" w14:textId="77777777">
        <w:tc>
          <w:tcPr>
            <w:tcW w:w="0" w:type="auto"/>
            <w:shd w:val="clear" w:color="auto" w:fill="auto"/>
            <w:tcMar>
              <w:top w:w="40" w:type="dxa"/>
              <w:left w:w="40" w:type="dxa"/>
              <w:bottom w:w="40" w:type="dxa"/>
              <w:right w:w="40" w:type="dxa"/>
            </w:tcMar>
            <w:vAlign w:val="bottom"/>
          </w:tcPr>
          <w:p w14:paraId="1446ED8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ED81"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1446ED8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D8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D8C" w14:textId="77777777">
        <w:tc>
          <w:tcPr>
            <w:tcW w:w="0" w:type="auto"/>
            <w:shd w:val="clear" w:color="auto" w:fill="CCEEFF"/>
            <w:tcMar>
              <w:top w:w="40" w:type="dxa"/>
              <w:left w:w="40" w:type="dxa"/>
              <w:bottom w:w="40" w:type="dxa"/>
              <w:right w:w="40" w:type="dxa"/>
            </w:tcMar>
            <w:vAlign w:val="bottom"/>
          </w:tcPr>
          <w:p w14:paraId="1446ED8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Unvested at December 31, 2019</w:t>
            </w:r>
          </w:p>
        </w:tc>
        <w:tc>
          <w:tcPr>
            <w:tcW w:w="0" w:type="auto"/>
            <w:shd w:val="clear" w:color="auto" w:fill="CCEEFF"/>
            <w:tcMar>
              <w:top w:w="40" w:type="dxa"/>
              <w:left w:w="40" w:type="dxa"/>
              <w:bottom w:w="40" w:type="dxa"/>
            </w:tcMar>
            <w:vAlign w:val="bottom"/>
          </w:tcPr>
          <w:p w14:paraId="1446ED8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78,851</w:t>
            </w:r>
          </w:p>
        </w:tc>
        <w:tc>
          <w:tcPr>
            <w:tcW w:w="0" w:type="auto"/>
            <w:shd w:val="clear" w:color="auto" w:fill="CCEEFF"/>
            <w:vAlign w:val="bottom"/>
          </w:tcPr>
          <w:p w14:paraId="1446ED8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D8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D8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D8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165.74</w:t>
            </w:r>
          </w:p>
        </w:tc>
        <w:tc>
          <w:tcPr>
            <w:tcW w:w="0" w:type="auto"/>
            <w:shd w:val="clear" w:color="auto" w:fill="CCEEFF"/>
            <w:vAlign w:val="bottom"/>
          </w:tcPr>
          <w:p w14:paraId="1446ED8B" w14:textId="77777777" w:rsidR="00FE42B5" w:rsidRDefault="00FE42B5">
            <w:pPr>
              <w:textAlignment w:val="bottom"/>
              <w:rPr>
                <w:rFonts w:ascii="Times New Roman" w:hAnsi="Times New Roman"/>
                <w:sz w:val="20"/>
                <w:szCs w:val="20"/>
              </w:rPr>
            </w:pPr>
          </w:p>
        </w:tc>
      </w:tr>
      <w:tr w:rsidR="00FE42B5" w14:paraId="1446ED94" w14:textId="77777777">
        <w:tc>
          <w:tcPr>
            <w:tcW w:w="0" w:type="auto"/>
            <w:shd w:val="clear" w:color="auto" w:fill="auto"/>
            <w:tcMar>
              <w:top w:w="40" w:type="dxa"/>
              <w:left w:w="400" w:type="dxa"/>
              <w:bottom w:w="40" w:type="dxa"/>
              <w:right w:w="40" w:type="dxa"/>
            </w:tcMar>
            <w:vAlign w:val="bottom"/>
          </w:tcPr>
          <w:p w14:paraId="1446ED8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1446ED8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39,387</w:t>
            </w:r>
          </w:p>
        </w:tc>
        <w:tc>
          <w:tcPr>
            <w:tcW w:w="0" w:type="auto"/>
            <w:shd w:val="clear" w:color="auto" w:fill="auto"/>
            <w:vAlign w:val="bottom"/>
          </w:tcPr>
          <w:p w14:paraId="1446ED8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D9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D9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D9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155.99</w:t>
            </w:r>
          </w:p>
        </w:tc>
        <w:tc>
          <w:tcPr>
            <w:tcW w:w="0" w:type="auto"/>
            <w:shd w:val="clear" w:color="auto" w:fill="auto"/>
            <w:vAlign w:val="bottom"/>
          </w:tcPr>
          <w:p w14:paraId="1446ED93" w14:textId="77777777" w:rsidR="00FE42B5" w:rsidRDefault="00FE42B5">
            <w:pPr>
              <w:textAlignment w:val="bottom"/>
              <w:rPr>
                <w:rFonts w:ascii="Times New Roman" w:hAnsi="Times New Roman"/>
                <w:sz w:val="20"/>
                <w:szCs w:val="20"/>
              </w:rPr>
            </w:pPr>
          </w:p>
        </w:tc>
      </w:tr>
      <w:tr w:rsidR="00FE42B5" w14:paraId="1446ED9C" w14:textId="77777777">
        <w:tc>
          <w:tcPr>
            <w:tcW w:w="0" w:type="auto"/>
            <w:shd w:val="clear" w:color="auto" w:fill="CCEEFF"/>
            <w:tcMar>
              <w:top w:w="40" w:type="dxa"/>
              <w:left w:w="400" w:type="dxa"/>
              <w:bottom w:w="40" w:type="dxa"/>
              <w:right w:w="40" w:type="dxa"/>
            </w:tcMar>
            <w:vAlign w:val="bottom"/>
          </w:tcPr>
          <w:p w14:paraId="1446ED9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Vested</w:t>
            </w:r>
          </w:p>
        </w:tc>
        <w:tc>
          <w:tcPr>
            <w:tcW w:w="0" w:type="auto"/>
            <w:shd w:val="clear" w:color="auto" w:fill="CCEEFF"/>
            <w:tcMar>
              <w:top w:w="40" w:type="dxa"/>
              <w:left w:w="40" w:type="dxa"/>
              <w:bottom w:w="40" w:type="dxa"/>
            </w:tcMar>
            <w:vAlign w:val="bottom"/>
          </w:tcPr>
          <w:p w14:paraId="1446ED9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(8,388</w:t>
            </w:r>
          </w:p>
        </w:tc>
        <w:tc>
          <w:tcPr>
            <w:tcW w:w="0" w:type="auto"/>
            <w:shd w:val="clear" w:color="auto" w:fill="CCEEFF"/>
            <w:tcMar>
              <w:top w:w="40" w:type="dxa"/>
              <w:bottom w:w="40" w:type="dxa"/>
              <w:right w:w="40" w:type="dxa"/>
            </w:tcMar>
            <w:vAlign w:val="bottom"/>
          </w:tcPr>
          <w:p w14:paraId="1446ED9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D9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D9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D9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155.51</w:t>
            </w:r>
          </w:p>
        </w:tc>
        <w:tc>
          <w:tcPr>
            <w:tcW w:w="0" w:type="auto"/>
            <w:shd w:val="clear" w:color="auto" w:fill="CCEEFF"/>
            <w:vAlign w:val="bottom"/>
          </w:tcPr>
          <w:p w14:paraId="1446ED9B" w14:textId="77777777" w:rsidR="00FE42B5" w:rsidRDefault="00FE42B5">
            <w:pPr>
              <w:textAlignment w:val="bottom"/>
              <w:rPr>
                <w:rFonts w:ascii="Times New Roman" w:hAnsi="Times New Roman"/>
                <w:sz w:val="20"/>
                <w:szCs w:val="20"/>
              </w:rPr>
            </w:pPr>
          </w:p>
        </w:tc>
      </w:tr>
      <w:tr w:rsidR="00FE42B5" w14:paraId="1446EDA4" w14:textId="77777777">
        <w:tc>
          <w:tcPr>
            <w:tcW w:w="0" w:type="auto"/>
            <w:shd w:val="clear" w:color="auto" w:fill="auto"/>
            <w:tcMar>
              <w:top w:w="40" w:type="dxa"/>
              <w:left w:w="400" w:type="dxa"/>
              <w:bottom w:w="40" w:type="dxa"/>
              <w:right w:w="40" w:type="dxa"/>
            </w:tcMar>
            <w:vAlign w:val="bottom"/>
          </w:tcPr>
          <w:p w14:paraId="1446ED9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auto"/>
            <w:tcMar>
              <w:top w:w="40" w:type="dxa"/>
              <w:left w:w="40" w:type="dxa"/>
              <w:bottom w:w="40" w:type="dxa"/>
            </w:tcMar>
            <w:vAlign w:val="bottom"/>
          </w:tcPr>
          <w:p w14:paraId="1446ED9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(1,629</w:t>
            </w:r>
          </w:p>
        </w:tc>
        <w:tc>
          <w:tcPr>
            <w:tcW w:w="0" w:type="auto"/>
            <w:shd w:val="clear" w:color="auto" w:fill="auto"/>
            <w:tcMar>
              <w:top w:w="40" w:type="dxa"/>
              <w:bottom w:w="40" w:type="dxa"/>
              <w:right w:w="40" w:type="dxa"/>
            </w:tcMar>
            <w:vAlign w:val="bottom"/>
          </w:tcPr>
          <w:p w14:paraId="1446ED9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DA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DA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EDA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159.15</w:t>
            </w:r>
          </w:p>
        </w:tc>
        <w:tc>
          <w:tcPr>
            <w:tcW w:w="0" w:type="auto"/>
            <w:shd w:val="clear" w:color="auto" w:fill="auto"/>
            <w:vAlign w:val="bottom"/>
          </w:tcPr>
          <w:p w14:paraId="1446EDA3" w14:textId="77777777" w:rsidR="00FE42B5" w:rsidRDefault="00FE42B5">
            <w:pPr>
              <w:textAlignment w:val="bottom"/>
              <w:rPr>
                <w:rFonts w:ascii="Times New Roman" w:hAnsi="Times New Roman"/>
                <w:sz w:val="20"/>
                <w:szCs w:val="20"/>
              </w:rPr>
            </w:pPr>
          </w:p>
        </w:tc>
      </w:tr>
      <w:tr w:rsidR="00FE42B5" w14:paraId="1446EDAC" w14:textId="77777777">
        <w:tc>
          <w:tcPr>
            <w:tcW w:w="0" w:type="auto"/>
            <w:shd w:val="clear" w:color="auto" w:fill="CCEEFF"/>
            <w:tcMar>
              <w:top w:w="40" w:type="dxa"/>
              <w:left w:w="40" w:type="dxa"/>
              <w:bottom w:w="40" w:type="dxa"/>
              <w:right w:w="40" w:type="dxa"/>
            </w:tcMar>
            <w:vAlign w:val="bottom"/>
          </w:tcPr>
          <w:p w14:paraId="1446EDA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Unvested at March 31,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EDA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108,221</w:t>
            </w:r>
          </w:p>
        </w:tc>
        <w:tc>
          <w:tcPr>
            <w:tcW w:w="0" w:type="auto"/>
            <w:tcBorders>
              <w:top w:val="single" w:sz="8" w:space="0" w:color="000000"/>
              <w:bottom w:val="double" w:sz="6" w:space="0" w:color="000000"/>
            </w:tcBorders>
            <w:shd w:val="clear" w:color="auto" w:fill="CCEEFF"/>
            <w:vAlign w:val="bottom"/>
          </w:tcPr>
          <w:p w14:paraId="1446EDA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DA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DA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DA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163.08</w:t>
            </w:r>
          </w:p>
        </w:tc>
        <w:tc>
          <w:tcPr>
            <w:tcW w:w="0" w:type="auto"/>
            <w:shd w:val="clear" w:color="auto" w:fill="CCEEFF"/>
            <w:vAlign w:val="bottom"/>
          </w:tcPr>
          <w:p w14:paraId="1446EDAB" w14:textId="77777777" w:rsidR="00FE42B5" w:rsidRDefault="00FE42B5">
            <w:pPr>
              <w:textAlignment w:val="bottom"/>
              <w:rPr>
                <w:rFonts w:ascii="Times New Roman" w:hAnsi="Times New Roman"/>
                <w:sz w:val="20"/>
                <w:szCs w:val="20"/>
              </w:rPr>
            </w:pPr>
          </w:p>
        </w:tc>
      </w:tr>
    </w:tbl>
    <w:p w14:paraId="1446EDAD" w14:textId="77777777" w:rsidR="00FE42B5" w:rsidRDefault="00FE42B5">
      <w:pPr>
        <w:spacing w:line="288" w:lineRule="auto"/>
        <w:rPr>
          <w:rFonts w:ascii="Times New Roman" w:hAnsi="Times New Roman"/>
          <w:sz w:val="20"/>
          <w:szCs w:val="20"/>
        </w:rPr>
      </w:pPr>
    </w:p>
    <w:p w14:paraId="1446EDAE" w14:textId="77777777" w:rsidR="00FE42B5" w:rsidRDefault="00FE42B5">
      <w:pPr>
        <w:spacing w:line="288" w:lineRule="auto"/>
        <w:ind w:firstLine="720"/>
        <w:jc w:val="both"/>
        <w:rPr>
          <w:rFonts w:ascii="Times New Roman" w:hAnsi="Times New Roman"/>
          <w:sz w:val="20"/>
          <w:szCs w:val="20"/>
        </w:rPr>
      </w:pPr>
    </w:p>
    <w:p w14:paraId="1446EDA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fair value as of the respective vesting dates of RSUs that vested during the three months ended March 31, 2020 and 2019 was </w:t>
      </w:r>
      <w:r>
        <w:rPr>
          <w:rFonts w:ascii="Times New Roman" w:eastAsia="宋体" w:hAnsi="Times New Roman"/>
          <w:sz w:val="20"/>
          <w:szCs w:val="20"/>
        </w:rPr>
        <w:t>$1.80 billion and $1.31 billion, respectively.</w:t>
      </w:r>
    </w:p>
    <w:p w14:paraId="1446EDB0" w14:textId="77777777" w:rsidR="00FE42B5" w:rsidRDefault="00FE42B5">
      <w:pPr>
        <w:spacing w:line="288" w:lineRule="auto"/>
        <w:ind w:firstLine="720"/>
        <w:jc w:val="both"/>
        <w:rPr>
          <w:rFonts w:ascii="Times New Roman" w:hAnsi="Times New Roman"/>
          <w:sz w:val="20"/>
          <w:szCs w:val="20"/>
        </w:rPr>
      </w:pPr>
    </w:p>
    <w:p w14:paraId="1446EDB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As of March 31, 2020, there was $16.76 billion of unrecognized share-based compensation expense related to RSUs awards. This unrecognized compensation expense is expected to be recognized over a weighted-aver</w:t>
      </w:r>
      <w:r>
        <w:rPr>
          <w:rFonts w:ascii="Times New Roman" w:eastAsia="宋体" w:hAnsi="Times New Roman"/>
          <w:sz w:val="20"/>
          <w:szCs w:val="20"/>
        </w:rPr>
        <w:t xml:space="preserve">age period of approximately three years based on vesting under the award service conditions. </w:t>
      </w:r>
    </w:p>
    <w:p w14:paraId="1446EDB2"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Note 12. Income Taxes</w:t>
      </w:r>
    </w:p>
    <w:p w14:paraId="1446EDB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tax provision for interim periods is determined using an estimated annual effective tax rate, adjusted for discrete items arising in tha</w:t>
      </w:r>
      <w:r>
        <w:rPr>
          <w:rFonts w:ascii="Times New Roman" w:eastAsia="宋体" w:hAnsi="Times New Roman"/>
          <w:sz w:val="20"/>
          <w:szCs w:val="20"/>
        </w:rPr>
        <w:t>t quarter. In each quarter, we update the estimated annual effective tax rate and make a year-to-date adjustment to the provision. The estimated annual effective tax rate is subject to significant volatility due to several factors, including our ability to</w:t>
      </w:r>
      <w:r>
        <w:rPr>
          <w:rFonts w:ascii="Times New Roman" w:eastAsia="宋体" w:hAnsi="Times New Roman"/>
          <w:sz w:val="20"/>
          <w:szCs w:val="20"/>
        </w:rPr>
        <w:t xml:space="preserve"> accurately predict the proportion of our income (loss) before provision for income taxes in multiple jurisdictions, the U.S. tax benefits from foreign derived intangible income, the effects of acquisitions, and the integration of those acquisitions.</w:t>
      </w:r>
    </w:p>
    <w:p w14:paraId="1446EDB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g</w:t>
      </w:r>
      <w:r>
        <w:rPr>
          <w:rFonts w:ascii="Times New Roman" w:eastAsia="宋体" w:hAnsi="Times New Roman"/>
          <w:sz w:val="20"/>
          <w:szCs w:val="20"/>
        </w:rPr>
        <w:t xml:space="preserve">ross unrecognized tax benefits were $8.15 billion and $7.86 billion on March 31, 2020 and December 31, 2019, respectively. If the gross unrecognized tax benefits as of March 31, 2020 were realized in a subsequent period, this would result in a tax benefit </w:t>
      </w:r>
      <w:r>
        <w:rPr>
          <w:rFonts w:ascii="Times New Roman" w:eastAsia="宋体" w:hAnsi="Times New Roman"/>
          <w:sz w:val="20"/>
          <w:szCs w:val="20"/>
        </w:rPr>
        <w:t xml:space="preserve">of $4.86 billion within our provision of income taxes at such time. The amount of interest and penalties accrued was $789 million and $747 million as of March 31, 2020 and December 31, 2019, respectively. We expect to continue to accrue </w:t>
      </w:r>
    </w:p>
    <w:p w14:paraId="1446EDB5" w14:textId="77777777" w:rsidR="00FE42B5" w:rsidRDefault="00FE42B5">
      <w:pPr>
        <w:rPr>
          <w:rFonts w:ascii="Times New Roman" w:hAnsi="Times New Roman"/>
          <w:sz w:val="20"/>
          <w:szCs w:val="20"/>
        </w:rPr>
      </w:pPr>
    </w:p>
    <w:p w14:paraId="1446EDB6"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25</w:t>
      </w:r>
    </w:p>
    <w:p w14:paraId="1446EDB7" w14:textId="77777777" w:rsidR="00FE42B5" w:rsidRDefault="009213DC">
      <w:r>
        <w:rPr>
          <w:rFonts w:ascii="Times New Roman" w:hAnsi="Times New Roman"/>
          <w:sz w:val="20"/>
          <w:szCs w:val="20"/>
        </w:rPr>
        <w:pict w14:anchorId="1446FAD1">
          <v:rect id="_x0000_i1049" style="width:415.3pt;height:1.5pt" o:hralign="center" o:hrstd="t" o:hr="t" fillcolor="#a0a0a0" stroked="f"/>
        </w:pict>
      </w:r>
    </w:p>
    <w:p w14:paraId="1446EDB8" w14:textId="77777777" w:rsidR="00FE42B5" w:rsidRDefault="009213DC">
      <w:pPr>
        <w:spacing w:line="288" w:lineRule="auto"/>
        <w:rPr>
          <w:rFonts w:ascii="Times New Roman" w:hAnsi="Times New Roman"/>
          <w:sz w:val="20"/>
          <w:szCs w:val="20"/>
        </w:rPr>
      </w:pPr>
      <w:hyperlink r:id="rId65" w:anchor="sBB4BED1571A45A16AF3DC2E3B69C901C" w:history="1">
        <w:r>
          <w:rPr>
            <w:rStyle w:val="a5"/>
            <w:rFonts w:ascii="Times New Roman" w:eastAsia="宋体" w:hAnsi="Times New Roman"/>
            <w:sz w:val="20"/>
            <w:szCs w:val="20"/>
          </w:rPr>
          <w:t>Table of Contents</w:t>
        </w:r>
      </w:hyperlink>
    </w:p>
    <w:p w14:paraId="1446EDB9" w14:textId="77777777" w:rsidR="00FE42B5" w:rsidRDefault="00FE42B5">
      <w:pPr>
        <w:rPr>
          <w:rFonts w:ascii="Times New Roman" w:hAnsi="Times New Roman"/>
          <w:sz w:val="20"/>
          <w:szCs w:val="20"/>
        </w:rPr>
      </w:pPr>
    </w:p>
    <w:p w14:paraId="1446EDBA"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unrecognized tax benefits for certain recurring tax positions.</w:t>
      </w:r>
    </w:p>
    <w:p w14:paraId="1446EDBB" w14:textId="77777777" w:rsidR="00FE42B5" w:rsidRDefault="00FE42B5">
      <w:pPr>
        <w:spacing w:line="288" w:lineRule="auto"/>
        <w:jc w:val="both"/>
        <w:rPr>
          <w:rFonts w:ascii="Times New Roman" w:hAnsi="Times New Roman"/>
          <w:sz w:val="20"/>
          <w:szCs w:val="20"/>
        </w:rPr>
      </w:pPr>
    </w:p>
    <w:p w14:paraId="1446EDB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On July 27, 2015, th</w:t>
      </w:r>
      <w:r>
        <w:rPr>
          <w:rFonts w:ascii="Times New Roman" w:eastAsia="宋体" w:hAnsi="Times New Roman"/>
          <w:sz w:val="20"/>
          <w:szCs w:val="20"/>
        </w:rPr>
        <w:t xml:space="preserve">e United States Tax Court issued a decision (Tax Court Decision) in </w:t>
      </w:r>
      <w:r>
        <w:rPr>
          <w:rFonts w:ascii="Times New Roman" w:eastAsia="宋体" w:hAnsi="Times New Roman"/>
          <w:i/>
          <w:iCs/>
          <w:sz w:val="20"/>
          <w:szCs w:val="20"/>
        </w:rPr>
        <w:t>Altera Corp. v. Commissioner</w:t>
      </w:r>
      <w:r>
        <w:rPr>
          <w:rFonts w:ascii="Times New Roman" w:eastAsia="宋体" w:hAnsi="Times New Roman"/>
          <w:sz w:val="20"/>
          <w:szCs w:val="20"/>
        </w:rPr>
        <w:t>, which concluded that related parties in a cost sharing arrangement are not required to share expenses related to share-based compensation. The Tax Court Decis</w:t>
      </w:r>
      <w:r>
        <w:rPr>
          <w:rFonts w:ascii="Times New Roman" w:eastAsia="宋体" w:hAnsi="Times New Roman"/>
          <w:sz w:val="20"/>
          <w:szCs w:val="20"/>
        </w:rPr>
        <w:t>ion was appealed by the Commissioner to the Ninth Circuit Court of Appeals (Ninth Circuit). On June 7, 2019, the Ninth Circuit issued an opinion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that reversed the Tax Court Decision. Based on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w:t>
      </w:r>
      <w:r>
        <w:rPr>
          <w:rFonts w:ascii="Times New Roman" w:eastAsia="宋体" w:hAnsi="Times New Roman"/>
          <w:sz w:val="20"/>
          <w:szCs w:val="20"/>
        </w:rPr>
        <w:t xml:space="preserve"> we recorded a cumulative income tax expense of $1.11 billion in the second quarter of 2019. On July 22, 2019, the taxpayer requested a rehearing before the full Ninth Circuit and the request was denied on November 12, 2019. The taxpayer has requested a he</w:t>
      </w:r>
      <w:r>
        <w:rPr>
          <w:rFonts w:ascii="Times New Roman" w:eastAsia="宋体" w:hAnsi="Times New Roman"/>
          <w:sz w:val="20"/>
          <w:szCs w:val="20"/>
        </w:rPr>
        <w:t>aring before the Supreme Court of the United States. As a result, the final outcome of the case is uncertain. In November 2019, we made a $1.64 billion payment related to this matter and recorded the payment to net against the related tax liability include</w:t>
      </w:r>
      <w:r>
        <w:rPr>
          <w:rFonts w:ascii="Times New Roman" w:eastAsia="宋体" w:hAnsi="Times New Roman"/>
          <w:sz w:val="20"/>
          <w:szCs w:val="20"/>
        </w:rPr>
        <w:t xml:space="preserve">d within other liabilities in our consolidated balance sheets. If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is reversed, we would anticipate recording an income tax benefit at that time.</w:t>
      </w:r>
    </w:p>
    <w:p w14:paraId="1446EDBD" w14:textId="77777777" w:rsidR="00FE42B5" w:rsidRDefault="009213DC">
      <w:pPr>
        <w:spacing w:line="288" w:lineRule="auto"/>
        <w:ind w:firstLine="720"/>
        <w:jc w:val="both"/>
        <w:rPr>
          <w:rFonts w:ascii="Times New Roman" w:hAnsi="Times New Roman"/>
          <w:sz w:val="18"/>
          <w:szCs w:val="18"/>
        </w:rPr>
      </w:pPr>
      <w:r>
        <w:rPr>
          <w:rFonts w:ascii="Times New Roman" w:eastAsia="宋体" w:hAnsi="Times New Roman"/>
          <w:color w:val="444950"/>
          <w:sz w:val="18"/>
          <w:szCs w:val="18"/>
        </w:rPr>
        <w:t> </w:t>
      </w:r>
    </w:p>
    <w:p w14:paraId="1446EDB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are subject to taxation in the United States and various other state and </w:t>
      </w:r>
      <w:r>
        <w:rPr>
          <w:rFonts w:ascii="Times New Roman" w:eastAsia="宋体" w:hAnsi="Times New Roman"/>
          <w:sz w:val="20"/>
          <w:szCs w:val="20"/>
        </w:rPr>
        <w:t xml:space="preserve">foreign jurisdictions. The material jurisdictions in which we are subject to potential examination include the United States and Ireland. We are under examination by the Internal Revenue Service (IRS) for our 2014 through 2016 tax years and by the Ireland </w:t>
      </w:r>
      <w:r>
        <w:rPr>
          <w:rFonts w:ascii="Times New Roman" w:eastAsia="宋体" w:hAnsi="Times New Roman"/>
          <w:sz w:val="20"/>
          <w:szCs w:val="20"/>
        </w:rPr>
        <w:t>tax authorities for our 2012 through 2015 tax years. Our 2017 and subsequent tax years remain open to examination by the IRS. Our 2016 and subsequent tax years remain open to examination in Ireland.</w:t>
      </w:r>
    </w:p>
    <w:p w14:paraId="1446EDB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July 2016, we received a Statutory Notice of Deficienc</w:t>
      </w:r>
      <w:r>
        <w:rPr>
          <w:rFonts w:ascii="Times New Roman" w:eastAsia="宋体" w:hAnsi="Times New Roman"/>
          <w:sz w:val="20"/>
          <w:szCs w:val="20"/>
        </w:rPr>
        <w:t>y (Notice) from the IRS related to transfer pricing with our foreign subsidiaries in conjunction with the examination of the 2010 tax year. While the Notice applies only to the 2010 tax year, the IRS stated that it will also apply its position for tax year</w:t>
      </w:r>
      <w:r>
        <w:rPr>
          <w:rFonts w:ascii="Times New Roman" w:eastAsia="宋体" w:hAnsi="Times New Roman"/>
          <w:sz w:val="20"/>
          <w:szCs w:val="20"/>
        </w:rPr>
        <w:t>s subsequent to 2010. We do not agree with the position of the IRS and have filed a petition in the Tax Court challenging the Notice. On January 15, 2020, the IRS filed its Pretrial Memorandum in the case stating that it planned to assert at trial an adjus</w:t>
      </w:r>
      <w:r>
        <w:rPr>
          <w:rFonts w:ascii="Times New Roman" w:eastAsia="宋体" w:hAnsi="Times New Roman"/>
          <w:sz w:val="20"/>
          <w:szCs w:val="20"/>
        </w:rPr>
        <w:t>tment that is higher than the adjustment stated in the Notice. The first session of the trial began in February 2020 and a second session is expected to continue later in the year. It is not clear how the IRS intends to apply the revised adjustment to futu</w:t>
      </w:r>
      <w:r>
        <w:rPr>
          <w:rFonts w:ascii="Times New Roman" w:eastAsia="宋体" w:hAnsi="Times New Roman"/>
          <w:sz w:val="20"/>
          <w:szCs w:val="20"/>
        </w:rPr>
        <w:t>re years. Based on the information provided, we believe that, if the IRS prevails in its updated position, this could result in an additional federal tax liability of an estimated, aggregate amount of up to approximately $9.0 billion in excess of the amoun</w:t>
      </w:r>
      <w:r>
        <w:rPr>
          <w:rFonts w:ascii="Times New Roman" w:eastAsia="宋体" w:hAnsi="Times New Roman"/>
          <w:sz w:val="20"/>
          <w:szCs w:val="20"/>
        </w:rPr>
        <w:t xml:space="preserve">ts in our originally filed U.S. return, plus interest and any penalties asserted. </w:t>
      </w:r>
    </w:p>
    <w:p w14:paraId="1446EDC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March 2018, we received a second Notice from the IRS in conjunction with the examination of our 2011 through 2013 tax years. The IRS applied its position from the 2010 ta</w:t>
      </w:r>
      <w:r>
        <w:rPr>
          <w:rFonts w:ascii="Times New Roman" w:eastAsia="宋体" w:hAnsi="Times New Roman"/>
          <w:sz w:val="20"/>
          <w:szCs w:val="20"/>
        </w:rPr>
        <w:t xml:space="preserve">x year to each of these years and also proposed new adjustments related to other transfer pricing with our foreign subsidiaries and certain tax credits that we claimed. If the IRS prevails in its position for these new adjustments, this could result in an </w:t>
      </w:r>
      <w:r>
        <w:rPr>
          <w:rFonts w:ascii="Times New Roman" w:eastAsia="宋体" w:hAnsi="Times New Roman"/>
          <w:sz w:val="20"/>
          <w:szCs w:val="20"/>
        </w:rPr>
        <w:t xml:space="preserve">additional federal tax liability of up to approximately $680 million in excess of the amounts in our originally filed U.S. returns, plus interest and any penalties asserted. We do not agree with the positions of the IRS in the second Notice and have filed </w:t>
      </w:r>
      <w:r>
        <w:rPr>
          <w:rFonts w:ascii="Times New Roman" w:eastAsia="宋体" w:hAnsi="Times New Roman"/>
          <w:sz w:val="20"/>
          <w:szCs w:val="20"/>
        </w:rPr>
        <w:t xml:space="preserve">a petition in the Tax Court challenging the second Notice. </w:t>
      </w:r>
    </w:p>
    <w:p w14:paraId="1446EDC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have previously accrued an estimated unrecognized tax benefit consistent with the guidance in ASC 740,</w:t>
      </w:r>
      <w:r>
        <w:rPr>
          <w:rFonts w:ascii="Times New Roman" w:eastAsia="宋体" w:hAnsi="Times New Roman"/>
          <w:i/>
          <w:iCs/>
          <w:sz w:val="20"/>
          <w:szCs w:val="20"/>
        </w:rPr>
        <w:t xml:space="preserve"> Income Taxes</w:t>
      </w:r>
      <w:r>
        <w:rPr>
          <w:rFonts w:ascii="Times New Roman" w:eastAsia="宋体" w:hAnsi="Times New Roman"/>
          <w:sz w:val="20"/>
          <w:szCs w:val="20"/>
        </w:rPr>
        <w:t xml:space="preserve">, that is lower than the potential additional federal tax liability from </w:t>
      </w:r>
      <w:r>
        <w:rPr>
          <w:rFonts w:ascii="Times New Roman" w:eastAsia="宋体" w:hAnsi="Times New Roman"/>
          <w:sz w:val="20"/>
          <w:szCs w:val="20"/>
        </w:rPr>
        <w:t xml:space="preserve">the positions taken by the IRS in the two Notices and its Pretrial Memorandum. In addition, if the IRS prevails in its positions related to transfer pricing with our foreign subsidiaries, the additional tax that we would owe would be partially offset by a </w:t>
      </w:r>
      <w:r>
        <w:rPr>
          <w:rFonts w:ascii="Times New Roman" w:eastAsia="宋体" w:hAnsi="Times New Roman"/>
          <w:sz w:val="20"/>
          <w:szCs w:val="20"/>
        </w:rPr>
        <w:t>reduction in the tax that we owe under the mandatory transition tax on accumulated foreign earnings from the 2017 Tax Cuts and Jobs Act (Tax Act). As of March 31, 2020, we have not resolved these matters and proceedings continue in the Tax Court.</w:t>
      </w:r>
    </w:p>
    <w:p w14:paraId="1446EDC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believ</w:t>
      </w:r>
      <w:r>
        <w:rPr>
          <w:rFonts w:ascii="Times New Roman" w:eastAsia="宋体" w:hAnsi="Times New Roman"/>
          <w:sz w:val="20"/>
          <w:szCs w:val="20"/>
        </w:rPr>
        <w:t xml:space="preserve">e that adequate amounts have been reserved in accordance with ASC 740 for any adjustments to the provision for income taxes or other tax items that may ultimately result from these examinations. The timing of the resolution, settlement, and closure of any </w:t>
      </w:r>
      <w:r>
        <w:rPr>
          <w:rFonts w:ascii="Times New Roman" w:eastAsia="宋体" w:hAnsi="Times New Roman"/>
          <w:sz w:val="20"/>
          <w:szCs w:val="20"/>
        </w:rPr>
        <w:t>audits is highly uncertain, and it is reasonably possible that the balance of gross unrecognized tax benefits could significantly change in the next 12 months. Given the number of years remaining that are subject to examination, we are unable to estimate t</w:t>
      </w:r>
      <w:r>
        <w:rPr>
          <w:rFonts w:ascii="Times New Roman" w:eastAsia="宋体" w:hAnsi="Times New Roman"/>
          <w:sz w:val="20"/>
          <w:szCs w:val="20"/>
        </w:rPr>
        <w:t>he full range of possible adjustments to the balance of gross unrecognized tax benefits. If the taxing authorities prevail in the assessment of additional tax due, the assessed tax, interest, and penalties, if any, could have a material adverse impact on o</w:t>
      </w:r>
      <w:r>
        <w:rPr>
          <w:rFonts w:ascii="Times New Roman" w:eastAsia="宋体" w:hAnsi="Times New Roman"/>
          <w:sz w:val="20"/>
          <w:szCs w:val="20"/>
        </w:rPr>
        <w:t>ur financial position, results of operations, and cash flows.</w:t>
      </w:r>
    </w:p>
    <w:p w14:paraId="1446EDC3" w14:textId="77777777" w:rsidR="00FE42B5" w:rsidRDefault="00FE42B5">
      <w:pPr>
        <w:spacing w:line="288" w:lineRule="auto"/>
        <w:ind w:firstLine="720"/>
        <w:jc w:val="both"/>
        <w:rPr>
          <w:rFonts w:ascii="Times New Roman" w:hAnsi="Times New Roman"/>
          <w:sz w:val="20"/>
          <w:szCs w:val="20"/>
        </w:rPr>
      </w:pPr>
    </w:p>
    <w:p w14:paraId="1446EDC4" w14:textId="77777777" w:rsidR="00FE42B5" w:rsidRDefault="00FE42B5">
      <w:pPr>
        <w:rPr>
          <w:rFonts w:ascii="Times New Roman" w:hAnsi="Times New Roman"/>
          <w:sz w:val="20"/>
          <w:szCs w:val="20"/>
        </w:rPr>
      </w:pPr>
    </w:p>
    <w:p w14:paraId="1446EDC5"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26</w:t>
      </w:r>
    </w:p>
    <w:p w14:paraId="1446EDC6" w14:textId="77777777" w:rsidR="00FE42B5" w:rsidRDefault="009213DC">
      <w:r>
        <w:rPr>
          <w:rFonts w:ascii="Times New Roman" w:hAnsi="Times New Roman"/>
          <w:sz w:val="20"/>
          <w:szCs w:val="20"/>
        </w:rPr>
        <w:pict w14:anchorId="1446FAD2">
          <v:rect id="_x0000_i1050" style="width:415.3pt;height:1.5pt" o:hralign="center" o:hrstd="t" o:hr="t" fillcolor="#a0a0a0" stroked="f"/>
        </w:pict>
      </w:r>
    </w:p>
    <w:p w14:paraId="1446EDC7" w14:textId="77777777" w:rsidR="00FE42B5" w:rsidRDefault="009213DC">
      <w:pPr>
        <w:spacing w:line="288" w:lineRule="auto"/>
        <w:rPr>
          <w:rFonts w:ascii="Times New Roman" w:hAnsi="Times New Roman"/>
          <w:sz w:val="20"/>
          <w:szCs w:val="20"/>
        </w:rPr>
      </w:pPr>
      <w:hyperlink r:id="rId66" w:anchor="sBB4BED1571A45A16AF3DC2E3B69C901C" w:history="1">
        <w:r>
          <w:rPr>
            <w:rStyle w:val="a5"/>
            <w:rFonts w:ascii="Times New Roman" w:eastAsia="宋体" w:hAnsi="Times New Roman"/>
            <w:sz w:val="20"/>
            <w:szCs w:val="20"/>
          </w:rPr>
          <w:t>Table of Contents</w:t>
        </w:r>
      </w:hyperlink>
    </w:p>
    <w:p w14:paraId="1446EDC8" w14:textId="77777777" w:rsidR="00FE42B5" w:rsidRDefault="00FE42B5">
      <w:pPr>
        <w:rPr>
          <w:rFonts w:ascii="Times New Roman" w:hAnsi="Times New Roman"/>
          <w:sz w:val="20"/>
          <w:szCs w:val="20"/>
        </w:rPr>
      </w:pPr>
    </w:p>
    <w:p w14:paraId="1446EDC9"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Note 13. Geogra</w:t>
      </w:r>
      <w:r>
        <w:rPr>
          <w:rFonts w:ascii="Times New Roman" w:eastAsia="宋体" w:hAnsi="Times New Roman"/>
          <w:b/>
          <w:bCs/>
          <w:sz w:val="20"/>
          <w:szCs w:val="20"/>
        </w:rPr>
        <w:t>phical Information</w:t>
      </w:r>
    </w:p>
    <w:p w14:paraId="1446EDCA" w14:textId="77777777" w:rsidR="00FE42B5" w:rsidRDefault="00FE42B5">
      <w:pPr>
        <w:spacing w:line="288" w:lineRule="auto"/>
        <w:ind w:firstLine="720"/>
        <w:jc w:val="both"/>
        <w:rPr>
          <w:rFonts w:ascii="Times New Roman" w:hAnsi="Times New Roman"/>
          <w:sz w:val="20"/>
          <w:szCs w:val="20"/>
        </w:rPr>
      </w:pPr>
    </w:p>
    <w:p w14:paraId="1446EDC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sets forth our long-lived assets by geographic area, which consist of property and equipment, net and operating lease right-of-use assets, net (in millions):</w:t>
      </w:r>
    </w:p>
    <w:tbl>
      <w:tblPr>
        <w:tblW w:w="5000" w:type="pct"/>
        <w:tblCellMar>
          <w:left w:w="0" w:type="dxa"/>
          <w:right w:w="0" w:type="dxa"/>
        </w:tblCellMar>
        <w:tblLook w:val="04A0" w:firstRow="1" w:lastRow="0" w:firstColumn="1" w:lastColumn="0" w:noHBand="0" w:noVBand="1"/>
      </w:tblPr>
      <w:tblGrid>
        <w:gridCol w:w="5692"/>
        <w:gridCol w:w="141"/>
        <w:gridCol w:w="1042"/>
        <w:gridCol w:w="52"/>
        <w:gridCol w:w="130"/>
        <w:gridCol w:w="141"/>
        <w:gridCol w:w="1041"/>
        <w:gridCol w:w="67"/>
      </w:tblGrid>
      <w:tr w:rsidR="00FE42B5" w14:paraId="1446EDCD" w14:textId="77777777">
        <w:tc>
          <w:tcPr>
            <w:tcW w:w="0" w:type="auto"/>
            <w:gridSpan w:val="8"/>
            <w:shd w:val="clear" w:color="auto" w:fill="auto"/>
            <w:vAlign w:val="center"/>
          </w:tcPr>
          <w:p w14:paraId="1446EDCC" w14:textId="77777777" w:rsidR="00FE42B5" w:rsidRDefault="00FE42B5">
            <w:pPr>
              <w:rPr>
                <w:rFonts w:ascii="Times New Roman" w:hAnsi="Times New Roman"/>
                <w:sz w:val="20"/>
                <w:szCs w:val="20"/>
              </w:rPr>
            </w:pPr>
          </w:p>
        </w:tc>
      </w:tr>
      <w:tr w:rsidR="00FE42B5" w14:paraId="1446EDD6" w14:textId="77777777">
        <w:tc>
          <w:tcPr>
            <w:tcW w:w="3449" w:type="pct"/>
            <w:shd w:val="clear" w:color="auto" w:fill="auto"/>
            <w:vAlign w:val="center"/>
          </w:tcPr>
          <w:p w14:paraId="1446EDCE" w14:textId="77777777" w:rsidR="00FE42B5" w:rsidRDefault="00FE42B5">
            <w:pPr>
              <w:rPr>
                <w:rFonts w:ascii="Times New Roman" w:hAnsi="Times New Roman"/>
                <w:sz w:val="20"/>
                <w:szCs w:val="20"/>
              </w:rPr>
            </w:pPr>
          </w:p>
        </w:tc>
        <w:tc>
          <w:tcPr>
            <w:tcW w:w="50" w:type="pct"/>
            <w:shd w:val="clear" w:color="auto" w:fill="auto"/>
            <w:vAlign w:val="center"/>
          </w:tcPr>
          <w:p w14:paraId="1446EDCF" w14:textId="77777777" w:rsidR="00FE42B5" w:rsidRDefault="00FE42B5">
            <w:pPr>
              <w:rPr>
                <w:rFonts w:ascii="Times New Roman" w:hAnsi="Times New Roman"/>
                <w:sz w:val="20"/>
                <w:szCs w:val="20"/>
              </w:rPr>
            </w:pPr>
          </w:p>
        </w:tc>
        <w:tc>
          <w:tcPr>
            <w:tcW w:w="650" w:type="pct"/>
            <w:shd w:val="clear" w:color="auto" w:fill="auto"/>
            <w:vAlign w:val="center"/>
          </w:tcPr>
          <w:p w14:paraId="1446EDD0" w14:textId="77777777" w:rsidR="00FE42B5" w:rsidRDefault="00FE42B5">
            <w:pPr>
              <w:rPr>
                <w:rFonts w:ascii="Times New Roman" w:hAnsi="Times New Roman"/>
                <w:sz w:val="20"/>
                <w:szCs w:val="20"/>
              </w:rPr>
            </w:pPr>
          </w:p>
        </w:tc>
        <w:tc>
          <w:tcPr>
            <w:tcW w:w="50" w:type="pct"/>
            <w:shd w:val="clear" w:color="auto" w:fill="auto"/>
            <w:vAlign w:val="center"/>
          </w:tcPr>
          <w:p w14:paraId="1446EDD1" w14:textId="77777777" w:rsidR="00FE42B5" w:rsidRDefault="00FE42B5">
            <w:pPr>
              <w:rPr>
                <w:rFonts w:ascii="Times New Roman" w:hAnsi="Times New Roman"/>
                <w:sz w:val="20"/>
                <w:szCs w:val="20"/>
              </w:rPr>
            </w:pPr>
          </w:p>
        </w:tc>
        <w:tc>
          <w:tcPr>
            <w:tcW w:w="50" w:type="pct"/>
            <w:shd w:val="clear" w:color="auto" w:fill="auto"/>
            <w:vAlign w:val="center"/>
          </w:tcPr>
          <w:p w14:paraId="1446EDD2" w14:textId="77777777" w:rsidR="00FE42B5" w:rsidRDefault="00FE42B5">
            <w:pPr>
              <w:rPr>
                <w:rFonts w:ascii="Times New Roman" w:hAnsi="Times New Roman"/>
                <w:sz w:val="20"/>
                <w:szCs w:val="20"/>
              </w:rPr>
            </w:pPr>
          </w:p>
        </w:tc>
        <w:tc>
          <w:tcPr>
            <w:tcW w:w="50" w:type="pct"/>
            <w:shd w:val="clear" w:color="auto" w:fill="auto"/>
            <w:vAlign w:val="center"/>
          </w:tcPr>
          <w:p w14:paraId="1446EDD3" w14:textId="77777777" w:rsidR="00FE42B5" w:rsidRDefault="00FE42B5">
            <w:pPr>
              <w:rPr>
                <w:rFonts w:ascii="Times New Roman" w:hAnsi="Times New Roman"/>
                <w:sz w:val="20"/>
                <w:szCs w:val="20"/>
              </w:rPr>
            </w:pPr>
          </w:p>
        </w:tc>
        <w:tc>
          <w:tcPr>
            <w:tcW w:w="650" w:type="pct"/>
            <w:shd w:val="clear" w:color="auto" w:fill="auto"/>
            <w:vAlign w:val="center"/>
          </w:tcPr>
          <w:p w14:paraId="1446EDD4" w14:textId="77777777" w:rsidR="00FE42B5" w:rsidRDefault="00FE42B5">
            <w:pPr>
              <w:rPr>
                <w:rFonts w:ascii="Times New Roman" w:hAnsi="Times New Roman"/>
                <w:sz w:val="20"/>
                <w:szCs w:val="20"/>
              </w:rPr>
            </w:pPr>
          </w:p>
        </w:tc>
        <w:tc>
          <w:tcPr>
            <w:tcW w:w="50" w:type="pct"/>
            <w:shd w:val="clear" w:color="auto" w:fill="auto"/>
            <w:vAlign w:val="center"/>
          </w:tcPr>
          <w:p w14:paraId="1446EDD5" w14:textId="77777777" w:rsidR="00FE42B5" w:rsidRDefault="00FE42B5">
            <w:pPr>
              <w:rPr>
                <w:rFonts w:ascii="Times New Roman" w:hAnsi="Times New Roman"/>
                <w:sz w:val="20"/>
                <w:szCs w:val="20"/>
              </w:rPr>
            </w:pPr>
          </w:p>
        </w:tc>
      </w:tr>
      <w:tr w:rsidR="00FE42B5" w14:paraId="1446EDDB" w14:textId="77777777">
        <w:tc>
          <w:tcPr>
            <w:tcW w:w="0" w:type="auto"/>
            <w:shd w:val="clear" w:color="auto" w:fill="auto"/>
            <w:tcMar>
              <w:top w:w="40" w:type="dxa"/>
              <w:left w:w="40" w:type="dxa"/>
              <w:bottom w:w="40" w:type="dxa"/>
              <w:right w:w="40" w:type="dxa"/>
            </w:tcMar>
            <w:vAlign w:val="bottom"/>
          </w:tcPr>
          <w:p w14:paraId="1446EDD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DD8"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March 31, 2020</w:t>
            </w:r>
          </w:p>
        </w:tc>
        <w:tc>
          <w:tcPr>
            <w:tcW w:w="0" w:type="auto"/>
            <w:shd w:val="clear" w:color="auto" w:fill="auto"/>
            <w:tcMar>
              <w:top w:w="40" w:type="dxa"/>
              <w:left w:w="40" w:type="dxa"/>
              <w:bottom w:w="40" w:type="dxa"/>
              <w:right w:w="40" w:type="dxa"/>
            </w:tcMar>
            <w:vAlign w:val="bottom"/>
          </w:tcPr>
          <w:p w14:paraId="1446EDD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EDDA"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FE42B5" w14:paraId="1446EDE4" w14:textId="77777777">
        <w:tc>
          <w:tcPr>
            <w:tcW w:w="0" w:type="auto"/>
            <w:shd w:val="clear" w:color="auto" w:fill="CCEEFF"/>
            <w:tcMar>
              <w:top w:w="40" w:type="dxa"/>
              <w:left w:w="40" w:type="dxa"/>
              <w:bottom w:w="40" w:type="dxa"/>
              <w:right w:w="40" w:type="dxa"/>
            </w:tcMar>
          </w:tcPr>
          <w:p w14:paraId="1446EDD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United States</w:t>
            </w:r>
          </w:p>
        </w:tc>
        <w:tc>
          <w:tcPr>
            <w:tcW w:w="0" w:type="auto"/>
            <w:shd w:val="clear" w:color="auto" w:fill="CCEEFF"/>
            <w:tcMar>
              <w:top w:w="40" w:type="dxa"/>
              <w:left w:w="40" w:type="dxa"/>
              <w:bottom w:w="40" w:type="dxa"/>
            </w:tcMar>
            <w:vAlign w:val="bottom"/>
          </w:tcPr>
          <w:p w14:paraId="1446EDD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DD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37,390</w:t>
            </w:r>
          </w:p>
        </w:tc>
        <w:tc>
          <w:tcPr>
            <w:tcW w:w="0" w:type="auto"/>
            <w:shd w:val="clear" w:color="auto" w:fill="CCEEFF"/>
            <w:vAlign w:val="bottom"/>
          </w:tcPr>
          <w:p w14:paraId="1446EDD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DE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DE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DE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35,858</w:t>
            </w:r>
          </w:p>
        </w:tc>
        <w:tc>
          <w:tcPr>
            <w:tcW w:w="0" w:type="auto"/>
            <w:shd w:val="clear" w:color="auto" w:fill="CCEEFF"/>
            <w:vAlign w:val="bottom"/>
          </w:tcPr>
          <w:p w14:paraId="1446EDE3" w14:textId="77777777" w:rsidR="00FE42B5" w:rsidRDefault="00FE42B5">
            <w:pPr>
              <w:textAlignment w:val="bottom"/>
              <w:rPr>
                <w:rFonts w:ascii="Times New Roman" w:hAnsi="Times New Roman"/>
                <w:sz w:val="20"/>
                <w:szCs w:val="20"/>
              </w:rPr>
            </w:pPr>
          </w:p>
        </w:tc>
      </w:tr>
      <w:tr w:rsidR="00FE42B5" w14:paraId="1446EDEB" w14:textId="77777777">
        <w:tc>
          <w:tcPr>
            <w:tcW w:w="0" w:type="auto"/>
            <w:shd w:val="clear" w:color="auto" w:fill="auto"/>
            <w:tcMar>
              <w:top w:w="40" w:type="dxa"/>
              <w:left w:w="40" w:type="dxa"/>
              <w:bottom w:w="40" w:type="dxa"/>
              <w:right w:w="40" w:type="dxa"/>
            </w:tcMar>
          </w:tcPr>
          <w:p w14:paraId="1446EDE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Rest of the world </w:t>
            </w:r>
            <w:r>
              <w:rPr>
                <w:rFonts w:ascii="Times New Roman" w:eastAsia="宋体" w:hAnsi="Times New Roman"/>
                <w:sz w:val="14"/>
                <w:szCs w:val="14"/>
              </w:rPr>
              <w:t>(1)</w:t>
            </w:r>
          </w:p>
        </w:tc>
        <w:tc>
          <w:tcPr>
            <w:tcW w:w="0" w:type="auto"/>
            <w:gridSpan w:val="2"/>
            <w:tcBorders>
              <w:bottom w:val="single" w:sz="8" w:space="0" w:color="000000"/>
            </w:tcBorders>
            <w:shd w:val="clear" w:color="auto" w:fill="auto"/>
            <w:tcMar>
              <w:top w:w="40" w:type="dxa"/>
              <w:left w:w="40" w:type="dxa"/>
              <w:bottom w:w="40" w:type="dxa"/>
            </w:tcMar>
            <w:vAlign w:val="bottom"/>
          </w:tcPr>
          <w:p w14:paraId="1446EDE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9,096</w:t>
            </w:r>
          </w:p>
        </w:tc>
        <w:tc>
          <w:tcPr>
            <w:tcW w:w="0" w:type="auto"/>
            <w:tcBorders>
              <w:bottom w:val="single" w:sz="8" w:space="0" w:color="000000"/>
            </w:tcBorders>
            <w:shd w:val="clear" w:color="auto" w:fill="auto"/>
            <w:vAlign w:val="bottom"/>
          </w:tcPr>
          <w:p w14:paraId="1446EDE7"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DE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EDE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8,925</w:t>
            </w:r>
          </w:p>
        </w:tc>
        <w:tc>
          <w:tcPr>
            <w:tcW w:w="0" w:type="auto"/>
            <w:tcBorders>
              <w:bottom w:val="single" w:sz="8" w:space="0" w:color="000000"/>
            </w:tcBorders>
            <w:shd w:val="clear" w:color="auto" w:fill="auto"/>
            <w:vAlign w:val="bottom"/>
          </w:tcPr>
          <w:p w14:paraId="1446EDEA" w14:textId="77777777" w:rsidR="00FE42B5" w:rsidRDefault="00FE42B5">
            <w:pPr>
              <w:textAlignment w:val="bottom"/>
              <w:rPr>
                <w:rFonts w:ascii="Times New Roman" w:hAnsi="Times New Roman"/>
                <w:sz w:val="20"/>
                <w:szCs w:val="20"/>
              </w:rPr>
            </w:pPr>
          </w:p>
        </w:tc>
      </w:tr>
      <w:tr w:rsidR="00FE42B5" w14:paraId="1446EDF4" w14:textId="77777777">
        <w:tc>
          <w:tcPr>
            <w:tcW w:w="0" w:type="auto"/>
            <w:shd w:val="clear" w:color="auto" w:fill="CCEEFF"/>
            <w:tcMar>
              <w:top w:w="40" w:type="dxa"/>
              <w:left w:w="400" w:type="dxa"/>
              <w:bottom w:w="40" w:type="dxa"/>
              <w:right w:w="40" w:type="dxa"/>
            </w:tcMar>
          </w:tcPr>
          <w:p w14:paraId="1446EDE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 long-lived assets</w:t>
            </w:r>
          </w:p>
        </w:tc>
        <w:tc>
          <w:tcPr>
            <w:tcW w:w="0" w:type="auto"/>
            <w:tcBorders>
              <w:bottom w:val="double" w:sz="6" w:space="0" w:color="000000"/>
            </w:tcBorders>
            <w:shd w:val="clear" w:color="auto" w:fill="CCEEFF"/>
            <w:tcMar>
              <w:top w:w="40" w:type="dxa"/>
              <w:left w:w="40" w:type="dxa"/>
              <w:bottom w:w="40" w:type="dxa"/>
            </w:tcMar>
            <w:vAlign w:val="bottom"/>
          </w:tcPr>
          <w:p w14:paraId="1446EDE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DE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46,486</w:t>
            </w:r>
          </w:p>
        </w:tc>
        <w:tc>
          <w:tcPr>
            <w:tcW w:w="0" w:type="auto"/>
            <w:tcBorders>
              <w:bottom w:val="double" w:sz="6" w:space="0" w:color="000000"/>
            </w:tcBorders>
            <w:shd w:val="clear" w:color="auto" w:fill="CCEEFF"/>
            <w:vAlign w:val="bottom"/>
          </w:tcPr>
          <w:p w14:paraId="1446EDE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DF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446EDF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EDF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44,783</w:t>
            </w:r>
          </w:p>
        </w:tc>
        <w:tc>
          <w:tcPr>
            <w:tcW w:w="0" w:type="auto"/>
            <w:tcBorders>
              <w:bottom w:val="double" w:sz="6" w:space="0" w:color="000000"/>
            </w:tcBorders>
            <w:shd w:val="clear" w:color="auto" w:fill="CCEEFF"/>
            <w:vAlign w:val="bottom"/>
          </w:tcPr>
          <w:p w14:paraId="1446EDF3" w14:textId="77777777" w:rsidR="00FE42B5" w:rsidRDefault="00FE42B5">
            <w:pPr>
              <w:textAlignment w:val="bottom"/>
              <w:rPr>
                <w:rFonts w:ascii="Times New Roman" w:hAnsi="Times New Roman"/>
                <w:sz w:val="20"/>
                <w:szCs w:val="20"/>
              </w:rPr>
            </w:pPr>
          </w:p>
        </w:tc>
      </w:tr>
    </w:tbl>
    <w:p w14:paraId="1446EDF5" w14:textId="77777777" w:rsidR="00FE42B5" w:rsidRDefault="00FE42B5">
      <w:pPr>
        <w:rPr>
          <w:rFonts w:ascii="Times New Roman" w:hAnsi="Times New Roman"/>
          <w:sz w:val="20"/>
          <w:szCs w:val="20"/>
        </w:rPr>
      </w:pPr>
    </w:p>
    <w:p w14:paraId="1446EDF6" w14:textId="77777777" w:rsidR="00FE42B5" w:rsidRDefault="009213DC">
      <w:pPr>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E42B5" w14:paraId="1446EDF9" w14:textId="77777777">
        <w:trPr>
          <w:tblCellSpacing w:w="0" w:type="dxa"/>
        </w:trPr>
        <w:tc>
          <w:tcPr>
            <w:tcW w:w="480" w:type="dxa"/>
            <w:shd w:val="clear" w:color="auto" w:fill="auto"/>
            <w:vAlign w:val="center"/>
          </w:tcPr>
          <w:p w14:paraId="1446EDF7" w14:textId="77777777" w:rsidR="00FE42B5" w:rsidRDefault="00FE42B5">
            <w:pPr>
              <w:rPr>
                <w:rFonts w:ascii="Times New Roman" w:hAnsi="Times New Roman"/>
                <w:sz w:val="20"/>
                <w:szCs w:val="20"/>
              </w:rPr>
            </w:pPr>
          </w:p>
        </w:tc>
        <w:tc>
          <w:tcPr>
            <w:tcW w:w="0" w:type="auto"/>
            <w:shd w:val="clear" w:color="auto" w:fill="auto"/>
            <w:vAlign w:val="center"/>
          </w:tcPr>
          <w:p w14:paraId="1446EDF8" w14:textId="77777777" w:rsidR="00FE42B5" w:rsidRDefault="00FE42B5">
            <w:pPr>
              <w:rPr>
                <w:rFonts w:ascii="Times New Roman" w:hAnsi="Times New Roman"/>
                <w:sz w:val="20"/>
                <w:szCs w:val="20"/>
              </w:rPr>
            </w:pPr>
          </w:p>
        </w:tc>
      </w:tr>
      <w:tr w:rsidR="00FE42B5" w14:paraId="1446EDFC" w14:textId="77777777">
        <w:trPr>
          <w:tblCellSpacing w:w="0" w:type="dxa"/>
        </w:trPr>
        <w:tc>
          <w:tcPr>
            <w:tcW w:w="0" w:type="auto"/>
            <w:shd w:val="clear" w:color="auto" w:fill="auto"/>
          </w:tcPr>
          <w:p w14:paraId="1446EDFA" w14:textId="77777777" w:rsidR="00FE42B5" w:rsidRDefault="009213DC">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1446EDFB" w14:textId="77777777" w:rsidR="00FE42B5" w:rsidRDefault="009213DC">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No individual country, other than disclosed above, exceeded 10% of our total </w:t>
            </w:r>
            <w:r>
              <w:rPr>
                <w:rFonts w:ascii="Times New Roman" w:eastAsia="宋体" w:hAnsi="Times New Roman"/>
                <w:sz w:val="18"/>
                <w:szCs w:val="18"/>
              </w:rPr>
              <w:t>long-lived assets for any period presented.</w:t>
            </w:r>
          </w:p>
        </w:tc>
      </w:tr>
    </w:tbl>
    <w:p w14:paraId="1446EDFD" w14:textId="77777777" w:rsidR="00FE42B5" w:rsidRDefault="00FE42B5">
      <w:pPr>
        <w:spacing w:line="288" w:lineRule="auto"/>
        <w:ind w:hanging="480"/>
        <w:jc w:val="both"/>
        <w:rPr>
          <w:rFonts w:ascii="Times New Roman" w:hAnsi="Times New Roman"/>
          <w:sz w:val="20"/>
          <w:szCs w:val="20"/>
        </w:rPr>
      </w:pPr>
    </w:p>
    <w:p w14:paraId="1446EDFE"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Note 14. Subsequent Event</w:t>
      </w:r>
    </w:p>
    <w:p w14:paraId="1446EDFF" w14:textId="77777777" w:rsidR="00FE42B5" w:rsidRDefault="00FE42B5">
      <w:pPr>
        <w:spacing w:line="288" w:lineRule="auto"/>
        <w:rPr>
          <w:rFonts w:ascii="Times New Roman" w:hAnsi="Times New Roman"/>
          <w:sz w:val="20"/>
          <w:szCs w:val="20"/>
        </w:rPr>
      </w:pPr>
    </w:p>
    <w:p w14:paraId="1446EE0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On April 21, 2020, we entered into a definitive agreement to invest in Jio Platforms Limited, a subsidiary of Reliance Industries Limited, for approximately $5.7 billion at the curren</w:t>
      </w:r>
      <w:r>
        <w:rPr>
          <w:rFonts w:ascii="Times New Roman" w:eastAsia="宋体" w:hAnsi="Times New Roman"/>
          <w:sz w:val="20"/>
          <w:szCs w:val="20"/>
        </w:rPr>
        <w:t xml:space="preserve">t exchange rate. </w:t>
      </w:r>
    </w:p>
    <w:p w14:paraId="1446EE01" w14:textId="77777777" w:rsidR="00FE42B5" w:rsidRDefault="00FE42B5">
      <w:pPr>
        <w:spacing w:line="288" w:lineRule="auto"/>
        <w:ind w:firstLine="720"/>
        <w:jc w:val="both"/>
        <w:rPr>
          <w:rFonts w:ascii="Times New Roman" w:hAnsi="Times New Roman"/>
          <w:sz w:val="20"/>
          <w:szCs w:val="20"/>
        </w:rPr>
      </w:pPr>
    </w:p>
    <w:p w14:paraId="1446EE02" w14:textId="77777777" w:rsidR="00FE42B5" w:rsidRDefault="00FE42B5">
      <w:pPr>
        <w:spacing w:line="288" w:lineRule="auto"/>
        <w:rPr>
          <w:rFonts w:ascii="Times New Roman" w:hAnsi="Times New Roman"/>
          <w:sz w:val="20"/>
          <w:szCs w:val="20"/>
        </w:rPr>
      </w:pPr>
    </w:p>
    <w:p w14:paraId="1446EE03" w14:textId="77777777" w:rsidR="00FE42B5" w:rsidRDefault="00FE42B5">
      <w:pPr>
        <w:rPr>
          <w:rFonts w:ascii="Times New Roman" w:hAnsi="Times New Roman"/>
          <w:sz w:val="20"/>
          <w:szCs w:val="20"/>
        </w:rPr>
      </w:pPr>
    </w:p>
    <w:p w14:paraId="1446EE04"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27</w:t>
      </w:r>
    </w:p>
    <w:p w14:paraId="1446EE05" w14:textId="77777777" w:rsidR="00FE42B5" w:rsidRDefault="009213DC">
      <w:r>
        <w:rPr>
          <w:rFonts w:ascii="Times New Roman" w:hAnsi="Times New Roman"/>
          <w:sz w:val="20"/>
          <w:szCs w:val="20"/>
        </w:rPr>
        <w:pict w14:anchorId="1446FAD3">
          <v:rect id="_x0000_i1051" style="width:415.3pt;height:1.5pt" o:hralign="center" o:hrstd="t" o:hr="t" fillcolor="#a0a0a0" stroked="f"/>
        </w:pict>
      </w:r>
    </w:p>
    <w:p w14:paraId="1446EE06" w14:textId="77777777" w:rsidR="00FE42B5" w:rsidRDefault="009213DC">
      <w:pPr>
        <w:spacing w:line="288" w:lineRule="auto"/>
        <w:rPr>
          <w:rFonts w:ascii="Times New Roman" w:hAnsi="Times New Roman"/>
          <w:sz w:val="20"/>
          <w:szCs w:val="20"/>
        </w:rPr>
      </w:pPr>
      <w:hyperlink r:id="rId67" w:anchor="sBB4BED1571A45A16AF3DC2E3B69C901C" w:history="1">
        <w:r>
          <w:rPr>
            <w:rStyle w:val="a5"/>
            <w:rFonts w:ascii="Times New Roman" w:eastAsia="宋体" w:hAnsi="Times New Roman"/>
            <w:sz w:val="20"/>
            <w:szCs w:val="20"/>
          </w:rPr>
          <w:t>Table of Contents</w:t>
        </w:r>
      </w:hyperlink>
    </w:p>
    <w:p w14:paraId="1446EE07"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E42B5" w14:paraId="1446EE0A" w14:textId="77777777">
        <w:trPr>
          <w:tblCellSpacing w:w="0" w:type="dxa"/>
        </w:trPr>
        <w:tc>
          <w:tcPr>
            <w:tcW w:w="960" w:type="dxa"/>
            <w:shd w:val="clear" w:color="auto" w:fill="auto"/>
            <w:vAlign w:val="center"/>
          </w:tcPr>
          <w:p w14:paraId="1446EE08" w14:textId="77777777" w:rsidR="00FE42B5" w:rsidRDefault="00FE42B5">
            <w:pPr>
              <w:rPr>
                <w:rFonts w:ascii="Times New Roman" w:hAnsi="Times New Roman"/>
                <w:sz w:val="20"/>
                <w:szCs w:val="20"/>
              </w:rPr>
            </w:pPr>
          </w:p>
        </w:tc>
        <w:tc>
          <w:tcPr>
            <w:tcW w:w="0" w:type="auto"/>
            <w:shd w:val="clear" w:color="auto" w:fill="auto"/>
            <w:vAlign w:val="center"/>
          </w:tcPr>
          <w:p w14:paraId="1446EE09" w14:textId="77777777" w:rsidR="00FE42B5" w:rsidRDefault="00FE42B5">
            <w:pPr>
              <w:rPr>
                <w:rFonts w:ascii="Times New Roman" w:hAnsi="Times New Roman"/>
                <w:sz w:val="20"/>
                <w:szCs w:val="20"/>
              </w:rPr>
            </w:pPr>
          </w:p>
        </w:tc>
      </w:tr>
      <w:tr w:rsidR="00FE42B5" w14:paraId="1446EE0D" w14:textId="77777777">
        <w:trPr>
          <w:tblCellSpacing w:w="0" w:type="dxa"/>
        </w:trPr>
        <w:tc>
          <w:tcPr>
            <w:tcW w:w="0" w:type="auto"/>
            <w:shd w:val="clear" w:color="auto" w:fill="auto"/>
          </w:tcPr>
          <w:p w14:paraId="1446EE0B"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Item 2.</w:t>
            </w:r>
          </w:p>
        </w:tc>
        <w:tc>
          <w:tcPr>
            <w:tcW w:w="0" w:type="auto"/>
            <w:shd w:val="clear" w:color="auto" w:fill="auto"/>
          </w:tcPr>
          <w:p w14:paraId="1446EE0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Management's Discussion and Analysis of Financial Condition and Results o</w:t>
            </w:r>
            <w:r>
              <w:rPr>
                <w:rFonts w:ascii="Times New Roman" w:eastAsia="宋体" w:hAnsi="Times New Roman"/>
                <w:b/>
                <w:bCs/>
                <w:sz w:val="20"/>
                <w:szCs w:val="20"/>
              </w:rPr>
              <w:t>f Operations</w:t>
            </w:r>
          </w:p>
        </w:tc>
      </w:tr>
    </w:tbl>
    <w:p w14:paraId="1446EE0E" w14:textId="77777777" w:rsidR="00FE42B5" w:rsidRDefault="00FE42B5">
      <w:pPr>
        <w:spacing w:line="288" w:lineRule="auto"/>
        <w:jc w:val="both"/>
        <w:rPr>
          <w:rFonts w:ascii="Times New Roman" w:hAnsi="Times New Roman"/>
          <w:sz w:val="20"/>
          <w:szCs w:val="20"/>
        </w:rPr>
      </w:pPr>
    </w:p>
    <w:p w14:paraId="1446EE0F" w14:textId="77777777" w:rsidR="00FE42B5" w:rsidRDefault="009213DC">
      <w:pPr>
        <w:spacing w:line="288" w:lineRule="auto"/>
        <w:jc w:val="both"/>
        <w:rPr>
          <w:rFonts w:ascii="Times New Roman" w:hAnsi="Times New Roman"/>
          <w:sz w:val="20"/>
          <w:szCs w:val="20"/>
        </w:rPr>
      </w:pPr>
      <w:r>
        <w:rPr>
          <w:rFonts w:ascii="Times New Roman" w:eastAsia="宋体" w:hAnsi="Times New Roman"/>
          <w:i/>
          <w:iCs/>
          <w:sz w:val="20"/>
          <w:szCs w:val="20"/>
        </w:rPr>
        <w:t xml:space="preserve">You should read the following discussion of our financial condition and results of operations in conjunction with our condensed consolidated financial statements and the related notes included elsewhere in this Quarterly Report on Form </w:t>
      </w:r>
      <w:r>
        <w:rPr>
          <w:rFonts w:ascii="Times New Roman" w:eastAsia="宋体" w:hAnsi="Times New Roman"/>
          <w:i/>
          <w:iCs/>
          <w:sz w:val="20"/>
          <w:szCs w:val="20"/>
        </w:rPr>
        <w:t>10-Q and with our audited consolidated financial statements included in our Annual Report on Form 10-K for the year ended December 31, 2019, as filed with the Securities and Exchange Commission. In addition to our historical condensed consolidated financia</w:t>
      </w:r>
      <w:r>
        <w:rPr>
          <w:rFonts w:ascii="Times New Roman" w:eastAsia="宋体" w:hAnsi="Times New Roman"/>
          <w:i/>
          <w:iCs/>
          <w:sz w:val="20"/>
          <w:szCs w:val="20"/>
        </w:rPr>
        <w:t>l information, the following discussion contains forward-looking statements that reflect our plans, estimates, and beliefs. Our actual results could differ materially from those discussed in the forward-looking statements. Factors that could cause or contr</w:t>
      </w:r>
      <w:r>
        <w:rPr>
          <w:rFonts w:ascii="Times New Roman" w:eastAsia="宋体" w:hAnsi="Times New Roman"/>
          <w:i/>
          <w:iCs/>
          <w:sz w:val="20"/>
          <w:szCs w:val="20"/>
        </w:rPr>
        <w:t xml:space="preserve">ibute to these differences include those discussed below and elsewhere in this Quarterly Report on Form 10-Q, particularly in Part II, Item 1A, "Risk Factors." For a discussion of limitations in the measurement of certain of our community metrics, see the </w:t>
      </w:r>
      <w:r>
        <w:rPr>
          <w:rFonts w:ascii="Times New Roman" w:eastAsia="宋体" w:hAnsi="Times New Roman"/>
          <w:i/>
          <w:iCs/>
          <w:sz w:val="20"/>
          <w:szCs w:val="20"/>
        </w:rPr>
        <w:t>section entitled "Limitations of Key Metrics and Other Data" in this Quarterly Report on Form 10-Q.</w:t>
      </w:r>
    </w:p>
    <w:p w14:paraId="1446EE10" w14:textId="77777777" w:rsidR="00FE42B5" w:rsidRDefault="00FE42B5">
      <w:pPr>
        <w:spacing w:line="288" w:lineRule="auto"/>
        <w:jc w:val="both"/>
        <w:rPr>
          <w:rFonts w:ascii="Times New Roman" w:hAnsi="Times New Roman"/>
          <w:sz w:val="20"/>
          <w:szCs w:val="20"/>
        </w:rPr>
      </w:pPr>
    </w:p>
    <w:p w14:paraId="1446EE11" w14:textId="77777777" w:rsidR="00FE42B5" w:rsidRDefault="009213DC">
      <w:pPr>
        <w:spacing w:line="288" w:lineRule="auto"/>
        <w:jc w:val="both"/>
        <w:rPr>
          <w:rFonts w:ascii="Times New Roman" w:hAnsi="Times New Roman"/>
          <w:sz w:val="20"/>
          <w:szCs w:val="20"/>
        </w:rPr>
      </w:pPr>
      <w:r>
        <w:rPr>
          <w:rFonts w:ascii="Times New Roman" w:eastAsia="宋体" w:hAnsi="Times New Roman"/>
          <w:i/>
          <w:iCs/>
          <w:sz w:val="20"/>
          <w:szCs w:val="20"/>
        </w:rPr>
        <w:t>Certain revenue information in the section entitled "—Three Months Ended March 31, 2020 and 2019—Revenue</w:t>
      </w:r>
      <w:r>
        <w:rPr>
          <w:rFonts w:ascii="Times New Roman" w:eastAsia="宋体" w:hAnsi="Times New Roman"/>
          <w:sz w:val="20"/>
          <w:szCs w:val="20"/>
        </w:rPr>
        <w:t>—</w:t>
      </w:r>
      <w:r>
        <w:rPr>
          <w:rFonts w:ascii="Times New Roman" w:eastAsia="宋体" w:hAnsi="Times New Roman"/>
          <w:i/>
          <w:iCs/>
          <w:sz w:val="20"/>
          <w:szCs w:val="20"/>
        </w:rPr>
        <w:t>Foreign Exchange Impact on Revenue" is presented o</w:t>
      </w:r>
      <w:r>
        <w:rPr>
          <w:rFonts w:ascii="Times New Roman" w:eastAsia="宋体" w:hAnsi="Times New Roman"/>
          <w:i/>
          <w:iCs/>
          <w:sz w:val="20"/>
          <w:szCs w:val="20"/>
        </w:rPr>
        <w:t>n a constant currency basis. This information is a non-GAAP financial measure. To calculate revenue on a constant currency basis, we translated revenue for the three months ended March 31, 2020 using the prior year's monthly exchange rates for our settleme</w:t>
      </w:r>
      <w:r>
        <w:rPr>
          <w:rFonts w:ascii="Times New Roman" w:eastAsia="宋体" w:hAnsi="Times New Roman"/>
          <w:i/>
          <w:iCs/>
          <w:sz w:val="20"/>
          <w:szCs w:val="20"/>
        </w:rPr>
        <w:t>nt or billing currencies other than the U.S. dollar. This non-GAAP financial measure is not intended to be considered in isolation or as a substitute for, or superior to, financial information prepared and presented in accordance with GAAP. This measure ma</w:t>
      </w:r>
      <w:r>
        <w:rPr>
          <w:rFonts w:ascii="Times New Roman" w:eastAsia="宋体" w:hAnsi="Times New Roman"/>
          <w:i/>
          <w:iCs/>
          <w:sz w:val="20"/>
          <w:szCs w:val="20"/>
        </w:rPr>
        <w:t>y be different from non-GAAP financial measures used by other companies, limiting its usefulness for comparison purposes. Moreover, presentation of revenue on a constant currency basis is provided for year-over-year comparison purposes, and investors shoul</w:t>
      </w:r>
      <w:r>
        <w:rPr>
          <w:rFonts w:ascii="Times New Roman" w:eastAsia="宋体" w:hAnsi="Times New Roman"/>
          <w:i/>
          <w:iCs/>
          <w:sz w:val="20"/>
          <w:szCs w:val="20"/>
        </w:rPr>
        <w:t xml:space="preserve">d be cautioned that the effect of changing foreign currency exchange rates has an actual effect on our operating results. We believe this non-GAAP financial measure provides investors with useful supplemental information about the financial performance of </w:t>
      </w:r>
      <w:r>
        <w:rPr>
          <w:rFonts w:ascii="Times New Roman" w:eastAsia="宋体" w:hAnsi="Times New Roman"/>
          <w:i/>
          <w:iCs/>
          <w:sz w:val="20"/>
          <w:szCs w:val="20"/>
        </w:rPr>
        <w:t>our business, enables comparison of financial results between periods where certain items may vary independent of business performance, and allows for greater transparency with respect to key metrics used by management in operating our business.</w:t>
      </w:r>
    </w:p>
    <w:p w14:paraId="1446EE12" w14:textId="77777777" w:rsidR="00FE42B5" w:rsidRDefault="00FE42B5">
      <w:pPr>
        <w:spacing w:line="288" w:lineRule="auto"/>
        <w:rPr>
          <w:rFonts w:ascii="Times New Roman" w:hAnsi="Times New Roman"/>
          <w:sz w:val="20"/>
          <w:szCs w:val="20"/>
        </w:rPr>
      </w:pPr>
    </w:p>
    <w:p w14:paraId="1446EE13"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Executive</w:t>
      </w:r>
      <w:r>
        <w:rPr>
          <w:rFonts w:ascii="Times New Roman" w:eastAsia="宋体" w:hAnsi="Times New Roman"/>
          <w:b/>
          <w:bCs/>
          <w:sz w:val="20"/>
          <w:szCs w:val="20"/>
        </w:rPr>
        <w:t xml:space="preserve"> Overview of First Quarter Results</w:t>
      </w:r>
    </w:p>
    <w:p w14:paraId="1446EE14" w14:textId="77777777" w:rsidR="00FE42B5" w:rsidRDefault="00FE42B5">
      <w:pPr>
        <w:spacing w:line="288" w:lineRule="auto"/>
        <w:rPr>
          <w:rFonts w:ascii="Times New Roman" w:hAnsi="Times New Roman"/>
          <w:sz w:val="20"/>
          <w:szCs w:val="20"/>
        </w:rPr>
      </w:pPr>
    </w:p>
    <w:p w14:paraId="1446EE15" w14:textId="77777777" w:rsidR="00FE42B5" w:rsidRDefault="009213DC">
      <w:pPr>
        <w:spacing w:line="288" w:lineRule="auto"/>
        <w:ind w:firstLine="720"/>
        <w:rPr>
          <w:rFonts w:ascii="Times New Roman" w:hAnsi="Times New Roman"/>
          <w:sz w:val="20"/>
          <w:szCs w:val="20"/>
        </w:rPr>
      </w:pPr>
      <w:r>
        <w:rPr>
          <w:rFonts w:ascii="Times New Roman" w:eastAsia="宋体" w:hAnsi="Times New Roman"/>
          <w:sz w:val="20"/>
          <w:szCs w:val="20"/>
        </w:rPr>
        <w:t>Our key community metrics and financial results for the first quarter of 2020 are as follows:</w:t>
      </w:r>
    </w:p>
    <w:p w14:paraId="1446EE16" w14:textId="77777777" w:rsidR="00FE42B5" w:rsidRDefault="00FE42B5">
      <w:pPr>
        <w:spacing w:line="288" w:lineRule="auto"/>
        <w:rPr>
          <w:rFonts w:ascii="Times New Roman" w:hAnsi="Times New Roman"/>
          <w:sz w:val="20"/>
          <w:szCs w:val="20"/>
        </w:rPr>
      </w:pPr>
    </w:p>
    <w:p w14:paraId="1446EE17"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Community growth:</w:t>
      </w:r>
    </w:p>
    <w:p w14:paraId="1446EE18" w14:textId="77777777" w:rsidR="00FE42B5" w:rsidRDefault="00FE42B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E42B5" w14:paraId="1446EE1B" w14:textId="77777777">
        <w:trPr>
          <w:tblCellSpacing w:w="0" w:type="dxa"/>
        </w:trPr>
        <w:tc>
          <w:tcPr>
            <w:tcW w:w="960" w:type="dxa"/>
            <w:shd w:val="clear" w:color="auto" w:fill="auto"/>
            <w:vAlign w:val="center"/>
          </w:tcPr>
          <w:p w14:paraId="1446EE19" w14:textId="77777777" w:rsidR="00FE42B5" w:rsidRDefault="00FE42B5">
            <w:pPr>
              <w:rPr>
                <w:rFonts w:ascii="Times New Roman" w:hAnsi="Times New Roman"/>
                <w:sz w:val="20"/>
                <w:szCs w:val="20"/>
              </w:rPr>
            </w:pPr>
          </w:p>
        </w:tc>
        <w:tc>
          <w:tcPr>
            <w:tcW w:w="0" w:type="auto"/>
            <w:shd w:val="clear" w:color="auto" w:fill="auto"/>
            <w:vAlign w:val="center"/>
          </w:tcPr>
          <w:p w14:paraId="1446EE1A" w14:textId="77777777" w:rsidR="00FE42B5" w:rsidRDefault="00FE42B5">
            <w:pPr>
              <w:rPr>
                <w:rFonts w:ascii="Times New Roman" w:hAnsi="Times New Roman"/>
                <w:sz w:val="20"/>
                <w:szCs w:val="20"/>
              </w:rPr>
            </w:pPr>
          </w:p>
        </w:tc>
      </w:tr>
      <w:tr w:rsidR="00FE42B5" w14:paraId="1446EE1E" w14:textId="77777777">
        <w:trPr>
          <w:tblCellSpacing w:w="0" w:type="dxa"/>
        </w:trPr>
        <w:tc>
          <w:tcPr>
            <w:tcW w:w="0" w:type="auto"/>
            <w:shd w:val="clear" w:color="auto" w:fill="auto"/>
          </w:tcPr>
          <w:p w14:paraId="1446EE1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1D"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Facebook daily active users (DAUs) were 1.73 billion on average for March 2020, an increase of 11% </w:t>
            </w:r>
            <w:r>
              <w:rPr>
                <w:rFonts w:ascii="Times New Roman" w:eastAsia="宋体" w:hAnsi="Times New Roman"/>
                <w:sz w:val="20"/>
                <w:szCs w:val="20"/>
              </w:rPr>
              <w:t>year-over-year.</w:t>
            </w:r>
          </w:p>
        </w:tc>
      </w:tr>
    </w:tbl>
    <w:p w14:paraId="1446EE1F"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E42B5" w14:paraId="1446EE22" w14:textId="77777777">
        <w:trPr>
          <w:tblCellSpacing w:w="0" w:type="dxa"/>
        </w:trPr>
        <w:tc>
          <w:tcPr>
            <w:tcW w:w="960" w:type="dxa"/>
            <w:shd w:val="clear" w:color="auto" w:fill="auto"/>
            <w:vAlign w:val="center"/>
          </w:tcPr>
          <w:p w14:paraId="1446EE20" w14:textId="77777777" w:rsidR="00FE42B5" w:rsidRDefault="00FE42B5">
            <w:pPr>
              <w:rPr>
                <w:rFonts w:ascii="Times New Roman" w:hAnsi="Times New Roman"/>
                <w:sz w:val="20"/>
                <w:szCs w:val="20"/>
              </w:rPr>
            </w:pPr>
          </w:p>
        </w:tc>
        <w:tc>
          <w:tcPr>
            <w:tcW w:w="0" w:type="auto"/>
            <w:shd w:val="clear" w:color="auto" w:fill="auto"/>
            <w:vAlign w:val="center"/>
          </w:tcPr>
          <w:p w14:paraId="1446EE21" w14:textId="77777777" w:rsidR="00FE42B5" w:rsidRDefault="00FE42B5">
            <w:pPr>
              <w:rPr>
                <w:rFonts w:ascii="Times New Roman" w:hAnsi="Times New Roman"/>
                <w:sz w:val="20"/>
                <w:szCs w:val="20"/>
              </w:rPr>
            </w:pPr>
          </w:p>
        </w:tc>
      </w:tr>
      <w:tr w:rsidR="00FE42B5" w14:paraId="1446EE25" w14:textId="77777777">
        <w:trPr>
          <w:tblCellSpacing w:w="0" w:type="dxa"/>
        </w:trPr>
        <w:tc>
          <w:tcPr>
            <w:tcW w:w="0" w:type="auto"/>
            <w:shd w:val="clear" w:color="auto" w:fill="auto"/>
          </w:tcPr>
          <w:p w14:paraId="1446EE2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2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Facebook monthly active users (MAUs) were 2.60 billion as of March 31, 2020, an increase of 10% year-over-year.</w:t>
            </w:r>
          </w:p>
        </w:tc>
      </w:tr>
    </w:tbl>
    <w:p w14:paraId="1446EE26"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E42B5" w14:paraId="1446EE29" w14:textId="77777777">
        <w:trPr>
          <w:tblCellSpacing w:w="0" w:type="dxa"/>
        </w:trPr>
        <w:tc>
          <w:tcPr>
            <w:tcW w:w="960" w:type="dxa"/>
            <w:shd w:val="clear" w:color="auto" w:fill="auto"/>
            <w:vAlign w:val="center"/>
          </w:tcPr>
          <w:p w14:paraId="1446EE27" w14:textId="77777777" w:rsidR="00FE42B5" w:rsidRDefault="00FE42B5">
            <w:pPr>
              <w:rPr>
                <w:rFonts w:ascii="Times New Roman" w:hAnsi="Times New Roman"/>
                <w:sz w:val="20"/>
                <w:szCs w:val="20"/>
              </w:rPr>
            </w:pPr>
          </w:p>
        </w:tc>
        <w:tc>
          <w:tcPr>
            <w:tcW w:w="0" w:type="auto"/>
            <w:shd w:val="clear" w:color="auto" w:fill="auto"/>
            <w:vAlign w:val="center"/>
          </w:tcPr>
          <w:p w14:paraId="1446EE28" w14:textId="77777777" w:rsidR="00FE42B5" w:rsidRDefault="00FE42B5">
            <w:pPr>
              <w:rPr>
                <w:rFonts w:ascii="Times New Roman" w:hAnsi="Times New Roman"/>
                <w:sz w:val="20"/>
                <w:szCs w:val="20"/>
              </w:rPr>
            </w:pPr>
          </w:p>
        </w:tc>
      </w:tr>
      <w:tr w:rsidR="00FE42B5" w14:paraId="1446EE2C" w14:textId="77777777">
        <w:trPr>
          <w:tblCellSpacing w:w="0" w:type="dxa"/>
        </w:trPr>
        <w:tc>
          <w:tcPr>
            <w:tcW w:w="0" w:type="auto"/>
            <w:shd w:val="clear" w:color="auto" w:fill="auto"/>
          </w:tcPr>
          <w:p w14:paraId="1446EE2A"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2B"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Family daily active people (DAP) was 2.36 billion on average for March 2020, an increase of 12% </w:t>
            </w:r>
            <w:r>
              <w:rPr>
                <w:rFonts w:ascii="Times New Roman" w:eastAsia="宋体" w:hAnsi="Times New Roman"/>
                <w:sz w:val="20"/>
                <w:szCs w:val="20"/>
              </w:rPr>
              <w:t>year-over-year.</w:t>
            </w:r>
          </w:p>
        </w:tc>
      </w:tr>
    </w:tbl>
    <w:p w14:paraId="1446EE2D"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E42B5" w14:paraId="1446EE30" w14:textId="77777777">
        <w:trPr>
          <w:tblCellSpacing w:w="0" w:type="dxa"/>
        </w:trPr>
        <w:tc>
          <w:tcPr>
            <w:tcW w:w="960" w:type="dxa"/>
            <w:shd w:val="clear" w:color="auto" w:fill="auto"/>
            <w:vAlign w:val="center"/>
          </w:tcPr>
          <w:p w14:paraId="1446EE2E" w14:textId="77777777" w:rsidR="00FE42B5" w:rsidRDefault="00FE42B5">
            <w:pPr>
              <w:rPr>
                <w:rFonts w:ascii="Times New Roman" w:hAnsi="Times New Roman"/>
                <w:sz w:val="20"/>
                <w:szCs w:val="20"/>
              </w:rPr>
            </w:pPr>
          </w:p>
        </w:tc>
        <w:tc>
          <w:tcPr>
            <w:tcW w:w="0" w:type="auto"/>
            <w:shd w:val="clear" w:color="auto" w:fill="auto"/>
            <w:vAlign w:val="center"/>
          </w:tcPr>
          <w:p w14:paraId="1446EE2F" w14:textId="77777777" w:rsidR="00FE42B5" w:rsidRDefault="00FE42B5">
            <w:pPr>
              <w:rPr>
                <w:rFonts w:ascii="Times New Roman" w:hAnsi="Times New Roman"/>
                <w:sz w:val="20"/>
                <w:szCs w:val="20"/>
              </w:rPr>
            </w:pPr>
          </w:p>
        </w:tc>
      </w:tr>
      <w:tr w:rsidR="00FE42B5" w14:paraId="1446EE33" w14:textId="77777777">
        <w:trPr>
          <w:tblCellSpacing w:w="0" w:type="dxa"/>
        </w:trPr>
        <w:tc>
          <w:tcPr>
            <w:tcW w:w="0" w:type="auto"/>
            <w:shd w:val="clear" w:color="auto" w:fill="auto"/>
          </w:tcPr>
          <w:p w14:paraId="1446EE31"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32"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Family monthly active people (MAP) was 2.99 billion as of March 31, 2020, an increase of 11% year-over-year.</w:t>
            </w:r>
          </w:p>
        </w:tc>
      </w:tr>
    </w:tbl>
    <w:p w14:paraId="1446EE34" w14:textId="77777777" w:rsidR="00FE42B5" w:rsidRDefault="00FE42B5">
      <w:pPr>
        <w:spacing w:line="288" w:lineRule="auto"/>
        <w:jc w:val="both"/>
        <w:rPr>
          <w:rFonts w:ascii="Times New Roman" w:hAnsi="Times New Roman"/>
          <w:sz w:val="20"/>
          <w:szCs w:val="20"/>
        </w:rPr>
      </w:pPr>
    </w:p>
    <w:p w14:paraId="1446EE35"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Financial results:</w:t>
      </w:r>
    </w:p>
    <w:p w14:paraId="1446EE36" w14:textId="77777777" w:rsidR="00FE42B5" w:rsidRDefault="00FE42B5">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E42B5" w14:paraId="1446EE39" w14:textId="77777777">
        <w:trPr>
          <w:tblCellSpacing w:w="0" w:type="dxa"/>
        </w:trPr>
        <w:tc>
          <w:tcPr>
            <w:tcW w:w="960" w:type="dxa"/>
            <w:shd w:val="clear" w:color="auto" w:fill="auto"/>
            <w:vAlign w:val="center"/>
          </w:tcPr>
          <w:p w14:paraId="1446EE37" w14:textId="77777777" w:rsidR="00FE42B5" w:rsidRDefault="00FE42B5">
            <w:pPr>
              <w:rPr>
                <w:rFonts w:ascii="Times New Roman" w:hAnsi="Times New Roman"/>
                <w:sz w:val="20"/>
                <w:szCs w:val="20"/>
              </w:rPr>
            </w:pPr>
          </w:p>
        </w:tc>
        <w:tc>
          <w:tcPr>
            <w:tcW w:w="0" w:type="auto"/>
            <w:shd w:val="clear" w:color="auto" w:fill="auto"/>
            <w:vAlign w:val="center"/>
          </w:tcPr>
          <w:p w14:paraId="1446EE38" w14:textId="77777777" w:rsidR="00FE42B5" w:rsidRDefault="00FE42B5">
            <w:pPr>
              <w:rPr>
                <w:rFonts w:ascii="Times New Roman" w:hAnsi="Times New Roman"/>
                <w:sz w:val="20"/>
                <w:szCs w:val="20"/>
              </w:rPr>
            </w:pPr>
          </w:p>
        </w:tc>
      </w:tr>
      <w:tr w:rsidR="00FE42B5" w14:paraId="1446EE3C" w14:textId="77777777">
        <w:trPr>
          <w:tblCellSpacing w:w="0" w:type="dxa"/>
        </w:trPr>
        <w:tc>
          <w:tcPr>
            <w:tcW w:w="0" w:type="auto"/>
            <w:shd w:val="clear" w:color="auto" w:fill="auto"/>
          </w:tcPr>
          <w:p w14:paraId="1446EE3A"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3B"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Revenue was $17.74 billion, up 18% year-over-year, and advertising revenue was $17.44 </w:t>
            </w:r>
            <w:r>
              <w:rPr>
                <w:rFonts w:ascii="Times New Roman" w:eastAsia="宋体" w:hAnsi="Times New Roman"/>
                <w:sz w:val="20"/>
                <w:szCs w:val="20"/>
              </w:rPr>
              <w:t>billion, up 17% year-over</w:t>
            </w:r>
            <w:r>
              <w:rPr>
                <w:rFonts w:ascii="Times New Roman" w:eastAsia="宋体" w:hAnsi="Times New Roman"/>
                <w:sz w:val="20"/>
                <w:szCs w:val="20"/>
              </w:rPr>
              <w:noBreakHyphen/>
              <w:t>year.</w:t>
            </w:r>
          </w:p>
        </w:tc>
      </w:tr>
    </w:tbl>
    <w:p w14:paraId="1446EE3D"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644"/>
      </w:tblGrid>
      <w:tr w:rsidR="00FE42B5" w14:paraId="1446EE40" w14:textId="77777777">
        <w:trPr>
          <w:tblCellSpacing w:w="0" w:type="dxa"/>
        </w:trPr>
        <w:tc>
          <w:tcPr>
            <w:tcW w:w="960" w:type="dxa"/>
            <w:shd w:val="clear" w:color="auto" w:fill="auto"/>
            <w:vAlign w:val="center"/>
          </w:tcPr>
          <w:p w14:paraId="1446EE3E" w14:textId="77777777" w:rsidR="00FE42B5" w:rsidRDefault="00FE42B5">
            <w:pPr>
              <w:rPr>
                <w:rFonts w:ascii="Times New Roman" w:hAnsi="Times New Roman"/>
                <w:sz w:val="20"/>
                <w:szCs w:val="20"/>
              </w:rPr>
            </w:pPr>
          </w:p>
        </w:tc>
        <w:tc>
          <w:tcPr>
            <w:tcW w:w="0" w:type="auto"/>
            <w:shd w:val="clear" w:color="auto" w:fill="auto"/>
            <w:vAlign w:val="center"/>
          </w:tcPr>
          <w:p w14:paraId="1446EE3F" w14:textId="77777777" w:rsidR="00FE42B5" w:rsidRDefault="00FE42B5">
            <w:pPr>
              <w:rPr>
                <w:rFonts w:ascii="Times New Roman" w:hAnsi="Times New Roman"/>
                <w:sz w:val="20"/>
                <w:szCs w:val="20"/>
              </w:rPr>
            </w:pPr>
          </w:p>
        </w:tc>
      </w:tr>
      <w:tr w:rsidR="00FE42B5" w14:paraId="1446EE43" w14:textId="77777777">
        <w:trPr>
          <w:tblCellSpacing w:w="0" w:type="dxa"/>
        </w:trPr>
        <w:tc>
          <w:tcPr>
            <w:tcW w:w="0" w:type="auto"/>
            <w:shd w:val="clear" w:color="auto" w:fill="auto"/>
          </w:tcPr>
          <w:p w14:paraId="1446EE41"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42"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Total costs and expenses were $11.84 billion.</w:t>
            </w:r>
          </w:p>
        </w:tc>
      </w:tr>
    </w:tbl>
    <w:p w14:paraId="1446EE44"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944"/>
      </w:tblGrid>
      <w:tr w:rsidR="00FE42B5" w14:paraId="1446EE47" w14:textId="77777777">
        <w:trPr>
          <w:tblCellSpacing w:w="0" w:type="dxa"/>
        </w:trPr>
        <w:tc>
          <w:tcPr>
            <w:tcW w:w="960" w:type="dxa"/>
            <w:shd w:val="clear" w:color="auto" w:fill="auto"/>
            <w:vAlign w:val="center"/>
          </w:tcPr>
          <w:p w14:paraId="1446EE45" w14:textId="77777777" w:rsidR="00FE42B5" w:rsidRDefault="00FE42B5">
            <w:pPr>
              <w:rPr>
                <w:rFonts w:ascii="Times New Roman" w:hAnsi="Times New Roman"/>
                <w:sz w:val="20"/>
                <w:szCs w:val="20"/>
              </w:rPr>
            </w:pPr>
          </w:p>
        </w:tc>
        <w:tc>
          <w:tcPr>
            <w:tcW w:w="0" w:type="auto"/>
            <w:shd w:val="clear" w:color="auto" w:fill="auto"/>
            <w:vAlign w:val="center"/>
          </w:tcPr>
          <w:p w14:paraId="1446EE46" w14:textId="77777777" w:rsidR="00FE42B5" w:rsidRDefault="00FE42B5">
            <w:pPr>
              <w:rPr>
                <w:rFonts w:ascii="Times New Roman" w:hAnsi="Times New Roman"/>
                <w:sz w:val="20"/>
                <w:szCs w:val="20"/>
              </w:rPr>
            </w:pPr>
          </w:p>
        </w:tc>
      </w:tr>
      <w:tr w:rsidR="00FE42B5" w14:paraId="1446EE4A" w14:textId="77777777">
        <w:trPr>
          <w:tblCellSpacing w:w="0" w:type="dxa"/>
        </w:trPr>
        <w:tc>
          <w:tcPr>
            <w:tcW w:w="0" w:type="auto"/>
            <w:shd w:val="clear" w:color="auto" w:fill="auto"/>
          </w:tcPr>
          <w:p w14:paraId="1446EE48"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49"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Income from operations was $5.89 billion and operating margin was 33%.</w:t>
            </w:r>
          </w:p>
        </w:tc>
      </w:tr>
    </w:tbl>
    <w:p w14:paraId="1446EE4B"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644"/>
      </w:tblGrid>
      <w:tr w:rsidR="00FE42B5" w14:paraId="1446EE4E" w14:textId="77777777">
        <w:trPr>
          <w:tblCellSpacing w:w="0" w:type="dxa"/>
        </w:trPr>
        <w:tc>
          <w:tcPr>
            <w:tcW w:w="960" w:type="dxa"/>
            <w:shd w:val="clear" w:color="auto" w:fill="auto"/>
            <w:vAlign w:val="center"/>
          </w:tcPr>
          <w:p w14:paraId="1446EE4C" w14:textId="77777777" w:rsidR="00FE42B5" w:rsidRDefault="00FE42B5">
            <w:pPr>
              <w:rPr>
                <w:rFonts w:ascii="Times New Roman" w:hAnsi="Times New Roman"/>
                <w:sz w:val="20"/>
                <w:szCs w:val="20"/>
              </w:rPr>
            </w:pPr>
          </w:p>
        </w:tc>
        <w:tc>
          <w:tcPr>
            <w:tcW w:w="0" w:type="auto"/>
            <w:shd w:val="clear" w:color="auto" w:fill="auto"/>
            <w:vAlign w:val="center"/>
          </w:tcPr>
          <w:p w14:paraId="1446EE4D" w14:textId="77777777" w:rsidR="00FE42B5" w:rsidRDefault="00FE42B5">
            <w:pPr>
              <w:rPr>
                <w:rFonts w:ascii="Times New Roman" w:hAnsi="Times New Roman"/>
                <w:sz w:val="20"/>
                <w:szCs w:val="20"/>
              </w:rPr>
            </w:pPr>
          </w:p>
        </w:tc>
      </w:tr>
      <w:tr w:rsidR="00FE42B5" w14:paraId="1446EE51" w14:textId="77777777">
        <w:trPr>
          <w:tblCellSpacing w:w="0" w:type="dxa"/>
        </w:trPr>
        <w:tc>
          <w:tcPr>
            <w:tcW w:w="0" w:type="auto"/>
            <w:shd w:val="clear" w:color="auto" w:fill="auto"/>
          </w:tcPr>
          <w:p w14:paraId="1446EE4F"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50"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Net income was $4.90 billion with diluted earnings per share of $1.71.</w:t>
            </w:r>
          </w:p>
        </w:tc>
      </w:tr>
    </w:tbl>
    <w:p w14:paraId="1446EE52"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110"/>
      </w:tblGrid>
      <w:tr w:rsidR="00FE42B5" w14:paraId="1446EE55" w14:textId="77777777">
        <w:trPr>
          <w:tblCellSpacing w:w="0" w:type="dxa"/>
        </w:trPr>
        <w:tc>
          <w:tcPr>
            <w:tcW w:w="960" w:type="dxa"/>
            <w:shd w:val="clear" w:color="auto" w:fill="auto"/>
            <w:vAlign w:val="center"/>
          </w:tcPr>
          <w:p w14:paraId="1446EE53" w14:textId="77777777" w:rsidR="00FE42B5" w:rsidRDefault="00FE42B5">
            <w:pPr>
              <w:rPr>
                <w:rFonts w:ascii="Times New Roman" w:hAnsi="Times New Roman"/>
                <w:sz w:val="20"/>
                <w:szCs w:val="20"/>
              </w:rPr>
            </w:pPr>
          </w:p>
        </w:tc>
        <w:tc>
          <w:tcPr>
            <w:tcW w:w="0" w:type="auto"/>
            <w:shd w:val="clear" w:color="auto" w:fill="auto"/>
            <w:vAlign w:val="center"/>
          </w:tcPr>
          <w:p w14:paraId="1446EE54" w14:textId="77777777" w:rsidR="00FE42B5" w:rsidRDefault="00FE42B5">
            <w:pPr>
              <w:rPr>
                <w:rFonts w:ascii="Times New Roman" w:hAnsi="Times New Roman"/>
                <w:sz w:val="20"/>
                <w:szCs w:val="20"/>
              </w:rPr>
            </w:pPr>
          </w:p>
        </w:tc>
      </w:tr>
      <w:tr w:rsidR="00FE42B5" w14:paraId="1446EE58" w14:textId="77777777">
        <w:trPr>
          <w:tblCellSpacing w:w="0" w:type="dxa"/>
        </w:trPr>
        <w:tc>
          <w:tcPr>
            <w:tcW w:w="0" w:type="auto"/>
            <w:shd w:val="clear" w:color="auto" w:fill="auto"/>
          </w:tcPr>
          <w:p w14:paraId="1446EE56"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57"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Capital expenditures, including principal payments on finance leases, were $3.66 billion.</w:t>
            </w:r>
          </w:p>
        </w:tc>
      </w:tr>
    </w:tbl>
    <w:p w14:paraId="1446EE59"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205"/>
      </w:tblGrid>
      <w:tr w:rsidR="00FE42B5" w14:paraId="1446EE5C" w14:textId="77777777">
        <w:trPr>
          <w:tblCellSpacing w:w="0" w:type="dxa"/>
        </w:trPr>
        <w:tc>
          <w:tcPr>
            <w:tcW w:w="960" w:type="dxa"/>
            <w:shd w:val="clear" w:color="auto" w:fill="auto"/>
            <w:vAlign w:val="center"/>
          </w:tcPr>
          <w:p w14:paraId="1446EE5A" w14:textId="77777777" w:rsidR="00FE42B5" w:rsidRDefault="00FE42B5">
            <w:pPr>
              <w:rPr>
                <w:rFonts w:ascii="Times New Roman" w:hAnsi="Times New Roman"/>
                <w:sz w:val="20"/>
                <w:szCs w:val="20"/>
              </w:rPr>
            </w:pPr>
          </w:p>
        </w:tc>
        <w:tc>
          <w:tcPr>
            <w:tcW w:w="0" w:type="auto"/>
            <w:shd w:val="clear" w:color="auto" w:fill="auto"/>
            <w:vAlign w:val="center"/>
          </w:tcPr>
          <w:p w14:paraId="1446EE5B" w14:textId="77777777" w:rsidR="00FE42B5" w:rsidRDefault="00FE42B5">
            <w:pPr>
              <w:rPr>
                <w:rFonts w:ascii="Times New Roman" w:hAnsi="Times New Roman"/>
                <w:sz w:val="20"/>
                <w:szCs w:val="20"/>
              </w:rPr>
            </w:pPr>
          </w:p>
        </w:tc>
      </w:tr>
      <w:tr w:rsidR="00FE42B5" w14:paraId="1446EE5F" w14:textId="77777777">
        <w:trPr>
          <w:tblCellSpacing w:w="0" w:type="dxa"/>
        </w:trPr>
        <w:tc>
          <w:tcPr>
            <w:tcW w:w="0" w:type="auto"/>
            <w:shd w:val="clear" w:color="auto" w:fill="auto"/>
          </w:tcPr>
          <w:p w14:paraId="1446EE5D"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5E"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Effective tax rate was 16%.</w:t>
            </w:r>
          </w:p>
        </w:tc>
      </w:tr>
    </w:tbl>
    <w:p w14:paraId="1446EE60"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E42B5" w14:paraId="1446EE63" w14:textId="77777777">
        <w:trPr>
          <w:tblCellSpacing w:w="0" w:type="dxa"/>
        </w:trPr>
        <w:tc>
          <w:tcPr>
            <w:tcW w:w="960" w:type="dxa"/>
            <w:shd w:val="clear" w:color="auto" w:fill="auto"/>
            <w:vAlign w:val="center"/>
          </w:tcPr>
          <w:p w14:paraId="1446EE61" w14:textId="77777777" w:rsidR="00FE42B5" w:rsidRDefault="00FE42B5">
            <w:pPr>
              <w:rPr>
                <w:rFonts w:ascii="Times New Roman" w:hAnsi="Times New Roman"/>
                <w:sz w:val="20"/>
                <w:szCs w:val="20"/>
              </w:rPr>
            </w:pPr>
          </w:p>
        </w:tc>
        <w:tc>
          <w:tcPr>
            <w:tcW w:w="0" w:type="auto"/>
            <w:shd w:val="clear" w:color="auto" w:fill="auto"/>
            <w:vAlign w:val="center"/>
          </w:tcPr>
          <w:p w14:paraId="1446EE62" w14:textId="77777777" w:rsidR="00FE42B5" w:rsidRDefault="00FE42B5">
            <w:pPr>
              <w:rPr>
                <w:rFonts w:ascii="Times New Roman" w:hAnsi="Times New Roman"/>
                <w:sz w:val="20"/>
                <w:szCs w:val="20"/>
              </w:rPr>
            </w:pPr>
          </w:p>
        </w:tc>
      </w:tr>
      <w:tr w:rsidR="00FE42B5" w14:paraId="1446EE66" w14:textId="77777777">
        <w:trPr>
          <w:tblCellSpacing w:w="0" w:type="dxa"/>
        </w:trPr>
        <w:tc>
          <w:tcPr>
            <w:tcW w:w="0" w:type="auto"/>
            <w:shd w:val="clear" w:color="auto" w:fill="auto"/>
          </w:tcPr>
          <w:p w14:paraId="1446EE6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65"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Cash and cash equivalents and marketable securities were $60.29 billion as of March 31, 2020.</w:t>
            </w:r>
          </w:p>
        </w:tc>
      </w:tr>
    </w:tbl>
    <w:p w14:paraId="1446EE67"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487"/>
      </w:tblGrid>
      <w:tr w:rsidR="00FE42B5" w14:paraId="1446EE6A" w14:textId="77777777">
        <w:trPr>
          <w:tblCellSpacing w:w="0" w:type="dxa"/>
        </w:trPr>
        <w:tc>
          <w:tcPr>
            <w:tcW w:w="960" w:type="dxa"/>
            <w:shd w:val="clear" w:color="auto" w:fill="auto"/>
            <w:vAlign w:val="center"/>
          </w:tcPr>
          <w:p w14:paraId="1446EE68" w14:textId="77777777" w:rsidR="00FE42B5" w:rsidRDefault="00FE42B5">
            <w:pPr>
              <w:rPr>
                <w:rFonts w:ascii="Times New Roman" w:hAnsi="Times New Roman"/>
                <w:sz w:val="20"/>
                <w:szCs w:val="20"/>
              </w:rPr>
            </w:pPr>
          </w:p>
        </w:tc>
        <w:tc>
          <w:tcPr>
            <w:tcW w:w="0" w:type="auto"/>
            <w:shd w:val="clear" w:color="auto" w:fill="auto"/>
            <w:vAlign w:val="center"/>
          </w:tcPr>
          <w:p w14:paraId="1446EE69" w14:textId="77777777" w:rsidR="00FE42B5" w:rsidRDefault="00FE42B5">
            <w:pPr>
              <w:rPr>
                <w:rFonts w:ascii="Times New Roman" w:hAnsi="Times New Roman"/>
                <w:sz w:val="20"/>
                <w:szCs w:val="20"/>
              </w:rPr>
            </w:pPr>
          </w:p>
        </w:tc>
      </w:tr>
      <w:tr w:rsidR="00FE42B5" w14:paraId="1446EE6D" w14:textId="77777777">
        <w:trPr>
          <w:tblCellSpacing w:w="0" w:type="dxa"/>
        </w:trPr>
        <w:tc>
          <w:tcPr>
            <w:tcW w:w="0" w:type="auto"/>
            <w:shd w:val="clear" w:color="auto" w:fill="auto"/>
          </w:tcPr>
          <w:p w14:paraId="1446EE6B"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6C"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Headcount was </w:t>
            </w:r>
            <w:r>
              <w:rPr>
                <w:rFonts w:ascii="Times New Roman" w:eastAsia="宋体" w:hAnsi="Times New Roman"/>
                <w:sz w:val="20"/>
                <w:szCs w:val="20"/>
              </w:rPr>
              <w:t>48,268 as of March 31, 2020, an increase of 28% year-over-year.</w:t>
            </w:r>
          </w:p>
        </w:tc>
      </w:tr>
    </w:tbl>
    <w:p w14:paraId="1446EE6E" w14:textId="77777777" w:rsidR="00FE42B5" w:rsidRDefault="00FE42B5">
      <w:pPr>
        <w:spacing w:line="288" w:lineRule="auto"/>
        <w:ind w:firstLine="720"/>
        <w:jc w:val="both"/>
        <w:rPr>
          <w:rFonts w:ascii="Times New Roman" w:hAnsi="Times New Roman"/>
          <w:sz w:val="20"/>
          <w:szCs w:val="20"/>
        </w:rPr>
      </w:pPr>
    </w:p>
    <w:p w14:paraId="1446EE6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the first quarter of 2020, we continued to focus on our main revenue growth priorities: (i) helping marketers use our products to connect with consumers where they are and (ii) making our</w:t>
      </w:r>
      <w:r>
        <w:rPr>
          <w:rFonts w:ascii="Times New Roman" w:eastAsia="宋体" w:hAnsi="Times New Roman"/>
          <w:sz w:val="20"/>
          <w:szCs w:val="20"/>
        </w:rPr>
        <w:t xml:space="preserve"> ads more relevant and effective.</w:t>
      </w:r>
    </w:p>
    <w:p w14:paraId="1446EE70" w14:textId="77777777" w:rsidR="00FE42B5" w:rsidRDefault="00FE42B5">
      <w:pPr>
        <w:spacing w:line="288" w:lineRule="auto"/>
        <w:ind w:firstLine="720"/>
        <w:jc w:val="both"/>
        <w:rPr>
          <w:rFonts w:ascii="Times New Roman" w:hAnsi="Times New Roman"/>
          <w:sz w:val="20"/>
          <w:szCs w:val="20"/>
        </w:rPr>
      </w:pPr>
    </w:p>
    <w:p w14:paraId="1446EE7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response to the COVID-19 pandemic, we have focused on helping people stay connected, assisting the public health response, and working on the economic recovery. We have also continued to invest based on the following c</w:t>
      </w:r>
      <w:r>
        <w:rPr>
          <w:rFonts w:ascii="Times New Roman" w:eastAsia="宋体" w:hAnsi="Times New Roman"/>
          <w:sz w:val="20"/>
          <w:szCs w:val="20"/>
        </w:rPr>
        <w:t>ompany priorities that we believe will further our mission to give people the power to build community and bring the world closer together: (i) continue making progress on the major social issues facing the internet and our company, including privacy, safe</w:t>
      </w:r>
      <w:r>
        <w:rPr>
          <w:rFonts w:ascii="Times New Roman" w:eastAsia="宋体" w:hAnsi="Times New Roman"/>
          <w:sz w:val="20"/>
          <w:szCs w:val="20"/>
        </w:rPr>
        <w:t>ty, and security; (ii) build new experiences that meaningfully improve people's lives today and set the stage for even bigger improvements in the future; (iii) keep building our business by supporting the millions of businesses that rely on our services to</w:t>
      </w:r>
      <w:r>
        <w:rPr>
          <w:rFonts w:ascii="Times New Roman" w:eastAsia="宋体" w:hAnsi="Times New Roman"/>
          <w:sz w:val="20"/>
          <w:szCs w:val="20"/>
        </w:rPr>
        <w:t xml:space="preserve"> grow and create jobs; and (iv) communicate more transparently about what we're doing and the role our services play in the world. </w:t>
      </w:r>
    </w:p>
    <w:p w14:paraId="1446EE72" w14:textId="77777777" w:rsidR="00FE42B5" w:rsidRDefault="00FE42B5">
      <w:pPr>
        <w:spacing w:line="288" w:lineRule="auto"/>
        <w:ind w:firstLine="720"/>
        <w:jc w:val="both"/>
        <w:rPr>
          <w:rFonts w:ascii="Times New Roman" w:hAnsi="Times New Roman"/>
          <w:sz w:val="20"/>
          <w:szCs w:val="20"/>
        </w:rPr>
      </w:pPr>
    </w:p>
    <w:p w14:paraId="1446EE73" w14:textId="77777777" w:rsidR="00FE42B5" w:rsidRDefault="00FE42B5">
      <w:pPr>
        <w:rPr>
          <w:rFonts w:ascii="Times New Roman" w:hAnsi="Times New Roman"/>
          <w:sz w:val="20"/>
          <w:szCs w:val="20"/>
        </w:rPr>
      </w:pPr>
    </w:p>
    <w:p w14:paraId="1446EE74"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28</w:t>
      </w:r>
    </w:p>
    <w:p w14:paraId="1446EE75" w14:textId="77777777" w:rsidR="00FE42B5" w:rsidRDefault="009213DC">
      <w:r>
        <w:rPr>
          <w:rFonts w:ascii="Times New Roman" w:hAnsi="Times New Roman"/>
          <w:sz w:val="20"/>
          <w:szCs w:val="20"/>
        </w:rPr>
        <w:pict w14:anchorId="1446FAD4">
          <v:rect id="_x0000_i1052" style="width:415.3pt;height:1.5pt" o:hralign="center" o:hrstd="t" o:hr="t" fillcolor="#a0a0a0" stroked="f"/>
        </w:pict>
      </w:r>
    </w:p>
    <w:p w14:paraId="1446EE76" w14:textId="77777777" w:rsidR="00FE42B5" w:rsidRDefault="009213DC">
      <w:pPr>
        <w:spacing w:line="288" w:lineRule="auto"/>
        <w:rPr>
          <w:rFonts w:ascii="Times New Roman" w:hAnsi="Times New Roman"/>
          <w:sz w:val="20"/>
          <w:szCs w:val="20"/>
        </w:rPr>
      </w:pPr>
      <w:hyperlink r:id="rId68" w:anchor="sBB4BED1571A45A16AF3DC2E3B69C901C" w:history="1">
        <w:r>
          <w:rPr>
            <w:rStyle w:val="a5"/>
            <w:rFonts w:ascii="Times New Roman" w:eastAsia="宋体" w:hAnsi="Times New Roman"/>
            <w:sz w:val="20"/>
            <w:szCs w:val="20"/>
          </w:rPr>
          <w:t>Table of Contents</w:t>
        </w:r>
      </w:hyperlink>
    </w:p>
    <w:p w14:paraId="1446EE77" w14:textId="77777777" w:rsidR="00FE42B5" w:rsidRDefault="00FE42B5">
      <w:pPr>
        <w:rPr>
          <w:rFonts w:ascii="Times New Roman" w:hAnsi="Times New Roman"/>
          <w:sz w:val="20"/>
          <w:szCs w:val="20"/>
        </w:rPr>
      </w:pPr>
    </w:p>
    <w:p w14:paraId="1446EE7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business has been impacted by the COVID-19 pandemic, which has resulted in autho</w:t>
      </w:r>
      <w:r>
        <w:rPr>
          <w:rFonts w:ascii="Times New Roman" w:eastAsia="宋体" w:hAnsi="Times New Roman"/>
          <w:sz w:val="20"/>
          <w:szCs w:val="20"/>
        </w:rPr>
        <w:t>rities implementing numerous preventative measures to contain or mitigate the outbreak of the virus, such as travel bans and restrictions, limitations on business activity, quarantines, and shelter-in-place orders. These measures have caused, and are conti</w:t>
      </w:r>
      <w:r>
        <w:rPr>
          <w:rFonts w:ascii="Times New Roman" w:eastAsia="宋体" w:hAnsi="Times New Roman"/>
          <w:sz w:val="20"/>
          <w:szCs w:val="20"/>
        </w:rPr>
        <w:t>nuing to cause, business slowdowns or shutdowns in affected areas, both regionally and worldwide, which have significantly impacted our business and results of operations. We have seen a significant increase in the size of our user base and user engagement</w:t>
      </w:r>
      <w:r>
        <w:rPr>
          <w:rFonts w:ascii="Times New Roman" w:eastAsia="宋体" w:hAnsi="Times New Roman"/>
          <w:sz w:val="20"/>
          <w:szCs w:val="20"/>
        </w:rPr>
        <w:t xml:space="preserve"> as a result of these preventative measures. At the same time, we experienced a significant reduction in the demand for advertising, as well as a related decline in the pricing of our ads, over the last three weeks of the first quarter of 2020. After the i</w:t>
      </w:r>
      <w:r>
        <w:rPr>
          <w:rFonts w:ascii="Times New Roman" w:eastAsia="宋体" w:hAnsi="Times New Roman"/>
          <w:sz w:val="20"/>
          <w:szCs w:val="20"/>
        </w:rPr>
        <w:t>nitial steep decrease in our advertising revenue growth rates in March compared to earlier in the first quarter of 2020, we have seen signs of stability reflected in the first three weeks of April, where advertising revenue has been approximately flat comp</w:t>
      </w:r>
      <w:r>
        <w:rPr>
          <w:rFonts w:ascii="Times New Roman" w:eastAsia="宋体" w:hAnsi="Times New Roman"/>
          <w:sz w:val="20"/>
          <w:szCs w:val="20"/>
        </w:rPr>
        <w:t>ared to the same period a year ago, down from the 17% year-over-year growth in the first quarter of 2020. We expect that we will lose at least some of the increased user engagement when various shelter-in-place restrictions are relaxed in the future. In ad</w:t>
      </w:r>
      <w:r>
        <w:rPr>
          <w:rFonts w:ascii="Times New Roman" w:eastAsia="宋体" w:hAnsi="Times New Roman"/>
          <w:sz w:val="20"/>
          <w:szCs w:val="20"/>
        </w:rPr>
        <w:t>dition, the demand for and pricing of our advertising services, as well as our overall results of operations, may be materially and adversely impacted by the pandemic for the duration of 2020 or longer, and we are unable to predict the duration or degree o</w:t>
      </w:r>
      <w:r>
        <w:rPr>
          <w:rFonts w:ascii="Times New Roman" w:eastAsia="宋体" w:hAnsi="Times New Roman"/>
          <w:sz w:val="20"/>
          <w:szCs w:val="20"/>
        </w:rPr>
        <w:t>f such impact with any certainty. We also intend to continue to invest in our business based on our company priorities, and we anticipate that additional investments in our data center capacity, network infrastructure, and office facilities, as well as sca</w:t>
      </w:r>
      <w:r>
        <w:rPr>
          <w:rFonts w:ascii="Times New Roman" w:eastAsia="宋体" w:hAnsi="Times New Roman"/>
          <w:sz w:val="20"/>
          <w:szCs w:val="20"/>
        </w:rPr>
        <w:t>ling our headcount to support our growth and certain initiatives related to the COVID-19 pandemic, will continue to drive expense growth in 2020.</w:t>
      </w:r>
    </w:p>
    <w:p w14:paraId="1446EE79" w14:textId="77777777" w:rsidR="00FE42B5" w:rsidRDefault="00FE42B5">
      <w:pPr>
        <w:rPr>
          <w:rFonts w:ascii="Times New Roman" w:hAnsi="Times New Roman"/>
          <w:sz w:val="20"/>
          <w:szCs w:val="20"/>
        </w:rPr>
      </w:pPr>
    </w:p>
    <w:p w14:paraId="1446EE7A"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29</w:t>
      </w:r>
    </w:p>
    <w:p w14:paraId="1446EE7B" w14:textId="77777777" w:rsidR="00FE42B5" w:rsidRDefault="009213DC">
      <w:r>
        <w:rPr>
          <w:rFonts w:ascii="Times New Roman" w:hAnsi="Times New Roman"/>
          <w:sz w:val="20"/>
          <w:szCs w:val="20"/>
        </w:rPr>
        <w:pict w14:anchorId="1446FAD5">
          <v:rect id="_x0000_i1053" style="width:415.3pt;height:1.5pt" o:hralign="center" o:hrstd="t" o:hr="t" fillcolor="#a0a0a0" stroked="f"/>
        </w:pict>
      </w:r>
    </w:p>
    <w:p w14:paraId="1446EE7C" w14:textId="77777777" w:rsidR="00FE42B5" w:rsidRDefault="009213DC">
      <w:pPr>
        <w:spacing w:line="288" w:lineRule="auto"/>
        <w:rPr>
          <w:rFonts w:ascii="Times New Roman" w:hAnsi="Times New Roman"/>
          <w:sz w:val="20"/>
          <w:szCs w:val="20"/>
        </w:rPr>
      </w:pPr>
      <w:hyperlink r:id="rId69" w:anchor="sBB4BED1571A45A16AF3DC2E3B69C901C" w:history="1">
        <w:r>
          <w:rPr>
            <w:rStyle w:val="a5"/>
            <w:rFonts w:ascii="Times New Roman" w:eastAsia="宋体" w:hAnsi="Times New Roman"/>
            <w:sz w:val="20"/>
            <w:szCs w:val="20"/>
          </w:rPr>
          <w:t>Table of Contents</w:t>
        </w:r>
      </w:hyperlink>
    </w:p>
    <w:p w14:paraId="1446EE7D" w14:textId="77777777" w:rsidR="00FE42B5" w:rsidRDefault="00FE42B5">
      <w:pPr>
        <w:rPr>
          <w:rFonts w:ascii="Times New Roman" w:hAnsi="Times New Roman"/>
          <w:sz w:val="20"/>
          <w:szCs w:val="20"/>
        </w:rPr>
      </w:pPr>
    </w:p>
    <w:p w14:paraId="1446EE7E"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Trends in Our Facebook User Metrics</w:t>
      </w:r>
    </w:p>
    <w:p w14:paraId="1446EE7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for our key Facebook metrics, our DAUs, MAUs, and average revenue per user (ARPU), do not include users on Instagram, WhatsApp, or our other</w:t>
      </w:r>
      <w:r>
        <w:rPr>
          <w:rFonts w:ascii="Times New Roman" w:eastAsia="宋体" w:hAnsi="Times New Roman"/>
          <w:sz w:val="20"/>
          <w:szCs w:val="20"/>
        </w:rPr>
        <w:t xml:space="preserve"> products, unless they would otherwise qualify as DAUs or MAUs, respectively, based on their other activities on Facebook.</w:t>
      </w:r>
    </w:p>
    <w:p w14:paraId="1446EE8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Trends in the number of users affect our revenue and financial results by influencing the number of ads we are able to show, the valu</w:t>
      </w:r>
      <w:r>
        <w:rPr>
          <w:rFonts w:ascii="Times New Roman" w:eastAsia="宋体" w:hAnsi="Times New Roman"/>
          <w:sz w:val="20"/>
          <w:szCs w:val="20"/>
        </w:rPr>
        <w:t>e of our ads to marketers, the volume of Payments transactions, as well as our expenses and capital expenditures. Substantially all of our daily and monthly active users (as defined below) access Facebook on mobile devices.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E42B5" w14:paraId="1446EE83" w14:textId="77777777">
        <w:trPr>
          <w:tblCellSpacing w:w="0" w:type="dxa"/>
        </w:trPr>
        <w:tc>
          <w:tcPr>
            <w:tcW w:w="960" w:type="dxa"/>
            <w:shd w:val="clear" w:color="auto" w:fill="auto"/>
            <w:vAlign w:val="center"/>
          </w:tcPr>
          <w:p w14:paraId="1446EE81" w14:textId="77777777" w:rsidR="00FE42B5" w:rsidRDefault="00FE42B5">
            <w:pPr>
              <w:rPr>
                <w:rFonts w:ascii="Times New Roman" w:hAnsi="Times New Roman"/>
                <w:sz w:val="20"/>
                <w:szCs w:val="20"/>
              </w:rPr>
            </w:pPr>
          </w:p>
        </w:tc>
        <w:tc>
          <w:tcPr>
            <w:tcW w:w="0" w:type="auto"/>
            <w:shd w:val="clear" w:color="auto" w:fill="auto"/>
            <w:vAlign w:val="center"/>
          </w:tcPr>
          <w:p w14:paraId="1446EE82" w14:textId="77777777" w:rsidR="00FE42B5" w:rsidRDefault="00FE42B5">
            <w:pPr>
              <w:rPr>
                <w:rFonts w:ascii="Times New Roman" w:hAnsi="Times New Roman"/>
                <w:sz w:val="20"/>
                <w:szCs w:val="20"/>
              </w:rPr>
            </w:pPr>
          </w:p>
        </w:tc>
      </w:tr>
      <w:tr w:rsidR="00FE42B5" w14:paraId="1446EE86" w14:textId="77777777">
        <w:trPr>
          <w:tblCellSpacing w:w="0" w:type="dxa"/>
        </w:trPr>
        <w:tc>
          <w:tcPr>
            <w:tcW w:w="0" w:type="auto"/>
            <w:shd w:val="clear" w:color="auto" w:fill="auto"/>
          </w:tcPr>
          <w:p w14:paraId="1446EE8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EE85"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 xml:space="preserve">Daily Active Users </w:t>
            </w:r>
            <w:r>
              <w:rPr>
                <w:rFonts w:ascii="Times New Roman" w:eastAsia="宋体" w:hAnsi="Times New Roman"/>
                <w:b/>
                <w:bCs/>
                <w:i/>
                <w:iCs/>
                <w:sz w:val="20"/>
                <w:szCs w:val="20"/>
              </w:rPr>
              <w:t>(DAUs)</w:t>
            </w:r>
            <w:r>
              <w:rPr>
                <w:rFonts w:ascii="Times New Roman" w:eastAsia="宋体" w:hAnsi="Times New Roman"/>
                <w:sz w:val="20"/>
                <w:szCs w:val="20"/>
              </w:rPr>
              <w:t>. We define a daily active user as a registered and logged-in Facebook user who visited Facebook through our website or a mobile device, or used our Messenger application (and is also a registered Facebook user), on a given day. We view DAUs, and DAU</w:t>
            </w:r>
            <w:r>
              <w:rPr>
                <w:rFonts w:ascii="Times New Roman" w:eastAsia="宋体" w:hAnsi="Times New Roman"/>
                <w:sz w:val="20"/>
                <w:szCs w:val="20"/>
              </w:rPr>
              <w:t>s as a percentage of MAUs, as measures of user engagement on Facebook.</w:t>
            </w:r>
          </w:p>
        </w:tc>
      </w:tr>
    </w:tbl>
    <w:p w14:paraId="1446EE87"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Viewer11_files/daua09.jpg"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1446FAD6" wp14:editId="1446FAD7">
            <wp:extent cx="304800" cy="304800"/>
            <wp:effectExtent l="0" t="0" r="0" b="0"/>
            <wp:docPr id="47"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descr="IMG_256"/>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1446EE88" w14:textId="77777777" w:rsidR="00FE42B5" w:rsidRDefault="00FE42B5">
      <w:pPr>
        <w:spacing w:line="288" w:lineRule="auto"/>
        <w:rPr>
          <w:rFonts w:ascii="Times New Roman" w:hAnsi="Times New Roman"/>
          <w:sz w:val="16"/>
          <w:szCs w:val="16"/>
        </w:rPr>
      </w:pPr>
    </w:p>
    <w:p w14:paraId="1446EE89" w14:textId="77777777" w:rsidR="00FE42B5" w:rsidRDefault="009213DC">
      <w:pPr>
        <w:spacing w:line="288" w:lineRule="auto"/>
        <w:rPr>
          <w:rFonts w:ascii="Times New Roman" w:hAnsi="Times New Roman"/>
          <w:sz w:val="16"/>
          <w:szCs w:val="16"/>
        </w:rPr>
      </w:pPr>
      <w:r>
        <w:rPr>
          <w:rFonts w:ascii="Times New Roman" w:eastAsia="宋体" w:hAnsi="Times New Roman"/>
          <w:i/>
          <w:iCs/>
          <w:sz w:val="16"/>
          <w:szCs w:val="16"/>
        </w:rPr>
        <w:t>Note: For purposes of reporting DAUs,</w:t>
      </w:r>
      <w:r>
        <w:rPr>
          <w:rFonts w:ascii="Times New Roman" w:eastAsia="宋体" w:hAnsi="Times New Roman"/>
          <w:i/>
          <w:iCs/>
          <w:sz w:val="16"/>
          <w:szCs w:val="16"/>
        </w:rPr>
        <w:t xml:space="preserve"> MAUs, and ARPU by geographic region, Europe includes all users in Russia and Turkey and Rest of World includes all users in Africa, Latin America, and the Middle East. </w:t>
      </w:r>
    </w:p>
    <w:p w14:paraId="1446EE8A" w14:textId="77777777" w:rsidR="00FE42B5" w:rsidRDefault="00FE42B5">
      <w:pPr>
        <w:spacing w:line="288" w:lineRule="auto"/>
        <w:rPr>
          <w:rFonts w:ascii="Times New Roman" w:hAnsi="Times New Roman"/>
          <w:sz w:val="16"/>
          <w:szCs w:val="16"/>
        </w:rPr>
      </w:pPr>
    </w:p>
    <w:p w14:paraId="1446EE8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Worldwide DAUs increased 11% to 1.73 billion on average during March 2020 from 1.56 billion during March 2019. Users in India, Indonesia, and the Philippines represented key sources of growth in DAUs during March 2020, relative to the same period in 2019. </w:t>
      </w:r>
    </w:p>
    <w:p w14:paraId="1446EE8C" w14:textId="77777777" w:rsidR="00FE42B5" w:rsidRDefault="00FE42B5">
      <w:pPr>
        <w:rPr>
          <w:rFonts w:ascii="Times New Roman" w:hAnsi="Times New Roman"/>
          <w:sz w:val="20"/>
          <w:szCs w:val="20"/>
        </w:rPr>
      </w:pPr>
    </w:p>
    <w:p w14:paraId="1446EE8D"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30</w:t>
      </w:r>
    </w:p>
    <w:p w14:paraId="1446EE8E" w14:textId="77777777" w:rsidR="00FE42B5" w:rsidRDefault="009213DC">
      <w:r>
        <w:rPr>
          <w:rFonts w:ascii="Times New Roman" w:hAnsi="Times New Roman"/>
          <w:sz w:val="20"/>
          <w:szCs w:val="20"/>
        </w:rPr>
        <w:pict w14:anchorId="1446FAD8">
          <v:rect id="_x0000_i1054" style="width:415.3pt;height:1.5pt" o:hralign="center" o:hrstd="t" o:hr="t" fillcolor="#a0a0a0" stroked="f"/>
        </w:pict>
      </w:r>
    </w:p>
    <w:p w14:paraId="1446EE8F" w14:textId="77777777" w:rsidR="00FE42B5" w:rsidRDefault="009213DC">
      <w:pPr>
        <w:spacing w:line="288" w:lineRule="auto"/>
        <w:rPr>
          <w:rFonts w:ascii="Times New Roman" w:hAnsi="Times New Roman"/>
          <w:sz w:val="20"/>
          <w:szCs w:val="20"/>
        </w:rPr>
      </w:pPr>
      <w:hyperlink r:id="rId71" w:anchor="sBB4BED1571A45A16AF3DC2E3B69C901C" w:history="1">
        <w:r>
          <w:rPr>
            <w:rStyle w:val="a5"/>
            <w:rFonts w:ascii="Times New Roman" w:eastAsia="宋体" w:hAnsi="Times New Roman"/>
            <w:sz w:val="20"/>
            <w:szCs w:val="20"/>
          </w:rPr>
          <w:t>Table of Contents</w:t>
        </w:r>
      </w:hyperlink>
    </w:p>
    <w:p w14:paraId="1446EE90"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E42B5" w14:paraId="1446EE93" w14:textId="77777777">
        <w:trPr>
          <w:tblCellSpacing w:w="0" w:type="dxa"/>
        </w:trPr>
        <w:tc>
          <w:tcPr>
            <w:tcW w:w="960" w:type="dxa"/>
            <w:shd w:val="clear" w:color="auto" w:fill="auto"/>
            <w:vAlign w:val="center"/>
          </w:tcPr>
          <w:p w14:paraId="1446EE91" w14:textId="77777777" w:rsidR="00FE42B5" w:rsidRDefault="00FE42B5">
            <w:pPr>
              <w:rPr>
                <w:rFonts w:ascii="Times New Roman" w:hAnsi="Times New Roman"/>
                <w:sz w:val="20"/>
                <w:szCs w:val="20"/>
              </w:rPr>
            </w:pPr>
          </w:p>
        </w:tc>
        <w:tc>
          <w:tcPr>
            <w:tcW w:w="0" w:type="auto"/>
            <w:shd w:val="clear" w:color="auto" w:fill="auto"/>
            <w:vAlign w:val="center"/>
          </w:tcPr>
          <w:p w14:paraId="1446EE92" w14:textId="77777777" w:rsidR="00FE42B5" w:rsidRDefault="00FE42B5">
            <w:pPr>
              <w:rPr>
                <w:rFonts w:ascii="Times New Roman" w:hAnsi="Times New Roman"/>
                <w:sz w:val="20"/>
                <w:szCs w:val="20"/>
              </w:rPr>
            </w:pPr>
          </w:p>
        </w:tc>
      </w:tr>
      <w:tr w:rsidR="00FE42B5" w14:paraId="1446EE96" w14:textId="77777777">
        <w:trPr>
          <w:tblCellSpacing w:w="0" w:type="dxa"/>
        </w:trPr>
        <w:tc>
          <w:tcPr>
            <w:tcW w:w="0" w:type="auto"/>
            <w:shd w:val="clear" w:color="auto" w:fill="auto"/>
          </w:tcPr>
          <w:p w14:paraId="1446EE9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1446EE95"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Monthly Active Users (MAUs)</w:t>
            </w:r>
            <w:r>
              <w:rPr>
                <w:rFonts w:ascii="Times New Roman" w:eastAsia="宋体" w:hAnsi="Times New Roman"/>
                <w:sz w:val="20"/>
                <w:szCs w:val="20"/>
              </w:rPr>
              <w:t>.</w:t>
            </w:r>
            <w:r>
              <w:rPr>
                <w:rFonts w:ascii="Times New Roman" w:eastAsia="宋体" w:hAnsi="Times New Roman"/>
                <w:b/>
                <w:bCs/>
                <w:i/>
                <w:iCs/>
                <w:sz w:val="20"/>
                <w:szCs w:val="20"/>
              </w:rPr>
              <w:t xml:space="preserve"> </w:t>
            </w:r>
            <w:r>
              <w:rPr>
                <w:rFonts w:ascii="Times New Roman" w:eastAsia="宋体" w:hAnsi="Times New Roman"/>
                <w:sz w:val="20"/>
                <w:szCs w:val="20"/>
              </w:rPr>
              <w:t xml:space="preserve">We define a monthly active user as a </w:t>
            </w:r>
            <w:r>
              <w:rPr>
                <w:rFonts w:ascii="Times New Roman" w:eastAsia="宋体" w:hAnsi="Times New Roman"/>
                <w:sz w:val="20"/>
                <w:szCs w:val="20"/>
              </w:rPr>
              <w:t>registered and logged-in Facebook user who visited Facebook through our website or a mobile device, or used our Messenger application (and is also a registered Facebook user), in the last 30 days as of the date of measurement. MAUs are a measure of the siz</w:t>
            </w:r>
            <w:r>
              <w:rPr>
                <w:rFonts w:ascii="Times New Roman" w:eastAsia="宋体" w:hAnsi="Times New Roman"/>
                <w:sz w:val="20"/>
                <w:szCs w:val="20"/>
              </w:rPr>
              <w:t>e of our global active user community on Facebook.</w:t>
            </w:r>
          </w:p>
        </w:tc>
      </w:tr>
    </w:tbl>
    <w:p w14:paraId="1446EE97" w14:textId="77777777" w:rsidR="00FE42B5" w:rsidRDefault="009213DC">
      <w:pPr>
        <w:spacing w:line="288" w:lineRule="auto"/>
        <w:ind w:firstLine="720"/>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Viewer11_files/maujpeg.jpg"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1446FAD9" wp14:editId="1446FADA">
            <wp:extent cx="304800" cy="304800"/>
            <wp:effectExtent l="0" t="0" r="0" b="0"/>
            <wp:docPr id="48" name="图片 6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5" descr="IMG_257"/>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1446EE9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As of March 31, 2020, we had 2.60 billion MAUs, an increa</w:t>
      </w:r>
      <w:r>
        <w:rPr>
          <w:rFonts w:ascii="Times New Roman" w:eastAsia="宋体" w:hAnsi="Times New Roman"/>
          <w:sz w:val="20"/>
          <w:szCs w:val="20"/>
        </w:rPr>
        <w:t>se of 10% from March 31, 2019. Users in India, Indonesia, and the Philippines represented key sources of growth in the first quarter of 2020, relative to the same period in 2019.</w:t>
      </w:r>
    </w:p>
    <w:p w14:paraId="1446EE99" w14:textId="77777777" w:rsidR="00FE42B5" w:rsidRDefault="00FE42B5">
      <w:pPr>
        <w:rPr>
          <w:rFonts w:ascii="Times New Roman" w:hAnsi="Times New Roman"/>
          <w:sz w:val="20"/>
          <w:szCs w:val="20"/>
        </w:rPr>
      </w:pPr>
    </w:p>
    <w:p w14:paraId="1446EE9A"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31</w:t>
      </w:r>
    </w:p>
    <w:p w14:paraId="1446EE9B" w14:textId="77777777" w:rsidR="00FE42B5" w:rsidRDefault="009213DC">
      <w:r>
        <w:rPr>
          <w:rFonts w:ascii="Times New Roman" w:hAnsi="Times New Roman"/>
          <w:sz w:val="20"/>
          <w:szCs w:val="20"/>
        </w:rPr>
        <w:pict w14:anchorId="1446FADB">
          <v:rect id="_x0000_i1055" style="width:415.3pt;height:1.5pt" o:hralign="center" o:hrstd="t" o:hr="t" fillcolor="#a0a0a0" stroked="f"/>
        </w:pict>
      </w:r>
    </w:p>
    <w:p w14:paraId="1446EE9C" w14:textId="77777777" w:rsidR="00FE42B5" w:rsidRDefault="009213DC">
      <w:pPr>
        <w:spacing w:line="288" w:lineRule="auto"/>
        <w:rPr>
          <w:rFonts w:ascii="Times New Roman" w:hAnsi="Times New Roman"/>
          <w:sz w:val="20"/>
          <w:szCs w:val="20"/>
        </w:rPr>
      </w:pPr>
      <w:hyperlink r:id="rId72" w:anchor="sBB4BED1571A45A16AF3DC2E3B69C901C" w:history="1">
        <w:r>
          <w:rPr>
            <w:rStyle w:val="a5"/>
            <w:rFonts w:ascii="Times New Roman" w:eastAsia="宋体" w:hAnsi="Times New Roman"/>
            <w:sz w:val="20"/>
            <w:szCs w:val="20"/>
          </w:rPr>
          <w:t>Table of Contents</w:t>
        </w:r>
      </w:hyperlink>
    </w:p>
    <w:p w14:paraId="1446EE9D" w14:textId="77777777" w:rsidR="00FE42B5" w:rsidRDefault="00FE42B5">
      <w:pPr>
        <w:rPr>
          <w:rFonts w:ascii="Times New Roman" w:hAnsi="Times New Roman"/>
          <w:sz w:val="20"/>
          <w:szCs w:val="20"/>
        </w:rPr>
      </w:pPr>
    </w:p>
    <w:p w14:paraId="1446EE9E"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 xml:space="preserve">Trends in Our Monetization by Facebook User Geography </w:t>
      </w:r>
    </w:p>
    <w:p w14:paraId="1446EE9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calculate our </w:t>
      </w:r>
      <w:r>
        <w:rPr>
          <w:rFonts w:ascii="Times New Roman" w:eastAsia="宋体" w:hAnsi="Times New Roman"/>
          <w:sz w:val="20"/>
          <w:szCs w:val="20"/>
        </w:rPr>
        <w:t>revenue by Facebook user geography based on our estimate of the geography in which ad impressions are delivered, virtual and digital goods are purchased, or consumer hardware devices are shipped. We define ARPU as our total revenue in a given geography dur</w:t>
      </w:r>
      <w:r>
        <w:rPr>
          <w:rFonts w:ascii="Times New Roman" w:eastAsia="宋体" w:hAnsi="Times New Roman"/>
          <w:sz w:val="20"/>
          <w:szCs w:val="20"/>
        </w:rPr>
        <w:t>ing a given quarter, divided by the average of the number of MAUs in the geography at the beginning and end of the quarter. While ARPU includes all sources of revenue, the number of MAUs used in this calculation only includes users of Facebook and Messenge</w:t>
      </w:r>
      <w:r>
        <w:rPr>
          <w:rFonts w:ascii="Times New Roman" w:eastAsia="宋体" w:hAnsi="Times New Roman"/>
          <w:sz w:val="20"/>
          <w:szCs w:val="20"/>
        </w:rPr>
        <w:t>r as described in the definition of MAU above. The share of revenue from users who are not also Facebook or Messenger MAUs was not material. The geography of our users affects our revenue and financial results because we currently monetize users in differe</w:t>
      </w:r>
      <w:r>
        <w:rPr>
          <w:rFonts w:ascii="Times New Roman" w:eastAsia="宋体" w:hAnsi="Times New Roman"/>
          <w:sz w:val="20"/>
          <w:szCs w:val="20"/>
        </w:rPr>
        <w:t>nt geographies at different average rates. Our revenue and ARPU in regions such as United States &amp; Canada and Europe are relatively higher primarily due to the size and maturity of those online and mobile advertising markets. For example, ARPU in the first</w:t>
      </w:r>
      <w:r>
        <w:rPr>
          <w:rFonts w:ascii="Times New Roman" w:eastAsia="宋体" w:hAnsi="Times New Roman"/>
          <w:sz w:val="20"/>
          <w:szCs w:val="20"/>
        </w:rPr>
        <w:t xml:space="preserve"> quarter of 2020 in the United States &amp; Canada region was more than 11 times higher than in the Asia-Pacific region.</w:t>
      </w:r>
    </w:p>
    <w:p w14:paraId="1446EEA0"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/Meta Platforms/./Inline XBRL Viewer11_files/revenuea03.jpg" \* MERGEFORMA</w:instrText>
      </w:r>
      <w:r>
        <w:rPr>
          <w:rFonts w:ascii="Times New Roman" w:eastAsia="宋体" w:hAnsi="Times New Roman"/>
          <w:sz w:val="20"/>
          <w:szCs w:val="20"/>
        </w:rPr>
        <w:instrText xml:space="preserve">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1446FADC" wp14:editId="1446FADD">
            <wp:extent cx="304800" cy="304800"/>
            <wp:effectExtent l="0" t="0" r="0" b="0"/>
            <wp:docPr id="46" name="图片 6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7" descr="IMG_258"/>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1446EEA1"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Viewer11_files/adrevenueandotherrevenuea02.jpg"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1446FADE" wp14:editId="1446FADF">
            <wp:extent cx="304800" cy="304800"/>
            <wp:effectExtent l="0" t="0" r="0" b="0"/>
            <wp:docPr id="5" name="图片 6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8" descr="IMG_259"/>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1446EEA2" w14:textId="77777777" w:rsidR="00FE42B5" w:rsidRDefault="009213DC">
      <w:pPr>
        <w:spacing w:line="288" w:lineRule="auto"/>
        <w:jc w:val="both"/>
        <w:rPr>
          <w:rFonts w:ascii="Times New Roman" w:hAnsi="Times New Roman"/>
          <w:sz w:val="16"/>
          <w:szCs w:val="16"/>
        </w:rPr>
      </w:pPr>
      <w:r>
        <w:rPr>
          <w:rFonts w:ascii="Times New Roman" w:eastAsia="宋体" w:hAnsi="Times New Roman"/>
          <w:i/>
          <w:iCs/>
          <w:sz w:val="16"/>
          <w:szCs w:val="16"/>
        </w:rPr>
        <w:t>Note: Our revenue by Facebook user geography in the charts above is geographic</w:t>
      </w:r>
      <w:r>
        <w:rPr>
          <w:rFonts w:ascii="Times New Roman" w:eastAsia="宋体" w:hAnsi="Times New Roman"/>
          <w:i/>
          <w:iCs/>
          <w:sz w:val="16"/>
          <w:szCs w:val="16"/>
        </w:rPr>
        <w:t>ally apportioned based on our estimation of the geographic location of our Facebook users when they perform a revenue-generating activity. This allocation differs from our revenue disaggregated by geography disclosure in our condensed consolidated financia</w:t>
      </w:r>
      <w:r>
        <w:rPr>
          <w:rFonts w:ascii="Times New Roman" w:eastAsia="宋体" w:hAnsi="Times New Roman"/>
          <w:i/>
          <w:iCs/>
          <w:sz w:val="16"/>
          <w:szCs w:val="16"/>
        </w:rPr>
        <w:t>l statements where revenue is geographically apportioned based on the billing address of the customer.</w:t>
      </w:r>
    </w:p>
    <w:p w14:paraId="1446EEA3" w14:textId="77777777" w:rsidR="00FE42B5" w:rsidRDefault="00FE42B5">
      <w:pPr>
        <w:rPr>
          <w:rFonts w:ascii="Times New Roman" w:hAnsi="Times New Roman"/>
          <w:sz w:val="20"/>
          <w:szCs w:val="20"/>
        </w:rPr>
      </w:pPr>
    </w:p>
    <w:p w14:paraId="1446EEA4"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32</w:t>
      </w:r>
    </w:p>
    <w:p w14:paraId="1446EEA5" w14:textId="77777777" w:rsidR="00FE42B5" w:rsidRDefault="009213DC">
      <w:r>
        <w:rPr>
          <w:rFonts w:ascii="Times New Roman" w:hAnsi="Times New Roman"/>
          <w:sz w:val="20"/>
          <w:szCs w:val="20"/>
        </w:rPr>
        <w:pict w14:anchorId="1446FAE0">
          <v:rect id="_x0000_i1056" style="width:415.3pt;height:1.5pt" o:hralign="center" o:hrstd="t" o:hr="t" fillcolor="#a0a0a0" stroked="f"/>
        </w:pict>
      </w:r>
    </w:p>
    <w:p w14:paraId="1446EEA6" w14:textId="77777777" w:rsidR="00FE42B5" w:rsidRDefault="009213DC">
      <w:pPr>
        <w:spacing w:line="288" w:lineRule="auto"/>
        <w:rPr>
          <w:rFonts w:ascii="Times New Roman" w:hAnsi="Times New Roman"/>
          <w:sz w:val="20"/>
          <w:szCs w:val="20"/>
        </w:rPr>
      </w:pPr>
      <w:hyperlink r:id="rId73" w:anchor="sBB4BED1571A45A16AF3DC2E3B69C901C" w:history="1">
        <w:r>
          <w:rPr>
            <w:rStyle w:val="a5"/>
            <w:rFonts w:ascii="Times New Roman" w:eastAsia="宋体" w:hAnsi="Times New Roman"/>
            <w:sz w:val="20"/>
            <w:szCs w:val="20"/>
          </w:rPr>
          <w:t>Table of Contents</w:t>
        </w:r>
      </w:hyperlink>
    </w:p>
    <w:p w14:paraId="1446EEA7" w14:textId="77777777" w:rsidR="00FE42B5" w:rsidRDefault="00FE42B5">
      <w:pPr>
        <w:rPr>
          <w:rFonts w:ascii="Times New Roman" w:hAnsi="Times New Roman"/>
          <w:sz w:val="20"/>
          <w:szCs w:val="20"/>
        </w:rPr>
      </w:pPr>
    </w:p>
    <w:p w14:paraId="1446EEA8" w14:textId="77777777" w:rsidR="00FE42B5" w:rsidRDefault="00FE42B5">
      <w:pPr>
        <w:spacing w:line="288" w:lineRule="auto"/>
        <w:ind w:firstLine="720"/>
        <w:jc w:val="both"/>
        <w:rPr>
          <w:rFonts w:ascii="Times New Roman" w:hAnsi="Times New Roman"/>
          <w:sz w:val="20"/>
          <w:szCs w:val="20"/>
        </w:rPr>
      </w:pPr>
    </w:p>
    <w:p w14:paraId="1446EEA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During the first quarter of 2020, worldwide ARPU was $6.95, an increase of 8% from the first quarter of 2019. Over this period, ARPU increased by 13% in United States &amp; Canada, 11% in Europe, 10% in Asia-Pacific and 5% in Rest of </w:t>
      </w:r>
      <w:r>
        <w:rPr>
          <w:rFonts w:ascii="Times New Roman" w:eastAsia="宋体" w:hAnsi="Times New Roman"/>
          <w:sz w:val="20"/>
          <w:szCs w:val="20"/>
        </w:rPr>
        <w:t xml:space="preserve">World. In addition, user growth was more rapid in geographies with relatively lower ARPU, such as Asia-Pacific and Rest of World. We expect that user growth in the future will be primarily concentrated in those regions where ARPU is relatively lower, such </w:t>
      </w:r>
      <w:r>
        <w:rPr>
          <w:rFonts w:ascii="Times New Roman" w:eastAsia="宋体" w:hAnsi="Times New Roman"/>
          <w:sz w:val="20"/>
          <w:szCs w:val="20"/>
        </w:rPr>
        <w:t>that worldwide ARPU may continue to increase at a slower rate relative to ARPU in any geographic region, or potentially decrease even if ARPU increases in each geographic region.</w:t>
      </w:r>
    </w:p>
    <w:p w14:paraId="1446EEAA" w14:textId="77777777" w:rsidR="00FE42B5" w:rsidRDefault="00FE42B5">
      <w:pPr>
        <w:rPr>
          <w:rFonts w:ascii="Times New Roman" w:hAnsi="Times New Roman"/>
          <w:sz w:val="20"/>
          <w:szCs w:val="20"/>
        </w:rPr>
      </w:pPr>
    </w:p>
    <w:p w14:paraId="1446EEAB"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33</w:t>
      </w:r>
    </w:p>
    <w:p w14:paraId="1446EEAC" w14:textId="77777777" w:rsidR="00FE42B5" w:rsidRDefault="009213DC">
      <w:r>
        <w:rPr>
          <w:rFonts w:ascii="Times New Roman" w:hAnsi="Times New Roman"/>
          <w:sz w:val="20"/>
          <w:szCs w:val="20"/>
        </w:rPr>
        <w:pict w14:anchorId="1446FAE1">
          <v:rect id="_x0000_i1057" style="width:415.3pt;height:1.5pt" o:hralign="center" o:hrstd="t" o:hr="t" fillcolor="#a0a0a0" stroked="f"/>
        </w:pict>
      </w:r>
    </w:p>
    <w:p w14:paraId="1446EEAD" w14:textId="77777777" w:rsidR="00FE42B5" w:rsidRDefault="009213DC">
      <w:pPr>
        <w:spacing w:line="288" w:lineRule="auto"/>
        <w:rPr>
          <w:rFonts w:ascii="Times New Roman" w:hAnsi="Times New Roman"/>
          <w:sz w:val="20"/>
          <w:szCs w:val="20"/>
        </w:rPr>
      </w:pPr>
      <w:hyperlink r:id="rId74" w:anchor="sBB4BED1571A45A16AF3DC2E3B69C901C" w:history="1">
        <w:r>
          <w:rPr>
            <w:rStyle w:val="a5"/>
            <w:rFonts w:ascii="Times New Roman" w:eastAsia="宋体" w:hAnsi="Times New Roman"/>
            <w:sz w:val="20"/>
            <w:szCs w:val="20"/>
          </w:rPr>
          <w:t>Table of Contents</w:t>
        </w:r>
      </w:hyperlink>
    </w:p>
    <w:p w14:paraId="1446EEAE" w14:textId="77777777" w:rsidR="00FE42B5" w:rsidRDefault="00FE42B5">
      <w:pPr>
        <w:rPr>
          <w:rFonts w:ascii="Times New Roman" w:hAnsi="Times New Roman"/>
          <w:sz w:val="20"/>
          <w:szCs w:val="20"/>
        </w:rPr>
      </w:pPr>
    </w:p>
    <w:p w14:paraId="1446EEAF"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Trends in Our Family Metrics</w:t>
      </w:r>
    </w:p>
    <w:p w14:paraId="1446EEB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w:t>
      </w:r>
    </w:p>
    <w:p w14:paraId="1446EEB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for our key Family metrics, our DAP, MAP, and average revenue per person (ARPP), do not include users on our oth</w:t>
      </w:r>
      <w:r>
        <w:rPr>
          <w:rFonts w:ascii="Times New Roman" w:eastAsia="宋体" w:hAnsi="Times New Roman"/>
          <w:sz w:val="20"/>
          <w:szCs w:val="20"/>
        </w:rPr>
        <w:t xml:space="preserve">er products unless they would otherwise qualify as MAP or DAP, respectively, based on their other activities on our Family products. </w:t>
      </w:r>
    </w:p>
    <w:p w14:paraId="1446EEB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w:t>
      </w:r>
    </w:p>
    <w:p w14:paraId="1446EEB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Trends in the number of people in our community affect our revenue and financial results by influencing the number of ad</w:t>
      </w:r>
      <w:r>
        <w:rPr>
          <w:rFonts w:ascii="Times New Roman" w:eastAsia="宋体" w:hAnsi="Times New Roman"/>
          <w:sz w:val="20"/>
          <w:szCs w:val="20"/>
        </w:rPr>
        <w:t>s we are able to show, the value of our ads to marketers, the volume of Payments transactions, as well as our expenses and capital expenditures. Substantially all of our daily and monthly active people (as defined below) access our Family products on mobil</w:t>
      </w:r>
      <w:r>
        <w:rPr>
          <w:rFonts w:ascii="Times New Roman" w:eastAsia="宋体" w:hAnsi="Times New Roman"/>
          <w:sz w:val="20"/>
          <w:szCs w:val="20"/>
        </w:rPr>
        <w:t>e devices.</w:t>
      </w:r>
    </w:p>
    <w:p w14:paraId="1446EEB4" w14:textId="77777777" w:rsidR="00FE42B5" w:rsidRDefault="00FE42B5">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E42B5" w14:paraId="1446EEB7" w14:textId="77777777">
        <w:trPr>
          <w:tblCellSpacing w:w="0" w:type="dxa"/>
        </w:trPr>
        <w:tc>
          <w:tcPr>
            <w:tcW w:w="960" w:type="dxa"/>
            <w:shd w:val="clear" w:color="auto" w:fill="auto"/>
            <w:vAlign w:val="center"/>
          </w:tcPr>
          <w:p w14:paraId="1446EEB5" w14:textId="77777777" w:rsidR="00FE42B5" w:rsidRDefault="00FE42B5">
            <w:pPr>
              <w:rPr>
                <w:rFonts w:ascii="Times New Roman" w:hAnsi="Times New Roman"/>
                <w:sz w:val="20"/>
                <w:szCs w:val="20"/>
              </w:rPr>
            </w:pPr>
          </w:p>
        </w:tc>
        <w:tc>
          <w:tcPr>
            <w:tcW w:w="0" w:type="auto"/>
            <w:shd w:val="clear" w:color="auto" w:fill="auto"/>
            <w:vAlign w:val="center"/>
          </w:tcPr>
          <w:p w14:paraId="1446EEB6" w14:textId="77777777" w:rsidR="00FE42B5" w:rsidRDefault="00FE42B5">
            <w:pPr>
              <w:rPr>
                <w:rFonts w:ascii="Times New Roman" w:hAnsi="Times New Roman"/>
                <w:sz w:val="20"/>
                <w:szCs w:val="20"/>
              </w:rPr>
            </w:pPr>
          </w:p>
        </w:tc>
      </w:tr>
      <w:tr w:rsidR="00FE42B5" w14:paraId="1446EEBA" w14:textId="77777777">
        <w:trPr>
          <w:tblCellSpacing w:w="0" w:type="dxa"/>
        </w:trPr>
        <w:tc>
          <w:tcPr>
            <w:tcW w:w="0" w:type="auto"/>
            <w:shd w:val="clear" w:color="auto" w:fill="auto"/>
          </w:tcPr>
          <w:p w14:paraId="1446EEB8"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1446EEB9"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Daily Active People (DAP).</w:t>
            </w:r>
            <w:r>
              <w:rPr>
                <w:rFonts w:ascii="Times New Roman" w:eastAsia="宋体" w:hAnsi="Times New Roman"/>
                <w:sz w:val="20"/>
                <w:szCs w:val="20"/>
              </w:rPr>
              <w:t xml:space="preserve"> We define a daily active person as a registered and logged-in user of Facebook, Instagram, Messenger, and/or WhatsApp (collectively, our "Family" of products) who visited at least one of these Family products through a mobile device application or using a</w:t>
            </w:r>
            <w:r>
              <w:rPr>
                <w:rFonts w:ascii="Times New Roman" w:eastAsia="宋体" w:hAnsi="Times New Roman"/>
                <w:sz w:val="20"/>
                <w:szCs w:val="20"/>
              </w:rPr>
              <w:t xml:space="preserve"> web or mobile browser on a given day. We do not require people to use a common identifier or link their accounts to use multiple products in our Family, and therefore must seek to attribute multiple user accounts within and across products to individual p</w:t>
            </w:r>
            <w:r>
              <w:rPr>
                <w:rFonts w:ascii="Times New Roman" w:eastAsia="宋体" w:hAnsi="Times New Roman"/>
                <w:sz w:val="20"/>
                <w:szCs w:val="20"/>
              </w:rPr>
              <w:t xml:space="preserve">eople. Our calculations of DAP rely upon complex techniques, algorithms, and machine learning models that seek to estimate the underlying number of unique people using one or more of these products, including by matching user accounts within an individual </w:t>
            </w:r>
            <w:r>
              <w:rPr>
                <w:rFonts w:ascii="Times New Roman" w:eastAsia="宋体" w:hAnsi="Times New Roman"/>
                <w:sz w:val="20"/>
                <w:szCs w:val="20"/>
              </w:rPr>
              <w:t>product and across multiple products when we believe they are attributable to a single person, and counting such group of accounts as one person. As these techniques and models require significant judgment, are developed based on internal reviews of limite</w:t>
            </w:r>
            <w:r>
              <w:rPr>
                <w:rFonts w:ascii="Times New Roman" w:eastAsia="宋体" w:hAnsi="Times New Roman"/>
                <w:sz w:val="20"/>
                <w:szCs w:val="20"/>
              </w:rPr>
              <w:t>d samples of user accounts, and are calibrated against user survey data, there is necessarily some margin of error in our estimates. We view DAP, and DAP as a percentage of MAP, as measures of engagement across our products. For additional information, see</w:t>
            </w:r>
            <w:r>
              <w:rPr>
                <w:rFonts w:ascii="Times New Roman" w:eastAsia="宋体" w:hAnsi="Times New Roman"/>
                <w:sz w:val="20"/>
                <w:szCs w:val="20"/>
              </w:rPr>
              <w:t xml:space="preserve"> the section entitled "Limitations of Key Metrics and Other Data" in this Quarterly Report on Form 10-Q.</w:t>
            </w:r>
          </w:p>
        </w:tc>
      </w:tr>
    </w:tbl>
    <w:p w14:paraId="1446EEBB" w14:textId="77777777" w:rsidR="00FE42B5" w:rsidRDefault="00FE42B5">
      <w:pPr>
        <w:spacing w:line="288" w:lineRule="auto"/>
        <w:jc w:val="both"/>
        <w:rPr>
          <w:rFonts w:ascii="Times New Roman" w:hAnsi="Times New Roman"/>
          <w:sz w:val="20"/>
          <w:szCs w:val="20"/>
        </w:rPr>
      </w:pPr>
    </w:p>
    <w:p w14:paraId="1446EEBC" w14:textId="77777777" w:rsidR="00FE42B5" w:rsidRDefault="009213DC">
      <w:pPr>
        <w:spacing w:line="288" w:lineRule="auto"/>
        <w:ind w:firstLine="720"/>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Viewer11_files/dapa05.jpg"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1446FAE2" wp14:editId="1446FAE3">
            <wp:extent cx="304800" cy="304800"/>
            <wp:effectExtent l="0" t="0" r="0" b="0"/>
            <wp:docPr id="9" name="图片 7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1" descr="IMG_260"/>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1446EEBD" w14:textId="77777777" w:rsidR="00FE42B5" w:rsidRDefault="00FE42B5">
      <w:pPr>
        <w:spacing w:line="288" w:lineRule="auto"/>
        <w:ind w:firstLine="720"/>
        <w:jc w:val="center"/>
        <w:rPr>
          <w:rFonts w:ascii="Times New Roman" w:hAnsi="Times New Roman"/>
          <w:sz w:val="20"/>
          <w:szCs w:val="20"/>
        </w:rPr>
      </w:pPr>
    </w:p>
    <w:p w14:paraId="1446EEBE" w14:textId="77777777" w:rsidR="00FE42B5" w:rsidRDefault="009213DC">
      <w:pPr>
        <w:spacing w:line="288" w:lineRule="auto"/>
        <w:jc w:val="both"/>
        <w:rPr>
          <w:rFonts w:ascii="Times New Roman" w:hAnsi="Times New Roman"/>
          <w:sz w:val="16"/>
          <w:szCs w:val="16"/>
        </w:rPr>
      </w:pPr>
      <w:r>
        <w:rPr>
          <w:rFonts w:ascii="Times New Roman" w:eastAsia="宋体" w:hAnsi="Times New Roman"/>
          <w:i/>
          <w:iCs/>
          <w:sz w:val="16"/>
          <w:szCs w:val="16"/>
        </w:rPr>
        <w:t xml:space="preserve">Note: We report the numbers of DAP and MAP as specific amounts, but these numbers are estimates of the numbers of unique people using our products and are subject to statistical variances and errors. While we expect the error margin for these estimates to </w:t>
      </w:r>
      <w:r>
        <w:rPr>
          <w:rFonts w:ascii="Times New Roman" w:eastAsia="宋体" w:hAnsi="Times New Roman"/>
          <w:i/>
          <w:iCs/>
          <w:sz w:val="16"/>
          <w:szCs w:val="16"/>
        </w:rPr>
        <w:t>vary from period to period, we estimate that such margin generally will be approximately 3% of our worldwide MAP. At our scale, it is very difficult to attribute multiple user accounts within and across products to individual people, and it is possible tha</w:t>
      </w:r>
      <w:r>
        <w:rPr>
          <w:rFonts w:ascii="Times New Roman" w:eastAsia="宋体" w:hAnsi="Times New Roman"/>
          <w:i/>
          <w:iCs/>
          <w:sz w:val="16"/>
          <w:szCs w:val="16"/>
        </w:rPr>
        <w:t>t the actual numbers of unique people using our products may vary significantly from our estimates, potentially beyond our estimated error margins. For additional information, see the section entitled "Limitations of Key Metrics and Other Data" in this Qua</w:t>
      </w:r>
      <w:r>
        <w:rPr>
          <w:rFonts w:ascii="Times New Roman" w:eastAsia="宋体" w:hAnsi="Times New Roman"/>
          <w:i/>
          <w:iCs/>
          <w:sz w:val="16"/>
          <w:szCs w:val="16"/>
        </w:rPr>
        <w:t>rterly Report on Form 10-Q.</w:t>
      </w:r>
    </w:p>
    <w:p w14:paraId="1446EEBF" w14:textId="77777777" w:rsidR="00FE42B5" w:rsidRDefault="00FE42B5">
      <w:pPr>
        <w:spacing w:line="288" w:lineRule="auto"/>
        <w:ind w:firstLine="720"/>
        <w:jc w:val="both"/>
        <w:rPr>
          <w:rFonts w:ascii="Times New Roman" w:hAnsi="Times New Roman"/>
          <w:sz w:val="20"/>
          <w:szCs w:val="20"/>
        </w:rPr>
      </w:pPr>
    </w:p>
    <w:p w14:paraId="1446EEC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Worldwide DAP increased 12% to 2.36 billion on average during March 2020 from 2.10 billion during March 2019. </w:t>
      </w:r>
    </w:p>
    <w:p w14:paraId="1446EEC1" w14:textId="77777777" w:rsidR="00FE42B5" w:rsidRDefault="00FE42B5">
      <w:pPr>
        <w:spacing w:line="288" w:lineRule="auto"/>
        <w:ind w:firstLine="720"/>
        <w:jc w:val="both"/>
        <w:rPr>
          <w:rFonts w:ascii="Times New Roman" w:hAnsi="Times New Roman"/>
          <w:sz w:val="20"/>
          <w:szCs w:val="20"/>
        </w:rPr>
      </w:pPr>
    </w:p>
    <w:p w14:paraId="1446EEC2" w14:textId="77777777" w:rsidR="00FE42B5" w:rsidRDefault="00FE42B5">
      <w:pPr>
        <w:spacing w:line="288" w:lineRule="auto"/>
        <w:jc w:val="both"/>
        <w:rPr>
          <w:rFonts w:ascii="Times New Roman" w:hAnsi="Times New Roman"/>
          <w:sz w:val="20"/>
          <w:szCs w:val="20"/>
        </w:rPr>
      </w:pPr>
    </w:p>
    <w:p w14:paraId="1446EEC3" w14:textId="77777777" w:rsidR="00FE42B5" w:rsidRDefault="00FE42B5">
      <w:pPr>
        <w:rPr>
          <w:rFonts w:ascii="Times New Roman" w:hAnsi="Times New Roman"/>
          <w:sz w:val="20"/>
          <w:szCs w:val="20"/>
        </w:rPr>
      </w:pPr>
    </w:p>
    <w:p w14:paraId="1446EEC4"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34</w:t>
      </w:r>
    </w:p>
    <w:p w14:paraId="1446EEC5" w14:textId="77777777" w:rsidR="00FE42B5" w:rsidRDefault="009213DC">
      <w:r>
        <w:rPr>
          <w:rFonts w:ascii="Times New Roman" w:hAnsi="Times New Roman"/>
          <w:sz w:val="20"/>
          <w:szCs w:val="20"/>
        </w:rPr>
        <w:pict w14:anchorId="1446FAE4">
          <v:rect id="_x0000_i1058" style="width:415.3pt;height:1.5pt" o:hralign="center" o:hrstd="t" o:hr="t" fillcolor="#a0a0a0" stroked="f"/>
        </w:pict>
      </w:r>
    </w:p>
    <w:p w14:paraId="1446EEC6" w14:textId="77777777" w:rsidR="00FE42B5" w:rsidRDefault="009213DC">
      <w:pPr>
        <w:spacing w:line="288" w:lineRule="auto"/>
        <w:rPr>
          <w:rFonts w:ascii="Times New Roman" w:hAnsi="Times New Roman"/>
          <w:sz w:val="20"/>
          <w:szCs w:val="20"/>
        </w:rPr>
      </w:pPr>
      <w:hyperlink r:id="rId75" w:anchor="sBB4BED1571A45A16AF3DC2E3B69C901C" w:history="1">
        <w:r>
          <w:rPr>
            <w:rStyle w:val="a5"/>
            <w:rFonts w:ascii="Times New Roman" w:eastAsia="宋体" w:hAnsi="Times New Roman"/>
            <w:sz w:val="20"/>
            <w:szCs w:val="20"/>
          </w:rPr>
          <w:t>Table of Contents</w:t>
        </w:r>
      </w:hyperlink>
    </w:p>
    <w:p w14:paraId="1446EEC7"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E42B5" w14:paraId="1446EECA" w14:textId="77777777">
        <w:trPr>
          <w:tblCellSpacing w:w="0" w:type="dxa"/>
        </w:trPr>
        <w:tc>
          <w:tcPr>
            <w:tcW w:w="960" w:type="dxa"/>
            <w:shd w:val="clear" w:color="auto" w:fill="auto"/>
            <w:vAlign w:val="center"/>
          </w:tcPr>
          <w:p w14:paraId="1446EEC8" w14:textId="77777777" w:rsidR="00FE42B5" w:rsidRDefault="00FE42B5">
            <w:pPr>
              <w:rPr>
                <w:rFonts w:ascii="Times New Roman" w:hAnsi="Times New Roman"/>
                <w:sz w:val="20"/>
                <w:szCs w:val="20"/>
              </w:rPr>
            </w:pPr>
          </w:p>
        </w:tc>
        <w:tc>
          <w:tcPr>
            <w:tcW w:w="0" w:type="auto"/>
            <w:shd w:val="clear" w:color="auto" w:fill="auto"/>
            <w:vAlign w:val="center"/>
          </w:tcPr>
          <w:p w14:paraId="1446EEC9" w14:textId="77777777" w:rsidR="00FE42B5" w:rsidRDefault="00FE42B5">
            <w:pPr>
              <w:rPr>
                <w:rFonts w:ascii="Times New Roman" w:hAnsi="Times New Roman"/>
                <w:sz w:val="20"/>
                <w:szCs w:val="20"/>
              </w:rPr>
            </w:pPr>
          </w:p>
        </w:tc>
      </w:tr>
      <w:tr w:rsidR="00FE42B5" w14:paraId="1446EECD" w14:textId="77777777">
        <w:trPr>
          <w:tblCellSpacing w:w="0" w:type="dxa"/>
        </w:trPr>
        <w:tc>
          <w:tcPr>
            <w:tcW w:w="0" w:type="auto"/>
            <w:shd w:val="clear" w:color="auto" w:fill="auto"/>
          </w:tcPr>
          <w:p w14:paraId="1446EECB"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1446EECC"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Monthly Active People (MAP).</w:t>
            </w:r>
            <w:r>
              <w:rPr>
                <w:rFonts w:ascii="Times New Roman" w:eastAsia="宋体" w:hAnsi="Times New Roman"/>
                <w:i/>
                <w:iCs/>
                <w:sz w:val="20"/>
                <w:szCs w:val="20"/>
              </w:rPr>
              <w:t xml:space="preserve"> </w:t>
            </w:r>
            <w:r>
              <w:rPr>
                <w:rFonts w:ascii="Times New Roman" w:eastAsia="宋体" w:hAnsi="Times New Roman"/>
                <w:sz w:val="20"/>
                <w:szCs w:val="20"/>
              </w:rPr>
              <w:t xml:space="preserve">We define a monthly active person as a registered and logged-in user of one or more Family products who visited at least one of these Family products </w:t>
            </w:r>
            <w:r>
              <w:rPr>
                <w:rFonts w:ascii="Times New Roman" w:eastAsia="宋体" w:hAnsi="Times New Roman"/>
                <w:sz w:val="20"/>
                <w:szCs w:val="20"/>
              </w:rPr>
              <w:t>through a mobile device application or using a web or mobile browser in the last 30 days as of the date of measurement. We do not require people to use a common identifier or link their accounts to use multiple products in our Family, and therefore must se</w:t>
            </w:r>
            <w:r>
              <w:rPr>
                <w:rFonts w:ascii="Times New Roman" w:eastAsia="宋体" w:hAnsi="Times New Roman"/>
                <w:sz w:val="20"/>
                <w:szCs w:val="20"/>
              </w:rPr>
              <w:t xml:space="preserve">ek to attribute multiple user accounts within and across products to individual people. Our calculations of MAP rely upon complex techniques, algorithms, and machine learning models that seek to estimate the underlying number of unique people using one or </w:t>
            </w:r>
            <w:r>
              <w:rPr>
                <w:rFonts w:ascii="Times New Roman" w:eastAsia="宋体" w:hAnsi="Times New Roman"/>
                <w:sz w:val="20"/>
                <w:szCs w:val="20"/>
              </w:rPr>
              <w:t>more of these products, including by matching user accounts within an individual product and across multiple products when we believe they are attributable to a single person, and counting such group of accounts as one person. As these techniques and model</w:t>
            </w:r>
            <w:r>
              <w:rPr>
                <w:rFonts w:ascii="Times New Roman" w:eastAsia="宋体" w:hAnsi="Times New Roman"/>
                <w:sz w:val="20"/>
                <w:szCs w:val="20"/>
              </w:rPr>
              <w:t>s require significant judgment, are developed based on internal reviews of limited samples of user accounts, and are calibrated against user survey data, there is necessarily some margin of error in our estimates. We view MAP as a measure of the size of ou</w:t>
            </w:r>
            <w:r>
              <w:rPr>
                <w:rFonts w:ascii="Times New Roman" w:eastAsia="宋体" w:hAnsi="Times New Roman"/>
                <w:sz w:val="20"/>
                <w:szCs w:val="20"/>
              </w:rPr>
              <w:t>r global active community of people using our products. For additional information, see the section entitled "Limitations of Key Metrics and Other Data" in this Quarterly Report on Form 10-Q.</w:t>
            </w:r>
          </w:p>
        </w:tc>
      </w:tr>
    </w:tbl>
    <w:p w14:paraId="1446EECE" w14:textId="77777777" w:rsidR="00FE42B5" w:rsidRDefault="00FE42B5">
      <w:pPr>
        <w:spacing w:line="288" w:lineRule="auto"/>
        <w:jc w:val="both"/>
        <w:rPr>
          <w:rFonts w:ascii="Times New Roman" w:hAnsi="Times New Roman"/>
          <w:sz w:val="20"/>
          <w:szCs w:val="20"/>
        </w:rPr>
      </w:pPr>
    </w:p>
    <w:p w14:paraId="1446EECF"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w:instrText>
      </w:r>
      <w:r>
        <w:rPr>
          <w:rFonts w:ascii="Times New Roman" w:eastAsia="宋体" w:hAnsi="Times New Roman"/>
          <w:sz w:val="20"/>
          <w:szCs w:val="20"/>
        </w:rPr>
        <w:instrText>司财报</w:instrText>
      </w:r>
      <w:r>
        <w:rPr>
          <w:rFonts w:ascii="Times New Roman" w:eastAsia="宋体" w:hAnsi="Times New Roman"/>
          <w:sz w:val="20"/>
          <w:szCs w:val="20"/>
        </w:rPr>
        <w:instrText xml:space="preserve">/Meta Platforms/./Inline XBRL Viewer11_files/mapa02.jpg"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1446FAE5" wp14:editId="1446FAE6">
            <wp:extent cx="304800" cy="304800"/>
            <wp:effectExtent l="0" t="0" r="0" b="0"/>
            <wp:docPr id="6" name="图片 7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3" descr="IMG_261"/>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1446EED0" w14:textId="77777777" w:rsidR="00FE42B5" w:rsidRDefault="00FE42B5">
      <w:pPr>
        <w:spacing w:line="288" w:lineRule="auto"/>
        <w:jc w:val="both"/>
        <w:rPr>
          <w:rFonts w:ascii="Times New Roman" w:hAnsi="Times New Roman"/>
          <w:sz w:val="16"/>
          <w:szCs w:val="16"/>
        </w:rPr>
      </w:pPr>
    </w:p>
    <w:p w14:paraId="1446EED1" w14:textId="77777777" w:rsidR="00FE42B5" w:rsidRDefault="009213DC">
      <w:pPr>
        <w:spacing w:line="288" w:lineRule="auto"/>
        <w:jc w:val="both"/>
        <w:rPr>
          <w:rFonts w:ascii="Times New Roman" w:hAnsi="Times New Roman"/>
          <w:sz w:val="16"/>
          <w:szCs w:val="16"/>
        </w:rPr>
      </w:pPr>
      <w:r>
        <w:rPr>
          <w:rFonts w:ascii="Times New Roman" w:eastAsia="宋体" w:hAnsi="Times New Roman"/>
          <w:i/>
          <w:iCs/>
          <w:sz w:val="16"/>
          <w:szCs w:val="16"/>
        </w:rPr>
        <w:t>Note: We report the numbers of DAP and MAP as specific amounts, but these numbers are estimates of the numbers of unique people using our products and are subject to stati</w:t>
      </w:r>
      <w:r>
        <w:rPr>
          <w:rFonts w:ascii="Times New Roman" w:eastAsia="宋体" w:hAnsi="Times New Roman"/>
          <w:i/>
          <w:iCs/>
          <w:sz w:val="16"/>
          <w:szCs w:val="16"/>
        </w:rPr>
        <w:t xml:space="preserve">stical variances and errors. While we expect the error margin for these estimates to vary from period to period, we estimate that such margin generally will be approximately 3% of our worldwide MAP. At our scale, it is very difficult to attribute multiple </w:t>
      </w:r>
      <w:r>
        <w:rPr>
          <w:rFonts w:ascii="Times New Roman" w:eastAsia="宋体" w:hAnsi="Times New Roman"/>
          <w:i/>
          <w:iCs/>
          <w:sz w:val="16"/>
          <w:szCs w:val="16"/>
        </w:rPr>
        <w:t>user accounts within and across products to individual people, and it is possible that the actual numbers of unique people using our products may vary significantly from our estimates, potentially beyond our estimated error margins. For additional informat</w:t>
      </w:r>
      <w:r>
        <w:rPr>
          <w:rFonts w:ascii="Times New Roman" w:eastAsia="宋体" w:hAnsi="Times New Roman"/>
          <w:i/>
          <w:iCs/>
          <w:sz w:val="16"/>
          <w:szCs w:val="16"/>
        </w:rPr>
        <w:t>ion, see the section entitled "Limitations of Key Metrics and Other Data" in this Quarterly Report on Form 10-Q.</w:t>
      </w:r>
    </w:p>
    <w:p w14:paraId="1446EED2" w14:textId="77777777" w:rsidR="00FE42B5" w:rsidRDefault="00FE42B5">
      <w:pPr>
        <w:spacing w:line="288" w:lineRule="auto"/>
        <w:jc w:val="both"/>
        <w:rPr>
          <w:rFonts w:ascii="Times New Roman" w:hAnsi="Times New Roman"/>
          <w:sz w:val="20"/>
          <w:szCs w:val="20"/>
        </w:rPr>
      </w:pPr>
    </w:p>
    <w:p w14:paraId="1446EED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of March 31, 2020, we had 2.99 billion MAP, an increase of 11% from 2.69 billion as of March 31, 2019. </w:t>
      </w:r>
    </w:p>
    <w:p w14:paraId="1446EED4" w14:textId="77777777" w:rsidR="00FE42B5" w:rsidRDefault="00FE42B5">
      <w:pPr>
        <w:spacing w:line="288" w:lineRule="auto"/>
        <w:jc w:val="both"/>
        <w:rPr>
          <w:rFonts w:ascii="Times New Roman" w:hAnsi="Times New Roman"/>
          <w:sz w:val="20"/>
          <w:szCs w:val="20"/>
        </w:rPr>
      </w:pPr>
    </w:p>
    <w:p w14:paraId="1446EED5" w14:textId="77777777" w:rsidR="00FE42B5" w:rsidRDefault="00FE42B5">
      <w:pPr>
        <w:spacing w:line="288" w:lineRule="auto"/>
        <w:jc w:val="both"/>
        <w:rPr>
          <w:rFonts w:ascii="Times New Roman" w:hAnsi="Times New Roman"/>
          <w:sz w:val="20"/>
          <w:szCs w:val="20"/>
        </w:rPr>
      </w:pPr>
    </w:p>
    <w:p w14:paraId="1446EED6" w14:textId="77777777" w:rsidR="00FE42B5" w:rsidRDefault="00FE42B5">
      <w:pPr>
        <w:rPr>
          <w:rFonts w:ascii="Times New Roman" w:hAnsi="Times New Roman"/>
          <w:sz w:val="20"/>
          <w:szCs w:val="20"/>
        </w:rPr>
      </w:pPr>
    </w:p>
    <w:p w14:paraId="1446EED7"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35</w:t>
      </w:r>
    </w:p>
    <w:p w14:paraId="1446EED8" w14:textId="77777777" w:rsidR="00FE42B5" w:rsidRDefault="009213DC">
      <w:r>
        <w:rPr>
          <w:rFonts w:ascii="Times New Roman" w:hAnsi="Times New Roman"/>
          <w:sz w:val="20"/>
          <w:szCs w:val="20"/>
        </w:rPr>
        <w:pict w14:anchorId="1446FAE7">
          <v:rect id="_x0000_i1059" style="width:415.3pt;height:1.5pt" o:hralign="center" o:hrstd="t" o:hr="t" fillcolor="#a0a0a0" stroked="f"/>
        </w:pict>
      </w:r>
    </w:p>
    <w:p w14:paraId="1446EED9" w14:textId="77777777" w:rsidR="00FE42B5" w:rsidRDefault="009213DC">
      <w:pPr>
        <w:spacing w:line="288" w:lineRule="auto"/>
        <w:rPr>
          <w:rFonts w:ascii="Times New Roman" w:hAnsi="Times New Roman"/>
          <w:sz w:val="20"/>
          <w:szCs w:val="20"/>
        </w:rPr>
      </w:pPr>
      <w:hyperlink r:id="rId76" w:anchor="sBB4BED1571A45A16AF3DC2E3B69C901C" w:history="1">
        <w:r>
          <w:rPr>
            <w:rStyle w:val="a5"/>
            <w:rFonts w:ascii="Times New Roman" w:eastAsia="宋体" w:hAnsi="Times New Roman"/>
            <w:sz w:val="20"/>
            <w:szCs w:val="20"/>
          </w:rPr>
          <w:t>Table of Contents</w:t>
        </w:r>
      </w:hyperlink>
    </w:p>
    <w:p w14:paraId="1446EEDA"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E42B5" w14:paraId="1446EEDD" w14:textId="77777777">
        <w:trPr>
          <w:tblCellSpacing w:w="0" w:type="dxa"/>
        </w:trPr>
        <w:tc>
          <w:tcPr>
            <w:tcW w:w="960" w:type="dxa"/>
            <w:shd w:val="clear" w:color="auto" w:fill="auto"/>
            <w:vAlign w:val="center"/>
          </w:tcPr>
          <w:p w14:paraId="1446EEDB" w14:textId="77777777" w:rsidR="00FE42B5" w:rsidRDefault="00FE42B5">
            <w:pPr>
              <w:rPr>
                <w:rFonts w:ascii="Times New Roman" w:hAnsi="Times New Roman"/>
                <w:sz w:val="20"/>
                <w:szCs w:val="20"/>
              </w:rPr>
            </w:pPr>
          </w:p>
        </w:tc>
        <w:tc>
          <w:tcPr>
            <w:tcW w:w="0" w:type="auto"/>
            <w:shd w:val="clear" w:color="auto" w:fill="auto"/>
            <w:vAlign w:val="center"/>
          </w:tcPr>
          <w:p w14:paraId="1446EEDC" w14:textId="77777777" w:rsidR="00FE42B5" w:rsidRDefault="00FE42B5">
            <w:pPr>
              <w:rPr>
                <w:rFonts w:ascii="Times New Roman" w:hAnsi="Times New Roman"/>
                <w:sz w:val="20"/>
                <w:szCs w:val="20"/>
              </w:rPr>
            </w:pPr>
          </w:p>
        </w:tc>
      </w:tr>
      <w:tr w:rsidR="00FE42B5" w14:paraId="1446EEE0" w14:textId="77777777">
        <w:trPr>
          <w:tblCellSpacing w:w="0" w:type="dxa"/>
        </w:trPr>
        <w:tc>
          <w:tcPr>
            <w:tcW w:w="0" w:type="auto"/>
            <w:shd w:val="clear" w:color="auto" w:fill="auto"/>
          </w:tcPr>
          <w:p w14:paraId="1446EED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1446EEDF"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Average Revenue Per Person (ARPP).</w:t>
            </w:r>
            <w:r>
              <w:rPr>
                <w:rFonts w:ascii="Times New Roman" w:eastAsia="宋体" w:hAnsi="Times New Roman"/>
                <w:i/>
                <w:iCs/>
                <w:sz w:val="20"/>
                <w:szCs w:val="20"/>
              </w:rPr>
              <w:t xml:space="preserve"> </w:t>
            </w:r>
            <w:r>
              <w:rPr>
                <w:rFonts w:ascii="Times New Roman" w:eastAsia="宋体" w:hAnsi="Times New Roman"/>
                <w:sz w:val="20"/>
                <w:szCs w:val="20"/>
              </w:rPr>
              <w:t>We define ARPP as our total revenue during a given quarter, divided by the average of the number of MAP at the beginning and end of the quarter. While ARPP includes all sources of revenue, the number of MAP used in this calculation only includes users of o</w:t>
            </w:r>
            <w:r>
              <w:rPr>
                <w:rFonts w:ascii="Times New Roman" w:eastAsia="宋体" w:hAnsi="Times New Roman"/>
                <w:sz w:val="20"/>
                <w:szCs w:val="20"/>
              </w:rPr>
              <w:t xml:space="preserve">ur Family products as described in the definition of MAP above. The share of revenue from users who are not also MAP was not material. </w:t>
            </w:r>
          </w:p>
        </w:tc>
      </w:tr>
    </w:tbl>
    <w:p w14:paraId="1446EEE1" w14:textId="77777777" w:rsidR="00FE42B5" w:rsidRDefault="00FE42B5">
      <w:pPr>
        <w:spacing w:line="288" w:lineRule="auto"/>
        <w:jc w:val="center"/>
        <w:rPr>
          <w:rFonts w:ascii="Times New Roman" w:hAnsi="Times New Roman"/>
          <w:sz w:val="20"/>
          <w:szCs w:val="20"/>
        </w:rPr>
      </w:pPr>
    </w:p>
    <w:p w14:paraId="1446EEE2"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/Meta Platforms/./Inline XBRL Viewer11_files/arppa02.</w:instrText>
      </w:r>
      <w:r>
        <w:rPr>
          <w:rFonts w:ascii="Times New Roman" w:eastAsia="宋体" w:hAnsi="Times New Roman"/>
          <w:sz w:val="20"/>
          <w:szCs w:val="20"/>
        </w:rPr>
        <w:instrText xml:space="preserv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1446FAE8" wp14:editId="1446FAE9">
            <wp:extent cx="304800" cy="304800"/>
            <wp:effectExtent l="0" t="0" r="0" b="0"/>
            <wp:docPr id="7" name="图片 7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5" descr="IMG_262"/>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1446EEE3"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Viewer11_files/adrevenueandotherrevenuea03.jpg"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1446FAEA" wp14:editId="1446FAEB">
            <wp:extent cx="304800" cy="304800"/>
            <wp:effectExtent l="0" t="0" r="0" b="0"/>
            <wp:docPr id="8" name="图片 7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6" descr="IMG_263"/>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1446EEE4" w14:textId="77777777" w:rsidR="00FE42B5" w:rsidRDefault="00FE42B5">
      <w:pPr>
        <w:spacing w:line="288" w:lineRule="auto"/>
        <w:ind w:firstLine="720"/>
        <w:jc w:val="both"/>
        <w:rPr>
          <w:rFonts w:ascii="Times New Roman" w:hAnsi="Times New Roman"/>
          <w:sz w:val="20"/>
          <w:szCs w:val="20"/>
        </w:rPr>
      </w:pPr>
    </w:p>
    <w:p w14:paraId="1446EEE5" w14:textId="77777777" w:rsidR="00FE42B5" w:rsidRDefault="009213DC">
      <w:pPr>
        <w:spacing w:line="288" w:lineRule="auto"/>
        <w:ind w:firstLine="720"/>
        <w:rPr>
          <w:rFonts w:ascii="Times New Roman" w:hAnsi="Times New Roman"/>
          <w:sz w:val="20"/>
          <w:szCs w:val="20"/>
        </w:rPr>
      </w:pPr>
      <w:r>
        <w:rPr>
          <w:rFonts w:ascii="Times New Roman" w:eastAsia="宋体" w:hAnsi="Times New Roman"/>
          <w:sz w:val="20"/>
          <w:szCs w:val="20"/>
        </w:rPr>
        <w:t xml:space="preserve">During the first quarter of 2020, worldwide ARPP was $6.03, an increase of 7% from the first quarter of 2019. </w:t>
      </w:r>
    </w:p>
    <w:p w14:paraId="1446EEE6" w14:textId="77777777" w:rsidR="00FE42B5" w:rsidRDefault="00FE42B5">
      <w:pPr>
        <w:rPr>
          <w:rFonts w:ascii="Times New Roman" w:hAnsi="Times New Roman"/>
          <w:sz w:val="20"/>
          <w:szCs w:val="20"/>
        </w:rPr>
      </w:pPr>
    </w:p>
    <w:p w14:paraId="1446EEE7"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36</w:t>
      </w:r>
    </w:p>
    <w:p w14:paraId="1446EEE8" w14:textId="77777777" w:rsidR="00FE42B5" w:rsidRDefault="009213DC">
      <w:r>
        <w:rPr>
          <w:rFonts w:ascii="Times New Roman" w:hAnsi="Times New Roman"/>
          <w:sz w:val="20"/>
          <w:szCs w:val="20"/>
        </w:rPr>
        <w:pict w14:anchorId="1446FAEC">
          <v:rect id="_x0000_i1060" style="width:415.3pt;height:1.5pt" o:hralign="center" o:hrstd="t" o:hr="t" fillcolor="#a0a0a0" stroked="f"/>
        </w:pict>
      </w:r>
    </w:p>
    <w:p w14:paraId="1446EEE9" w14:textId="77777777" w:rsidR="00FE42B5" w:rsidRDefault="009213DC">
      <w:pPr>
        <w:spacing w:line="288" w:lineRule="auto"/>
        <w:rPr>
          <w:rFonts w:ascii="Times New Roman" w:hAnsi="Times New Roman"/>
          <w:sz w:val="20"/>
          <w:szCs w:val="20"/>
        </w:rPr>
      </w:pPr>
      <w:hyperlink r:id="rId77" w:anchor="sBB4BED1571A45A16AF3DC2E3B69C901C" w:history="1">
        <w:r>
          <w:rPr>
            <w:rStyle w:val="a5"/>
            <w:rFonts w:ascii="Times New Roman" w:eastAsia="宋体" w:hAnsi="Times New Roman"/>
            <w:sz w:val="20"/>
            <w:szCs w:val="20"/>
          </w:rPr>
          <w:t>Table of Contents</w:t>
        </w:r>
      </w:hyperlink>
    </w:p>
    <w:p w14:paraId="1446EEEA" w14:textId="77777777" w:rsidR="00FE42B5" w:rsidRDefault="00FE42B5">
      <w:pPr>
        <w:rPr>
          <w:rFonts w:ascii="Times New Roman" w:hAnsi="Times New Roman"/>
          <w:sz w:val="20"/>
          <w:szCs w:val="20"/>
        </w:rPr>
      </w:pPr>
    </w:p>
    <w:p w14:paraId="1446EEEB"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Components of Results of Operations</w:t>
      </w:r>
    </w:p>
    <w:p w14:paraId="1446EEEC"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Revenue</w:t>
      </w:r>
    </w:p>
    <w:p w14:paraId="1446EEE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b/>
          <w:bCs/>
          <w:sz w:val="20"/>
          <w:szCs w:val="20"/>
        </w:rPr>
        <w:t>Advertising.</w:t>
      </w:r>
      <w:r>
        <w:rPr>
          <w:rFonts w:ascii="Times New Roman" w:eastAsia="宋体" w:hAnsi="Times New Roman"/>
          <w:sz w:val="20"/>
          <w:szCs w:val="20"/>
        </w:rPr>
        <w:t xml:space="preserve"> We generate substantially all of our revenue from advertising. Our advertising revenue is generated by displaying ad products on Facebook, Instagram, Messenger, and t</w:t>
      </w:r>
      <w:r>
        <w:rPr>
          <w:rFonts w:ascii="Times New Roman" w:eastAsia="宋体" w:hAnsi="Times New Roman"/>
          <w:sz w:val="20"/>
          <w:szCs w:val="20"/>
        </w:rPr>
        <w:t>hird-party affiliated websites or mobile applications. Marketers pay for ad products either directly or through their relationships with advertising agencies or resellers, based on the number of impressions delivered or the number of actions, such as click</w:t>
      </w:r>
      <w:r>
        <w:rPr>
          <w:rFonts w:ascii="Times New Roman" w:eastAsia="宋体" w:hAnsi="Times New Roman"/>
          <w:sz w:val="20"/>
          <w:szCs w:val="20"/>
        </w:rPr>
        <w:t xml:space="preserve">s, taken by users. </w:t>
      </w:r>
    </w:p>
    <w:p w14:paraId="1446EEE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recognize revenue from the display of impression-based ads in the contracted period in which the impressions are delivered. Impressions are considered delivered when an ad is displayed to a user. We recognize revenue from the deliver</w:t>
      </w:r>
      <w:r>
        <w:rPr>
          <w:rFonts w:ascii="Times New Roman" w:eastAsia="宋体" w:hAnsi="Times New Roman"/>
          <w:sz w:val="20"/>
          <w:szCs w:val="20"/>
        </w:rPr>
        <w:t>y of action-based ads in the period in which a user takes the action the marketer contracted for. The number of ads we show is subject to methodological changes as we continue to evolve our ads business and the structure of our ads products. We calculate p</w:t>
      </w:r>
      <w:r>
        <w:rPr>
          <w:rFonts w:ascii="Times New Roman" w:eastAsia="宋体" w:hAnsi="Times New Roman"/>
          <w:sz w:val="20"/>
          <w:szCs w:val="20"/>
        </w:rPr>
        <w:t>rice per ad as total ad revenue divided by the number of ads delivered, representing the effective price paid per impression by a marketer regardless of their desired objective such as impression or action. For advertising revenue arrangements where we are</w:t>
      </w:r>
      <w:r>
        <w:rPr>
          <w:rFonts w:ascii="Times New Roman" w:eastAsia="宋体" w:hAnsi="Times New Roman"/>
          <w:sz w:val="20"/>
          <w:szCs w:val="20"/>
        </w:rPr>
        <w:t xml:space="preserve"> not the principal, we recognize revenue on a net basis.</w:t>
      </w:r>
    </w:p>
    <w:p w14:paraId="1446EEE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b/>
          <w:bCs/>
          <w:sz w:val="20"/>
          <w:szCs w:val="20"/>
        </w:rPr>
        <w:t>Other revenue.</w:t>
      </w:r>
      <w:r>
        <w:rPr>
          <w:rFonts w:ascii="Times New Roman" w:eastAsia="宋体" w:hAnsi="Times New Roman"/>
          <w:sz w:val="20"/>
          <w:szCs w:val="20"/>
        </w:rPr>
        <w:t xml:space="preserve"> Other revenue consists of revenue from the delivery of consumer hardware devices and net fees we receive from developers using our Payments infrastructure, as well as revenue from vari</w:t>
      </w:r>
      <w:r>
        <w:rPr>
          <w:rFonts w:ascii="Times New Roman" w:eastAsia="宋体" w:hAnsi="Times New Roman"/>
          <w:sz w:val="20"/>
          <w:szCs w:val="20"/>
        </w:rPr>
        <w:t>ous other sources.</w:t>
      </w:r>
    </w:p>
    <w:p w14:paraId="1446EEF0"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Cost of Revenue and Operating Expenses</w:t>
      </w:r>
    </w:p>
    <w:p w14:paraId="1446EEF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b/>
          <w:bCs/>
          <w:sz w:val="20"/>
          <w:szCs w:val="20"/>
        </w:rPr>
        <w:t>Cost of revenue.</w:t>
      </w:r>
      <w:r>
        <w:rPr>
          <w:rFonts w:ascii="Times New Roman" w:eastAsia="宋体" w:hAnsi="Times New Roman"/>
          <w:sz w:val="20"/>
          <w:szCs w:val="20"/>
        </w:rPr>
        <w:t xml:space="preserve"> Our cost of revenue consists primarily of expenses associated with the delivery and distribution of our products. These include expenses related to the operation of our data centers</w:t>
      </w:r>
      <w:r>
        <w:rPr>
          <w:rFonts w:ascii="Times New Roman" w:eastAsia="宋体" w:hAnsi="Times New Roman"/>
          <w:sz w:val="20"/>
          <w:szCs w:val="20"/>
        </w:rPr>
        <w:t xml:space="preserve"> and technical infrastructure, such as facility and server equipment depreciation, salaries, benefits, and share-based compensation for employees on our operations teams, and energy and bandwidth costs. Cost of revenue also includes costs associated with p</w:t>
      </w:r>
      <w:r>
        <w:rPr>
          <w:rFonts w:ascii="Times New Roman" w:eastAsia="宋体" w:hAnsi="Times New Roman"/>
          <w:sz w:val="20"/>
          <w:szCs w:val="20"/>
        </w:rPr>
        <w:t>artner arrangements, including traffic acquisition and content acquisition costs, credit card and other transaction fees related to processing customer transactions, and cost of consumer hardware devices sold.</w:t>
      </w:r>
    </w:p>
    <w:p w14:paraId="1446EEF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b/>
          <w:bCs/>
          <w:sz w:val="20"/>
          <w:szCs w:val="20"/>
        </w:rPr>
        <w:t>Research and development.</w:t>
      </w:r>
      <w:r>
        <w:rPr>
          <w:rFonts w:ascii="Times New Roman" w:eastAsia="宋体" w:hAnsi="Times New Roman"/>
          <w:sz w:val="20"/>
          <w:szCs w:val="20"/>
        </w:rPr>
        <w:t xml:space="preserve"> Research and develop</w:t>
      </w:r>
      <w:r>
        <w:rPr>
          <w:rFonts w:ascii="Times New Roman" w:eastAsia="宋体" w:hAnsi="Times New Roman"/>
          <w:sz w:val="20"/>
          <w:szCs w:val="20"/>
        </w:rPr>
        <w:t>ment expenses consist primarily of salaries and benefits, share-based compensation, and facilities-related costs for employees on our engineering and technical teams who are responsible for building new products as well as improving existing products. We c</w:t>
      </w:r>
      <w:r>
        <w:rPr>
          <w:rFonts w:ascii="Times New Roman" w:eastAsia="宋体" w:hAnsi="Times New Roman"/>
          <w:sz w:val="20"/>
          <w:szCs w:val="20"/>
        </w:rPr>
        <w:t>urrently expense all of our research and development costs as they are incurred.</w:t>
      </w:r>
    </w:p>
    <w:p w14:paraId="1446EEF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b/>
          <w:bCs/>
          <w:sz w:val="20"/>
          <w:szCs w:val="20"/>
        </w:rPr>
        <w:t>Marketing and sales.</w:t>
      </w:r>
      <w:r>
        <w:rPr>
          <w:rFonts w:ascii="Times New Roman" w:eastAsia="宋体" w:hAnsi="Times New Roman"/>
          <w:sz w:val="20"/>
          <w:szCs w:val="20"/>
        </w:rPr>
        <w:t xml:space="preserve"> Marketing and sales expenses consist of salaries and benefits, and share-based compensation for our employees engaged in sales, sales support, marketing, </w:t>
      </w:r>
      <w:r>
        <w:rPr>
          <w:rFonts w:ascii="Times New Roman" w:eastAsia="宋体" w:hAnsi="Times New Roman"/>
          <w:sz w:val="20"/>
          <w:szCs w:val="20"/>
        </w:rPr>
        <w:t>business development, and customer service functions. Our marketing and sales expenses also include marketing and promotional expenditures and professional services such as content reviewers to support our community and product operations.</w:t>
      </w:r>
    </w:p>
    <w:p w14:paraId="1446EEF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b/>
          <w:bCs/>
          <w:sz w:val="20"/>
          <w:szCs w:val="20"/>
        </w:rPr>
        <w:t>General and admi</w:t>
      </w:r>
      <w:r>
        <w:rPr>
          <w:rFonts w:ascii="Times New Roman" w:eastAsia="宋体" w:hAnsi="Times New Roman"/>
          <w:b/>
          <w:bCs/>
          <w:sz w:val="20"/>
          <w:szCs w:val="20"/>
        </w:rPr>
        <w:t>nistrative.</w:t>
      </w:r>
      <w:r>
        <w:rPr>
          <w:rFonts w:ascii="Times New Roman" w:eastAsia="宋体" w:hAnsi="Times New Roman"/>
          <w:sz w:val="20"/>
          <w:szCs w:val="20"/>
        </w:rPr>
        <w:t xml:space="preserve"> General and administrative expenses consist of legal-related costs; salaries and benefits, and share-based compensation for certain of our executives as well as our legal, finance, human resources, corporate communications and policy, and other</w:t>
      </w:r>
      <w:r>
        <w:rPr>
          <w:rFonts w:ascii="Times New Roman" w:eastAsia="宋体" w:hAnsi="Times New Roman"/>
          <w:sz w:val="20"/>
          <w:szCs w:val="20"/>
        </w:rPr>
        <w:t xml:space="preserve"> administrative employees; and professional services. </w:t>
      </w:r>
    </w:p>
    <w:p w14:paraId="1446EEF5" w14:textId="77777777" w:rsidR="00FE42B5" w:rsidRDefault="00FE42B5">
      <w:pPr>
        <w:rPr>
          <w:rFonts w:ascii="Times New Roman" w:hAnsi="Times New Roman"/>
          <w:sz w:val="20"/>
          <w:szCs w:val="20"/>
        </w:rPr>
      </w:pPr>
    </w:p>
    <w:p w14:paraId="1446EEF6"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37</w:t>
      </w:r>
    </w:p>
    <w:p w14:paraId="1446EEF7" w14:textId="77777777" w:rsidR="00FE42B5" w:rsidRDefault="009213DC">
      <w:r>
        <w:rPr>
          <w:rFonts w:ascii="Times New Roman" w:hAnsi="Times New Roman"/>
          <w:sz w:val="20"/>
          <w:szCs w:val="20"/>
        </w:rPr>
        <w:pict w14:anchorId="1446FAED">
          <v:rect id="_x0000_i1061" style="width:415.3pt;height:1.5pt" o:hralign="center" o:hrstd="t" o:hr="t" fillcolor="#a0a0a0" stroked="f"/>
        </w:pict>
      </w:r>
    </w:p>
    <w:p w14:paraId="1446EEF8" w14:textId="77777777" w:rsidR="00FE42B5" w:rsidRDefault="009213DC">
      <w:pPr>
        <w:spacing w:line="288" w:lineRule="auto"/>
        <w:rPr>
          <w:rFonts w:ascii="Times New Roman" w:hAnsi="Times New Roman"/>
          <w:sz w:val="20"/>
          <w:szCs w:val="20"/>
        </w:rPr>
      </w:pPr>
      <w:hyperlink r:id="rId78" w:anchor="sBB4BED1571A45A16AF3DC2E3B69C901C" w:history="1">
        <w:r>
          <w:rPr>
            <w:rStyle w:val="a5"/>
            <w:rFonts w:ascii="Times New Roman" w:eastAsia="宋体" w:hAnsi="Times New Roman"/>
            <w:sz w:val="20"/>
            <w:szCs w:val="20"/>
          </w:rPr>
          <w:t>Table of Contents</w:t>
        </w:r>
      </w:hyperlink>
    </w:p>
    <w:p w14:paraId="1446EEF9" w14:textId="77777777" w:rsidR="00FE42B5" w:rsidRDefault="00FE42B5">
      <w:pPr>
        <w:rPr>
          <w:rFonts w:ascii="Times New Roman" w:hAnsi="Times New Roman"/>
          <w:sz w:val="20"/>
          <w:szCs w:val="20"/>
        </w:rPr>
      </w:pPr>
    </w:p>
    <w:p w14:paraId="1446EEFA"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Results of Operations</w:t>
      </w:r>
    </w:p>
    <w:p w14:paraId="1446EEFB" w14:textId="77777777" w:rsidR="00FE42B5" w:rsidRDefault="00FE42B5">
      <w:pPr>
        <w:spacing w:line="288" w:lineRule="auto"/>
        <w:ind w:firstLine="660"/>
        <w:jc w:val="both"/>
        <w:rPr>
          <w:rFonts w:ascii="Times New Roman" w:hAnsi="Times New Roman"/>
          <w:sz w:val="20"/>
          <w:szCs w:val="20"/>
        </w:rPr>
      </w:pPr>
    </w:p>
    <w:p w14:paraId="1446EEFC"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The following table sets forth our condensed consolidated statements of income data:</w:t>
      </w:r>
    </w:p>
    <w:tbl>
      <w:tblPr>
        <w:tblW w:w="4956" w:type="pct"/>
        <w:tblCellMar>
          <w:left w:w="0" w:type="dxa"/>
          <w:right w:w="0" w:type="dxa"/>
        </w:tblCellMar>
        <w:tblLook w:val="04A0" w:firstRow="1" w:lastRow="0" w:firstColumn="1" w:lastColumn="0" w:noHBand="0" w:noVBand="1"/>
      </w:tblPr>
      <w:tblGrid>
        <w:gridCol w:w="5634"/>
        <w:gridCol w:w="140"/>
        <w:gridCol w:w="1023"/>
        <w:gridCol w:w="107"/>
        <w:gridCol w:w="130"/>
        <w:gridCol w:w="140"/>
        <w:gridCol w:w="1023"/>
        <w:gridCol w:w="36"/>
      </w:tblGrid>
      <w:tr w:rsidR="00FE42B5" w14:paraId="1446EEFE" w14:textId="77777777">
        <w:tc>
          <w:tcPr>
            <w:tcW w:w="0" w:type="auto"/>
            <w:gridSpan w:val="8"/>
            <w:shd w:val="clear" w:color="auto" w:fill="auto"/>
            <w:vAlign w:val="center"/>
          </w:tcPr>
          <w:p w14:paraId="1446EEFD" w14:textId="77777777" w:rsidR="00FE42B5" w:rsidRDefault="00FE42B5">
            <w:pPr>
              <w:rPr>
                <w:rFonts w:ascii="Times New Roman" w:hAnsi="Times New Roman"/>
                <w:sz w:val="20"/>
                <w:szCs w:val="20"/>
              </w:rPr>
            </w:pPr>
          </w:p>
        </w:tc>
      </w:tr>
      <w:tr w:rsidR="00FE42B5" w14:paraId="1446EF07" w14:textId="77777777">
        <w:tc>
          <w:tcPr>
            <w:tcW w:w="3449" w:type="pct"/>
            <w:shd w:val="clear" w:color="auto" w:fill="auto"/>
            <w:vAlign w:val="center"/>
          </w:tcPr>
          <w:p w14:paraId="1446EEFF" w14:textId="77777777" w:rsidR="00FE42B5" w:rsidRDefault="00FE42B5">
            <w:pPr>
              <w:rPr>
                <w:rFonts w:ascii="Times New Roman" w:hAnsi="Times New Roman"/>
                <w:sz w:val="20"/>
                <w:szCs w:val="20"/>
              </w:rPr>
            </w:pPr>
          </w:p>
        </w:tc>
        <w:tc>
          <w:tcPr>
            <w:tcW w:w="50" w:type="pct"/>
            <w:shd w:val="clear" w:color="auto" w:fill="auto"/>
            <w:vAlign w:val="center"/>
          </w:tcPr>
          <w:p w14:paraId="1446EF00" w14:textId="77777777" w:rsidR="00FE42B5" w:rsidRDefault="00FE42B5">
            <w:pPr>
              <w:rPr>
                <w:rFonts w:ascii="Times New Roman" w:hAnsi="Times New Roman"/>
                <w:sz w:val="20"/>
                <w:szCs w:val="20"/>
              </w:rPr>
            </w:pPr>
          </w:p>
        </w:tc>
        <w:tc>
          <w:tcPr>
            <w:tcW w:w="650" w:type="pct"/>
            <w:shd w:val="clear" w:color="auto" w:fill="auto"/>
            <w:vAlign w:val="center"/>
          </w:tcPr>
          <w:p w14:paraId="1446EF01" w14:textId="77777777" w:rsidR="00FE42B5" w:rsidRDefault="00FE42B5">
            <w:pPr>
              <w:rPr>
                <w:rFonts w:ascii="Times New Roman" w:hAnsi="Times New Roman"/>
                <w:sz w:val="20"/>
                <w:szCs w:val="20"/>
              </w:rPr>
            </w:pPr>
          </w:p>
        </w:tc>
        <w:tc>
          <w:tcPr>
            <w:tcW w:w="50" w:type="pct"/>
            <w:shd w:val="clear" w:color="auto" w:fill="auto"/>
            <w:vAlign w:val="center"/>
          </w:tcPr>
          <w:p w14:paraId="1446EF02" w14:textId="77777777" w:rsidR="00FE42B5" w:rsidRDefault="00FE42B5">
            <w:pPr>
              <w:rPr>
                <w:rFonts w:ascii="Times New Roman" w:hAnsi="Times New Roman"/>
                <w:sz w:val="20"/>
                <w:szCs w:val="20"/>
              </w:rPr>
            </w:pPr>
          </w:p>
        </w:tc>
        <w:tc>
          <w:tcPr>
            <w:tcW w:w="50" w:type="pct"/>
            <w:shd w:val="clear" w:color="auto" w:fill="auto"/>
            <w:vAlign w:val="center"/>
          </w:tcPr>
          <w:p w14:paraId="1446EF03" w14:textId="77777777" w:rsidR="00FE42B5" w:rsidRDefault="00FE42B5">
            <w:pPr>
              <w:rPr>
                <w:rFonts w:ascii="Times New Roman" w:hAnsi="Times New Roman"/>
                <w:sz w:val="20"/>
                <w:szCs w:val="20"/>
              </w:rPr>
            </w:pPr>
          </w:p>
        </w:tc>
        <w:tc>
          <w:tcPr>
            <w:tcW w:w="50" w:type="pct"/>
            <w:shd w:val="clear" w:color="auto" w:fill="auto"/>
            <w:vAlign w:val="center"/>
          </w:tcPr>
          <w:p w14:paraId="1446EF04" w14:textId="77777777" w:rsidR="00FE42B5" w:rsidRDefault="00FE42B5">
            <w:pPr>
              <w:rPr>
                <w:rFonts w:ascii="Times New Roman" w:hAnsi="Times New Roman"/>
                <w:sz w:val="20"/>
                <w:szCs w:val="20"/>
              </w:rPr>
            </w:pPr>
          </w:p>
        </w:tc>
        <w:tc>
          <w:tcPr>
            <w:tcW w:w="650" w:type="pct"/>
            <w:shd w:val="clear" w:color="auto" w:fill="auto"/>
            <w:vAlign w:val="center"/>
          </w:tcPr>
          <w:p w14:paraId="1446EF05" w14:textId="77777777" w:rsidR="00FE42B5" w:rsidRDefault="00FE42B5">
            <w:pPr>
              <w:rPr>
                <w:rFonts w:ascii="Times New Roman" w:hAnsi="Times New Roman"/>
                <w:sz w:val="20"/>
                <w:szCs w:val="20"/>
              </w:rPr>
            </w:pPr>
          </w:p>
        </w:tc>
        <w:tc>
          <w:tcPr>
            <w:tcW w:w="50" w:type="pct"/>
            <w:shd w:val="clear" w:color="auto" w:fill="auto"/>
            <w:vAlign w:val="center"/>
          </w:tcPr>
          <w:p w14:paraId="1446EF06" w14:textId="77777777" w:rsidR="00FE42B5" w:rsidRDefault="00FE42B5">
            <w:pPr>
              <w:rPr>
                <w:rFonts w:ascii="Times New Roman" w:hAnsi="Times New Roman"/>
                <w:sz w:val="20"/>
                <w:szCs w:val="20"/>
              </w:rPr>
            </w:pPr>
          </w:p>
        </w:tc>
      </w:tr>
      <w:tr w:rsidR="00FE42B5" w14:paraId="1446EF0A" w14:textId="77777777">
        <w:tc>
          <w:tcPr>
            <w:tcW w:w="0" w:type="auto"/>
            <w:shd w:val="clear" w:color="auto" w:fill="auto"/>
            <w:tcMar>
              <w:top w:w="40" w:type="dxa"/>
              <w:left w:w="40" w:type="dxa"/>
              <w:bottom w:w="40" w:type="dxa"/>
              <w:right w:w="40" w:type="dxa"/>
            </w:tcMar>
            <w:vAlign w:val="bottom"/>
          </w:tcPr>
          <w:p w14:paraId="1446EF0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EF09"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r>
      <w:tr w:rsidR="00FE42B5" w14:paraId="1446EF0F" w14:textId="77777777">
        <w:tc>
          <w:tcPr>
            <w:tcW w:w="0" w:type="auto"/>
            <w:shd w:val="clear" w:color="auto" w:fill="auto"/>
            <w:tcMar>
              <w:top w:w="40" w:type="dxa"/>
              <w:left w:w="40" w:type="dxa"/>
              <w:bottom w:w="40" w:type="dxa"/>
              <w:right w:w="40" w:type="dxa"/>
            </w:tcMar>
            <w:vAlign w:val="bottom"/>
          </w:tcPr>
          <w:p w14:paraId="1446EF0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F0C"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1446EF0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F0E"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E42B5" w14:paraId="1446EF12" w14:textId="77777777">
        <w:tc>
          <w:tcPr>
            <w:tcW w:w="0" w:type="auto"/>
            <w:shd w:val="clear" w:color="auto" w:fill="auto"/>
            <w:tcMar>
              <w:top w:w="40" w:type="dxa"/>
              <w:left w:w="40" w:type="dxa"/>
              <w:bottom w:w="40" w:type="dxa"/>
              <w:right w:w="40" w:type="dxa"/>
            </w:tcMar>
            <w:vAlign w:val="bottom"/>
          </w:tcPr>
          <w:p w14:paraId="1446EF1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446EF11" w14:textId="77777777" w:rsidR="00FE42B5" w:rsidRDefault="009213DC">
            <w:pPr>
              <w:jc w:val="center"/>
              <w:textAlignment w:val="bottom"/>
              <w:rPr>
                <w:rFonts w:ascii="Times New Roman" w:hAnsi="Times New Roman"/>
                <w:sz w:val="16"/>
                <w:szCs w:val="16"/>
              </w:rPr>
            </w:pPr>
            <w:r>
              <w:rPr>
                <w:rFonts w:ascii="Times New Roman" w:eastAsia="宋体" w:hAnsi="Times New Roman"/>
                <w:b/>
                <w:bCs/>
                <w:i/>
                <w:iCs/>
                <w:sz w:val="16"/>
                <w:szCs w:val="16"/>
              </w:rPr>
              <w:t>(in millions)</w:t>
            </w:r>
          </w:p>
        </w:tc>
      </w:tr>
      <w:tr w:rsidR="00FE42B5" w14:paraId="1446EF1B" w14:textId="77777777">
        <w:tc>
          <w:tcPr>
            <w:tcW w:w="0" w:type="auto"/>
            <w:shd w:val="clear" w:color="auto" w:fill="CCEEFF"/>
            <w:tcMar>
              <w:top w:w="40" w:type="dxa"/>
              <w:left w:w="40" w:type="dxa"/>
              <w:bottom w:w="40" w:type="dxa"/>
              <w:right w:w="40" w:type="dxa"/>
            </w:tcMar>
          </w:tcPr>
          <w:p w14:paraId="1446EF13"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Revenue</w:t>
            </w:r>
          </w:p>
        </w:tc>
        <w:tc>
          <w:tcPr>
            <w:tcW w:w="0" w:type="auto"/>
            <w:shd w:val="clear" w:color="auto" w:fill="CCEEFF"/>
            <w:tcMar>
              <w:top w:w="40" w:type="dxa"/>
              <w:left w:w="40" w:type="dxa"/>
              <w:bottom w:w="40" w:type="dxa"/>
            </w:tcMar>
            <w:vAlign w:val="bottom"/>
          </w:tcPr>
          <w:p w14:paraId="1446EF1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F1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17,737</w:t>
            </w:r>
          </w:p>
        </w:tc>
        <w:tc>
          <w:tcPr>
            <w:tcW w:w="0" w:type="auto"/>
            <w:shd w:val="clear" w:color="auto" w:fill="CCEEFF"/>
            <w:vAlign w:val="bottom"/>
          </w:tcPr>
          <w:p w14:paraId="1446EF1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F1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F1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F1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15,077</w:t>
            </w:r>
          </w:p>
        </w:tc>
        <w:tc>
          <w:tcPr>
            <w:tcW w:w="0" w:type="auto"/>
            <w:shd w:val="clear" w:color="auto" w:fill="CCEEFF"/>
            <w:vAlign w:val="bottom"/>
          </w:tcPr>
          <w:p w14:paraId="1446EF1A" w14:textId="77777777" w:rsidR="00FE42B5" w:rsidRDefault="00FE42B5">
            <w:pPr>
              <w:textAlignment w:val="bottom"/>
              <w:rPr>
                <w:rFonts w:ascii="Times New Roman" w:hAnsi="Times New Roman"/>
                <w:sz w:val="20"/>
                <w:szCs w:val="20"/>
              </w:rPr>
            </w:pPr>
          </w:p>
        </w:tc>
      </w:tr>
      <w:tr w:rsidR="00FE42B5" w14:paraId="1446EF20" w14:textId="77777777">
        <w:tc>
          <w:tcPr>
            <w:tcW w:w="0" w:type="auto"/>
            <w:shd w:val="clear" w:color="auto" w:fill="auto"/>
            <w:tcMar>
              <w:top w:w="40" w:type="dxa"/>
              <w:left w:w="40" w:type="dxa"/>
              <w:bottom w:w="40" w:type="dxa"/>
              <w:right w:w="40" w:type="dxa"/>
            </w:tcMar>
          </w:tcPr>
          <w:p w14:paraId="1446EF1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Costs and expenses:</w:t>
            </w:r>
          </w:p>
        </w:tc>
        <w:tc>
          <w:tcPr>
            <w:tcW w:w="0" w:type="auto"/>
            <w:gridSpan w:val="3"/>
            <w:shd w:val="clear" w:color="auto" w:fill="auto"/>
            <w:tcMar>
              <w:top w:w="40" w:type="dxa"/>
              <w:left w:w="40" w:type="dxa"/>
              <w:bottom w:w="40" w:type="dxa"/>
              <w:right w:w="40" w:type="dxa"/>
            </w:tcMar>
            <w:vAlign w:val="bottom"/>
          </w:tcPr>
          <w:p w14:paraId="1446EF1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F1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EF1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F27" w14:textId="77777777">
        <w:tc>
          <w:tcPr>
            <w:tcW w:w="0" w:type="auto"/>
            <w:shd w:val="clear" w:color="auto" w:fill="CCEEFF"/>
            <w:tcMar>
              <w:top w:w="40" w:type="dxa"/>
              <w:left w:w="560" w:type="dxa"/>
              <w:bottom w:w="40" w:type="dxa"/>
              <w:right w:w="40" w:type="dxa"/>
            </w:tcMar>
          </w:tcPr>
          <w:p w14:paraId="1446EF2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gridSpan w:val="2"/>
            <w:shd w:val="clear" w:color="auto" w:fill="CCEEFF"/>
            <w:tcMar>
              <w:top w:w="40" w:type="dxa"/>
              <w:left w:w="40" w:type="dxa"/>
              <w:bottom w:w="40" w:type="dxa"/>
            </w:tcMar>
            <w:vAlign w:val="bottom"/>
          </w:tcPr>
          <w:p w14:paraId="1446EF2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3,459</w:t>
            </w:r>
          </w:p>
        </w:tc>
        <w:tc>
          <w:tcPr>
            <w:tcW w:w="0" w:type="auto"/>
            <w:shd w:val="clear" w:color="auto" w:fill="CCEEFF"/>
            <w:vAlign w:val="bottom"/>
          </w:tcPr>
          <w:p w14:paraId="1446EF23"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F2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F2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2,816</w:t>
            </w:r>
          </w:p>
        </w:tc>
        <w:tc>
          <w:tcPr>
            <w:tcW w:w="0" w:type="auto"/>
            <w:shd w:val="clear" w:color="auto" w:fill="CCEEFF"/>
            <w:vAlign w:val="bottom"/>
          </w:tcPr>
          <w:p w14:paraId="1446EF26" w14:textId="77777777" w:rsidR="00FE42B5" w:rsidRDefault="00FE42B5">
            <w:pPr>
              <w:textAlignment w:val="bottom"/>
              <w:rPr>
                <w:rFonts w:ascii="Times New Roman" w:hAnsi="Times New Roman"/>
                <w:sz w:val="20"/>
                <w:szCs w:val="20"/>
              </w:rPr>
            </w:pPr>
          </w:p>
        </w:tc>
      </w:tr>
      <w:tr w:rsidR="00FE42B5" w14:paraId="1446EF2E" w14:textId="77777777">
        <w:tc>
          <w:tcPr>
            <w:tcW w:w="0" w:type="auto"/>
            <w:shd w:val="clear" w:color="auto" w:fill="auto"/>
            <w:tcMar>
              <w:top w:w="40" w:type="dxa"/>
              <w:left w:w="560" w:type="dxa"/>
              <w:bottom w:w="40" w:type="dxa"/>
              <w:right w:w="40" w:type="dxa"/>
            </w:tcMar>
          </w:tcPr>
          <w:p w14:paraId="1446EF2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1446EF2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4,015</w:t>
            </w:r>
          </w:p>
        </w:tc>
        <w:tc>
          <w:tcPr>
            <w:tcW w:w="0" w:type="auto"/>
            <w:shd w:val="clear" w:color="auto" w:fill="auto"/>
            <w:vAlign w:val="bottom"/>
          </w:tcPr>
          <w:p w14:paraId="1446EF2A"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F2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F2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2,860</w:t>
            </w:r>
          </w:p>
        </w:tc>
        <w:tc>
          <w:tcPr>
            <w:tcW w:w="0" w:type="auto"/>
            <w:shd w:val="clear" w:color="auto" w:fill="auto"/>
            <w:vAlign w:val="bottom"/>
          </w:tcPr>
          <w:p w14:paraId="1446EF2D" w14:textId="77777777" w:rsidR="00FE42B5" w:rsidRDefault="00FE42B5">
            <w:pPr>
              <w:textAlignment w:val="bottom"/>
              <w:rPr>
                <w:rFonts w:ascii="Times New Roman" w:hAnsi="Times New Roman"/>
                <w:sz w:val="20"/>
                <w:szCs w:val="20"/>
              </w:rPr>
            </w:pPr>
          </w:p>
        </w:tc>
      </w:tr>
      <w:tr w:rsidR="00FE42B5" w14:paraId="1446EF35" w14:textId="77777777">
        <w:tc>
          <w:tcPr>
            <w:tcW w:w="0" w:type="auto"/>
            <w:shd w:val="clear" w:color="auto" w:fill="CCEEFF"/>
            <w:tcMar>
              <w:top w:w="40" w:type="dxa"/>
              <w:left w:w="560" w:type="dxa"/>
              <w:bottom w:w="40" w:type="dxa"/>
              <w:right w:w="40" w:type="dxa"/>
            </w:tcMar>
          </w:tcPr>
          <w:p w14:paraId="1446EF2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1446EF3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2,787</w:t>
            </w:r>
          </w:p>
        </w:tc>
        <w:tc>
          <w:tcPr>
            <w:tcW w:w="0" w:type="auto"/>
            <w:shd w:val="clear" w:color="auto" w:fill="CCEEFF"/>
            <w:vAlign w:val="bottom"/>
          </w:tcPr>
          <w:p w14:paraId="1446EF3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F3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F3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2,020</w:t>
            </w:r>
          </w:p>
        </w:tc>
        <w:tc>
          <w:tcPr>
            <w:tcW w:w="0" w:type="auto"/>
            <w:shd w:val="clear" w:color="auto" w:fill="CCEEFF"/>
            <w:vAlign w:val="bottom"/>
          </w:tcPr>
          <w:p w14:paraId="1446EF34" w14:textId="77777777" w:rsidR="00FE42B5" w:rsidRDefault="00FE42B5">
            <w:pPr>
              <w:textAlignment w:val="bottom"/>
              <w:rPr>
                <w:rFonts w:ascii="Times New Roman" w:hAnsi="Times New Roman"/>
                <w:sz w:val="20"/>
                <w:szCs w:val="20"/>
              </w:rPr>
            </w:pPr>
          </w:p>
        </w:tc>
      </w:tr>
      <w:tr w:rsidR="00FE42B5" w14:paraId="1446EF3C" w14:textId="77777777">
        <w:tc>
          <w:tcPr>
            <w:tcW w:w="0" w:type="auto"/>
            <w:shd w:val="clear" w:color="auto" w:fill="auto"/>
            <w:tcMar>
              <w:top w:w="40" w:type="dxa"/>
              <w:left w:w="560" w:type="dxa"/>
              <w:bottom w:w="40" w:type="dxa"/>
              <w:right w:w="40" w:type="dxa"/>
            </w:tcMar>
          </w:tcPr>
          <w:p w14:paraId="1446EF3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shd w:val="clear" w:color="auto" w:fill="auto"/>
            <w:tcMar>
              <w:top w:w="40" w:type="dxa"/>
              <w:left w:w="40" w:type="dxa"/>
              <w:bottom w:w="40" w:type="dxa"/>
            </w:tcMar>
            <w:vAlign w:val="bottom"/>
          </w:tcPr>
          <w:p w14:paraId="1446EF3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1,583</w:t>
            </w:r>
          </w:p>
        </w:tc>
        <w:tc>
          <w:tcPr>
            <w:tcW w:w="0" w:type="auto"/>
            <w:shd w:val="clear" w:color="auto" w:fill="auto"/>
            <w:vAlign w:val="bottom"/>
          </w:tcPr>
          <w:p w14:paraId="1446EF38"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F3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F3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4,064</w:t>
            </w:r>
          </w:p>
        </w:tc>
        <w:tc>
          <w:tcPr>
            <w:tcW w:w="0" w:type="auto"/>
            <w:shd w:val="clear" w:color="auto" w:fill="auto"/>
            <w:vAlign w:val="bottom"/>
          </w:tcPr>
          <w:p w14:paraId="1446EF3B" w14:textId="77777777" w:rsidR="00FE42B5" w:rsidRDefault="00FE42B5">
            <w:pPr>
              <w:textAlignment w:val="bottom"/>
              <w:rPr>
                <w:rFonts w:ascii="Times New Roman" w:hAnsi="Times New Roman"/>
                <w:sz w:val="20"/>
                <w:szCs w:val="20"/>
              </w:rPr>
            </w:pPr>
          </w:p>
        </w:tc>
      </w:tr>
      <w:tr w:rsidR="00FE42B5" w14:paraId="1446EF43" w14:textId="77777777">
        <w:tc>
          <w:tcPr>
            <w:tcW w:w="0" w:type="auto"/>
            <w:shd w:val="clear" w:color="auto" w:fill="CCEEFF"/>
            <w:tcMar>
              <w:top w:w="40" w:type="dxa"/>
              <w:left w:w="40" w:type="dxa"/>
              <w:bottom w:w="40" w:type="dxa"/>
              <w:right w:w="40" w:type="dxa"/>
            </w:tcMar>
          </w:tcPr>
          <w:p w14:paraId="1446EF3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 costs and expenses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1446EF3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11,844</w:t>
            </w:r>
          </w:p>
        </w:tc>
        <w:tc>
          <w:tcPr>
            <w:tcW w:w="0" w:type="auto"/>
            <w:tcBorders>
              <w:top w:val="single" w:sz="8" w:space="0" w:color="000000"/>
              <w:bottom w:val="single" w:sz="8" w:space="0" w:color="000000"/>
            </w:tcBorders>
            <w:shd w:val="clear" w:color="auto" w:fill="CCEEFF"/>
            <w:vAlign w:val="bottom"/>
          </w:tcPr>
          <w:p w14:paraId="1446EF3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F4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1446EF4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11,760</w:t>
            </w:r>
          </w:p>
        </w:tc>
        <w:tc>
          <w:tcPr>
            <w:tcW w:w="0" w:type="auto"/>
            <w:tcBorders>
              <w:top w:val="single" w:sz="8" w:space="0" w:color="000000"/>
              <w:bottom w:val="single" w:sz="8" w:space="0" w:color="000000"/>
            </w:tcBorders>
            <w:shd w:val="clear" w:color="auto" w:fill="CCEEFF"/>
            <w:vAlign w:val="bottom"/>
          </w:tcPr>
          <w:p w14:paraId="1446EF42" w14:textId="77777777" w:rsidR="00FE42B5" w:rsidRDefault="00FE42B5">
            <w:pPr>
              <w:textAlignment w:val="bottom"/>
              <w:rPr>
                <w:rFonts w:ascii="Times New Roman" w:hAnsi="Times New Roman"/>
                <w:sz w:val="20"/>
                <w:szCs w:val="20"/>
              </w:rPr>
            </w:pPr>
          </w:p>
        </w:tc>
      </w:tr>
      <w:tr w:rsidR="00FE42B5" w14:paraId="1446EF4A" w14:textId="77777777">
        <w:tc>
          <w:tcPr>
            <w:tcW w:w="0" w:type="auto"/>
            <w:shd w:val="clear" w:color="auto" w:fill="auto"/>
            <w:tcMar>
              <w:top w:w="40" w:type="dxa"/>
              <w:left w:w="40" w:type="dxa"/>
              <w:bottom w:w="40" w:type="dxa"/>
              <w:right w:w="40" w:type="dxa"/>
            </w:tcMar>
          </w:tcPr>
          <w:p w14:paraId="1446EF4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Income from operations</w:t>
            </w:r>
          </w:p>
        </w:tc>
        <w:tc>
          <w:tcPr>
            <w:tcW w:w="0" w:type="auto"/>
            <w:gridSpan w:val="2"/>
            <w:shd w:val="clear" w:color="auto" w:fill="auto"/>
            <w:tcMar>
              <w:top w:w="40" w:type="dxa"/>
              <w:left w:w="40" w:type="dxa"/>
              <w:bottom w:w="40" w:type="dxa"/>
            </w:tcMar>
            <w:vAlign w:val="bottom"/>
          </w:tcPr>
          <w:p w14:paraId="1446EF4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5,893</w:t>
            </w:r>
          </w:p>
        </w:tc>
        <w:tc>
          <w:tcPr>
            <w:tcW w:w="0" w:type="auto"/>
            <w:shd w:val="clear" w:color="auto" w:fill="auto"/>
            <w:vAlign w:val="bottom"/>
          </w:tcPr>
          <w:p w14:paraId="1446EF4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F4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F4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3,317</w:t>
            </w:r>
          </w:p>
        </w:tc>
        <w:tc>
          <w:tcPr>
            <w:tcW w:w="0" w:type="auto"/>
            <w:shd w:val="clear" w:color="auto" w:fill="auto"/>
            <w:vAlign w:val="bottom"/>
          </w:tcPr>
          <w:p w14:paraId="1446EF49" w14:textId="77777777" w:rsidR="00FE42B5" w:rsidRDefault="00FE42B5">
            <w:pPr>
              <w:textAlignment w:val="bottom"/>
              <w:rPr>
                <w:rFonts w:ascii="Times New Roman" w:hAnsi="Times New Roman"/>
                <w:sz w:val="20"/>
                <w:szCs w:val="20"/>
              </w:rPr>
            </w:pPr>
          </w:p>
        </w:tc>
      </w:tr>
      <w:tr w:rsidR="00FE42B5" w14:paraId="1446EF51" w14:textId="77777777">
        <w:tc>
          <w:tcPr>
            <w:tcW w:w="0" w:type="auto"/>
            <w:shd w:val="clear" w:color="auto" w:fill="CCEEFF"/>
            <w:tcMar>
              <w:top w:w="40" w:type="dxa"/>
              <w:left w:w="40" w:type="dxa"/>
              <w:bottom w:w="40" w:type="dxa"/>
              <w:right w:w="40" w:type="dxa"/>
            </w:tcMar>
          </w:tcPr>
          <w:p w14:paraId="1446EF4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Interest and other income (expense), net</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F4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bottom w:val="single" w:sz="8" w:space="0" w:color="000000"/>
            </w:tcBorders>
            <w:shd w:val="clear" w:color="auto" w:fill="CCEEFF"/>
            <w:tcMar>
              <w:top w:w="40" w:type="dxa"/>
              <w:bottom w:w="40" w:type="dxa"/>
              <w:right w:w="40" w:type="dxa"/>
            </w:tcMar>
            <w:vAlign w:val="bottom"/>
          </w:tcPr>
          <w:p w14:paraId="1446EF4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F4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446EF4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tcBorders>
              <w:bottom w:val="single" w:sz="8" w:space="0" w:color="000000"/>
            </w:tcBorders>
            <w:shd w:val="clear" w:color="auto" w:fill="CCEEFF"/>
            <w:vAlign w:val="bottom"/>
          </w:tcPr>
          <w:p w14:paraId="1446EF50" w14:textId="77777777" w:rsidR="00FE42B5" w:rsidRDefault="00FE42B5">
            <w:pPr>
              <w:textAlignment w:val="bottom"/>
              <w:rPr>
                <w:rFonts w:ascii="Times New Roman" w:hAnsi="Times New Roman"/>
                <w:sz w:val="20"/>
                <w:szCs w:val="20"/>
              </w:rPr>
            </w:pPr>
          </w:p>
        </w:tc>
      </w:tr>
      <w:tr w:rsidR="00FE42B5" w14:paraId="1446EF58" w14:textId="77777777">
        <w:tc>
          <w:tcPr>
            <w:tcW w:w="0" w:type="auto"/>
            <w:shd w:val="clear" w:color="auto" w:fill="auto"/>
            <w:tcMar>
              <w:top w:w="40" w:type="dxa"/>
              <w:left w:w="40" w:type="dxa"/>
              <w:bottom w:w="40" w:type="dxa"/>
              <w:right w:w="40" w:type="dxa"/>
            </w:tcMar>
          </w:tcPr>
          <w:p w14:paraId="1446EF5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gridSpan w:val="2"/>
            <w:shd w:val="clear" w:color="auto" w:fill="auto"/>
            <w:tcMar>
              <w:top w:w="40" w:type="dxa"/>
              <w:left w:w="40" w:type="dxa"/>
              <w:bottom w:w="40" w:type="dxa"/>
            </w:tcMar>
            <w:vAlign w:val="bottom"/>
          </w:tcPr>
          <w:p w14:paraId="1446EF5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5,861</w:t>
            </w:r>
          </w:p>
        </w:tc>
        <w:tc>
          <w:tcPr>
            <w:tcW w:w="0" w:type="auto"/>
            <w:shd w:val="clear" w:color="auto" w:fill="auto"/>
            <w:vAlign w:val="bottom"/>
          </w:tcPr>
          <w:p w14:paraId="1446EF54"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F5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F5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3,482</w:t>
            </w:r>
          </w:p>
        </w:tc>
        <w:tc>
          <w:tcPr>
            <w:tcW w:w="0" w:type="auto"/>
            <w:shd w:val="clear" w:color="auto" w:fill="auto"/>
            <w:vAlign w:val="bottom"/>
          </w:tcPr>
          <w:p w14:paraId="1446EF57" w14:textId="77777777" w:rsidR="00FE42B5" w:rsidRDefault="00FE42B5">
            <w:pPr>
              <w:textAlignment w:val="bottom"/>
              <w:rPr>
                <w:rFonts w:ascii="Times New Roman" w:hAnsi="Times New Roman"/>
                <w:sz w:val="20"/>
                <w:szCs w:val="20"/>
              </w:rPr>
            </w:pPr>
          </w:p>
        </w:tc>
      </w:tr>
      <w:tr w:rsidR="00FE42B5" w14:paraId="1446EF5F" w14:textId="77777777">
        <w:tc>
          <w:tcPr>
            <w:tcW w:w="0" w:type="auto"/>
            <w:shd w:val="clear" w:color="auto" w:fill="CCEEFF"/>
            <w:tcMar>
              <w:top w:w="40" w:type="dxa"/>
              <w:left w:w="40" w:type="dxa"/>
              <w:bottom w:w="40" w:type="dxa"/>
              <w:right w:w="40" w:type="dxa"/>
            </w:tcMar>
          </w:tcPr>
          <w:p w14:paraId="1446EF59"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Provision for income taxes</w:t>
            </w:r>
          </w:p>
        </w:tc>
        <w:tc>
          <w:tcPr>
            <w:tcW w:w="0" w:type="auto"/>
            <w:gridSpan w:val="2"/>
            <w:shd w:val="clear" w:color="auto" w:fill="CCEEFF"/>
            <w:tcMar>
              <w:top w:w="40" w:type="dxa"/>
              <w:left w:w="40" w:type="dxa"/>
              <w:bottom w:w="40" w:type="dxa"/>
            </w:tcMar>
            <w:vAlign w:val="bottom"/>
          </w:tcPr>
          <w:p w14:paraId="1446EF5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959</w:t>
            </w:r>
          </w:p>
        </w:tc>
        <w:tc>
          <w:tcPr>
            <w:tcW w:w="0" w:type="auto"/>
            <w:shd w:val="clear" w:color="auto" w:fill="CCEEFF"/>
            <w:vAlign w:val="bottom"/>
          </w:tcPr>
          <w:p w14:paraId="1446EF5B"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F5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EF5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1,053</w:t>
            </w:r>
          </w:p>
        </w:tc>
        <w:tc>
          <w:tcPr>
            <w:tcW w:w="0" w:type="auto"/>
            <w:shd w:val="clear" w:color="auto" w:fill="CCEEFF"/>
            <w:vAlign w:val="bottom"/>
          </w:tcPr>
          <w:p w14:paraId="1446EF5E" w14:textId="77777777" w:rsidR="00FE42B5" w:rsidRDefault="00FE42B5">
            <w:pPr>
              <w:textAlignment w:val="bottom"/>
              <w:rPr>
                <w:rFonts w:ascii="Times New Roman" w:hAnsi="Times New Roman"/>
                <w:sz w:val="20"/>
                <w:szCs w:val="20"/>
              </w:rPr>
            </w:pPr>
          </w:p>
        </w:tc>
      </w:tr>
      <w:tr w:rsidR="00FE42B5" w14:paraId="1446EF68" w14:textId="77777777">
        <w:tc>
          <w:tcPr>
            <w:tcW w:w="0" w:type="auto"/>
            <w:shd w:val="clear" w:color="auto" w:fill="auto"/>
            <w:tcMar>
              <w:top w:w="40" w:type="dxa"/>
              <w:left w:w="40" w:type="dxa"/>
              <w:bottom w:w="40" w:type="dxa"/>
              <w:right w:w="40" w:type="dxa"/>
            </w:tcMar>
          </w:tcPr>
          <w:p w14:paraId="1446EF6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F6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F6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4,902</w:t>
            </w:r>
          </w:p>
        </w:tc>
        <w:tc>
          <w:tcPr>
            <w:tcW w:w="0" w:type="auto"/>
            <w:tcBorders>
              <w:top w:val="single" w:sz="8" w:space="0" w:color="000000"/>
              <w:bottom w:val="double" w:sz="6" w:space="0" w:color="000000"/>
            </w:tcBorders>
            <w:shd w:val="clear" w:color="auto" w:fill="auto"/>
            <w:vAlign w:val="bottom"/>
          </w:tcPr>
          <w:p w14:paraId="1446EF6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F6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F6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446EF6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2,429</w:t>
            </w:r>
          </w:p>
        </w:tc>
        <w:tc>
          <w:tcPr>
            <w:tcW w:w="0" w:type="auto"/>
            <w:tcBorders>
              <w:top w:val="single" w:sz="8" w:space="0" w:color="000000"/>
              <w:bottom w:val="double" w:sz="6" w:space="0" w:color="000000"/>
            </w:tcBorders>
            <w:shd w:val="clear" w:color="auto" w:fill="auto"/>
            <w:vAlign w:val="bottom"/>
          </w:tcPr>
          <w:p w14:paraId="1446EF67" w14:textId="77777777" w:rsidR="00FE42B5" w:rsidRDefault="00FE42B5">
            <w:pPr>
              <w:textAlignment w:val="bottom"/>
              <w:rPr>
                <w:rFonts w:ascii="Times New Roman" w:hAnsi="Times New Roman"/>
                <w:sz w:val="20"/>
                <w:szCs w:val="20"/>
              </w:rPr>
            </w:pPr>
          </w:p>
        </w:tc>
      </w:tr>
    </w:tbl>
    <w:p w14:paraId="1446EF69" w14:textId="77777777" w:rsidR="00FE42B5" w:rsidRDefault="00FE42B5">
      <w:pPr>
        <w:spacing w:line="288" w:lineRule="auto"/>
        <w:ind w:firstLine="640"/>
        <w:jc w:val="both"/>
        <w:rPr>
          <w:rFonts w:ascii="Times New Roman" w:hAnsi="Times New Roman"/>
          <w:sz w:val="20"/>
          <w:szCs w:val="20"/>
        </w:rPr>
      </w:pPr>
    </w:p>
    <w:p w14:paraId="1446EF6A" w14:textId="77777777" w:rsidR="00FE42B5" w:rsidRDefault="009213DC">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The following table sets forth our condensed consolidated statements of income data (as a percentage of </w:t>
      </w:r>
      <w:r>
        <w:rPr>
          <w:rFonts w:ascii="Times New Roman" w:eastAsia="宋体" w:hAnsi="Times New Roman"/>
          <w:sz w:val="20"/>
          <w:szCs w:val="20"/>
        </w:rPr>
        <w:t>revenue)</w:t>
      </w:r>
      <w:r>
        <w:rPr>
          <w:rFonts w:ascii="Times New Roman" w:eastAsia="宋体" w:hAnsi="Times New Roman"/>
          <w:sz w:val="14"/>
          <w:szCs w:val="14"/>
        </w:rPr>
        <w:t>(1)</w:t>
      </w:r>
      <w:r>
        <w:rPr>
          <w:rFonts w:ascii="Times New Roman" w:eastAsia="宋体" w:hAnsi="Times New Roman"/>
          <w:sz w:val="20"/>
          <w:szCs w:val="20"/>
        </w:rPr>
        <w:t>:</w:t>
      </w:r>
      <w:r>
        <w:rPr>
          <w:rFonts w:ascii="Times New Roman" w:eastAsia="宋体" w:hAnsi="Times New Roman"/>
          <w:sz w:val="18"/>
          <w:szCs w:val="18"/>
        </w:rPr>
        <w:t> </w:t>
      </w:r>
    </w:p>
    <w:tbl>
      <w:tblPr>
        <w:tblW w:w="4956" w:type="pct"/>
        <w:tblCellMar>
          <w:left w:w="0" w:type="dxa"/>
          <w:right w:w="0" w:type="dxa"/>
        </w:tblCellMar>
        <w:tblLook w:val="04A0" w:firstRow="1" w:lastRow="0" w:firstColumn="1" w:lastColumn="0" w:noHBand="0" w:noVBand="1"/>
      </w:tblPr>
      <w:tblGrid>
        <w:gridCol w:w="5581"/>
        <w:gridCol w:w="1054"/>
        <w:gridCol w:w="207"/>
        <w:gridCol w:w="130"/>
        <w:gridCol w:w="1054"/>
        <w:gridCol w:w="207"/>
      </w:tblGrid>
      <w:tr w:rsidR="00FE42B5" w14:paraId="1446EF6C" w14:textId="77777777">
        <w:tc>
          <w:tcPr>
            <w:tcW w:w="0" w:type="auto"/>
            <w:gridSpan w:val="6"/>
            <w:shd w:val="clear" w:color="auto" w:fill="auto"/>
            <w:vAlign w:val="center"/>
          </w:tcPr>
          <w:p w14:paraId="1446EF6B" w14:textId="77777777" w:rsidR="00FE42B5" w:rsidRDefault="00FE42B5">
            <w:pPr>
              <w:rPr>
                <w:rFonts w:ascii="Times New Roman" w:hAnsi="Times New Roman"/>
                <w:sz w:val="20"/>
                <w:szCs w:val="20"/>
              </w:rPr>
            </w:pPr>
          </w:p>
        </w:tc>
      </w:tr>
      <w:tr w:rsidR="00FE42B5" w14:paraId="1446EF73" w14:textId="77777777">
        <w:tc>
          <w:tcPr>
            <w:tcW w:w="3449" w:type="pct"/>
            <w:shd w:val="clear" w:color="auto" w:fill="auto"/>
            <w:vAlign w:val="center"/>
          </w:tcPr>
          <w:p w14:paraId="1446EF6D" w14:textId="77777777" w:rsidR="00FE42B5" w:rsidRDefault="00FE42B5">
            <w:pPr>
              <w:rPr>
                <w:rFonts w:ascii="Times New Roman" w:hAnsi="Times New Roman"/>
                <w:sz w:val="20"/>
                <w:szCs w:val="20"/>
              </w:rPr>
            </w:pPr>
          </w:p>
        </w:tc>
        <w:tc>
          <w:tcPr>
            <w:tcW w:w="700" w:type="pct"/>
            <w:shd w:val="clear" w:color="auto" w:fill="auto"/>
            <w:vAlign w:val="center"/>
          </w:tcPr>
          <w:p w14:paraId="1446EF6E" w14:textId="77777777" w:rsidR="00FE42B5" w:rsidRDefault="00FE42B5">
            <w:pPr>
              <w:rPr>
                <w:rFonts w:ascii="Times New Roman" w:hAnsi="Times New Roman"/>
                <w:sz w:val="20"/>
                <w:szCs w:val="20"/>
              </w:rPr>
            </w:pPr>
          </w:p>
        </w:tc>
        <w:tc>
          <w:tcPr>
            <w:tcW w:w="50" w:type="pct"/>
            <w:shd w:val="clear" w:color="auto" w:fill="auto"/>
            <w:vAlign w:val="center"/>
          </w:tcPr>
          <w:p w14:paraId="1446EF6F" w14:textId="77777777" w:rsidR="00FE42B5" w:rsidRDefault="00FE42B5">
            <w:pPr>
              <w:rPr>
                <w:rFonts w:ascii="Times New Roman" w:hAnsi="Times New Roman"/>
                <w:sz w:val="20"/>
                <w:szCs w:val="20"/>
              </w:rPr>
            </w:pPr>
          </w:p>
        </w:tc>
        <w:tc>
          <w:tcPr>
            <w:tcW w:w="50" w:type="pct"/>
            <w:shd w:val="clear" w:color="auto" w:fill="auto"/>
            <w:vAlign w:val="center"/>
          </w:tcPr>
          <w:p w14:paraId="1446EF70" w14:textId="77777777" w:rsidR="00FE42B5" w:rsidRDefault="00FE42B5">
            <w:pPr>
              <w:rPr>
                <w:rFonts w:ascii="Times New Roman" w:hAnsi="Times New Roman"/>
                <w:sz w:val="20"/>
                <w:szCs w:val="20"/>
              </w:rPr>
            </w:pPr>
          </w:p>
        </w:tc>
        <w:tc>
          <w:tcPr>
            <w:tcW w:w="700" w:type="pct"/>
            <w:shd w:val="clear" w:color="auto" w:fill="auto"/>
            <w:vAlign w:val="center"/>
          </w:tcPr>
          <w:p w14:paraId="1446EF71" w14:textId="77777777" w:rsidR="00FE42B5" w:rsidRDefault="00FE42B5">
            <w:pPr>
              <w:rPr>
                <w:rFonts w:ascii="Times New Roman" w:hAnsi="Times New Roman"/>
                <w:sz w:val="20"/>
                <w:szCs w:val="20"/>
              </w:rPr>
            </w:pPr>
          </w:p>
        </w:tc>
        <w:tc>
          <w:tcPr>
            <w:tcW w:w="50" w:type="pct"/>
            <w:shd w:val="clear" w:color="auto" w:fill="auto"/>
            <w:vAlign w:val="center"/>
          </w:tcPr>
          <w:p w14:paraId="1446EF72" w14:textId="77777777" w:rsidR="00FE42B5" w:rsidRDefault="00FE42B5">
            <w:pPr>
              <w:rPr>
                <w:rFonts w:ascii="Times New Roman" w:hAnsi="Times New Roman"/>
                <w:sz w:val="20"/>
                <w:szCs w:val="20"/>
              </w:rPr>
            </w:pPr>
          </w:p>
        </w:tc>
      </w:tr>
      <w:tr w:rsidR="00FE42B5" w14:paraId="1446EF76" w14:textId="77777777">
        <w:tc>
          <w:tcPr>
            <w:tcW w:w="0" w:type="auto"/>
            <w:shd w:val="clear" w:color="auto" w:fill="auto"/>
            <w:tcMar>
              <w:top w:w="40" w:type="dxa"/>
              <w:left w:w="40" w:type="dxa"/>
              <w:bottom w:w="40" w:type="dxa"/>
              <w:right w:w="40" w:type="dxa"/>
            </w:tcMar>
            <w:vAlign w:val="bottom"/>
          </w:tcPr>
          <w:p w14:paraId="1446EF74"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1446EF75"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r>
      <w:tr w:rsidR="00FE42B5" w14:paraId="1446EF7B" w14:textId="77777777">
        <w:tc>
          <w:tcPr>
            <w:tcW w:w="0" w:type="auto"/>
            <w:shd w:val="clear" w:color="auto" w:fill="auto"/>
            <w:tcMar>
              <w:top w:w="40" w:type="dxa"/>
              <w:left w:w="40" w:type="dxa"/>
              <w:bottom w:w="40" w:type="dxa"/>
              <w:right w:w="40" w:type="dxa"/>
            </w:tcMar>
            <w:vAlign w:val="bottom"/>
          </w:tcPr>
          <w:p w14:paraId="1446EF77"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F78"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1446EF7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F7A"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E42B5" w14:paraId="1446EF82" w14:textId="77777777">
        <w:tc>
          <w:tcPr>
            <w:tcW w:w="0" w:type="auto"/>
            <w:shd w:val="clear" w:color="auto" w:fill="CCEEFF"/>
            <w:tcMar>
              <w:top w:w="40" w:type="dxa"/>
              <w:left w:w="40" w:type="dxa"/>
              <w:bottom w:w="40" w:type="dxa"/>
              <w:right w:w="40" w:type="dxa"/>
            </w:tcMar>
          </w:tcPr>
          <w:p w14:paraId="1446EF7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Revenue</w:t>
            </w:r>
          </w:p>
        </w:tc>
        <w:tc>
          <w:tcPr>
            <w:tcW w:w="0" w:type="auto"/>
            <w:tcBorders>
              <w:top w:val="single" w:sz="8" w:space="0" w:color="000000"/>
            </w:tcBorders>
            <w:shd w:val="clear" w:color="auto" w:fill="CCEEFF"/>
            <w:tcMar>
              <w:top w:w="40" w:type="dxa"/>
              <w:left w:w="40" w:type="dxa"/>
              <w:bottom w:w="40" w:type="dxa"/>
            </w:tcMar>
            <w:vAlign w:val="bottom"/>
          </w:tcPr>
          <w:p w14:paraId="1446EF7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CCEEFF"/>
            <w:tcMar>
              <w:top w:w="40" w:type="dxa"/>
              <w:bottom w:w="40" w:type="dxa"/>
              <w:right w:w="40" w:type="dxa"/>
            </w:tcMar>
            <w:vAlign w:val="bottom"/>
          </w:tcPr>
          <w:p w14:paraId="1446EF7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EF7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446EF8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CCEEFF"/>
            <w:tcMar>
              <w:top w:w="40" w:type="dxa"/>
              <w:bottom w:w="40" w:type="dxa"/>
              <w:right w:w="40" w:type="dxa"/>
            </w:tcMar>
            <w:vAlign w:val="bottom"/>
          </w:tcPr>
          <w:p w14:paraId="1446EF8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EF87" w14:textId="77777777">
        <w:tc>
          <w:tcPr>
            <w:tcW w:w="0" w:type="auto"/>
            <w:shd w:val="clear" w:color="auto" w:fill="auto"/>
            <w:tcMar>
              <w:top w:w="40" w:type="dxa"/>
              <w:left w:w="40" w:type="dxa"/>
              <w:bottom w:w="40" w:type="dxa"/>
              <w:right w:w="40" w:type="dxa"/>
            </w:tcMar>
          </w:tcPr>
          <w:p w14:paraId="1446EF83"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Costs and expenses:</w:t>
            </w:r>
          </w:p>
        </w:tc>
        <w:tc>
          <w:tcPr>
            <w:tcW w:w="0" w:type="auto"/>
            <w:gridSpan w:val="2"/>
            <w:shd w:val="clear" w:color="auto" w:fill="auto"/>
            <w:tcMar>
              <w:top w:w="40" w:type="dxa"/>
              <w:left w:w="40" w:type="dxa"/>
              <w:bottom w:w="40" w:type="dxa"/>
              <w:right w:w="40" w:type="dxa"/>
            </w:tcMar>
            <w:vAlign w:val="bottom"/>
          </w:tcPr>
          <w:p w14:paraId="1446EF8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EF8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EF8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EF8E" w14:textId="77777777">
        <w:tc>
          <w:tcPr>
            <w:tcW w:w="0" w:type="auto"/>
            <w:shd w:val="clear" w:color="auto" w:fill="CCEEFF"/>
            <w:tcMar>
              <w:top w:w="40" w:type="dxa"/>
              <w:left w:w="560" w:type="dxa"/>
              <w:bottom w:w="40" w:type="dxa"/>
              <w:right w:w="40" w:type="dxa"/>
            </w:tcMar>
          </w:tcPr>
          <w:p w14:paraId="1446EF8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1446EF8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1446EF8A"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F8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F8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1446EF8D" w14:textId="77777777" w:rsidR="00FE42B5" w:rsidRDefault="00FE42B5">
            <w:pPr>
              <w:textAlignment w:val="bottom"/>
              <w:rPr>
                <w:rFonts w:ascii="Times New Roman" w:hAnsi="Times New Roman"/>
                <w:sz w:val="20"/>
                <w:szCs w:val="20"/>
              </w:rPr>
            </w:pPr>
          </w:p>
        </w:tc>
      </w:tr>
      <w:tr w:rsidR="00FE42B5" w14:paraId="1446EF95" w14:textId="77777777">
        <w:tc>
          <w:tcPr>
            <w:tcW w:w="0" w:type="auto"/>
            <w:shd w:val="clear" w:color="auto" w:fill="auto"/>
            <w:tcMar>
              <w:top w:w="40" w:type="dxa"/>
              <w:left w:w="560" w:type="dxa"/>
              <w:bottom w:w="40" w:type="dxa"/>
              <w:right w:w="40" w:type="dxa"/>
            </w:tcMar>
          </w:tcPr>
          <w:p w14:paraId="1446EF8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auto"/>
            <w:tcMar>
              <w:top w:w="40" w:type="dxa"/>
              <w:left w:w="40" w:type="dxa"/>
              <w:bottom w:w="40" w:type="dxa"/>
            </w:tcMar>
            <w:vAlign w:val="bottom"/>
          </w:tcPr>
          <w:p w14:paraId="1446EF9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auto"/>
            <w:vAlign w:val="bottom"/>
          </w:tcPr>
          <w:p w14:paraId="1446EF91"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F9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F9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vAlign w:val="bottom"/>
          </w:tcPr>
          <w:p w14:paraId="1446EF94" w14:textId="77777777" w:rsidR="00FE42B5" w:rsidRDefault="00FE42B5">
            <w:pPr>
              <w:textAlignment w:val="bottom"/>
              <w:rPr>
                <w:rFonts w:ascii="Times New Roman" w:hAnsi="Times New Roman"/>
                <w:sz w:val="20"/>
                <w:szCs w:val="20"/>
              </w:rPr>
            </w:pPr>
          </w:p>
        </w:tc>
      </w:tr>
      <w:tr w:rsidR="00FE42B5" w14:paraId="1446EF9C" w14:textId="77777777">
        <w:tc>
          <w:tcPr>
            <w:tcW w:w="0" w:type="auto"/>
            <w:shd w:val="clear" w:color="auto" w:fill="CCEEFF"/>
            <w:tcMar>
              <w:top w:w="40" w:type="dxa"/>
              <w:left w:w="560" w:type="dxa"/>
              <w:bottom w:w="40" w:type="dxa"/>
              <w:right w:w="40" w:type="dxa"/>
            </w:tcMar>
          </w:tcPr>
          <w:p w14:paraId="1446EF9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1446EF9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vAlign w:val="bottom"/>
          </w:tcPr>
          <w:p w14:paraId="1446EF98"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F9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F9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1446EF9B" w14:textId="77777777" w:rsidR="00FE42B5" w:rsidRDefault="00FE42B5">
            <w:pPr>
              <w:textAlignment w:val="bottom"/>
              <w:rPr>
                <w:rFonts w:ascii="Times New Roman" w:hAnsi="Times New Roman"/>
                <w:sz w:val="20"/>
                <w:szCs w:val="20"/>
              </w:rPr>
            </w:pPr>
          </w:p>
        </w:tc>
      </w:tr>
      <w:tr w:rsidR="00FE42B5" w14:paraId="1446EFA3" w14:textId="77777777">
        <w:tc>
          <w:tcPr>
            <w:tcW w:w="0" w:type="auto"/>
            <w:shd w:val="clear" w:color="auto" w:fill="auto"/>
            <w:tcMar>
              <w:top w:w="40" w:type="dxa"/>
              <w:left w:w="560" w:type="dxa"/>
              <w:bottom w:w="40" w:type="dxa"/>
              <w:right w:w="40" w:type="dxa"/>
            </w:tcMar>
          </w:tcPr>
          <w:p w14:paraId="1446EF9D"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tcBorders>
              <w:bottom w:val="single" w:sz="8" w:space="0" w:color="000000"/>
            </w:tcBorders>
            <w:shd w:val="clear" w:color="auto" w:fill="auto"/>
            <w:tcMar>
              <w:top w:w="40" w:type="dxa"/>
              <w:left w:w="40" w:type="dxa"/>
              <w:bottom w:w="40" w:type="dxa"/>
            </w:tcMar>
            <w:vAlign w:val="bottom"/>
          </w:tcPr>
          <w:p w14:paraId="1446EF9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auto"/>
            <w:vAlign w:val="bottom"/>
          </w:tcPr>
          <w:p w14:paraId="1446EF9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FA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1446EFA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tcBorders>
              <w:bottom w:val="single" w:sz="8" w:space="0" w:color="000000"/>
            </w:tcBorders>
            <w:shd w:val="clear" w:color="auto" w:fill="auto"/>
            <w:vAlign w:val="bottom"/>
          </w:tcPr>
          <w:p w14:paraId="1446EFA2" w14:textId="77777777" w:rsidR="00FE42B5" w:rsidRDefault="00FE42B5">
            <w:pPr>
              <w:textAlignment w:val="bottom"/>
              <w:rPr>
                <w:rFonts w:ascii="Times New Roman" w:hAnsi="Times New Roman"/>
                <w:sz w:val="20"/>
                <w:szCs w:val="20"/>
              </w:rPr>
            </w:pPr>
          </w:p>
        </w:tc>
      </w:tr>
      <w:tr w:rsidR="00FE42B5" w14:paraId="1446EFAA" w14:textId="77777777">
        <w:tc>
          <w:tcPr>
            <w:tcW w:w="0" w:type="auto"/>
            <w:shd w:val="clear" w:color="auto" w:fill="CCEEFF"/>
            <w:tcMar>
              <w:top w:w="40" w:type="dxa"/>
              <w:left w:w="40" w:type="dxa"/>
              <w:bottom w:w="40" w:type="dxa"/>
              <w:right w:w="40" w:type="dxa"/>
            </w:tcMar>
          </w:tcPr>
          <w:p w14:paraId="1446EFA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 costs and expenses</w:t>
            </w:r>
          </w:p>
        </w:tc>
        <w:tc>
          <w:tcPr>
            <w:tcW w:w="0" w:type="auto"/>
            <w:tcBorders>
              <w:bottom w:val="single" w:sz="8" w:space="0" w:color="000000"/>
            </w:tcBorders>
            <w:shd w:val="clear" w:color="auto" w:fill="CCEEFF"/>
            <w:tcMar>
              <w:top w:w="40" w:type="dxa"/>
              <w:left w:w="40" w:type="dxa"/>
              <w:bottom w:w="40" w:type="dxa"/>
            </w:tcMar>
            <w:vAlign w:val="bottom"/>
          </w:tcPr>
          <w:p w14:paraId="1446EFA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67</w:t>
            </w:r>
          </w:p>
        </w:tc>
        <w:tc>
          <w:tcPr>
            <w:tcW w:w="0" w:type="auto"/>
            <w:tcBorders>
              <w:bottom w:val="single" w:sz="8" w:space="0" w:color="000000"/>
            </w:tcBorders>
            <w:shd w:val="clear" w:color="auto" w:fill="CCEEFF"/>
            <w:vAlign w:val="bottom"/>
          </w:tcPr>
          <w:p w14:paraId="1446EFA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FA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1446EFA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tcBorders>
              <w:bottom w:val="single" w:sz="8" w:space="0" w:color="000000"/>
            </w:tcBorders>
            <w:shd w:val="clear" w:color="auto" w:fill="CCEEFF"/>
            <w:vAlign w:val="bottom"/>
          </w:tcPr>
          <w:p w14:paraId="1446EFA9" w14:textId="77777777" w:rsidR="00FE42B5" w:rsidRDefault="00FE42B5">
            <w:pPr>
              <w:textAlignment w:val="bottom"/>
              <w:rPr>
                <w:rFonts w:ascii="Times New Roman" w:hAnsi="Times New Roman"/>
                <w:sz w:val="20"/>
                <w:szCs w:val="20"/>
              </w:rPr>
            </w:pPr>
          </w:p>
        </w:tc>
      </w:tr>
      <w:tr w:rsidR="00FE42B5" w14:paraId="1446EFB1" w14:textId="77777777">
        <w:tc>
          <w:tcPr>
            <w:tcW w:w="0" w:type="auto"/>
            <w:shd w:val="clear" w:color="auto" w:fill="auto"/>
            <w:tcMar>
              <w:top w:w="40" w:type="dxa"/>
              <w:left w:w="40" w:type="dxa"/>
              <w:bottom w:w="40" w:type="dxa"/>
              <w:right w:w="40" w:type="dxa"/>
            </w:tcMar>
          </w:tcPr>
          <w:p w14:paraId="1446EFA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Income from operations</w:t>
            </w:r>
          </w:p>
        </w:tc>
        <w:tc>
          <w:tcPr>
            <w:tcW w:w="0" w:type="auto"/>
            <w:shd w:val="clear" w:color="auto" w:fill="auto"/>
            <w:tcMar>
              <w:top w:w="40" w:type="dxa"/>
              <w:left w:w="40" w:type="dxa"/>
              <w:bottom w:w="40" w:type="dxa"/>
            </w:tcMar>
            <w:vAlign w:val="bottom"/>
          </w:tcPr>
          <w:p w14:paraId="1446EFA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vAlign w:val="bottom"/>
          </w:tcPr>
          <w:p w14:paraId="1446EFA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FA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EFA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auto"/>
            <w:vAlign w:val="bottom"/>
          </w:tcPr>
          <w:p w14:paraId="1446EFB0" w14:textId="77777777" w:rsidR="00FE42B5" w:rsidRDefault="00FE42B5">
            <w:pPr>
              <w:textAlignment w:val="bottom"/>
              <w:rPr>
                <w:rFonts w:ascii="Times New Roman" w:hAnsi="Times New Roman"/>
                <w:sz w:val="20"/>
                <w:szCs w:val="20"/>
              </w:rPr>
            </w:pPr>
          </w:p>
        </w:tc>
      </w:tr>
      <w:tr w:rsidR="00FE42B5" w14:paraId="1446EFB8" w14:textId="77777777">
        <w:tc>
          <w:tcPr>
            <w:tcW w:w="0" w:type="auto"/>
            <w:shd w:val="clear" w:color="auto" w:fill="CCEEFF"/>
            <w:tcMar>
              <w:top w:w="40" w:type="dxa"/>
              <w:left w:w="40" w:type="dxa"/>
              <w:bottom w:w="40" w:type="dxa"/>
              <w:right w:w="40" w:type="dxa"/>
            </w:tcMar>
          </w:tcPr>
          <w:p w14:paraId="1446EFB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Interest and other income (expense), net</w:t>
            </w:r>
          </w:p>
        </w:tc>
        <w:tc>
          <w:tcPr>
            <w:tcW w:w="0" w:type="auto"/>
            <w:shd w:val="clear" w:color="auto" w:fill="CCEEFF"/>
            <w:tcMar>
              <w:top w:w="40" w:type="dxa"/>
              <w:left w:w="40" w:type="dxa"/>
              <w:bottom w:w="40" w:type="dxa"/>
            </w:tcMar>
            <w:vAlign w:val="bottom"/>
          </w:tcPr>
          <w:p w14:paraId="1446EFB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EFB4"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FB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FB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1446EFB7" w14:textId="77777777" w:rsidR="00FE42B5" w:rsidRDefault="00FE42B5">
            <w:pPr>
              <w:textAlignment w:val="bottom"/>
              <w:rPr>
                <w:rFonts w:ascii="Times New Roman" w:hAnsi="Times New Roman"/>
                <w:sz w:val="20"/>
                <w:szCs w:val="20"/>
              </w:rPr>
            </w:pPr>
          </w:p>
        </w:tc>
      </w:tr>
      <w:tr w:rsidR="00FE42B5" w14:paraId="1446EFBF" w14:textId="77777777">
        <w:tc>
          <w:tcPr>
            <w:tcW w:w="0" w:type="auto"/>
            <w:shd w:val="clear" w:color="auto" w:fill="auto"/>
            <w:tcMar>
              <w:top w:w="40" w:type="dxa"/>
              <w:left w:w="40" w:type="dxa"/>
              <w:bottom w:w="40" w:type="dxa"/>
              <w:right w:w="40" w:type="dxa"/>
            </w:tcMar>
          </w:tcPr>
          <w:p w14:paraId="1446EFB9"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tcBorders>
              <w:top w:val="single" w:sz="8" w:space="0" w:color="000000"/>
            </w:tcBorders>
            <w:shd w:val="clear" w:color="auto" w:fill="auto"/>
            <w:tcMar>
              <w:top w:w="40" w:type="dxa"/>
              <w:left w:w="40" w:type="dxa"/>
              <w:bottom w:w="40" w:type="dxa"/>
            </w:tcMar>
            <w:vAlign w:val="bottom"/>
          </w:tcPr>
          <w:p w14:paraId="1446EFB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tcBorders>
              <w:top w:val="single" w:sz="8" w:space="0" w:color="000000"/>
            </w:tcBorders>
            <w:shd w:val="clear" w:color="auto" w:fill="auto"/>
            <w:vAlign w:val="bottom"/>
          </w:tcPr>
          <w:p w14:paraId="1446EFB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FB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446EFB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tcBorders>
              <w:top w:val="single" w:sz="8" w:space="0" w:color="000000"/>
            </w:tcBorders>
            <w:shd w:val="clear" w:color="auto" w:fill="auto"/>
            <w:vAlign w:val="bottom"/>
          </w:tcPr>
          <w:p w14:paraId="1446EFBE" w14:textId="77777777" w:rsidR="00FE42B5" w:rsidRDefault="00FE42B5">
            <w:pPr>
              <w:textAlignment w:val="bottom"/>
              <w:rPr>
                <w:rFonts w:ascii="Times New Roman" w:hAnsi="Times New Roman"/>
                <w:sz w:val="20"/>
                <w:szCs w:val="20"/>
              </w:rPr>
            </w:pPr>
          </w:p>
        </w:tc>
      </w:tr>
      <w:tr w:rsidR="00FE42B5" w14:paraId="1446EFC6" w14:textId="77777777">
        <w:tc>
          <w:tcPr>
            <w:tcW w:w="0" w:type="auto"/>
            <w:shd w:val="clear" w:color="auto" w:fill="CCEEFF"/>
            <w:tcMar>
              <w:top w:w="40" w:type="dxa"/>
              <w:left w:w="40" w:type="dxa"/>
              <w:bottom w:w="40" w:type="dxa"/>
              <w:right w:w="40" w:type="dxa"/>
            </w:tcMar>
          </w:tcPr>
          <w:p w14:paraId="1446EFC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Provision for income taxes</w:t>
            </w:r>
          </w:p>
        </w:tc>
        <w:tc>
          <w:tcPr>
            <w:tcW w:w="0" w:type="auto"/>
            <w:tcBorders>
              <w:bottom w:val="single" w:sz="8" w:space="0" w:color="000000"/>
            </w:tcBorders>
            <w:shd w:val="clear" w:color="auto" w:fill="CCEEFF"/>
            <w:tcMar>
              <w:top w:w="40" w:type="dxa"/>
              <w:left w:w="40" w:type="dxa"/>
              <w:bottom w:w="40" w:type="dxa"/>
            </w:tcMar>
            <w:vAlign w:val="bottom"/>
          </w:tcPr>
          <w:p w14:paraId="1446EFC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bottom w:val="single" w:sz="8" w:space="0" w:color="000000"/>
            </w:tcBorders>
            <w:shd w:val="clear" w:color="auto" w:fill="CCEEFF"/>
            <w:vAlign w:val="bottom"/>
          </w:tcPr>
          <w:p w14:paraId="1446EFC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FC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1446EFC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bottom w:val="single" w:sz="8" w:space="0" w:color="000000"/>
            </w:tcBorders>
            <w:shd w:val="clear" w:color="auto" w:fill="CCEEFF"/>
            <w:vAlign w:val="bottom"/>
          </w:tcPr>
          <w:p w14:paraId="1446EFC5" w14:textId="77777777" w:rsidR="00FE42B5" w:rsidRDefault="00FE42B5">
            <w:pPr>
              <w:textAlignment w:val="bottom"/>
              <w:rPr>
                <w:rFonts w:ascii="Times New Roman" w:hAnsi="Times New Roman"/>
                <w:sz w:val="20"/>
                <w:szCs w:val="20"/>
              </w:rPr>
            </w:pPr>
          </w:p>
        </w:tc>
      </w:tr>
      <w:tr w:rsidR="00FE42B5" w14:paraId="1446EFCD" w14:textId="77777777">
        <w:tc>
          <w:tcPr>
            <w:tcW w:w="0" w:type="auto"/>
            <w:shd w:val="clear" w:color="auto" w:fill="auto"/>
            <w:tcMar>
              <w:top w:w="40" w:type="dxa"/>
              <w:left w:w="40" w:type="dxa"/>
              <w:bottom w:w="40" w:type="dxa"/>
              <w:right w:w="40" w:type="dxa"/>
            </w:tcMar>
          </w:tcPr>
          <w:p w14:paraId="1446EFC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FC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446EFC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EFC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EFC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446EFC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bl>
    <w:p w14:paraId="1446EFCE" w14:textId="77777777" w:rsidR="00FE42B5" w:rsidRDefault="009213DC">
      <w:pPr>
        <w:spacing w:line="288" w:lineRule="auto"/>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003"/>
      </w:tblGrid>
      <w:tr w:rsidR="00FE42B5" w14:paraId="1446EFD1" w14:textId="77777777">
        <w:trPr>
          <w:tblCellSpacing w:w="0" w:type="dxa"/>
        </w:trPr>
        <w:tc>
          <w:tcPr>
            <w:tcW w:w="480" w:type="dxa"/>
            <w:shd w:val="clear" w:color="auto" w:fill="auto"/>
            <w:vAlign w:val="center"/>
          </w:tcPr>
          <w:p w14:paraId="1446EFCF" w14:textId="77777777" w:rsidR="00FE42B5" w:rsidRDefault="00FE42B5">
            <w:pPr>
              <w:rPr>
                <w:rFonts w:ascii="Times New Roman" w:hAnsi="Times New Roman"/>
                <w:sz w:val="20"/>
                <w:szCs w:val="20"/>
              </w:rPr>
            </w:pPr>
          </w:p>
        </w:tc>
        <w:tc>
          <w:tcPr>
            <w:tcW w:w="0" w:type="auto"/>
            <w:shd w:val="clear" w:color="auto" w:fill="auto"/>
            <w:vAlign w:val="center"/>
          </w:tcPr>
          <w:p w14:paraId="1446EFD0" w14:textId="77777777" w:rsidR="00FE42B5" w:rsidRDefault="00FE42B5">
            <w:pPr>
              <w:rPr>
                <w:rFonts w:ascii="Times New Roman" w:hAnsi="Times New Roman"/>
                <w:sz w:val="20"/>
                <w:szCs w:val="20"/>
              </w:rPr>
            </w:pPr>
          </w:p>
        </w:tc>
      </w:tr>
      <w:tr w:rsidR="00FE42B5" w14:paraId="1446EFD4" w14:textId="77777777">
        <w:trPr>
          <w:tblCellSpacing w:w="0" w:type="dxa"/>
        </w:trPr>
        <w:tc>
          <w:tcPr>
            <w:tcW w:w="0" w:type="auto"/>
            <w:shd w:val="clear" w:color="auto" w:fill="auto"/>
          </w:tcPr>
          <w:p w14:paraId="1446EFD2" w14:textId="77777777" w:rsidR="00FE42B5" w:rsidRDefault="009213DC">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1446EFD3" w14:textId="77777777" w:rsidR="00FE42B5" w:rsidRDefault="009213DC">
            <w:pPr>
              <w:spacing w:line="288" w:lineRule="auto"/>
              <w:jc w:val="both"/>
              <w:textAlignment w:val="top"/>
              <w:rPr>
                <w:rFonts w:ascii="Times New Roman" w:hAnsi="Times New Roman"/>
                <w:sz w:val="18"/>
                <w:szCs w:val="18"/>
              </w:rPr>
            </w:pPr>
            <w:r>
              <w:rPr>
                <w:rFonts w:ascii="Times New Roman" w:eastAsia="宋体" w:hAnsi="Times New Roman"/>
                <w:sz w:val="18"/>
                <w:szCs w:val="18"/>
              </w:rPr>
              <w:t>Percentages have been rounded for presentation purposes and may differ from unrounded results.</w:t>
            </w:r>
          </w:p>
        </w:tc>
      </w:tr>
    </w:tbl>
    <w:p w14:paraId="1446EFD5"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Share-based compensation expense included in costs and expenses:</w:t>
      </w:r>
    </w:p>
    <w:tbl>
      <w:tblPr>
        <w:tblW w:w="4956" w:type="pct"/>
        <w:tblCellMar>
          <w:left w:w="0" w:type="dxa"/>
          <w:right w:w="0" w:type="dxa"/>
        </w:tblCellMar>
        <w:tblLook w:val="04A0" w:firstRow="1" w:lastRow="0" w:firstColumn="1" w:lastColumn="0" w:noHBand="0" w:noVBand="1"/>
      </w:tblPr>
      <w:tblGrid>
        <w:gridCol w:w="5648"/>
        <w:gridCol w:w="140"/>
        <w:gridCol w:w="1037"/>
        <w:gridCol w:w="50"/>
        <w:gridCol w:w="130"/>
        <w:gridCol w:w="140"/>
        <w:gridCol w:w="1038"/>
        <w:gridCol w:w="50"/>
      </w:tblGrid>
      <w:tr w:rsidR="00FE42B5" w14:paraId="1446EFD7" w14:textId="77777777">
        <w:tc>
          <w:tcPr>
            <w:tcW w:w="0" w:type="auto"/>
            <w:gridSpan w:val="8"/>
            <w:shd w:val="clear" w:color="auto" w:fill="auto"/>
            <w:vAlign w:val="center"/>
          </w:tcPr>
          <w:p w14:paraId="1446EFD6" w14:textId="77777777" w:rsidR="00FE42B5" w:rsidRDefault="00FE42B5">
            <w:pPr>
              <w:rPr>
                <w:rFonts w:ascii="Times New Roman" w:hAnsi="Times New Roman"/>
                <w:sz w:val="20"/>
                <w:szCs w:val="20"/>
              </w:rPr>
            </w:pPr>
          </w:p>
        </w:tc>
      </w:tr>
      <w:tr w:rsidR="00FE42B5" w14:paraId="1446EFE0" w14:textId="77777777">
        <w:tc>
          <w:tcPr>
            <w:tcW w:w="3449" w:type="pct"/>
            <w:shd w:val="clear" w:color="auto" w:fill="auto"/>
            <w:vAlign w:val="center"/>
          </w:tcPr>
          <w:p w14:paraId="1446EFD8" w14:textId="77777777" w:rsidR="00FE42B5" w:rsidRDefault="00FE42B5">
            <w:pPr>
              <w:rPr>
                <w:rFonts w:ascii="Times New Roman" w:hAnsi="Times New Roman"/>
                <w:sz w:val="20"/>
                <w:szCs w:val="20"/>
              </w:rPr>
            </w:pPr>
          </w:p>
        </w:tc>
        <w:tc>
          <w:tcPr>
            <w:tcW w:w="50" w:type="pct"/>
            <w:shd w:val="clear" w:color="auto" w:fill="auto"/>
            <w:vAlign w:val="center"/>
          </w:tcPr>
          <w:p w14:paraId="1446EFD9" w14:textId="77777777" w:rsidR="00FE42B5" w:rsidRDefault="00FE42B5">
            <w:pPr>
              <w:rPr>
                <w:rFonts w:ascii="Times New Roman" w:hAnsi="Times New Roman"/>
                <w:sz w:val="20"/>
                <w:szCs w:val="20"/>
              </w:rPr>
            </w:pPr>
          </w:p>
        </w:tc>
        <w:tc>
          <w:tcPr>
            <w:tcW w:w="650" w:type="pct"/>
            <w:shd w:val="clear" w:color="auto" w:fill="auto"/>
            <w:vAlign w:val="center"/>
          </w:tcPr>
          <w:p w14:paraId="1446EFDA" w14:textId="77777777" w:rsidR="00FE42B5" w:rsidRDefault="00FE42B5">
            <w:pPr>
              <w:rPr>
                <w:rFonts w:ascii="Times New Roman" w:hAnsi="Times New Roman"/>
                <w:sz w:val="20"/>
                <w:szCs w:val="20"/>
              </w:rPr>
            </w:pPr>
          </w:p>
        </w:tc>
        <w:tc>
          <w:tcPr>
            <w:tcW w:w="50" w:type="pct"/>
            <w:shd w:val="clear" w:color="auto" w:fill="auto"/>
            <w:vAlign w:val="center"/>
          </w:tcPr>
          <w:p w14:paraId="1446EFDB" w14:textId="77777777" w:rsidR="00FE42B5" w:rsidRDefault="00FE42B5">
            <w:pPr>
              <w:rPr>
                <w:rFonts w:ascii="Times New Roman" w:hAnsi="Times New Roman"/>
                <w:sz w:val="20"/>
                <w:szCs w:val="20"/>
              </w:rPr>
            </w:pPr>
          </w:p>
        </w:tc>
        <w:tc>
          <w:tcPr>
            <w:tcW w:w="50" w:type="pct"/>
            <w:shd w:val="clear" w:color="auto" w:fill="auto"/>
            <w:vAlign w:val="center"/>
          </w:tcPr>
          <w:p w14:paraId="1446EFDC" w14:textId="77777777" w:rsidR="00FE42B5" w:rsidRDefault="00FE42B5">
            <w:pPr>
              <w:rPr>
                <w:rFonts w:ascii="Times New Roman" w:hAnsi="Times New Roman"/>
                <w:sz w:val="20"/>
                <w:szCs w:val="20"/>
              </w:rPr>
            </w:pPr>
          </w:p>
        </w:tc>
        <w:tc>
          <w:tcPr>
            <w:tcW w:w="50" w:type="pct"/>
            <w:shd w:val="clear" w:color="auto" w:fill="auto"/>
            <w:vAlign w:val="center"/>
          </w:tcPr>
          <w:p w14:paraId="1446EFDD" w14:textId="77777777" w:rsidR="00FE42B5" w:rsidRDefault="00FE42B5">
            <w:pPr>
              <w:rPr>
                <w:rFonts w:ascii="Times New Roman" w:hAnsi="Times New Roman"/>
                <w:sz w:val="20"/>
                <w:szCs w:val="20"/>
              </w:rPr>
            </w:pPr>
          </w:p>
        </w:tc>
        <w:tc>
          <w:tcPr>
            <w:tcW w:w="650" w:type="pct"/>
            <w:shd w:val="clear" w:color="auto" w:fill="auto"/>
            <w:vAlign w:val="center"/>
          </w:tcPr>
          <w:p w14:paraId="1446EFDE" w14:textId="77777777" w:rsidR="00FE42B5" w:rsidRDefault="00FE42B5">
            <w:pPr>
              <w:rPr>
                <w:rFonts w:ascii="Times New Roman" w:hAnsi="Times New Roman"/>
                <w:sz w:val="20"/>
                <w:szCs w:val="20"/>
              </w:rPr>
            </w:pPr>
          </w:p>
        </w:tc>
        <w:tc>
          <w:tcPr>
            <w:tcW w:w="50" w:type="pct"/>
            <w:shd w:val="clear" w:color="auto" w:fill="auto"/>
            <w:vAlign w:val="center"/>
          </w:tcPr>
          <w:p w14:paraId="1446EFDF" w14:textId="77777777" w:rsidR="00FE42B5" w:rsidRDefault="00FE42B5">
            <w:pPr>
              <w:rPr>
                <w:rFonts w:ascii="Times New Roman" w:hAnsi="Times New Roman"/>
                <w:sz w:val="20"/>
                <w:szCs w:val="20"/>
              </w:rPr>
            </w:pPr>
          </w:p>
        </w:tc>
      </w:tr>
      <w:tr w:rsidR="00FE42B5" w14:paraId="1446EFE3" w14:textId="77777777">
        <w:tc>
          <w:tcPr>
            <w:tcW w:w="0" w:type="auto"/>
            <w:shd w:val="clear" w:color="auto" w:fill="auto"/>
            <w:tcMar>
              <w:top w:w="40" w:type="dxa"/>
              <w:left w:w="40" w:type="dxa"/>
              <w:bottom w:w="40" w:type="dxa"/>
              <w:right w:w="40" w:type="dxa"/>
            </w:tcMar>
            <w:vAlign w:val="bottom"/>
          </w:tcPr>
          <w:p w14:paraId="1446EFE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EFE2"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r>
      <w:tr w:rsidR="00FE42B5" w14:paraId="1446EFE8" w14:textId="77777777">
        <w:tc>
          <w:tcPr>
            <w:tcW w:w="0" w:type="auto"/>
            <w:shd w:val="clear" w:color="auto" w:fill="auto"/>
            <w:tcMar>
              <w:top w:w="40" w:type="dxa"/>
              <w:left w:w="40" w:type="dxa"/>
              <w:bottom w:w="40" w:type="dxa"/>
              <w:right w:w="40" w:type="dxa"/>
            </w:tcMar>
            <w:vAlign w:val="bottom"/>
          </w:tcPr>
          <w:p w14:paraId="1446EFE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FE5"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1446EFE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EFE7"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E42B5" w14:paraId="1446EFEB" w14:textId="77777777">
        <w:tc>
          <w:tcPr>
            <w:tcW w:w="0" w:type="auto"/>
            <w:shd w:val="clear" w:color="auto" w:fill="auto"/>
            <w:tcMar>
              <w:top w:w="40" w:type="dxa"/>
              <w:left w:w="40" w:type="dxa"/>
              <w:bottom w:w="40" w:type="dxa"/>
              <w:right w:w="40" w:type="dxa"/>
            </w:tcMar>
            <w:vAlign w:val="bottom"/>
          </w:tcPr>
          <w:p w14:paraId="1446EFE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446EFEA" w14:textId="77777777" w:rsidR="00FE42B5" w:rsidRDefault="009213DC">
            <w:pPr>
              <w:jc w:val="center"/>
              <w:textAlignment w:val="bottom"/>
              <w:rPr>
                <w:rFonts w:ascii="Times New Roman" w:hAnsi="Times New Roman"/>
                <w:sz w:val="16"/>
                <w:szCs w:val="16"/>
              </w:rPr>
            </w:pPr>
            <w:r>
              <w:rPr>
                <w:rFonts w:ascii="Times New Roman" w:eastAsia="宋体" w:hAnsi="Times New Roman"/>
                <w:b/>
                <w:bCs/>
                <w:i/>
                <w:iCs/>
                <w:sz w:val="16"/>
                <w:szCs w:val="16"/>
              </w:rPr>
              <w:t>(in millions)</w:t>
            </w:r>
          </w:p>
        </w:tc>
      </w:tr>
      <w:tr w:rsidR="00FE42B5" w14:paraId="1446EFF4" w14:textId="77777777">
        <w:tc>
          <w:tcPr>
            <w:tcW w:w="0" w:type="auto"/>
            <w:shd w:val="clear" w:color="auto" w:fill="CCEEFF"/>
            <w:tcMar>
              <w:top w:w="40" w:type="dxa"/>
              <w:left w:w="40" w:type="dxa"/>
              <w:bottom w:w="40" w:type="dxa"/>
              <w:right w:w="40" w:type="dxa"/>
            </w:tcMar>
          </w:tcPr>
          <w:p w14:paraId="1446EFE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1446EFE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FE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shd w:val="clear" w:color="auto" w:fill="CCEEFF"/>
            <w:vAlign w:val="bottom"/>
          </w:tcPr>
          <w:p w14:paraId="1446EFEF"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FF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EFF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EFF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shd w:val="clear" w:color="auto" w:fill="CCEEFF"/>
            <w:vAlign w:val="bottom"/>
          </w:tcPr>
          <w:p w14:paraId="1446EFF3" w14:textId="77777777" w:rsidR="00FE42B5" w:rsidRDefault="00FE42B5">
            <w:pPr>
              <w:textAlignment w:val="bottom"/>
              <w:rPr>
                <w:rFonts w:ascii="Times New Roman" w:hAnsi="Times New Roman"/>
                <w:sz w:val="20"/>
                <w:szCs w:val="20"/>
              </w:rPr>
            </w:pPr>
          </w:p>
        </w:tc>
      </w:tr>
      <w:tr w:rsidR="00FE42B5" w14:paraId="1446EFFB" w14:textId="77777777">
        <w:tc>
          <w:tcPr>
            <w:tcW w:w="0" w:type="auto"/>
            <w:shd w:val="clear" w:color="auto" w:fill="auto"/>
            <w:tcMar>
              <w:top w:w="40" w:type="dxa"/>
              <w:left w:w="40" w:type="dxa"/>
              <w:bottom w:w="40" w:type="dxa"/>
              <w:right w:w="40" w:type="dxa"/>
            </w:tcMar>
          </w:tcPr>
          <w:p w14:paraId="1446EFF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1446EFF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999</w:t>
            </w:r>
          </w:p>
        </w:tc>
        <w:tc>
          <w:tcPr>
            <w:tcW w:w="0" w:type="auto"/>
            <w:shd w:val="clear" w:color="auto" w:fill="auto"/>
            <w:vAlign w:val="bottom"/>
          </w:tcPr>
          <w:p w14:paraId="1446EFF7"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EFF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EFF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723</w:t>
            </w:r>
          </w:p>
        </w:tc>
        <w:tc>
          <w:tcPr>
            <w:tcW w:w="0" w:type="auto"/>
            <w:shd w:val="clear" w:color="auto" w:fill="auto"/>
            <w:vAlign w:val="bottom"/>
          </w:tcPr>
          <w:p w14:paraId="1446EFFA" w14:textId="77777777" w:rsidR="00FE42B5" w:rsidRDefault="00FE42B5">
            <w:pPr>
              <w:textAlignment w:val="bottom"/>
              <w:rPr>
                <w:rFonts w:ascii="Times New Roman" w:hAnsi="Times New Roman"/>
                <w:sz w:val="20"/>
                <w:szCs w:val="20"/>
              </w:rPr>
            </w:pPr>
          </w:p>
        </w:tc>
      </w:tr>
      <w:tr w:rsidR="00FE42B5" w14:paraId="1446F002" w14:textId="77777777">
        <w:tc>
          <w:tcPr>
            <w:tcW w:w="0" w:type="auto"/>
            <w:shd w:val="clear" w:color="auto" w:fill="CCEEFF"/>
            <w:tcMar>
              <w:top w:w="40" w:type="dxa"/>
              <w:left w:w="40" w:type="dxa"/>
              <w:bottom w:w="40" w:type="dxa"/>
              <w:right w:w="40" w:type="dxa"/>
            </w:tcMar>
          </w:tcPr>
          <w:p w14:paraId="1446EFF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1446EFF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149</w:t>
            </w:r>
          </w:p>
        </w:tc>
        <w:tc>
          <w:tcPr>
            <w:tcW w:w="0" w:type="auto"/>
            <w:shd w:val="clear" w:color="auto" w:fill="CCEEFF"/>
            <w:vAlign w:val="bottom"/>
          </w:tcPr>
          <w:p w14:paraId="1446EFF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EFF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F00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113</w:t>
            </w:r>
          </w:p>
        </w:tc>
        <w:tc>
          <w:tcPr>
            <w:tcW w:w="0" w:type="auto"/>
            <w:shd w:val="clear" w:color="auto" w:fill="CCEEFF"/>
            <w:vAlign w:val="bottom"/>
          </w:tcPr>
          <w:p w14:paraId="1446F001" w14:textId="77777777" w:rsidR="00FE42B5" w:rsidRDefault="00FE42B5">
            <w:pPr>
              <w:textAlignment w:val="bottom"/>
              <w:rPr>
                <w:rFonts w:ascii="Times New Roman" w:hAnsi="Times New Roman"/>
                <w:sz w:val="20"/>
                <w:szCs w:val="20"/>
              </w:rPr>
            </w:pPr>
          </w:p>
        </w:tc>
      </w:tr>
      <w:tr w:rsidR="00FE42B5" w14:paraId="1446F009" w14:textId="77777777">
        <w:tc>
          <w:tcPr>
            <w:tcW w:w="0" w:type="auto"/>
            <w:shd w:val="clear" w:color="auto" w:fill="auto"/>
            <w:tcMar>
              <w:top w:w="40" w:type="dxa"/>
              <w:left w:w="40" w:type="dxa"/>
              <w:bottom w:w="40" w:type="dxa"/>
              <w:right w:w="40" w:type="dxa"/>
            </w:tcMar>
          </w:tcPr>
          <w:p w14:paraId="1446F003"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1446F00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93</w:t>
            </w:r>
          </w:p>
        </w:tc>
        <w:tc>
          <w:tcPr>
            <w:tcW w:w="0" w:type="auto"/>
            <w:tcBorders>
              <w:bottom w:val="single" w:sz="8" w:space="0" w:color="000000"/>
            </w:tcBorders>
            <w:shd w:val="clear" w:color="auto" w:fill="auto"/>
            <w:vAlign w:val="bottom"/>
          </w:tcPr>
          <w:p w14:paraId="1446F005"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00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F00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tcBorders>
              <w:bottom w:val="single" w:sz="8" w:space="0" w:color="000000"/>
            </w:tcBorders>
            <w:shd w:val="clear" w:color="auto" w:fill="auto"/>
            <w:vAlign w:val="bottom"/>
          </w:tcPr>
          <w:p w14:paraId="1446F008" w14:textId="77777777" w:rsidR="00FE42B5" w:rsidRDefault="00FE42B5">
            <w:pPr>
              <w:textAlignment w:val="bottom"/>
              <w:rPr>
                <w:rFonts w:ascii="Times New Roman" w:hAnsi="Times New Roman"/>
                <w:sz w:val="20"/>
                <w:szCs w:val="20"/>
              </w:rPr>
            </w:pPr>
          </w:p>
        </w:tc>
      </w:tr>
      <w:tr w:rsidR="00FE42B5" w14:paraId="1446F012" w14:textId="77777777">
        <w:tc>
          <w:tcPr>
            <w:tcW w:w="0" w:type="auto"/>
            <w:shd w:val="clear" w:color="auto" w:fill="CCEEFF"/>
            <w:tcMar>
              <w:top w:w="40" w:type="dxa"/>
              <w:left w:w="400" w:type="dxa"/>
              <w:bottom w:w="40" w:type="dxa"/>
              <w:right w:w="40" w:type="dxa"/>
            </w:tcMar>
          </w:tcPr>
          <w:p w14:paraId="1446F00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F00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F00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1,335</w:t>
            </w:r>
          </w:p>
        </w:tc>
        <w:tc>
          <w:tcPr>
            <w:tcW w:w="0" w:type="auto"/>
            <w:tcBorders>
              <w:top w:val="single" w:sz="8" w:space="0" w:color="000000"/>
              <w:bottom w:val="double" w:sz="6" w:space="0" w:color="000000"/>
            </w:tcBorders>
            <w:shd w:val="clear" w:color="auto" w:fill="CCEEFF"/>
            <w:vAlign w:val="bottom"/>
          </w:tcPr>
          <w:p w14:paraId="1446F00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00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F00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F01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1,010</w:t>
            </w:r>
          </w:p>
        </w:tc>
        <w:tc>
          <w:tcPr>
            <w:tcW w:w="0" w:type="auto"/>
            <w:tcBorders>
              <w:top w:val="single" w:sz="8" w:space="0" w:color="000000"/>
              <w:bottom w:val="double" w:sz="6" w:space="0" w:color="000000"/>
            </w:tcBorders>
            <w:shd w:val="clear" w:color="auto" w:fill="CCEEFF"/>
            <w:vAlign w:val="bottom"/>
          </w:tcPr>
          <w:p w14:paraId="1446F011" w14:textId="77777777" w:rsidR="00FE42B5" w:rsidRDefault="00FE42B5">
            <w:pPr>
              <w:textAlignment w:val="bottom"/>
              <w:rPr>
                <w:rFonts w:ascii="Times New Roman" w:hAnsi="Times New Roman"/>
                <w:sz w:val="20"/>
                <w:szCs w:val="20"/>
              </w:rPr>
            </w:pPr>
          </w:p>
        </w:tc>
      </w:tr>
    </w:tbl>
    <w:p w14:paraId="1446F013" w14:textId="77777777" w:rsidR="00FE42B5" w:rsidRDefault="00FE42B5">
      <w:pPr>
        <w:rPr>
          <w:rFonts w:ascii="Times New Roman" w:hAnsi="Times New Roman"/>
          <w:sz w:val="20"/>
          <w:szCs w:val="20"/>
        </w:rPr>
      </w:pPr>
    </w:p>
    <w:p w14:paraId="1446F014"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38</w:t>
      </w:r>
    </w:p>
    <w:p w14:paraId="1446F015" w14:textId="77777777" w:rsidR="00FE42B5" w:rsidRDefault="009213DC">
      <w:r>
        <w:rPr>
          <w:rFonts w:ascii="Times New Roman" w:hAnsi="Times New Roman"/>
          <w:sz w:val="20"/>
          <w:szCs w:val="20"/>
        </w:rPr>
        <w:pict w14:anchorId="1446FAEE">
          <v:rect id="_x0000_i1062" style="width:415.3pt;height:1.5pt" o:hralign="center" o:hrstd="t" o:hr="t" fillcolor="#a0a0a0" stroked="f"/>
        </w:pict>
      </w:r>
    </w:p>
    <w:p w14:paraId="1446F016" w14:textId="77777777" w:rsidR="00FE42B5" w:rsidRDefault="009213DC">
      <w:pPr>
        <w:spacing w:line="288" w:lineRule="auto"/>
        <w:rPr>
          <w:rFonts w:ascii="Times New Roman" w:hAnsi="Times New Roman"/>
          <w:sz w:val="20"/>
          <w:szCs w:val="20"/>
        </w:rPr>
      </w:pPr>
      <w:hyperlink r:id="rId79" w:anchor="sBB4BED1571A45A16AF3DC2E3B69C901C" w:history="1">
        <w:r>
          <w:rPr>
            <w:rStyle w:val="a5"/>
            <w:rFonts w:ascii="Times New Roman" w:eastAsia="宋体" w:hAnsi="Times New Roman"/>
            <w:sz w:val="20"/>
            <w:szCs w:val="20"/>
          </w:rPr>
          <w:t>Table of Contents</w:t>
        </w:r>
      </w:hyperlink>
    </w:p>
    <w:p w14:paraId="1446F017" w14:textId="77777777" w:rsidR="00FE42B5" w:rsidRDefault="00FE42B5">
      <w:pPr>
        <w:rPr>
          <w:rFonts w:ascii="Times New Roman" w:hAnsi="Times New Roman"/>
          <w:sz w:val="20"/>
          <w:szCs w:val="20"/>
        </w:rPr>
      </w:pPr>
    </w:p>
    <w:p w14:paraId="1446F018" w14:textId="77777777" w:rsidR="00FE42B5" w:rsidRDefault="00FE42B5">
      <w:pPr>
        <w:spacing w:line="288" w:lineRule="auto"/>
        <w:ind w:firstLine="640"/>
        <w:jc w:val="both"/>
        <w:rPr>
          <w:rFonts w:ascii="Times New Roman" w:hAnsi="Times New Roman"/>
          <w:sz w:val="20"/>
          <w:szCs w:val="20"/>
        </w:rPr>
      </w:pPr>
    </w:p>
    <w:p w14:paraId="1446F019" w14:textId="77777777" w:rsidR="00FE42B5" w:rsidRDefault="009213DC">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Share-based compensation expense included in costs and expenses (as a </w:t>
      </w:r>
      <w:r>
        <w:rPr>
          <w:rFonts w:ascii="Times New Roman" w:eastAsia="宋体" w:hAnsi="Times New Roman"/>
          <w:sz w:val="20"/>
          <w:szCs w:val="20"/>
        </w:rPr>
        <w:t>percentage of revenue)</w:t>
      </w:r>
      <w:r>
        <w:rPr>
          <w:rFonts w:ascii="Times New Roman" w:eastAsia="宋体" w:hAnsi="Times New Roman"/>
          <w:sz w:val="14"/>
          <w:szCs w:val="14"/>
        </w:rPr>
        <w:t>(1)</w:t>
      </w:r>
      <w:r>
        <w:rPr>
          <w:rFonts w:ascii="Times New Roman" w:eastAsia="宋体" w:hAnsi="Times New Roman"/>
          <w:sz w:val="20"/>
          <w:szCs w:val="20"/>
        </w:rPr>
        <w:t>:</w:t>
      </w:r>
      <w:r>
        <w:rPr>
          <w:rFonts w:ascii="Times New Roman" w:eastAsia="宋体" w:hAnsi="Times New Roman"/>
          <w:sz w:val="18"/>
          <w:szCs w:val="18"/>
        </w:rPr>
        <w:t> </w:t>
      </w:r>
    </w:p>
    <w:tbl>
      <w:tblPr>
        <w:tblW w:w="4956" w:type="pct"/>
        <w:tblCellMar>
          <w:left w:w="0" w:type="dxa"/>
          <w:right w:w="0" w:type="dxa"/>
        </w:tblCellMar>
        <w:tblLook w:val="04A0" w:firstRow="1" w:lastRow="0" w:firstColumn="1" w:lastColumn="0" w:noHBand="0" w:noVBand="1"/>
      </w:tblPr>
      <w:tblGrid>
        <w:gridCol w:w="5581"/>
        <w:gridCol w:w="1053"/>
        <w:gridCol w:w="208"/>
        <w:gridCol w:w="130"/>
        <w:gridCol w:w="1053"/>
        <w:gridCol w:w="208"/>
      </w:tblGrid>
      <w:tr w:rsidR="00FE42B5" w14:paraId="1446F01B" w14:textId="77777777">
        <w:tc>
          <w:tcPr>
            <w:tcW w:w="0" w:type="auto"/>
            <w:gridSpan w:val="6"/>
            <w:shd w:val="clear" w:color="auto" w:fill="auto"/>
            <w:vAlign w:val="center"/>
          </w:tcPr>
          <w:p w14:paraId="1446F01A" w14:textId="77777777" w:rsidR="00FE42B5" w:rsidRDefault="00FE42B5">
            <w:pPr>
              <w:rPr>
                <w:rFonts w:ascii="Times New Roman" w:hAnsi="Times New Roman"/>
                <w:sz w:val="20"/>
                <w:szCs w:val="20"/>
              </w:rPr>
            </w:pPr>
          </w:p>
        </w:tc>
      </w:tr>
      <w:tr w:rsidR="00FE42B5" w14:paraId="1446F022" w14:textId="77777777">
        <w:tc>
          <w:tcPr>
            <w:tcW w:w="3449" w:type="pct"/>
            <w:shd w:val="clear" w:color="auto" w:fill="auto"/>
            <w:vAlign w:val="center"/>
          </w:tcPr>
          <w:p w14:paraId="1446F01C" w14:textId="77777777" w:rsidR="00FE42B5" w:rsidRDefault="00FE42B5">
            <w:pPr>
              <w:rPr>
                <w:rFonts w:ascii="Times New Roman" w:hAnsi="Times New Roman"/>
                <w:sz w:val="20"/>
                <w:szCs w:val="20"/>
              </w:rPr>
            </w:pPr>
          </w:p>
        </w:tc>
        <w:tc>
          <w:tcPr>
            <w:tcW w:w="700" w:type="pct"/>
            <w:shd w:val="clear" w:color="auto" w:fill="auto"/>
            <w:vAlign w:val="center"/>
          </w:tcPr>
          <w:p w14:paraId="1446F01D" w14:textId="77777777" w:rsidR="00FE42B5" w:rsidRDefault="00FE42B5">
            <w:pPr>
              <w:rPr>
                <w:rFonts w:ascii="Times New Roman" w:hAnsi="Times New Roman"/>
                <w:sz w:val="20"/>
                <w:szCs w:val="20"/>
              </w:rPr>
            </w:pPr>
          </w:p>
        </w:tc>
        <w:tc>
          <w:tcPr>
            <w:tcW w:w="50" w:type="pct"/>
            <w:shd w:val="clear" w:color="auto" w:fill="auto"/>
            <w:vAlign w:val="center"/>
          </w:tcPr>
          <w:p w14:paraId="1446F01E" w14:textId="77777777" w:rsidR="00FE42B5" w:rsidRDefault="00FE42B5">
            <w:pPr>
              <w:rPr>
                <w:rFonts w:ascii="Times New Roman" w:hAnsi="Times New Roman"/>
                <w:sz w:val="20"/>
                <w:szCs w:val="20"/>
              </w:rPr>
            </w:pPr>
          </w:p>
        </w:tc>
        <w:tc>
          <w:tcPr>
            <w:tcW w:w="50" w:type="pct"/>
            <w:shd w:val="clear" w:color="auto" w:fill="auto"/>
            <w:vAlign w:val="center"/>
          </w:tcPr>
          <w:p w14:paraId="1446F01F" w14:textId="77777777" w:rsidR="00FE42B5" w:rsidRDefault="00FE42B5">
            <w:pPr>
              <w:rPr>
                <w:rFonts w:ascii="Times New Roman" w:hAnsi="Times New Roman"/>
                <w:sz w:val="20"/>
                <w:szCs w:val="20"/>
              </w:rPr>
            </w:pPr>
          </w:p>
        </w:tc>
        <w:tc>
          <w:tcPr>
            <w:tcW w:w="700" w:type="pct"/>
            <w:shd w:val="clear" w:color="auto" w:fill="auto"/>
            <w:vAlign w:val="center"/>
          </w:tcPr>
          <w:p w14:paraId="1446F020" w14:textId="77777777" w:rsidR="00FE42B5" w:rsidRDefault="00FE42B5">
            <w:pPr>
              <w:rPr>
                <w:rFonts w:ascii="Times New Roman" w:hAnsi="Times New Roman"/>
                <w:sz w:val="20"/>
                <w:szCs w:val="20"/>
              </w:rPr>
            </w:pPr>
          </w:p>
        </w:tc>
        <w:tc>
          <w:tcPr>
            <w:tcW w:w="50" w:type="pct"/>
            <w:shd w:val="clear" w:color="auto" w:fill="auto"/>
            <w:vAlign w:val="center"/>
          </w:tcPr>
          <w:p w14:paraId="1446F021" w14:textId="77777777" w:rsidR="00FE42B5" w:rsidRDefault="00FE42B5">
            <w:pPr>
              <w:rPr>
                <w:rFonts w:ascii="Times New Roman" w:hAnsi="Times New Roman"/>
                <w:sz w:val="20"/>
                <w:szCs w:val="20"/>
              </w:rPr>
            </w:pPr>
          </w:p>
        </w:tc>
      </w:tr>
      <w:tr w:rsidR="00FE42B5" w14:paraId="1446F025" w14:textId="77777777">
        <w:tc>
          <w:tcPr>
            <w:tcW w:w="0" w:type="auto"/>
            <w:shd w:val="clear" w:color="auto" w:fill="auto"/>
            <w:tcMar>
              <w:top w:w="40" w:type="dxa"/>
              <w:left w:w="40" w:type="dxa"/>
              <w:bottom w:w="40" w:type="dxa"/>
              <w:right w:w="40" w:type="dxa"/>
            </w:tcMar>
            <w:vAlign w:val="bottom"/>
          </w:tcPr>
          <w:p w14:paraId="1446F02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1446F024"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r>
      <w:tr w:rsidR="00FE42B5" w14:paraId="1446F02A" w14:textId="77777777">
        <w:tc>
          <w:tcPr>
            <w:tcW w:w="0" w:type="auto"/>
            <w:shd w:val="clear" w:color="auto" w:fill="auto"/>
            <w:tcMar>
              <w:top w:w="40" w:type="dxa"/>
              <w:left w:w="40" w:type="dxa"/>
              <w:bottom w:w="40" w:type="dxa"/>
              <w:right w:w="40" w:type="dxa"/>
            </w:tcMar>
            <w:vAlign w:val="bottom"/>
          </w:tcPr>
          <w:p w14:paraId="1446F02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027"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1446F02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029"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E42B5" w14:paraId="1446F031" w14:textId="77777777">
        <w:tc>
          <w:tcPr>
            <w:tcW w:w="0" w:type="auto"/>
            <w:shd w:val="clear" w:color="auto" w:fill="CCEEFF"/>
            <w:tcMar>
              <w:top w:w="40" w:type="dxa"/>
              <w:left w:w="40" w:type="dxa"/>
              <w:bottom w:w="40" w:type="dxa"/>
              <w:right w:w="40" w:type="dxa"/>
            </w:tcMar>
          </w:tcPr>
          <w:p w14:paraId="1446F02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1446F02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1446F02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F02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02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1446F03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F038" w14:textId="77777777">
        <w:tc>
          <w:tcPr>
            <w:tcW w:w="0" w:type="auto"/>
            <w:shd w:val="clear" w:color="auto" w:fill="auto"/>
            <w:tcMar>
              <w:top w:w="40" w:type="dxa"/>
              <w:left w:w="40" w:type="dxa"/>
              <w:bottom w:w="40" w:type="dxa"/>
              <w:right w:w="40" w:type="dxa"/>
            </w:tcMar>
          </w:tcPr>
          <w:p w14:paraId="1446F03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auto"/>
            <w:tcMar>
              <w:top w:w="40" w:type="dxa"/>
              <w:left w:w="40" w:type="dxa"/>
              <w:bottom w:w="40" w:type="dxa"/>
            </w:tcMar>
            <w:vAlign w:val="bottom"/>
          </w:tcPr>
          <w:p w14:paraId="1446F03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vAlign w:val="bottom"/>
          </w:tcPr>
          <w:p w14:paraId="1446F034"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03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F03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1446F037" w14:textId="77777777" w:rsidR="00FE42B5" w:rsidRDefault="00FE42B5">
            <w:pPr>
              <w:textAlignment w:val="bottom"/>
              <w:rPr>
                <w:rFonts w:ascii="Times New Roman" w:hAnsi="Times New Roman"/>
                <w:sz w:val="20"/>
                <w:szCs w:val="20"/>
              </w:rPr>
            </w:pPr>
          </w:p>
        </w:tc>
      </w:tr>
      <w:tr w:rsidR="00FE42B5" w14:paraId="1446F03F" w14:textId="77777777">
        <w:tc>
          <w:tcPr>
            <w:tcW w:w="0" w:type="auto"/>
            <w:shd w:val="clear" w:color="auto" w:fill="CCEEFF"/>
            <w:tcMar>
              <w:top w:w="40" w:type="dxa"/>
              <w:left w:w="40" w:type="dxa"/>
              <w:bottom w:w="40" w:type="dxa"/>
              <w:right w:w="40" w:type="dxa"/>
            </w:tcMar>
          </w:tcPr>
          <w:p w14:paraId="1446F039"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1446F03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1446F03B"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03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03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1446F03E" w14:textId="77777777" w:rsidR="00FE42B5" w:rsidRDefault="00FE42B5">
            <w:pPr>
              <w:textAlignment w:val="bottom"/>
              <w:rPr>
                <w:rFonts w:ascii="Times New Roman" w:hAnsi="Times New Roman"/>
                <w:sz w:val="20"/>
                <w:szCs w:val="20"/>
              </w:rPr>
            </w:pPr>
          </w:p>
        </w:tc>
      </w:tr>
      <w:tr w:rsidR="00FE42B5" w14:paraId="1446F046" w14:textId="77777777">
        <w:tc>
          <w:tcPr>
            <w:tcW w:w="0" w:type="auto"/>
            <w:shd w:val="clear" w:color="auto" w:fill="auto"/>
            <w:tcMar>
              <w:top w:w="40" w:type="dxa"/>
              <w:left w:w="40" w:type="dxa"/>
              <w:bottom w:w="40" w:type="dxa"/>
              <w:right w:w="40" w:type="dxa"/>
            </w:tcMar>
          </w:tcPr>
          <w:p w14:paraId="1446F04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tcBorders>
              <w:bottom w:val="single" w:sz="8" w:space="0" w:color="000000"/>
            </w:tcBorders>
            <w:shd w:val="clear" w:color="auto" w:fill="auto"/>
            <w:tcMar>
              <w:top w:w="40" w:type="dxa"/>
              <w:left w:w="40" w:type="dxa"/>
              <w:bottom w:w="40" w:type="dxa"/>
            </w:tcMar>
            <w:vAlign w:val="bottom"/>
          </w:tcPr>
          <w:p w14:paraId="1446F04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1446F04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04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1446F04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1446F045" w14:textId="77777777" w:rsidR="00FE42B5" w:rsidRDefault="00FE42B5">
            <w:pPr>
              <w:textAlignment w:val="bottom"/>
              <w:rPr>
                <w:rFonts w:ascii="Times New Roman" w:hAnsi="Times New Roman"/>
                <w:sz w:val="20"/>
                <w:szCs w:val="20"/>
              </w:rPr>
            </w:pPr>
          </w:p>
        </w:tc>
      </w:tr>
      <w:tr w:rsidR="00FE42B5" w14:paraId="1446F04D" w14:textId="77777777">
        <w:tc>
          <w:tcPr>
            <w:tcW w:w="0" w:type="auto"/>
            <w:shd w:val="clear" w:color="auto" w:fill="CCEEFF"/>
            <w:tcMar>
              <w:top w:w="40" w:type="dxa"/>
              <w:left w:w="400" w:type="dxa"/>
              <w:bottom w:w="40" w:type="dxa"/>
              <w:right w:w="40" w:type="dxa"/>
            </w:tcMar>
          </w:tcPr>
          <w:p w14:paraId="1446F04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F04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446F04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F04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F04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446F04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bl>
    <w:p w14:paraId="1446F04E" w14:textId="77777777" w:rsidR="00FE42B5" w:rsidRDefault="009213DC">
      <w:pPr>
        <w:spacing w:line="288" w:lineRule="auto"/>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003"/>
      </w:tblGrid>
      <w:tr w:rsidR="00FE42B5" w14:paraId="1446F051" w14:textId="77777777">
        <w:trPr>
          <w:tblCellSpacing w:w="0" w:type="dxa"/>
        </w:trPr>
        <w:tc>
          <w:tcPr>
            <w:tcW w:w="480" w:type="dxa"/>
            <w:shd w:val="clear" w:color="auto" w:fill="auto"/>
            <w:vAlign w:val="center"/>
          </w:tcPr>
          <w:p w14:paraId="1446F04F" w14:textId="77777777" w:rsidR="00FE42B5" w:rsidRDefault="00FE42B5">
            <w:pPr>
              <w:rPr>
                <w:rFonts w:ascii="Times New Roman" w:hAnsi="Times New Roman"/>
                <w:sz w:val="20"/>
                <w:szCs w:val="20"/>
              </w:rPr>
            </w:pPr>
          </w:p>
        </w:tc>
        <w:tc>
          <w:tcPr>
            <w:tcW w:w="0" w:type="auto"/>
            <w:shd w:val="clear" w:color="auto" w:fill="auto"/>
            <w:vAlign w:val="center"/>
          </w:tcPr>
          <w:p w14:paraId="1446F050" w14:textId="77777777" w:rsidR="00FE42B5" w:rsidRDefault="00FE42B5">
            <w:pPr>
              <w:rPr>
                <w:rFonts w:ascii="Times New Roman" w:hAnsi="Times New Roman"/>
                <w:sz w:val="20"/>
                <w:szCs w:val="20"/>
              </w:rPr>
            </w:pPr>
          </w:p>
        </w:tc>
      </w:tr>
      <w:tr w:rsidR="00FE42B5" w14:paraId="1446F054" w14:textId="77777777">
        <w:trPr>
          <w:tblCellSpacing w:w="0" w:type="dxa"/>
        </w:trPr>
        <w:tc>
          <w:tcPr>
            <w:tcW w:w="0" w:type="auto"/>
            <w:shd w:val="clear" w:color="auto" w:fill="auto"/>
          </w:tcPr>
          <w:p w14:paraId="1446F052" w14:textId="77777777" w:rsidR="00FE42B5" w:rsidRDefault="009213DC">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1446F053" w14:textId="77777777" w:rsidR="00FE42B5" w:rsidRDefault="009213DC">
            <w:pPr>
              <w:spacing w:line="288" w:lineRule="auto"/>
              <w:jc w:val="both"/>
              <w:textAlignment w:val="top"/>
              <w:rPr>
                <w:rFonts w:ascii="Times New Roman" w:hAnsi="Times New Roman"/>
                <w:sz w:val="18"/>
                <w:szCs w:val="18"/>
              </w:rPr>
            </w:pPr>
            <w:r>
              <w:rPr>
                <w:rFonts w:ascii="Times New Roman" w:eastAsia="宋体" w:hAnsi="Times New Roman"/>
                <w:sz w:val="18"/>
                <w:szCs w:val="18"/>
              </w:rPr>
              <w:t>Percentages have been rounded for presentation purposes and may differ from unrounded results.</w:t>
            </w:r>
          </w:p>
        </w:tc>
      </w:tr>
    </w:tbl>
    <w:p w14:paraId="1446F055" w14:textId="77777777" w:rsidR="00FE42B5" w:rsidRDefault="00FE42B5">
      <w:pPr>
        <w:spacing w:line="288" w:lineRule="auto"/>
        <w:rPr>
          <w:rFonts w:ascii="Times New Roman" w:hAnsi="Times New Roman"/>
          <w:sz w:val="18"/>
          <w:szCs w:val="18"/>
        </w:rPr>
      </w:pPr>
    </w:p>
    <w:p w14:paraId="1446F056"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Three Months Ended March 31,</w:t>
      </w:r>
      <w:r>
        <w:rPr>
          <w:rFonts w:ascii="Times New Roman" w:eastAsia="宋体" w:hAnsi="Times New Roman"/>
          <w:sz w:val="20"/>
          <w:szCs w:val="20"/>
        </w:rPr>
        <w:t xml:space="preserve"> </w:t>
      </w:r>
      <w:r>
        <w:rPr>
          <w:rFonts w:ascii="Times New Roman" w:eastAsia="宋体" w:hAnsi="Times New Roman"/>
          <w:b/>
          <w:bCs/>
          <w:sz w:val="20"/>
          <w:szCs w:val="20"/>
        </w:rPr>
        <w:t>2020 and 2019</w:t>
      </w:r>
    </w:p>
    <w:p w14:paraId="1446F057"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Revenue</w:t>
      </w:r>
      <w:r>
        <w:rPr>
          <w:rFonts w:ascii="Times New Roman" w:eastAsia="宋体" w:hAnsi="Times New Roman"/>
          <w:sz w:val="18"/>
          <w:szCs w:val="18"/>
        </w:rPr>
        <w:t> </w:t>
      </w:r>
    </w:p>
    <w:tbl>
      <w:tblPr>
        <w:tblW w:w="4956" w:type="pct"/>
        <w:tblCellMar>
          <w:left w:w="0" w:type="dxa"/>
          <w:right w:w="0" w:type="dxa"/>
        </w:tblCellMar>
        <w:tblLook w:val="04A0" w:firstRow="1" w:lastRow="0" w:firstColumn="1" w:lastColumn="0" w:noHBand="0" w:noVBand="1"/>
      </w:tblPr>
      <w:tblGrid>
        <w:gridCol w:w="4554"/>
        <w:gridCol w:w="140"/>
        <w:gridCol w:w="1014"/>
        <w:gridCol w:w="26"/>
        <w:gridCol w:w="130"/>
        <w:gridCol w:w="140"/>
        <w:gridCol w:w="1014"/>
        <w:gridCol w:w="27"/>
        <w:gridCol w:w="130"/>
        <w:gridCol w:w="851"/>
        <w:gridCol w:w="207"/>
      </w:tblGrid>
      <w:tr w:rsidR="00FE42B5" w14:paraId="1446F059" w14:textId="77777777">
        <w:tc>
          <w:tcPr>
            <w:tcW w:w="0" w:type="auto"/>
            <w:gridSpan w:val="11"/>
            <w:shd w:val="clear" w:color="auto" w:fill="auto"/>
            <w:vAlign w:val="center"/>
          </w:tcPr>
          <w:p w14:paraId="1446F058" w14:textId="77777777" w:rsidR="00FE42B5" w:rsidRDefault="00FE42B5">
            <w:pPr>
              <w:rPr>
                <w:rFonts w:ascii="Times New Roman" w:hAnsi="Times New Roman"/>
                <w:sz w:val="20"/>
                <w:szCs w:val="20"/>
              </w:rPr>
            </w:pPr>
          </w:p>
        </w:tc>
      </w:tr>
      <w:tr w:rsidR="00FE42B5" w14:paraId="1446F065" w14:textId="77777777">
        <w:tc>
          <w:tcPr>
            <w:tcW w:w="2800" w:type="pct"/>
            <w:shd w:val="clear" w:color="auto" w:fill="auto"/>
            <w:vAlign w:val="center"/>
          </w:tcPr>
          <w:p w14:paraId="1446F05A" w14:textId="77777777" w:rsidR="00FE42B5" w:rsidRDefault="00FE42B5">
            <w:pPr>
              <w:rPr>
                <w:rFonts w:ascii="Times New Roman" w:hAnsi="Times New Roman"/>
                <w:sz w:val="20"/>
                <w:szCs w:val="20"/>
              </w:rPr>
            </w:pPr>
          </w:p>
        </w:tc>
        <w:tc>
          <w:tcPr>
            <w:tcW w:w="50" w:type="pct"/>
            <w:shd w:val="clear" w:color="auto" w:fill="auto"/>
            <w:vAlign w:val="center"/>
          </w:tcPr>
          <w:p w14:paraId="1446F05B" w14:textId="77777777" w:rsidR="00FE42B5" w:rsidRDefault="00FE42B5">
            <w:pPr>
              <w:rPr>
                <w:rFonts w:ascii="Times New Roman" w:hAnsi="Times New Roman"/>
                <w:sz w:val="20"/>
                <w:szCs w:val="20"/>
              </w:rPr>
            </w:pPr>
          </w:p>
        </w:tc>
        <w:tc>
          <w:tcPr>
            <w:tcW w:w="650" w:type="pct"/>
            <w:shd w:val="clear" w:color="auto" w:fill="auto"/>
            <w:vAlign w:val="center"/>
          </w:tcPr>
          <w:p w14:paraId="1446F05C" w14:textId="77777777" w:rsidR="00FE42B5" w:rsidRDefault="00FE42B5">
            <w:pPr>
              <w:rPr>
                <w:rFonts w:ascii="Times New Roman" w:hAnsi="Times New Roman"/>
                <w:sz w:val="20"/>
                <w:szCs w:val="20"/>
              </w:rPr>
            </w:pPr>
          </w:p>
        </w:tc>
        <w:tc>
          <w:tcPr>
            <w:tcW w:w="50" w:type="pct"/>
            <w:shd w:val="clear" w:color="auto" w:fill="auto"/>
            <w:vAlign w:val="center"/>
          </w:tcPr>
          <w:p w14:paraId="1446F05D" w14:textId="77777777" w:rsidR="00FE42B5" w:rsidRDefault="00FE42B5">
            <w:pPr>
              <w:rPr>
                <w:rFonts w:ascii="Times New Roman" w:hAnsi="Times New Roman"/>
                <w:sz w:val="20"/>
                <w:szCs w:val="20"/>
              </w:rPr>
            </w:pPr>
          </w:p>
        </w:tc>
        <w:tc>
          <w:tcPr>
            <w:tcW w:w="50" w:type="pct"/>
            <w:shd w:val="clear" w:color="auto" w:fill="auto"/>
            <w:vAlign w:val="center"/>
          </w:tcPr>
          <w:p w14:paraId="1446F05E" w14:textId="77777777" w:rsidR="00FE42B5" w:rsidRDefault="00FE42B5">
            <w:pPr>
              <w:rPr>
                <w:rFonts w:ascii="Times New Roman" w:hAnsi="Times New Roman"/>
                <w:sz w:val="20"/>
                <w:szCs w:val="20"/>
              </w:rPr>
            </w:pPr>
          </w:p>
        </w:tc>
        <w:tc>
          <w:tcPr>
            <w:tcW w:w="50" w:type="pct"/>
            <w:shd w:val="clear" w:color="auto" w:fill="auto"/>
            <w:vAlign w:val="center"/>
          </w:tcPr>
          <w:p w14:paraId="1446F05F" w14:textId="77777777" w:rsidR="00FE42B5" w:rsidRDefault="00FE42B5">
            <w:pPr>
              <w:rPr>
                <w:rFonts w:ascii="Times New Roman" w:hAnsi="Times New Roman"/>
                <w:sz w:val="20"/>
                <w:szCs w:val="20"/>
              </w:rPr>
            </w:pPr>
          </w:p>
        </w:tc>
        <w:tc>
          <w:tcPr>
            <w:tcW w:w="650" w:type="pct"/>
            <w:shd w:val="clear" w:color="auto" w:fill="auto"/>
            <w:vAlign w:val="center"/>
          </w:tcPr>
          <w:p w14:paraId="1446F060" w14:textId="77777777" w:rsidR="00FE42B5" w:rsidRDefault="00FE42B5">
            <w:pPr>
              <w:rPr>
                <w:rFonts w:ascii="Times New Roman" w:hAnsi="Times New Roman"/>
                <w:sz w:val="20"/>
                <w:szCs w:val="20"/>
              </w:rPr>
            </w:pPr>
          </w:p>
        </w:tc>
        <w:tc>
          <w:tcPr>
            <w:tcW w:w="50" w:type="pct"/>
            <w:shd w:val="clear" w:color="auto" w:fill="auto"/>
            <w:vAlign w:val="center"/>
          </w:tcPr>
          <w:p w14:paraId="1446F061" w14:textId="77777777" w:rsidR="00FE42B5" w:rsidRDefault="00FE42B5">
            <w:pPr>
              <w:rPr>
                <w:rFonts w:ascii="Times New Roman" w:hAnsi="Times New Roman"/>
                <w:sz w:val="20"/>
                <w:szCs w:val="20"/>
              </w:rPr>
            </w:pPr>
          </w:p>
        </w:tc>
        <w:tc>
          <w:tcPr>
            <w:tcW w:w="50" w:type="pct"/>
            <w:shd w:val="clear" w:color="auto" w:fill="auto"/>
            <w:vAlign w:val="center"/>
          </w:tcPr>
          <w:p w14:paraId="1446F062" w14:textId="77777777" w:rsidR="00FE42B5" w:rsidRDefault="00FE42B5">
            <w:pPr>
              <w:rPr>
                <w:rFonts w:ascii="Times New Roman" w:hAnsi="Times New Roman"/>
                <w:sz w:val="20"/>
                <w:szCs w:val="20"/>
              </w:rPr>
            </w:pPr>
          </w:p>
        </w:tc>
        <w:tc>
          <w:tcPr>
            <w:tcW w:w="550" w:type="pct"/>
            <w:shd w:val="clear" w:color="auto" w:fill="auto"/>
            <w:vAlign w:val="center"/>
          </w:tcPr>
          <w:p w14:paraId="1446F063" w14:textId="77777777" w:rsidR="00FE42B5" w:rsidRDefault="00FE42B5">
            <w:pPr>
              <w:rPr>
                <w:rFonts w:ascii="Times New Roman" w:hAnsi="Times New Roman"/>
                <w:sz w:val="20"/>
                <w:szCs w:val="20"/>
              </w:rPr>
            </w:pPr>
          </w:p>
        </w:tc>
        <w:tc>
          <w:tcPr>
            <w:tcW w:w="50" w:type="pct"/>
            <w:shd w:val="clear" w:color="auto" w:fill="auto"/>
            <w:vAlign w:val="center"/>
          </w:tcPr>
          <w:p w14:paraId="1446F064" w14:textId="77777777" w:rsidR="00FE42B5" w:rsidRDefault="00FE42B5">
            <w:pPr>
              <w:rPr>
                <w:rFonts w:ascii="Times New Roman" w:hAnsi="Times New Roman"/>
                <w:sz w:val="20"/>
                <w:szCs w:val="20"/>
              </w:rPr>
            </w:pPr>
          </w:p>
        </w:tc>
      </w:tr>
      <w:tr w:rsidR="00FE42B5" w14:paraId="1446F06A" w14:textId="77777777">
        <w:tc>
          <w:tcPr>
            <w:tcW w:w="0" w:type="auto"/>
            <w:shd w:val="clear" w:color="auto" w:fill="auto"/>
            <w:tcMar>
              <w:top w:w="40" w:type="dxa"/>
              <w:left w:w="40" w:type="dxa"/>
              <w:bottom w:w="40" w:type="dxa"/>
              <w:right w:w="40" w:type="dxa"/>
            </w:tcMar>
            <w:vAlign w:val="bottom"/>
          </w:tcPr>
          <w:p w14:paraId="1446F066"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F067"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c>
          <w:tcPr>
            <w:tcW w:w="0" w:type="auto"/>
            <w:shd w:val="clear" w:color="auto" w:fill="auto"/>
            <w:tcMar>
              <w:top w:w="40" w:type="dxa"/>
              <w:left w:w="40" w:type="dxa"/>
              <w:bottom w:w="40" w:type="dxa"/>
              <w:right w:w="40" w:type="dxa"/>
            </w:tcMar>
            <w:vAlign w:val="bottom"/>
          </w:tcPr>
          <w:p w14:paraId="1446F06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069"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r>
      <w:tr w:rsidR="00FE42B5" w14:paraId="1446F071" w14:textId="77777777">
        <w:tc>
          <w:tcPr>
            <w:tcW w:w="0" w:type="auto"/>
            <w:shd w:val="clear" w:color="auto" w:fill="auto"/>
            <w:tcMar>
              <w:top w:w="40" w:type="dxa"/>
              <w:left w:w="40" w:type="dxa"/>
              <w:bottom w:w="40" w:type="dxa"/>
              <w:right w:w="40" w:type="dxa"/>
            </w:tcMar>
            <w:vAlign w:val="bottom"/>
          </w:tcPr>
          <w:p w14:paraId="1446F06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06C"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446F06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06E"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446F06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446F070"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E42B5" w14:paraId="1446F074" w14:textId="77777777">
        <w:tc>
          <w:tcPr>
            <w:tcW w:w="0" w:type="auto"/>
            <w:shd w:val="clear" w:color="auto" w:fill="auto"/>
            <w:tcMar>
              <w:top w:w="40" w:type="dxa"/>
              <w:left w:w="40" w:type="dxa"/>
              <w:bottom w:w="40" w:type="dxa"/>
              <w:right w:w="40" w:type="dxa"/>
            </w:tcMar>
            <w:vAlign w:val="bottom"/>
          </w:tcPr>
          <w:p w14:paraId="1446F072"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0"/>
            <w:shd w:val="clear" w:color="auto" w:fill="auto"/>
            <w:tcMar>
              <w:top w:w="40" w:type="dxa"/>
              <w:left w:w="40" w:type="dxa"/>
              <w:bottom w:w="40" w:type="dxa"/>
            </w:tcMar>
            <w:vAlign w:val="bottom"/>
          </w:tcPr>
          <w:p w14:paraId="1446F073" w14:textId="77777777" w:rsidR="00FE42B5" w:rsidRDefault="009213DC">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FE42B5" w14:paraId="1446F080" w14:textId="77777777">
        <w:tc>
          <w:tcPr>
            <w:tcW w:w="0" w:type="auto"/>
            <w:shd w:val="clear" w:color="auto" w:fill="CCEEFF"/>
            <w:tcMar>
              <w:top w:w="40" w:type="dxa"/>
              <w:left w:w="40" w:type="dxa"/>
              <w:bottom w:w="40" w:type="dxa"/>
              <w:right w:w="40" w:type="dxa"/>
            </w:tcMar>
          </w:tcPr>
          <w:p w14:paraId="1446F07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Advertising</w:t>
            </w:r>
          </w:p>
        </w:tc>
        <w:tc>
          <w:tcPr>
            <w:tcW w:w="0" w:type="auto"/>
            <w:shd w:val="clear" w:color="auto" w:fill="CCEEFF"/>
            <w:tcMar>
              <w:top w:w="40" w:type="dxa"/>
              <w:left w:w="40" w:type="dxa"/>
              <w:bottom w:w="40" w:type="dxa"/>
            </w:tcMar>
            <w:vAlign w:val="bottom"/>
          </w:tcPr>
          <w:p w14:paraId="1446F07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07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17,440</w:t>
            </w:r>
          </w:p>
        </w:tc>
        <w:tc>
          <w:tcPr>
            <w:tcW w:w="0" w:type="auto"/>
            <w:shd w:val="clear" w:color="auto" w:fill="CCEEFF"/>
            <w:vAlign w:val="bottom"/>
          </w:tcPr>
          <w:p w14:paraId="1446F078"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07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07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07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14,912</w:t>
            </w:r>
          </w:p>
        </w:tc>
        <w:tc>
          <w:tcPr>
            <w:tcW w:w="0" w:type="auto"/>
            <w:shd w:val="clear" w:color="auto" w:fill="CCEEFF"/>
            <w:vAlign w:val="bottom"/>
          </w:tcPr>
          <w:p w14:paraId="1446F07C"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07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07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tcMar>
              <w:top w:w="40" w:type="dxa"/>
              <w:bottom w:w="40" w:type="dxa"/>
              <w:right w:w="40" w:type="dxa"/>
            </w:tcMar>
            <w:vAlign w:val="bottom"/>
          </w:tcPr>
          <w:p w14:paraId="1446F07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F08A" w14:textId="77777777">
        <w:tc>
          <w:tcPr>
            <w:tcW w:w="0" w:type="auto"/>
            <w:shd w:val="clear" w:color="auto" w:fill="auto"/>
            <w:tcMar>
              <w:top w:w="40" w:type="dxa"/>
              <w:left w:w="40" w:type="dxa"/>
              <w:bottom w:w="40" w:type="dxa"/>
              <w:right w:w="40" w:type="dxa"/>
            </w:tcMar>
          </w:tcPr>
          <w:p w14:paraId="1446F081"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Other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1446F08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297</w:t>
            </w:r>
          </w:p>
        </w:tc>
        <w:tc>
          <w:tcPr>
            <w:tcW w:w="0" w:type="auto"/>
            <w:tcBorders>
              <w:bottom w:val="single" w:sz="8" w:space="0" w:color="000000"/>
            </w:tcBorders>
            <w:shd w:val="clear" w:color="auto" w:fill="auto"/>
            <w:vAlign w:val="bottom"/>
          </w:tcPr>
          <w:p w14:paraId="1446F08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08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F08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tcBorders>
              <w:bottom w:val="single" w:sz="8" w:space="0" w:color="000000"/>
            </w:tcBorders>
            <w:shd w:val="clear" w:color="auto" w:fill="auto"/>
            <w:vAlign w:val="bottom"/>
          </w:tcPr>
          <w:p w14:paraId="1446F08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08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F08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80</w:t>
            </w:r>
          </w:p>
        </w:tc>
        <w:tc>
          <w:tcPr>
            <w:tcW w:w="0" w:type="auto"/>
            <w:shd w:val="clear" w:color="auto" w:fill="auto"/>
            <w:tcMar>
              <w:top w:w="40" w:type="dxa"/>
              <w:bottom w:w="40" w:type="dxa"/>
              <w:right w:w="40" w:type="dxa"/>
            </w:tcMar>
            <w:vAlign w:val="bottom"/>
          </w:tcPr>
          <w:p w14:paraId="1446F08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F096" w14:textId="77777777">
        <w:tc>
          <w:tcPr>
            <w:tcW w:w="0" w:type="auto"/>
            <w:shd w:val="clear" w:color="auto" w:fill="CCEEFF"/>
            <w:tcMar>
              <w:top w:w="40" w:type="dxa"/>
              <w:left w:w="400" w:type="dxa"/>
              <w:bottom w:w="40" w:type="dxa"/>
              <w:right w:w="40" w:type="dxa"/>
            </w:tcMar>
          </w:tcPr>
          <w:p w14:paraId="1446F08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Total revenue</w:t>
            </w:r>
          </w:p>
        </w:tc>
        <w:tc>
          <w:tcPr>
            <w:tcW w:w="0" w:type="auto"/>
            <w:tcBorders>
              <w:bottom w:val="double" w:sz="6" w:space="0" w:color="000000"/>
            </w:tcBorders>
            <w:shd w:val="clear" w:color="auto" w:fill="CCEEFF"/>
            <w:tcMar>
              <w:top w:w="40" w:type="dxa"/>
              <w:left w:w="40" w:type="dxa"/>
              <w:bottom w:w="40" w:type="dxa"/>
            </w:tcMar>
            <w:vAlign w:val="bottom"/>
          </w:tcPr>
          <w:p w14:paraId="1446F08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F08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17,737</w:t>
            </w:r>
          </w:p>
        </w:tc>
        <w:tc>
          <w:tcPr>
            <w:tcW w:w="0" w:type="auto"/>
            <w:tcBorders>
              <w:bottom w:val="double" w:sz="6" w:space="0" w:color="000000"/>
            </w:tcBorders>
            <w:shd w:val="clear" w:color="auto" w:fill="CCEEFF"/>
            <w:vAlign w:val="bottom"/>
          </w:tcPr>
          <w:p w14:paraId="1446F08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08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446F09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F09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15,077</w:t>
            </w:r>
          </w:p>
        </w:tc>
        <w:tc>
          <w:tcPr>
            <w:tcW w:w="0" w:type="auto"/>
            <w:tcBorders>
              <w:bottom w:val="double" w:sz="6" w:space="0" w:color="000000"/>
            </w:tcBorders>
            <w:shd w:val="clear" w:color="auto" w:fill="CCEEFF"/>
            <w:vAlign w:val="bottom"/>
          </w:tcPr>
          <w:p w14:paraId="1446F09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09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09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tcMar>
              <w:top w:w="40" w:type="dxa"/>
              <w:bottom w:w="40" w:type="dxa"/>
              <w:right w:w="40" w:type="dxa"/>
            </w:tcMar>
            <w:vAlign w:val="bottom"/>
          </w:tcPr>
          <w:p w14:paraId="1446F09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bl>
    <w:p w14:paraId="1446F09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Revenue in the three months ended March 31, 2020 increased </w:t>
      </w:r>
      <w:r>
        <w:rPr>
          <w:rFonts w:ascii="Times New Roman" w:eastAsia="宋体" w:hAnsi="Times New Roman"/>
          <w:sz w:val="20"/>
          <w:szCs w:val="20"/>
        </w:rPr>
        <w:t>$2.66 billion, or 18%, compared to the same period in 2019. The increase was almost entirely due to an increase in advertising revenue as a result of an increase in the number of ads delivered, partially offset by a decrease in the average price per ad.</w:t>
      </w:r>
    </w:p>
    <w:p w14:paraId="1446F09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Du</w:t>
      </w:r>
      <w:r>
        <w:rPr>
          <w:rFonts w:ascii="Times New Roman" w:eastAsia="宋体" w:hAnsi="Times New Roman"/>
          <w:sz w:val="20"/>
          <w:szCs w:val="20"/>
        </w:rPr>
        <w:t>ring the three months ended March 31, 2020, the number of ads delivered increased by 39%, as compared with approximately 32% in the same period in 2019. The increase in the ads delivered was driven by an increase in the number and frequency of ads displaye</w:t>
      </w:r>
      <w:r>
        <w:rPr>
          <w:rFonts w:ascii="Times New Roman" w:eastAsia="宋体" w:hAnsi="Times New Roman"/>
          <w:sz w:val="20"/>
          <w:szCs w:val="20"/>
        </w:rPr>
        <w:t>d across our products, and an increase in users and their engagement. During the three months ended March 31, 2020, the average price per ad decreased by 16%, as compared with a decrease of approximately 4%, in the same period in 2019. The decrease in aver</w:t>
      </w:r>
      <w:r>
        <w:rPr>
          <w:rFonts w:ascii="Times New Roman" w:eastAsia="宋体" w:hAnsi="Times New Roman"/>
          <w:sz w:val="20"/>
          <w:szCs w:val="20"/>
        </w:rPr>
        <w:t>age price per ad was primarily driven by a decrease in advertising demand globally due to the COVID-19 pandemic over the last three weeks of the quarter. To a lesser extent, the decrease in average price per ad was also caused by an increasing proportion o</w:t>
      </w:r>
      <w:r>
        <w:rPr>
          <w:rFonts w:ascii="Times New Roman" w:eastAsia="宋体" w:hAnsi="Times New Roman"/>
          <w:sz w:val="20"/>
          <w:szCs w:val="20"/>
        </w:rPr>
        <w:t>f the number of ads delivered as Stories ads and in geographies that monetize at lower rates. In the near-term, we anticipate that future advertising revenue growth will be determined primarily by the extent to which the COVID-19 pandemic and related econo</w:t>
      </w:r>
      <w:r>
        <w:rPr>
          <w:rFonts w:ascii="Times New Roman" w:eastAsia="宋体" w:hAnsi="Times New Roman"/>
          <w:sz w:val="20"/>
          <w:szCs w:val="20"/>
        </w:rPr>
        <w:t>mic slowdown result in a decrease in advertising demand.</w:t>
      </w:r>
    </w:p>
    <w:p w14:paraId="1446F099" w14:textId="77777777" w:rsidR="00FE42B5" w:rsidRDefault="009213DC">
      <w:pPr>
        <w:spacing w:line="288" w:lineRule="auto"/>
        <w:jc w:val="both"/>
        <w:rPr>
          <w:rFonts w:ascii="Times New Roman" w:hAnsi="Times New Roman"/>
          <w:sz w:val="20"/>
          <w:szCs w:val="20"/>
        </w:rPr>
      </w:pPr>
      <w:r>
        <w:rPr>
          <w:rFonts w:ascii="Times New Roman" w:eastAsia="宋体" w:hAnsi="Times New Roman"/>
          <w:i/>
          <w:iCs/>
          <w:sz w:val="20"/>
          <w:szCs w:val="20"/>
        </w:rPr>
        <w:t>Foreign Exchange Impact on Revenue</w:t>
      </w:r>
    </w:p>
    <w:p w14:paraId="1446F09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general strengthening of the U.S. dollar relative to certain foreign currencies in the three months ended March 31, 2020 compared to the same period in 2019 had</w:t>
      </w:r>
      <w:r>
        <w:rPr>
          <w:rFonts w:ascii="Times New Roman" w:eastAsia="宋体" w:hAnsi="Times New Roman"/>
          <w:sz w:val="20"/>
          <w:szCs w:val="20"/>
        </w:rPr>
        <w:t xml:space="preserve"> an unfavorable impact on revenue. If we had translated revenue for the three months ended March 31, 2020 using the prior year's monthly exchange rates for our settlement or billing currencies other than the U.S. dollar, our total revenue and advertising r</w:t>
      </w:r>
      <w:r>
        <w:rPr>
          <w:rFonts w:ascii="Times New Roman" w:eastAsia="宋体" w:hAnsi="Times New Roman"/>
          <w:sz w:val="20"/>
          <w:szCs w:val="20"/>
        </w:rPr>
        <w:t xml:space="preserve">evenue would have been $18.01 billion and $17.71 billion, respectively. Using these constant rates, total revenue and advertising revenue would have been $275 million and $274 million higher than actual total revenue and advertising revenue, respectively, </w:t>
      </w:r>
      <w:r>
        <w:rPr>
          <w:rFonts w:ascii="Times New Roman" w:eastAsia="宋体" w:hAnsi="Times New Roman"/>
          <w:sz w:val="20"/>
          <w:szCs w:val="20"/>
        </w:rPr>
        <w:t>for the three months ended March 31, 2020.</w:t>
      </w:r>
    </w:p>
    <w:p w14:paraId="1446F09B" w14:textId="77777777" w:rsidR="00FE42B5" w:rsidRDefault="00FE42B5">
      <w:pPr>
        <w:rPr>
          <w:rFonts w:ascii="Times New Roman" w:hAnsi="Times New Roman"/>
          <w:sz w:val="20"/>
          <w:szCs w:val="20"/>
        </w:rPr>
      </w:pPr>
    </w:p>
    <w:p w14:paraId="1446F09C"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39</w:t>
      </w:r>
    </w:p>
    <w:p w14:paraId="1446F09D" w14:textId="77777777" w:rsidR="00FE42B5" w:rsidRDefault="009213DC">
      <w:r>
        <w:rPr>
          <w:rFonts w:ascii="Times New Roman" w:hAnsi="Times New Roman"/>
          <w:sz w:val="20"/>
          <w:szCs w:val="20"/>
        </w:rPr>
        <w:pict w14:anchorId="1446FAEF">
          <v:rect id="_x0000_i1063" style="width:415.3pt;height:1.5pt" o:hralign="center" o:hrstd="t" o:hr="t" fillcolor="#a0a0a0" stroked="f"/>
        </w:pict>
      </w:r>
    </w:p>
    <w:p w14:paraId="1446F09E" w14:textId="77777777" w:rsidR="00FE42B5" w:rsidRDefault="009213DC">
      <w:pPr>
        <w:spacing w:line="288" w:lineRule="auto"/>
        <w:rPr>
          <w:rFonts w:ascii="Times New Roman" w:hAnsi="Times New Roman"/>
          <w:sz w:val="20"/>
          <w:szCs w:val="20"/>
        </w:rPr>
      </w:pPr>
      <w:hyperlink r:id="rId80" w:anchor="sBB4BED1571A45A16AF3DC2E3B69C901C" w:history="1">
        <w:r>
          <w:rPr>
            <w:rStyle w:val="a5"/>
            <w:rFonts w:ascii="Times New Roman" w:eastAsia="宋体" w:hAnsi="Times New Roman"/>
            <w:sz w:val="20"/>
            <w:szCs w:val="20"/>
          </w:rPr>
          <w:t>Table of Contents</w:t>
        </w:r>
      </w:hyperlink>
    </w:p>
    <w:p w14:paraId="1446F09F" w14:textId="77777777" w:rsidR="00FE42B5" w:rsidRDefault="00FE42B5">
      <w:pPr>
        <w:rPr>
          <w:rFonts w:ascii="Times New Roman" w:hAnsi="Times New Roman"/>
          <w:sz w:val="20"/>
          <w:szCs w:val="20"/>
        </w:rPr>
      </w:pPr>
    </w:p>
    <w:p w14:paraId="1446F0A0"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Cost of revenue</w:t>
      </w:r>
    </w:p>
    <w:tbl>
      <w:tblPr>
        <w:tblW w:w="4956" w:type="pct"/>
        <w:tblCellMar>
          <w:left w:w="0" w:type="dxa"/>
          <w:right w:w="0" w:type="dxa"/>
        </w:tblCellMar>
        <w:tblLook w:val="04A0" w:firstRow="1" w:lastRow="0" w:firstColumn="1" w:lastColumn="0" w:noHBand="0" w:noVBand="1"/>
      </w:tblPr>
      <w:tblGrid>
        <w:gridCol w:w="4464"/>
        <w:gridCol w:w="140"/>
        <w:gridCol w:w="924"/>
        <w:gridCol w:w="207"/>
        <w:gridCol w:w="130"/>
        <w:gridCol w:w="140"/>
        <w:gridCol w:w="924"/>
        <w:gridCol w:w="207"/>
        <w:gridCol w:w="130"/>
        <w:gridCol w:w="760"/>
        <w:gridCol w:w="207"/>
      </w:tblGrid>
      <w:tr w:rsidR="00FE42B5" w14:paraId="1446F0A2" w14:textId="77777777">
        <w:tc>
          <w:tcPr>
            <w:tcW w:w="0" w:type="auto"/>
            <w:gridSpan w:val="11"/>
            <w:shd w:val="clear" w:color="auto" w:fill="auto"/>
            <w:vAlign w:val="center"/>
          </w:tcPr>
          <w:p w14:paraId="1446F0A1" w14:textId="77777777" w:rsidR="00FE42B5" w:rsidRDefault="00FE42B5">
            <w:pPr>
              <w:rPr>
                <w:rFonts w:ascii="Times New Roman" w:hAnsi="Times New Roman"/>
                <w:sz w:val="20"/>
                <w:szCs w:val="20"/>
              </w:rPr>
            </w:pPr>
          </w:p>
        </w:tc>
      </w:tr>
      <w:tr w:rsidR="00FE42B5" w14:paraId="1446F0AE" w14:textId="77777777">
        <w:tc>
          <w:tcPr>
            <w:tcW w:w="2800" w:type="pct"/>
            <w:shd w:val="clear" w:color="auto" w:fill="auto"/>
            <w:vAlign w:val="center"/>
          </w:tcPr>
          <w:p w14:paraId="1446F0A3" w14:textId="77777777" w:rsidR="00FE42B5" w:rsidRDefault="00FE42B5">
            <w:pPr>
              <w:rPr>
                <w:rFonts w:ascii="Times New Roman" w:hAnsi="Times New Roman"/>
                <w:sz w:val="20"/>
                <w:szCs w:val="20"/>
              </w:rPr>
            </w:pPr>
          </w:p>
        </w:tc>
        <w:tc>
          <w:tcPr>
            <w:tcW w:w="50" w:type="pct"/>
            <w:shd w:val="clear" w:color="auto" w:fill="auto"/>
            <w:vAlign w:val="center"/>
          </w:tcPr>
          <w:p w14:paraId="1446F0A4" w14:textId="77777777" w:rsidR="00FE42B5" w:rsidRDefault="00FE42B5">
            <w:pPr>
              <w:rPr>
                <w:rFonts w:ascii="Times New Roman" w:hAnsi="Times New Roman"/>
                <w:sz w:val="20"/>
                <w:szCs w:val="20"/>
              </w:rPr>
            </w:pPr>
          </w:p>
        </w:tc>
        <w:tc>
          <w:tcPr>
            <w:tcW w:w="650" w:type="pct"/>
            <w:shd w:val="clear" w:color="auto" w:fill="auto"/>
            <w:vAlign w:val="center"/>
          </w:tcPr>
          <w:p w14:paraId="1446F0A5" w14:textId="77777777" w:rsidR="00FE42B5" w:rsidRDefault="00FE42B5">
            <w:pPr>
              <w:rPr>
                <w:rFonts w:ascii="Times New Roman" w:hAnsi="Times New Roman"/>
                <w:sz w:val="20"/>
                <w:szCs w:val="20"/>
              </w:rPr>
            </w:pPr>
          </w:p>
        </w:tc>
        <w:tc>
          <w:tcPr>
            <w:tcW w:w="50" w:type="pct"/>
            <w:shd w:val="clear" w:color="auto" w:fill="auto"/>
            <w:vAlign w:val="center"/>
          </w:tcPr>
          <w:p w14:paraId="1446F0A6" w14:textId="77777777" w:rsidR="00FE42B5" w:rsidRDefault="00FE42B5">
            <w:pPr>
              <w:rPr>
                <w:rFonts w:ascii="Times New Roman" w:hAnsi="Times New Roman"/>
                <w:sz w:val="20"/>
                <w:szCs w:val="20"/>
              </w:rPr>
            </w:pPr>
          </w:p>
        </w:tc>
        <w:tc>
          <w:tcPr>
            <w:tcW w:w="50" w:type="pct"/>
            <w:shd w:val="clear" w:color="auto" w:fill="auto"/>
            <w:vAlign w:val="center"/>
          </w:tcPr>
          <w:p w14:paraId="1446F0A7" w14:textId="77777777" w:rsidR="00FE42B5" w:rsidRDefault="00FE42B5">
            <w:pPr>
              <w:rPr>
                <w:rFonts w:ascii="Times New Roman" w:hAnsi="Times New Roman"/>
                <w:sz w:val="20"/>
                <w:szCs w:val="20"/>
              </w:rPr>
            </w:pPr>
          </w:p>
        </w:tc>
        <w:tc>
          <w:tcPr>
            <w:tcW w:w="50" w:type="pct"/>
            <w:shd w:val="clear" w:color="auto" w:fill="auto"/>
            <w:vAlign w:val="center"/>
          </w:tcPr>
          <w:p w14:paraId="1446F0A8" w14:textId="77777777" w:rsidR="00FE42B5" w:rsidRDefault="00FE42B5">
            <w:pPr>
              <w:rPr>
                <w:rFonts w:ascii="Times New Roman" w:hAnsi="Times New Roman"/>
                <w:sz w:val="20"/>
                <w:szCs w:val="20"/>
              </w:rPr>
            </w:pPr>
          </w:p>
        </w:tc>
        <w:tc>
          <w:tcPr>
            <w:tcW w:w="650" w:type="pct"/>
            <w:shd w:val="clear" w:color="auto" w:fill="auto"/>
            <w:vAlign w:val="center"/>
          </w:tcPr>
          <w:p w14:paraId="1446F0A9" w14:textId="77777777" w:rsidR="00FE42B5" w:rsidRDefault="00FE42B5">
            <w:pPr>
              <w:rPr>
                <w:rFonts w:ascii="Times New Roman" w:hAnsi="Times New Roman"/>
                <w:sz w:val="20"/>
                <w:szCs w:val="20"/>
              </w:rPr>
            </w:pPr>
          </w:p>
        </w:tc>
        <w:tc>
          <w:tcPr>
            <w:tcW w:w="50" w:type="pct"/>
            <w:shd w:val="clear" w:color="auto" w:fill="auto"/>
            <w:vAlign w:val="center"/>
          </w:tcPr>
          <w:p w14:paraId="1446F0AA" w14:textId="77777777" w:rsidR="00FE42B5" w:rsidRDefault="00FE42B5">
            <w:pPr>
              <w:rPr>
                <w:rFonts w:ascii="Times New Roman" w:hAnsi="Times New Roman"/>
                <w:sz w:val="20"/>
                <w:szCs w:val="20"/>
              </w:rPr>
            </w:pPr>
          </w:p>
        </w:tc>
        <w:tc>
          <w:tcPr>
            <w:tcW w:w="50" w:type="pct"/>
            <w:shd w:val="clear" w:color="auto" w:fill="auto"/>
            <w:vAlign w:val="center"/>
          </w:tcPr>
          <w:p w14:paraId="1446F0AB" w14:textId="77777777" w:rsidR="00FE42B5" w:rsidRDefault="00FE42B5">
            <w:pPr>
              <w:rPr>
                <w:rFonts w:ascii="Times New Roman" w:hAnsi="Times New Roman"/>
                <w:sz w:val="20"/>
                <w:szCs w:val="20"/>
              </w:rPr>
            </w:pPr>
          </w:p>
        </w:tc>
        <w:tc>
          <w:tcPr>
            <w:tcW w:w="550" w:type="pct"/>
            <w:shd w:val="clear" w:color="auto" w:fill="auto"/>
            <w:vAlign w:val="center"/>
          </w:tcPr>
          <w:p w14:paraId="1446F0AC" w14:textId="77777777" w:rsidR="00FE42B5" w:rsidRDefault="00FE42B5">
            <w:pPr>
              <w:rPr>
                <w:rFonts w:ascii="Times New Roman" w:hAnsi="Times New Roman"/>
                <w:sz w:val="20"/>
                <w:szCs w:val="20"/>
              </w:rPr>
            </w:pPr>
          </w:p>
        </w:tc>
        <w:tc>
          <w:tcPr>
            <w:tcW w:w="50" w:type="pct"/>
            <w:shd w:val="clear" w:color="auto" w:fill="auto"/>
            <w:vAlign w:val="center"/>
          </w:tcPr>
          <w:p w14:paraId="1446F0AD" w14:textId="77777777" w:rsidR="00FE42B5" w:rsidRDefault="00FE42B5">
            <w:pPr>
              <w:rPr>
                <w:rFonts w:ascii="Times New Roman" w:hAnsi="Times New Roman"/>
                <w:sz w:val="20"/>
                <w:szCs w:val="20"/>
              </w:rPr>
            </w:pPr>
          </w:p>
        </w:tc>
      </w:tr>
      <w:tr w:rsidR="00FE42B5" w14:paraId="1446F0B3" w14:textId="77777777">
        <w:tc>
          <w:tcPr>
            <w:tcW w:w="0" w:type="auto"/>
            <w:shd w:val="clear" w:color="auto" w:fill="auto"/>
            <w:tcMar>
              <w:top w:w="40" w:type="dxa"/>
              <w:left w:w="40" w:type="dxa"/>
              <w:bottom w:w="40" w:type="dxa"/>
              <w:right w:w="40" w:type="dxa"/>
            </w:tcMar>
            <w:vAlign w:val="bottom"/>
          </w:tcPr>
          <w:p w14:paraId="1446F0AF"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F0B0"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c>
          <w:tcPr>
            <w:tcW w:w="0" w:type="auto"/>
            <w:shd w:val="clear" w:color="auto" w:fill="auto"/>
            <w:tcMar>
              <w:top w:w="40" w:type="dxa"/>
              <w:left w:w="40" w:type="dxa"/>
              <w:bottom w:w="40" w:type="dxa"/>
              <w:right w:w="40" w:type="dxa"/>
            </w:tcMar>
            <w:vAlign w:val="bottom"/>
          </w:tcPr>
          <w:p w14:paraId="1446F0B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0B2"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r>
      <w:tr w:rsidR="00FE42B5" w14:paraId="1446F0BA" w14:textId="77777777">
        <w:tc>
          <w:tcPr>
            <w:tcW w:w="0" w:type="auto"/>
            <w:shd w:val="clear" w:color="auto" w:fill="auto"/>
            <w:tcMar>
              <w:top w:w="40" w:type="dxa"/>
              <w:left w:w="40" w:type="dxa"/>
              <w:bottom w:w="40" w:type="dxa"/>
              <w:right w:w="40" w:type="dxa"/>
            </w:tcMar>
            <w:vAlign w:val="bottom"/>
          </w:tcPr>
          <w:p w14:paraId="1446F0B4"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0B5"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446F0B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0B7"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446F0B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446F0B9"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w:t>
            </w:r>
            <w:r>
              <w:rPr>
                <w:rFonts w:ascii="Times New Roman" w:eastAsia="宋体" w:hAnsi="Times New Roman"/>
                <w:b/>
                <w:bCs/>
                <w:sz w:val="16"/>
                <w:szCs w:val="16"/>
              </w:rPr>
              <w:t xml:space="preserve"> change</w:t>
            </w:r>
          </w:p>
        </w:tc>
      </w:tr>
      <w:tr w:rsidR="00FE42B5" w14:paraId="1446F0BD" w14:textId="77777777">
        <w:tc>
          <w:tcPr>
            <w:tcW w:w="0" w:type="auto"/>
            <w:shd w:val="clear" w:color="auto" w:fill="auto"/>
            <w:tcMar>
              <w:top w:w="40" w:type="dxa"/>
              <w:left w:w="40" w:type="dxa"/>
              <w:bottom w:w="40" w:type="dxa"/>
              <w:right w:w="40" w:type="dxa"/>
            </w:tcMar>
            <w:vAlign w:val="bottom"/>
          </w:tcPr>
          <w:p w14:paraId="1446F0B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0"/>
            <w:shd w:val="clear" w:color="auto" w:fill="auto"/>
            <w:tcMar>
              <w:top w:w="40" w:type="dxa"/>
              <w:left w:w="40" w:type="dxa"/>
              <w:bottom w:w="40" w:type="dxa"/>
            </w:tcMar>
            <w:vAlign w:val="bottom"/>
          </w:tcPr>
          <w:p w14:paraId="1446F0BC" w14:textId="77777777" w:rsidR="00FE42B5" w:rsidRDefault="009213DC">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FE42B5" w14:paraId="1446F0C9" w14:textId="77777777">
        <w:tc>
          <w:tcPr>
            <w:tcW w:w="0" w:type="auto"/>
            <w:shd w:val="clear" w:color="auto" w:fill="CCEEFF"/>
            <w:tcMar>
              <w:top w:w="40" w:type="dxa"/>
              <w:left w:w="40" w:type="dxa"/>
              <w:bottom w:w="40" w:type="dxa"/>
              <w:right w:w="40" w:type="dxa"/>
            </w:tcMar>
          </w:tcPr>
          <w:p w14:paraId="1446F0B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1446F0B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0C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3,459</w:t>
            </w:r>
          </w:p>
        </w:tc>
        <w:tc>
          <w:tcPr>
            <w:tcW w:w="0" w:type="auto"/>
            <w:shd w:val="clear" w:color="auto" w:fill="CCEEFF"/>
            <w:vAlign w:val="bottom"/>
          </w:tcPr>
          <w:p w14:paraId="1446F0C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0C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0C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0C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2,816</w:t>
            </w:r>
          </w:p>
        </w:tc>
        <w:tc>
          <w:tcPr>
            <w:tcW w:w="0" w:type="auto"/>
            <w:shd w:val="clear" w:color="auto" w:fill="CCEEFF"/>
            <w:vAlign w:val="bottom"/>
          </w:tcPr>
          <w:p w14:paraId="1446F0C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0C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0C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CCEEFF"/>
            <w:tcMar>
              <w:top w:w="40" w:type="dxa"/>
              <w:bottom w:w="40" w:type="dxa"/>
              <w:right w:w="40" w:type="dxa"/>
            </w:tcMar>
            <w:vAlign w:val="bottom"/>
          </w:tcPr>
          <w:p w14:paraId="1446F0C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F0D2" w14:textId="77777777">
        <w:tc>
          <w:tcPr>
            <w:tcW w:w="0" w:type="auto"/>
            <w:shd w:val="clear" w:color="auto" w:fill="auto"/>
            <w:tcMar>
              <w:top w:w="40" w:type="dxa"/>
              <w:left w:w="40" w:type="dxa"/>
              <w:bottom w:w="40" w:type="dxa"/>
              <w:right w:w="40" w:type="dxa"/>
            </w:tcMar>
          </w:tcPr>
          <w:p w14:paraId="1446F0C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40" w:type="dxa"/>
            </w:tcMar>
            <w:vAlign w:val="bottom"/>
          </w:tcPr>
          <w:p w14:paraId="1446F0C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1446F0C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0C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F0C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40" w:type="dxa"/>
              <w:right w:w="40" w:type="dxa"/>
            </w:tcMar>
            <w:vAlign w:val="bottom"/>
          </w:tcPr>
          <w:p w14:paraId="1446F0C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0D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0D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bl>
    <w:p w14:paraId="1446F0D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Cost of revenue in the three months ended March 31, 2020 increased $643 million, or 23%, compared to the same period in 2019. The increase was primarily due to an increase in operational expenses related to our data centers and technical infrastructure and</w:t>
      </w:r>
      <w:r>
        <w:rPr>
          <w:rFonts w:ascii="Times New Roman" w:eastAsia="宋体" w:hAnsi="Times New Roman"/>
          <w:sz w:val="20"/>
          <w:szCs w:val="20"/>
        </w:rPr>
        <w:t xml:space="preserve">, to a lesser extent, higher cost of consumer hardware devices sold and traffic acquisition costs. </w:t>
      </w:r>
    </w:p>
    <w:p w14:paraId="1446F0D4"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Research and development</w:t>
      </w:r>
    </w:p>
    <w:tbl>
      <w:tblPr>
        <w:tblW w:w="4956" w:type="pct"/>
        <w:tblCellMar>
          <w:left w:w="0" w:type="dxa"/>
          <w:right w:w="0" w:type="dxa"/>
        </w:tblCellMar>
        <w:tblLook w:val="04A0" w:firstRow="1" w:lastRow="0" w:firstColumn="1" w:lastColumn="0" w:noHBand="0" w:noVBand="1"/>
      </w:tblPr>
      <w:tblGrid>
        <w:gridCol w:w="4464"/>
        <w:gridCol w:w="140"/>
        <w:gridCol w:w="924"/>
        <w:gridCol w:w="207"/>
        <w:gridCol w:w="130"/>
        <w:gridCol w:w="140"/>
        <w:gridCol w:w="924"/>
        <w:gridCol w:w="207"/>
        <w:gridCol w:w="130"/>
        <w:gridCol w:w="760"/>
        <w:gridCol w:w="207"/>
      </w:tblGrid>
      <w:tr w:rsidR="00FE42B5" w14:paraId="1446F0D6" w14:textId="77777777">
        <w:tc>
          <w:tcPr>
            <w:tcW w:w="0" w:type="auto"/>
            <w:gridSpan w:val="11"/>
            <w:shd w:val="clear" w:color="auto" w:fill="auto"/>
            <w:vAlign w:val="center"/>
          </w:tcPr>
          <w:p w14:paraId="1446F0D5" w14:textId="77777777" w:rsidR="00FE42B5" w:rsidRDefault="00FE42B5">
            <w:pPr>
              <w:rPr>
                <w:rFonts w:ascii="Times New Roman" w:hAnsi="Times New Roman"/>
                <w:sz w:val="20"/>
                <w:szCs w:val="20"/>
              </w:rPr>
            </w:pPr>
          </w:p>
        </w:tc>
      </w:tr>
      <w:tr w:rsidR="00FE42B5" w14:paraId="1446F0E2" w14:textId="77777777">
        <w:tc>
          <w:tcPr>
            <w:tcW w:w="2800" w:type="pct"/>
            <w:shd w:val="clear" w:color="auto" w:fill="auto"/>
            <w:vAlign w:val="center"/>
          </w:tcPr>
          <w:p w14:paraId="1446F0D7" w14:textId="77777777" w:rsidR="00FE42B5" w:rsidRDefault="00FE42B5">
            <w:pPr>
              <w:rPr>
                <w:rFonts w:ascii="Times New Roman" w:hAnsi="Times New Roman"/>
                <w:sz w:val="20"/>
                <w:szCs w:val="20"/>
              </w:rPr>
            </w:pPr>
          </w:p>
        </w:tc>
        <w:tc>
          <w:tcPr>
            <w:tcW w:w="50" w:type="pct"/>
            <w:shd w:val="clear" w:color="auto" w:fill="auto"/>
            <w:vAlign w:val="center"/>
          </w:tcPr>
          <w:p w14:paraId="1446F0D8" w14:textId="77777777" w:rsidR="00FE42B5" w:rsidRDefault="00FE42B5">
            <w:pPr>
              <w:rPr>
                <w:rFonts w:ascii="Times New Roman" w:hAnsi="Times New Roman"/>
                <w:sz w:val="20"/>
                <w:szCs w:val="20"/>
              </w:rPr>
            </w:pPr>
          </w:p>
        </w:tc>
        <w:tc>
          <w:tcPr>
            <w:tcW w:w="650" w:type="pct"/>
            <w:shd w:val="clear" w:color="auto" w:fill="auto"/>
            <w:vAlign w:val="center"/>
          </w:tcPr>
          <w:p w14:paraId="1446F0D9" w14:textId="77777777" w:rsidR="00FE42B5" w:rsidRDefault="00FE42B5">
            <w:pPr>
              <w:rPr>
                <w:rFonts w:ascii="Times New Roman" w:hAnsi="Times New Roman"/>
                <w:sz w:val="20"/>
                <w:szCs w:val="20"/>
              </w:rPr>
            </w:pPr>
          </w:p>
        </w:tc>
        <w:tc>
          <w:tcPr>
            <w:tcW w:w="50" w:type="pct"/>
            <w:shd w:val="clear" w:color="auto" w:fill="auto"/>
            <w:vAlign w:val="center"/>
          </w:tcPr>
          <w:p w14:paraId="1446F0DA" w14:textId="77777777" w:rsidR="00FE42B5" w:rsidRDefault="00FE42B5">
            <w:pPr>
              <w:rPr>
                <w:rFonts w:ascii="Times New Roman" w:hAnsi="Times New Roman"/>
                <w:sz w:val="20"/>
                <w:szCs w:val="20"/>
              </w:rPr>
            </w:pPr>
          </w:p>
        </w:tc>
        <w:tc>
          <w:tcPr>
            <w:tcW w:w="50" w:type="pct"/>
            <w:shd w:val="clear" w:color="auto" w:fill="auto"/>
            <w:vAlign w:val="center"/>
          </w:tcPr>
          <w:p w14:paraId="1446F0DB" w14:textId="77777777" w:rsidR="00FE42B5" w:rsidRDefault="00FE42B5">
            <w:pPr>
              <w:rPr>
                <w:rFonts w:ascii="Times New Roman" w:hAnsi="Times New Roman"/>
                <w:sz w:val="20"/>
                <w:szCs w:val="20"/>
              </w:rPr>
            </w:pPr>
          </w:p>
        </w:tc>
        <w:tc>
          <w:tcPr>
            <w:tcW w:w="50" w:type="pct"/>
            <w:shd w:val="clear" w:color="auto" w:fill="auto"/>
            <w:vAlign w:val="center"/>
          </w:tcPr>
          <w:p w14:paraId="1446F0DC" w14:textId="77777777" w:rsidR="00FE42B5" w:rsidRDefault="00FE42B5">
            <w:pPr>
              <w:rPr>
                <w:rFonts w:ascii="Times New Roman" w:hAnsi="Times New Roman"/>
                <w:sz w:val="20"/>
                <w:szCs w:val="20"/>
              </w:rPr>
            </w:pPr>
          </w:p>
        </w:tc>
        <w:tc>
          <w:tcPr>
            <w:tcW w:w="650" w:type="pct"/>
            <w:shd w:val="clear" w:color="auto" w:fill="auto"/>
            <w:vAlign w:val="center"/>
          </w:tcPr>
          <w:p w14:paraId="1446F0DD" w14:textId="77777777" w:rsidR="00FE42B5" w:rsidRDefault="00FE42B5">
            <w:pPr>
              <w:rPr>
                <w:rFonts w:ascii="Times New Roman" w:hAnsi="Times New Roman"/>
                <w:sz w:val="20"/>
                <w:szCs w:val="20"/>
              </w:rPr>
            </w:pPr>
          </w:p>
        </w:tc>
        <w:tc>
          <w:tcPr>
            <w:tcW w:w="50" w:type="pct"/>
            <w:shd w:val="clear" w:color="auto" w:fill="auto"/>
            <w:vAlign w:val="center"/>
          </w:tcPr>
          <w:p w14:paraId="1446F0DE" w14:textId="77777777" w:rsidR="00FE42B5" w:rsidRDefault="00FE42B5">
            <w:pPr>
              <w:rPr>
                <w:rFonts w:ascii="Times New Roman" w:hAnsi="Times New Roman"/>
                <w:sz w:val="20"/>
                <w:szCs w:val="20"/>
              </w:rPr>
            </w:pPr>
          </w:p>
        </w:tc>
        <w:tc>
          <w:tcPr>
            <w:tcW w:w="50" w:type="pct"/>
            <w:shd w:val="clear" w:color="auto" w:fill="auto"/>
            <w:vAlign w:val="center"/>
          </w:tcPr>
          <w:p w14:paraId="1446F0DF" w14:textId="77777777" w:rsidR="00FE42B5" w:rsidRDefault="00FE42B5">
            <w:pPr>
              <w:rPr>
                <w:rFonts w:ascii="Times New Roman" w:hAnsi="Times New Roman"/>
                <w:sz w:val="20"/>
                <w:szCs w:val="20"/>
              </w:rPr>
            </w:pPr>
          </w:p>
        </w:tc>
        <w:tc>
          <w:tcPr>
            <w:tcW w:w="550" w:type="pct"/>
            <w:shd w:val="clear" w:color="auto" w:fill="auto"/>
            <w:vAlign w:val="center"/>
          </w:tcPr>
          <w:p w14:paraId="1446F0E0" w14:textId="77777777" w:rsidR="00FE42B5" w:rsidRDefault="00FE42B5">
            <w:pPr>
              <w:rPr>
                <w:rFonts w:ascii="Times New Roman" w:hAnsi="Times New Roman"/>
                <w:sz w:val="20"/>
                <w:szCs w:val="20"/>
              </w:rPr>
            </w:pPr>
          </w:p>
        </w:tc>
        <w:tc>
          <w:tcPr>
            <w:tcW w:w="50" w:type="pct"/>
            <w:shd w:val="clear" w:color="auto" w:fill="auto"/>
            <w:vAlign w:val="center"/>
          </w:tcPr>
          <w:p w14:paraId="1446F0E1" w14:textId="77777777" w:rsidR="00FE42B5" w:rsidRDefault="00FE42B5">
            <w:pPr>
              <w:rPr>
                <w:rFonts w:ascii="Times New Roman" w:hAnsi="Times New Roman"/>
                <w:sz w:val="20"/>
                <w:szCs w:val="20"/>
              </w:rPr>
            </w:pPr>
          </w:p>
        </w:tc>
      </w:tr>
      <w:tr w:rsidR="00FE42B5" w14:paraId="1446F0E7" w14:textId="77777777">
        <w:tc>
          <w:tcPr>
            <w:tcW w:w="0" w:type="auto"/>
            <w:shd w:val="clear" w:color="auto" w:fill="auto"/>
            <w:tcMar>
              <w:top w:w="40" w:type="dxa"/>
              <w:left w:w="40" w:type="dxa"/>
              <w:bottom w:w="40" w:type="dxa"/>
              <w:right w:w="40" w:type="dxa"/>
            </w:tcMar>
            <w:vAlign w:val="bottom"/>
          </w:tcPr>
          <w:p w14:paraId="1446F0E3"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F0E4"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c>
          <w:tcPr>
            <w:tcW w:w="0" w:type="auto"/>
            <w:shd w:val="clear" w:color="auto" w:fill="auto"/>
            <w:tcMar>
              <w:top w:w="40" w:type="dxa"/>
              <w:left w:w="40" w:type="dxa"/>
              <w:bottom w:w="40" w:type="dxa"/>
              <w:right w:w="40" w:type="dxa"/>
            </w:tcMar>
            <w:vAlign w:val="bottom"/>
          </w:tcPr>
          <w:p w14:paraId="1446F0E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0E6"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r>
      <w:tr w:rsidR="00FE42B5" w14:paraId="1446F0EE" w14:textId="77777777">
        <w:tc>
          <w:tcPr>
            <w:tcW w:w="0" w:type="auto"/>
            <w:shd w:val="clear" w:color="auto" w:fill="auto"/>
            <w:tcMar>
              <w:top w:w="40" w:type="dxa"/>
              <w:left w:w="40" w:type="dxa"/>
              <w:bottom w:w="40" w:type="dxa"/>
              <w:right w:w="40" w:type="dxa"/>
            </w:tcMar>
            <w:vAlign w:val="bottom"/>
          </w:tcPr>
          <w:p w14:paraId="1446F0E8"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0E9"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446F0E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0EB"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446F0E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446F0ED"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E42B5" w14:paraId="1446F0F1" w14:textId="77777777">
        <w:tc>
          <w:tcPr>
            <w:tcW w:w="0" w:type="auto"/>
            <w:shd w:val="clear" w:color="auto" w:fill="auto"/>
            <w:tcMar>
              <w:top w:w="40" w:type="dxa"/>
              <w:left w:w="40" w:type="dxa"/>
              <w:bottom w:w="40" w:type="dxa"/>
              <w:right w:w="40" w:type="dxa"/>
            </w:tcMar>
            <w:vAlign w:val="bottom"/>
          </w:tcPr>
          <w:p w14:paraId="1446F0EF"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0"/>
            <w:shd w:val="clear" w:color="auto" w:fill="auto"/>
            <w:tcMar>
              <w:top w:w="40" w:type="dxa"/>
              <w:left w:w="40" w:type="dxa"/>
              <w:bottom w:w="40" w:type="dxa"/>
            </w:tcMar>
            <w:vAlign w:val="bottom"/>
          </w:tcPr>
          <w:p w14:paraId="1446F0F0" w14:textId="77777777" w:rsidR="00FE42B5" w:rsidRDefault="009213DC">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FE42B5" w14:paraId="1446F0FD" w14:textId="77777777">
        <w:tc>
          <w:tcPr>
            <w:tcW w:w="0" w:type="auto"/>
            <w:shd w:val="clear" w:color="auto" w:fill="CCEEFF"/>
            <w:tcMar>
              <w:top w:w="40" w:type="dxa"/>
              <w:left w:w="40" w:type="dxa"/>
              <w:bottom w:w="40" w:type="dxa"/>
              <w:right w:w="40" w:type="dxa"/>
            </w:tcMar>
          </w:tcPr>
          <w:p w14:paraId="1446F0F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CCEEFF"/>
            <w:tcMar>
              <w:top w:w="40" w:type="dxa"/>
              <w:left w:w="40" w:type="dxa"/>
              <w:bottom w:w="40" w:type="dxa"/>
            </w:tcMar>
            <w:vAlign w:val="bottom"/>
          </w:tcPr>
          <w:p w14:paraId="1446F0F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0F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4,015</w:t>
            </w:r>
          </w:p>
        </w:tc>
        <w:tc>
          <w:tcPr>
            <w:tcW w:w="0" w:type="auto"/>
            <w:shd w:val="clear" w:color="auto" w:fill="CCEEFF"/>
            <w:vAlign w:val="bottom"/>
          </w:tcPr>
          <w:p w14:paraId="1446F0F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0F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0F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0F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2,860</w:t>
            </w:r>
          </w:p>
        </w:tc>
        <w:tc>
          <w:tcPr>
            <w:tcW w:w="0" w:type="auto"/>
            <w:shd w:val="clear" w:color="auto" w:fill="CCEEFF"/>
            <w:vAlign w:val="bottom"/>
          </w:tcPr>
          <w:p w14:paraId="1446F0F9"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0F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0F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shd w:val="clear" w:color="auto" w:fill="CCEEFF"/>
            <w:tcMar>
              <w:top w:w="40" w:type="dxa"/>
              <w:bottom w:w="40" w:type="dxa"/>
              <w:right w:w="40" w:type="dxa"/>
            </w:tcMar>
            <w:vAlign w:val="bottom"/>
          </w:tcPr>
          <w:p w14:paraId="1446F0F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F106" w14:textId="77777777">
        <w:tc>
          <w:tcPr>
            <w:tcW w:w="0" w:type="auto"/>
            <w:shd w:val="clear" w:color="auto" w:fill="auto"/>
            <w:tcMar>
              <w:top w:w="40" w:type="dxa"/>
              <w:left w:w="40" w:type="dxa"/>
              <w:bottom w:w="40" w:type="dxa"/>
              <w:right w:w="40" w:type="dxa"/>
            </w:tcMar>
          </w:tcPr>
          <w:p w14:paraId="1446F0F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40" w:type="dxa"/>
            </w:tcMar>
            <w:vAlign w:val="bottom"/>
          </w:tcPr>
          <w:p w14:paraId="1446F0F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auto"/>
            <w:tcMar>
              <w:top w:w="40" w:type="dxa"/>
              <w:bottom w:w="40" w:type="dxa"/>
              <w:right w:w="40" w:type="dxa"/>
            </w:tcMar>
            <w:vAlign w:val="bottom"/>
          </w:tcPr>
          <w:p w14:paraId="1446F10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10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F10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40" w:type="dxa"/>
              <w:right w:w="40" w:type="dxa"/>
            </w:tcMar>
            <w:vAlign w:val="bottom"/>
          </w:tcPr>
          <w:p w14:paraId="1446F10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10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10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bl>
    <w:p w14:paraId="1446F10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Research and development expenses in the three months ended March 31, 2020 increased $1.15 billion, or 40%, compared to the same period in 2019. The </w:t>
      </w:r>
      <w:r>
        <w:rPr>
          <w:rFonts w:ascii="Times New Roman" w:eastAsia="宋体" w:hAnsi="Times New Roman"/>
          <w:sz w:val="20"/>
          <w:szCs w:val="20"/>
        </w:rPr>
        <w:t>increase was primarily due to increases in payroll and benefits expenses and facilities-related costs as a result of a 35% growth in employee headcount from March 31, 2019 to March 31, 2020 in our engineering and other technical functions.</w:t>
      </w:r>
    </w:p>
    <w:p w14:paraId="1446F108"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Marketing and sa</w:t>
      </w:r>
      <w:r>
        <w:rPr>
          <w:rFonts w:ascii="Times New Roman" w:eastAsia="宋体" w:hAnsi="Times New Roman"/>
          <w:b/>
          <w:bCs/>
          <w:i/>
          <w:iCs/>
          <w:sz w:val="20"/>
          <w:szCs w:val="20"/>
        </w:rPr>
        <w:t>les</w:t>
      </w:r>
    </w:p>
    <w:tbl>
      <w:tblPr>
        <w:tblW w:w="4956" w:type="pct"/>
        <w:tblCellMar>
          <w:left w:w="0" w:type="dxa"/>
          <w:right w:w="0" w:type="dxa"/>
        </w:tblCellMar>
        <w:tblLook w:val="04A0" w:firstRow="1" w:lastRow="0" w:firstColumn="1" w:lastColumn="0" w:noHBand="0" w:noVBand="1"/>
      </w:tblPr>
      <w:tblGrid>
        <w:gridCol w:w="4464"/>
        <w:gridCol w:w="140"/>
        <w:gridCol w:w="924"/>
        <w:gridCol w:w="207"/>
        <w:gridCol w:w="130"/>
        <w:gridCol w:w="140"/>
        <w:gridCol w:w="924"/>
        <w:gridCol w:w="207"/>
        <w:gridCol w:w="130"/>
        <w:gridCol w:w="760"/>
        <w:gridCol w:w="207"/>
      </w:tblGrid>
      <w:tr w:rsidR="00FE42B5" w14:paraId="1446F10A" w14:textId="77777777">
        <w:tc>
          <w:tcPr>
            <w:tcW w:w="0" w:type="auto"/>
            <w:gridSpan w:val="11"/>
            <w:shd w:val="clear" w:color="auto" w:fill="auto"/>
            <w:vAlign w:val="center"/>
          </w:tcPr>
          <w:p w14:paraId="1446F109" w14:textId="77777777" w:rsidR="00FE42B5" w:rsidRDefault="00FE42B5">
            <w:pPr>
              <w:rPr>
                <w:rFonts w:ascii="Times New Roman" w:hAnsi="Times New Roman"/>
                <w:sz w:val="20"/>
                <w:szCs w:val="20"/>
              </w:rPr>
            </w:pPr>
          </w:p>
        </w:tc>
      </w:tr>
      <w:tr w:rsidR="00FE42B5" w14:paraId="1446F116" w14:textId="77777777">
        <w:tc>
          <w:tcPr>
            <w:tcW w:w="2800" w:type="pct"/>
            <w:shd w:val="clear" w:color="auto" w:fill="auto"/>
            <w:vAlign w:val="center"/>
          </w:tcPr>
          <w:p w14:paraId="1446F10B" w14:textId="77777777" w:rsidR="00FE42B5" w:rsidRDefault="00FE42B5">
            <w:pPr>
              <w:rPr>
                <w:rFonts w:ascii="Times New Roman" w:hAnsi="Times New Roman"/>
                <w:sz w:val="20"/>
                <w:szCs w:val="20"/>
              </w:rPr>
            </w:pPr>
          </w:p>
        </w:tc>
        <w:tc>
          <w:tcPr>
            <w:tcW w:w="50" w:type="pct"/>
            <w:shd w:val="clear" w:color="auto" w:fill="auto"/>
            <w:vAlign w:val="center"/>
          </w:tcPr>
          <w:p w14:paraId="1446F10C" w14:textId="77777777" w:rsidR="00FE42B5" w:rsidRDefault="00FE42B5">
            <w:pPr>
              <w:rPr>
                <w:rFonts w:ascii="Times New Roman" w:hAnsi="Times New Roman"/>
                <w:sz w:val="20"/>
                <w:szCs w:val="20"/>
              </w:rPr>
            </w:pPr>
          </w:p>
        </w:tc>
        <w:tc>
          <w:tcPr>
            <w:tcW w:w="650" w:type="pct"/>
            <w:shd w:val="clear" w:color="auto" w:fill="auto"/>
            <w:vAlign w:val="center"/>
          </w:tcPr>
          <w:p w14:paraId="1446F10D" w14:textId="77777777" w:rsidR="00FE42B5" w:rsidRDefault="00FE42B5">
            <w:pPr>
              <w:rPr>
                <w:rFonts w:ascii="Times New Roman" w:hAnsi="Times New Roman"/>
                <w:sz w:val="20"/>
                <w:szCs w:val="20"/>
              </w:rPr>
            </w:pPr>
          </w:p>
        </w:tc>
        <w:tc>
          <w:tcPr>
            <w:tcW w:w="50" w:type="pct"/>
            <w:shd w:val="clear" w:color="auto" w:fill="auto"/>
            <w:vAlign w:val="center"/>
          </w:tcPr>
          <w:p w14:paraId="1446F10E" w14:textId="77777777" w:rsidR="00FE42B5" w:rsidRDefault="00FE42B5">
            <w:pPr>
              <w:rPr>
                <w:rFonts w:ascii="Times New Roman" w:hAnsi="Times New Roman"/>
                <w:sz w:val="20"/>
                <w:szCs w:val="20"/>
              </w:rPr>
            </w:pPr>
          </w:p>
        </w:tc>
        <w:tc>
          <w:tcPr>
            <w:tcW w:w="50" w:type="pct"/>
            <w:shd w:val="clear" w:color="auto" w:fill="auto"/>
            <w:vAlign w:val="center"/>
          </w:tcPr>
          <w:p w14:paraId="1446F10F" w14:textId="77777777" w:rsidR="00FE42B5" w:rsidRDefault="00FE42B5">
            <w:pPr>
              <w:rPr>
                <w:rFonts w:ascii="Times New Roman" w:hAnsi="Times New Roman"/>
                <w:sz w:val="20"/>
                <w:szCs w:val="20"/>
              </w:rPr>
            </w:pPr>
          </w:p>
        </w:tc>
        <w:tc>
          <w:tcPr>
            <w:tcW w:w="50" w:type="pct"/>
            <w:shd w:val="clear" w:color="auto" w:fill="auto"/>
            <w:vAlign w:val="center"/>
          </w:tcPr>
          <w:p w14:paraId="1446F110" w14:textId="77777777" w:rsidR="00FE42B5" w:rsidRDefault="00FE42B5">
            <w:pPr>
              <w:rPr>
                <w:rFonts w:ascii="Times New Roman" w:hAnsi="Times New Roman"/>
                <w:sz w:val="20"/>
                <w:szCs w:val="20"/>
              </w:rPr>
            </w:pPr>
          </w:p>
        </w:tc>
        <w:tc>
          <w:tcPr>
            <w:tcW w:w="650" w:type="pct"/>
            <w:shd w:val="clear" w:color="auto" w:fill="auto"/>
            <w:vAlign w:val="center"/>
          </w:tcPr>
          <w:p w14:paraId="1446F111" w14:textId="77777777" w:rsidR="00FE42B5" w:rsidRDefault="00FE42B5">
            <w:pPr>
              <w:rPr>
                <w:rFonts w:ascii="Times New Roman" w:hAnsi="Times New Roman"/>
                <w:sz w:val="20"/>
                <w:szCs w:val="20"/>
              </w:rPr>
            </w:pPr>
          </w:p>
        </w:tc>
        <w:tc>
          <w:tcPr>
            <w:tcW w:w="50" w:type="pct"/>
            <w:shd w:val="clear" w:color="auto" w:fill="auto"/>
            <w:vAlign w:val="center"/>
          </w:tcPr>
          <w:p w14:paraId="1446F112" w14:textId="77777777" w:rsidR="00FE42B5" w:rsidRDefault="00FE42B5">
            <w:pPr>
              <w:rPr>
                <w:rFonts w:ascii="Times New Roman" w:hAnsi="Times New Roman"/>
                <w:sz w:val="20"/>
                <w:szCs w:val="20"/>
              </w:rPr>
            </w:pPr>
          </w:p>
        </w:tc>
        <w:tc>
          <w:tcPr>
            <w:tcW w:w="50" w:type="pct"/>
            <w:shd w:val="clear" w:color="auto" w:fill="auto"/>
            <w:vAlign w:val="center"/>
          </w:tcPr>
          <w:p w14:paraId="1446F113" w14:textId="77777777" w:rsidR="00FE42B5" w:rsidRDefault="00FE42B5">
            <w:pPr>
              <w:rPr>
                <w:rFonts w:ascii="Times New Roman" w:hAnsi="Times New Roman"/>
                <w:sz w:val="20"/>
                <w:szCs w:val="20"/>
              </w:rPr>
            </w:pPr>
          </w:p>
        </w:tc>
        <w:tc>
          <w:tcPr>
            <w:tcW w:w="550" w:type="pct"/>
            <w:shd w:val="clear" w:color="auto" w:fill="auto"/>
            <w:vAlign w:val="center"/>
          </w:tcPr>
          <w:p w14:paraId="1446F114" w14:textId="77777777" w:rsidR="00FE42B5" w:rsidRDefault="00FE42B5">
            <w:pPr>
              <w:rPr>
                <w:rFonts w:ascii="Times New Roman" w:hAnsi="Times New Roman"/>
                <w:sz w:val="20"/>
                <w:szCs w:val="20"/>
              </w:rPr>
            </w:pPr>
          </w:p>
        </w:tc>
        <w:tc>
          <w:tcPr>
            <w:tcW w:w="50" w:type="pct"/>
            <w:shd w:val="clear" w:color="auto" w:fill="auto"/>
            <w:vAlign w:val="center"/>
          </w:tcPr>
          <w:p w14:paraId="1446F115" w14:textId="77777777" w:rsidR="00FE42B5" w:rsidRDefault="00FE42B5">
            <w:pPr>
              <w:rPr>
                <w:rFonts w:ascii="Times New Roman" w:hAnsi="Times New Roman"/>
                <w:sz w:val="20"/>
                <w:szCs w:val="20"/>
              </w:rPr>
            </w:pPr>
          </w:p>
        </w:tc>
      </w:tr>
      <w:tr w:rsidR="00FE42B5" w14:paraId="1446F11B" w14:textId="77777777">
        <w:tc>
          <w:tcPr>
            <w:tcW w:w="0" w:type="auto"/>
            <w:shd w:val="clear" w:color="auto" w:fill="auto"/>
            <w:tcMar>
              <w:top w:w="40" w:type="dxa"/>
              <w:left w:w="40" w:type="dxa"/>
              <w:bottom w:w="40" w:type="dxa"/>
              <w:right w:w="40" w:type="dxa"/>
            </w:tcMar>
            <w:vAlign w:val="bottom"/>
          </w:tcPr>
          <w:p w14:paraId="1446F117"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F118"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c>
          <w:tcPr>
            <w:tcW w:w="0" w:type="auto"/>
            <w:shd w:val="clear" w:color="auto" w:fill="auto"/>
            <w:tcMar>
              <w:top w:w="40" w:type="dxa"/>
              <w:left w:w="40" w:type="dxa"/>
              <w:bottom w:w="40" w:type="dxa"/>
              <w:right w:w="40" w:type="dxa"/>
            </w:tcMar>
            <w:vAlign w:val="bottom"/>
          </w:tcPr>
          <w:p w14:paraId="1446F11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11A"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r>
      <w:tr w:rsidR="00FE42B5" w14:paraId="1446F122" w14:textId="77777777">
        <w:tc>
          <w:tcPr>
            <w:tcW w:w="0" w:type="auto"/>
            <w:shd w:val="clear" w:color="auto" w:fill="auto"/>
            <w:tcMar>
              <w:top w:w="40" w:type="dxa"/>
              <w:left w:w="40" w:type="dxa"/>
              <w:bottom w:w="40" w:type="dxa"/>
              <w:right w:w="40" w:type="dxa"/>
            </w:tcMar>
            <w:vAlign w:val="bottom"/>
          </w:tcPr>
          <w:p w14:paraId="1446F11C"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11D"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446F11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11F"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446F12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446F121"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E42B5" w14:paraId="1446F125" w14:textId="77777777">
        <w:tc>
          <w:tcPr>
            <w:tcW w:w="0" w:type="auto"/>
            <w:shd w:val="clear" w:color="auto" w:fill="auto"/>
            <w:tcMar>
              <w:top w:w="40" w:type="dxa"/>
              <w:left w:w="40" w:type="dxa"/>
              <w:bottom w:w="40" w:type="dxa"/>
              <w:right w:w="40" w:type="dxa"/>
            </w:tcMar>
            <w:vAlign w:val="bottom"/>
          </w:tcPr>
          <w:p w14:paraId="1446F123"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0"/>
            <w:shd w:val="clear" w:color="auto" w:fill="auto"/>
            <w:tcMar>
              <w:top w:w="40" w:type="dxa"/>
              <w:left w:w="40" w:type="dxa"/>
              <w:bottom w:w="40" w:type="dxa"/>
            </w:tcMar>
            <w:vAlign w:val="bottom"/>
          </w:tcPr>
          <w:p w14:paraId="1446F124" w14:textId="77777777" w:rsidR="00FE42B5" w:rsidRDefault="009213DC">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FE42B5" w14:paraId="1446F131" w14:textId="77777777">
        <w:tc>
          <w:tcPr>
            <w:tcW w:w="0" w:type="auto"/>
            <w:shd w:val="clear" w:color="auto" w:fill="CCEEFF"/>
            <w:tcMar>
              <w:top w:w="40" w:type="dxa"/>
              <w:left w:w="40" w:type="dxa"/>
              <w:bottom w:w="40" w:type="dxa"/>
              <w:right w:w="40" w:type="dxa"/>
            </w:tcMar>
          </w:tcPr>
          <w:p w14:paraId="1446F12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1446F12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12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2,787</w:t>
            </w:r>
          </w:p>
        </w:tc>
        <w:tc>
          <w:tcPr>
            <w:tcW w:w="0" w:type="auto"/>
            <w:shd w:val="clear" w:color="auto" w:fill="CCEEFF"/>
            <w:vAlign w:val="bottom"/>
          </w:tcPr>
          <w:p w14:paraId="1446F129"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12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12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12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2,020</w:t>
            </w:r>
          </w:p>
        </w:tc>
        <w:tc>
          <w:tcPr>
            <w:tcW w:w="0" w:type="auto"/>
            <w:shd w:val="clear" w:color="auto" w:fill="CCEEFF"/>
            <w:vAlign w:val="bottom"/>
          </w:tcPr>
          <w:p w14:paraId="1446F12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12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12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tcMar>
              <w:top w:w="40" w:type="dxa"/>
              <w:bottom w:w="40" w:type="dxa"/>
              <w:right w:w="40" w:type="dxa"/>
            </w:tcMar>
            <w:vAlign w:val="bottom"/>
          </w:tcPr>
          <w:p w14:paraId="1446F13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F13A" w14:textId="77777777">
        <w:tc>
          <w:tcPr>
            <w:tcW w:w="0" w:type="auto"/>
            <w:shd w:val="clear" w:color="auto" w:fill="auto"/>
            <w:tcMar>
              <w:top w:w="40" w:type="dxa"/>
              <w:left w:w="40" w:type="dxa"/>
              <w:bottom w:w="40" w:type="dxa"/>
              <w:right w:w="40" w:type="dxa"/>
            </w:tcMar>
          </w:tcPr>
          <w:p w14:paraId="1446F13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40" w:type="dxa"/>
            </w:tcMar>
            <w:vAlign w:val="bottom"/>
          </w:tcPr>
          <w:p w14:paraId="1446F13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1446F13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13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F13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tcMar>
              <w:top w:w="40" w:type="dxa"/>
              <w:bottom w:w="40" w:type="dxa"/>
              <w:right w:w="40" w:type="dxa"/>
            </w:tcMar>
            <w:vAlign w:val="bottom"/>
          </w:tcPr>
          <w:p w14:paraId="1446F13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13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13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bl>
    <w:p w14:paraId="1446F13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Marketing and sales expenses in the three </w:t>
      </w:r>
      <w:r>
        <w:rPr>
          <w:rFonts w:ascii="Times New Roman" w:eastAsia="宋体" w:hAnsi="Times New Roman"/>
          <w:sz w:val="20"/>
          <w:szCs w:val="20"/>
        </w:rPr>
        <w:t>months ended March 31, 2020 increased $767 million, or 38%, compared to the same period in 2019. The increase was primarily driven by increases in marketing expenses and payroll and benefits expenses. Our payroll and benefits expenses increased as a result</w:t>
      </w:r>
      <w:r>
        <w:rPr>
          <w:rFonts w:ascii="Times New Roman" w:eastAsia="宋体" w:hAnsi="Times New Roman"/>
          <w:sz w:val="20"/>
          <w:szCs w:val="20"/>
        </w:rPr>
        <w:t xml:space="preserve"> of a 20% increase in employee headcount from March 31, 2019 to March 31, 2020 in our marketing and sales functions.</w:t>
      </w:r>
    </w:p>
    <w:p w14:paraId="1446F13C"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General and administrative</w:t>
      </w:r>
    </w:p>
    <w:tbl>
      <w:tblPr>
        <w:tblW w:w="4956" w:type="pct"/>
        <w:tblCellMar>
          <w:left w:w="0" w:type="dxa"/>
          <w:right w:w="0" w:type="dxa"/>
        </w:tblCellMar>
        <w:tblLook w:val="04A0" w:firstRow="1" w:lastRow="0" w:firstColumn="1" w:lastColumn="0" w:noHBand="0" w:noVBand="1"/>
      </w:tblPr>
      <w:tblGrid>
        <w:gridCol w:w="4447"/>
        <w:gridCol w:w="140"/>
        <w:gridCol w:w="907"/>
        <w:gridCol w:w="207"/>
        <w:gridCol w:w="130"/>
        <w:gridCol w:w="140"/>
        <w:gridCol w:w="907"/>
        <w:gridCol w:w="207"/>
        <w:gridCol w:w="130"/>
        <w:gridCol w:w="744"/>
        <w:gridCol w:w="274"/>
      </w:tblGrid>
      <w:tr w:rsidR="00FE42B5" w14:paraId="1446F13E" w14:textId="77777777">
        <w:tc>
          <w:tcPr>
            <w:tcW w:w="0" w:type="auto"/>
            <w:gridSpan w:val="11"/>
            <w:shd w:val="clear" w:color="auto" w:fill="auto"/>
            <w:vAlign w:val="center"/>
          </w:tcPr>
          <w:p w14:paraId="1446F13D" w14:textId="77777777" w:rsidR="00FE42B5" w:rsidRDefault="00FE42B5">
            <w:pPr>
              <w:rPr>
                <w:rFonts w:ascii="Times New Roman" w:hAnsi="Times New Roman"/>
                <w:sz w:val="20"/>
                <w:szCs w:val="20"/>
              </w:rPr>
            </w:pPr>
          </w:p>
        </w:tc>
      </w:tr>
      <w:tr w:rsidR="00FE42B5" w14:paraId="1446F14A" w14:textId="77777777">
        <w:tc>
          <w:tcPr>
            <w:tcW w:w="2800" w:type="pct"/>
            <w:shd w:val="clear" w:color="auto" w:fill="auto"/>
            <w:vAlign w:val="center"/>
          </w:tcPr>
          <w:p w14:paraId="1446F13F" w14:textId="77777777" w:rsidR="00FE42B5" w:rsidRDefault="00FE42B5">
            <w:pPr>
              <w:rPr>
                <w:rFonts w:ascii="Times New Roman" w:hAnsi="Times New Roman"/>
                <w:sz w:val="20"/>
                <w:szCs w:val="20"/>
              </w:rPr>
            </w:pPr>
          </w:p>
        </w:tc>
        <w:tc>
          <w:tcPr>
            <w:tcW w:w="50" w:type="pct"/>
            <w:shd w:val="clear" w:color="auto" w:fill="auto"/>
            <w:vAlign w:val="center"/>
          </w:tcPr>
          <w:p w14:paraId="1446F140" w14:textId="77777777" w:rsidR="00FE42B5" w:rsidRDefault="00FE42B5">
            <w:pPr>
              <w:rPr>
                <w:rFonts w:ascii="Times New Roman" w:hAnsi="Times New Roman"/>
                <w:sz w:val="20"/>
                <w:szCs w:val="20"/>
              </w:rPr>
            </w:pPr>
          </w:p>
        </w:tc>
        <w:tc>
          <w:tcPr>
            <w:tcW w:w="650" w:type="pct"/>
            <w:shd w:val="clear" w:color="auto" w:fill="auto"/>
            <w:vAlign w:val="center"/>
          </w:tcPr>
          <w:p w14:paraId="1446F141" w14:textId="77777777" w:rsidR="00FE42B5" w:rsidRDefault="00FE42B5">
            <w:pPr>
              <w:rPr>
                <w:rFonts w:ascii="Times New Roman" w:hAnsi="Times New Roman"/>
                <w:sz w:val="20"/>
                <w:szCs w:val="20"/>
              </w:rPr>
            </w:pPr>
          </w:p>
        </w:tc>
        <w:tc>
          <w:tcPr>
            <w:tcW w:w="50" w:type="pct"/>
            <w:shd w:val="clear" w:color="auto" w:fill="auto"/>
            <w:vAlign w:val="center"/>
          </w:tcPr>
          <w:p w14:paraId="1446F142" w14:textId="77777777" w:rsidR="00FE42B5" w:rsidRDefault="00FE42B5">
            <w:pPr>
              <w:rPr>
                <w:rFonts w:ascii="Times New Roman" w:hAnsi="Times New Roman"/>
                <w:sz w:val="20"/>
                <w:szCs w:val="20"/>
              </w:rPr>
            </w:pPr>
          </w:p>
        </w:tc>
        <w:tc>
          <w:tcPr>
            <w:tcW w:w="50" w:type="pct"/>
            <w:shd w:val="clear" w:color="auto" w:fill="auto"/>
            <w:vAlign w:val="center"/>
          </w:tcPr>
          <w:p w14:paraId="1446F143" w14:textId="77777777" w:rsidR="00FE42B5" w:rsidRDefault="00FE42B5">
            <w:pPr>
              <w:rPr>
                <w:rFonts w:ascii="Times New Roman" w:hAnsi="Times New Roman"/>
                <w:sz w:val="20"/>
                <w:szCs w:val="20"/>
              </w:rPr>
            </w:pPr>
          </w:p>
        </w:tc>
        <w:tc>
          <w:tcPr>
            <w:tcW w:w="50" w:type="pct"/>
            <w:shd w:val="clear" w:color="auto" w:fill="auto"/>
            <w:vAlign w:val="center"/>
          </w:tcPr>
          <w:p w14:paraId="1446F144" w14:textId="77777777" w:rsidR="00FE42B5" w:rsidRDefault="00FE42B5">
            <w:pPr>
              <w:rPr>
                <w:rFonts w:ascii="Times New Roman" w:hAnsi="Times New Roman"/>
                <w:sz w:val="20"/>
                <w:szCs w:val="20"/>
              </w:rPr>
            </w:pPr>
          </w:p>
        </w:tc>
        <w:tc>
          <w:tcPr>
            <w:tcW w:w="650" w:type="pct"/>
            <w:shd w:val="clear" w:color="auto" w:fill="auto"/>
            <w:vAlign w:val="center"/>
          </w:tcPr>
          <w:p w14:paraId="1446F145" w14:textId="77777777" w:rsidR="00FE42B5" w:rsidRDefault="00FE42B5">
            <w:pPr>
              <w:rPr>
                <w:rFonts w:ascii="Times New Roman" w:hAnsi="Times New Roman"/>
                <w:sz w:val="20"/>
                <w:szCs w:val="20"/>
              </w:rPr>
            </w:pPr>
          </w:p>
        </w:tc>
        <w:tc>
          <w:tcPr>
            <w:tcW w:w="50" w:type="pct"/>
            <w:shd w:val="clear" w:color="auto" w:fill="auto"/>
            <w:vAlign w:val="center"/>
          </w:tcPr>
          <w:p w14:paraId="1446F146" w14:textId="77777777" w:rsidR="00FE42B5" w:rsidRDefault="00FE42B5">
            <w:pPr>
              <w:rPr>
                <w:rFonts w:ascii="Times New Roman" w:hAnsi="Times New Roman"/>
                <w:sz w:val="20"/>
                <w:szCs w:val="20"/>
              </w:rPr>
            </w:pPr>
          </w:p>
        </w:tc>
        <w:tc>
          <w:tcPr>
            <w:tcW w:w="50" w:type="pct"/>
            <w:shd w:val="clear" w:color="auto" w:fill="auto"/>
            <w:vAlign w:val="center"/>
          </w:tcPr>
          <w:p w14:paraId="1446F147" w14:textId="77777777" w:rsidR="00FE42B5" w:rsidRDefault="00FE42B5">
            <w:pPr>
              <w:rPr>
                <w:rFonts w:ascii="Times New Roman" w:hAnsi="Times New Roman"/>
                <w:sz w:val="20"/>
                <w:szCs w:val="20"/>
              </w:rPr>
            </w:pPr>
          </w:p>
        </w:tc>
        <w:tc>
          <w:tcPr>
            <w:tcW w:w="550" w:type="pct"/>
            <w:shd w:val="clear" w:color="auto" w:fill="auto"/>
            <w:vAlign w:val="center"/>
          </w:tcPr>
          <w:p w14:paraId="1446F148" w14:textId="77777777" w:rsidR="00FE42B5" w:rsidRDefault="00FE42B5">
            <w:pPr>
              <w:rPr>
                <w:rFonts w:ascii="Times New Roman" w:hAnsi="Times New Roman"/>
                <w:sz w:val="20"/>
                <w:szCs w:val="20"/>
              </w:rPr>
            </w:pPr>
          </w:p>
        </w:tc>
        <w:tc>
          <w:tcPr>
            <w:tcW w:w="50" w:type="pct"/>
            <w:shd w:val="clear" w:color="auto" w:fill="auto"/>
            <w:vAlign w:val="center"/>
          </w:tcPr>
          <w:p w14:paraId="1446F149" w14:textId="77777777" w:rsidR="00FE42B5" w:rsidRDefault="00FE42B5">
            <w:pPr>
              <w:rPr>
                <w:rFonts w:ascii="Times New Roman" w:hAnsi="Times New Roman"/>
                <w:sz w:val="20"/>
                <w:szCs w:val="20"/>
              </w:rPr>
            </w:pPr>
          </w:p>
        </w:tc>
      </w:tr>
      <w:tr w:rsidR="00FE42B5" w14:paraId="1446F14F" w14:textId="77777777">
        <w:tc>
          <w:tcPr>
            <w:tcW w:w="0" w:type="auto"/>
            <w:shd w:val="clear" w:color="auto" w:fill="auto"/>
            <w:tcMar>
              <w:top w:w="40" w:type="dxa"/>
              <w:left w:w="40" w:type="dxa"/>
              <w:bottom w:w="40" w:type="dxa"/>
              <w:right w:w="40" w:type="dxa"/>
            </w:tcMar>
            <w:vAlign w:val="bottom"/>
          </w:tcPr>
          <w:p w14:paraId="1446F14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F14C"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c>
          <w:tcPr>
            <w:tcW w:w="0" w:type="auto"/>
            <w:shd w:val="clear" w:color="auto" w:fill="auto"/>
            <w:tcMar>
              <w:top w:w="40" w:type="dxa"/>
              <w:left w:w="40" w:type="dxa"/>
              <w:bottom w:w="40" w:type="dxa"/>
              <w:right w:w="40" w:type="dxa"/>
            </w:tcMar>
            <w:vAlign w:val="bottom"/>
          </w:tcPr>
          <w:p w14:paraId="1446F14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14E"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r>
      <w:tr w:rsidR="00FE42B5" w14:paraId="1446F156" w14:textId="77777777">
        <w:tc>
          <w:tcPr>
            <w:tcW w:w="0" w:type="auto"/>
            <w:shd w:val="clear" w:color="auto" w:fill="auto"/>
            <w:tcMar>
              <w:top w:w="40" w:type="dxa"/>
              <w:left w:w="40" w:type="dxa"/>
              <w:bottom w:w="40" w:type="dxa"/>
              <w:right w:w="40" w:type="dxa"/>
            </w:tcMar>
            <w:vAlign w:val="bottom"/>
          </w:tcPr>
          <w:p w14:paraId="1446F150"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151"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446F15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153"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446F15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446F155"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E42B5" w14:paraId="1446F159" w14:textId="77777777">
        <w:tc>
          <w:tcPr>
            <w:tcW w:w="0" w:type="auto"/>
            <w:shd w:val="clear" w:color="auto" w:fill="auto"/>
            <w:tcMar>
              <w:top w:w="40" w:type="dxa"/>
              <w:left w:w="40" w:type="dxa"/>
              <w:bottom w:w="40" w:type="dxa"/>
              <w:right w:w="40" w:type="dxa"/>
            </w:tcMar>
            <w:vAlign w:val="bottom"/>
          </w:tcPr>
          <w:p w14:paraId="1446F157"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0"/>
            <w:shd w:val="clear" w:color="auto" w:fill="auto"/>
            <w:tcMar>
              <w:top w:w="40" w:type="dxa"/>
              <w:left w:w="40" w:type="dxa"/>
              <w:bottom w:w="40" w:type="dxa"/>
            </w:tcMar>
            <w:vAlign w:val="bottom"/>
          </w:tcPr>
          <w:p w14:paraId="1446F158" w14:textId="77777777" w:rsidR="00FE42B5" w:rsidRDefault="009213DC">
            <w:pPr>
              <w:jc w:val="center"/>
              <w:textAlignment w:val="bottom"/>
              <w:rPr>
                <w:rFonts w:ascii="Times New Roman" w:hAnsi="Times New Roman"/>
                <w:sz w:val="16"/>
                <w:szCs w:val="16"/>
              </w:rPr>
            </w:pPr>
            <w:r>
              <w:rPr>
                <w:rFonts w:ascii="Times New Roman" w:eastAsia="宋体" w:hAnsi="Times New Roman"/>
                <w:b/>
                <w:bCs/>
                <w:i/>
                <w:iCs/>
                <w:sz w:val="16"/>
                <w:szCs w:val="16"/>
              </w:rPr>
              <w:t xml:space="preserve">(in millions, except for </w:t>
            </w:r>
            <w:r>
              <w:rPr>
                <w:rFonts w:ascii="Times New Roman" w:eastAsia="宋体" w:hAnsi="Times New Roman"/>
                <w:b/>
                <w:bCs/>
                <w:i/>
                <w:iCs/>
                <w:sz w:val="16"/>
                <w:szCs w:val="16"/>
              </w:rPr>
              <w:t>percentages)</w:t>
            </w:r>
          </w:p>
        </w:tc>
      </w:tr>
      <w:tr w:rsidR="00FE42B5" w14:paraId="1446F165" w14:textId="77777777">
        <w:tc>
          <w:tcPr>
            <w:tcW w:w="0" w:type="auto"/>
            <w:shd w:val="clear" w:color="auto" w:fill="CCEEFF"/>
            <w:tcMar>
              <w:top w:w="40" w:type="dxa"/>
              <w:left w:w="40" w:type="dxa"/>
              <w:bottom w:w="40" w:type="dxa"/>
              <w:right w:w="40" w:type="dxa"/>
            </w:tcMar>
          </w:tcPr>
          <w:p w14:paraId="1446F15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Legal accrual related to FTC settlement</w:t>
            </w:r>
          </w:p>
        </w:tc>
        <w:tc>
          <w:tcPr>
            <w:tcW w:w="0" w:type="auto"/>
            <w:shd w:val="clear" w:color="auto" w:fill="CCEEFF"/>
            <w:tcMar>
              <w:top w:w="40" w:type="dxa"/>
              <w:left w:w="40" w:type="dxa"/>
              <w:bottom w:w="40" w:type="dxa"/>
            </w:tcMar>
            <w:vAlign w:val="bottom"/>
          </w:tcPr>
          <w:p w14:paraId="1446F15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15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F15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15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15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16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3,000</w:t>
            </w:r>
          </w:p>
        </w:tc>
        <w:tc>
          <w:tcPr>
            <w:tcW w:w="0" w:type="auto"/>
            <w:shd w:val="clear" w:color="auto" w:fill="CCEEFF"/>
            <w:vAlign w:val="bottom"/>
          </w:tcPr>
          <w:p w14:paraId="1446F16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16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16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NM</w:t>
            </w:r>
          </w:p>
        </w:tc>
        <w:tc>
          <w:tcPr>
            <w:tcW w:w="0" w:type="auto"/>
            <w:shd w:val="clear" w:color="auto" w:fill="CCEEFF"/>
            <w:vAlign w:val="bottom"/>
          </w:tcPr>
          <w:p w14:paraId="1446F164" w14:textId="77777777" w:rsidR="00FE42B5" w:rsidRDefault="00FE42B5">
            <w:pPr>
              <w:textAlignment w:val="bottom"/>
              <w:rPr>
                <w:rFonts w:ascii="Times New Roman" w:hAnsi="Times New Roman"/>
                <w:sz w:val="20"/>
                <w:szCs w:val="20"/>
              </w:rPr>
            </w:pPr>
          </w:p>
        </w:tc>
      </w:tr>
      <w:tr w:rsidR="00FE42B5" w14:paraId="1446F16F" w14:textId="77777777">
        <w:tc>
          <w:tcPr>
            <w:tcW w:w="0" w:type="auto"/>
            <w:shd w:val="clear" w:color="auto" w:fill="auto"/>
            <w:tcMar>
              <w:top w:w="40" w:type="dxa"/>
              <w:left w:w="40" w:type="dxa"/>
              <w:bottom w:w="40" w:type="dxa"/>
              <w:right w:w="40" w:type="dxa"/>
            </w:tcMar>
          </w:tcPr>
          <w:p w14:paraId="1446F16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Other 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1446F16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1,583</w:t>
            </w:r>
          </w:p>
        </w:tc>
        <w:tc>
          <w:tcPr>
            <w:tcW w:w="0" w:type="auto"/>
            <w:tcBorders>
              <w:bottom w:val="single" w:sz="8" w:space="0" w:color="000000"/>
            </w:tcBorders>
            <w:shd w:val="clear" w:color="auto" w:fill="auto"/>
            <w:vAlign w:val="bottom"/>
          </w:tcPr>
          <w:p w14:paraId="1446F168"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16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F16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1,064</w:t>
            </w:r>
          </w:p>
        </w:tc>
        <w:tc>
          <w:tcPr>
            <w:tcW w:w="0" w:type="auto"/>
            <w:tcBorders>
              <w:bottom w:val="single" w:sz="8" w:space="0" w:color="000000"/>
            </w:tcBorders>
            <w:shd w:val="clear" w:color="auto" w:fill="auto"/>
            <w:vAlign w:val="bottom"/>
          </w:tcPr>
          <w:p w14:paraId="1446F16B"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16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F16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shd w:val="clear" w:color="auto" w:fill="auto"/>
            <w:tcMar>
              <w:top w:w="40" w:type="dxa"/>
              <w:bottom w:w="40" w:type="dxa"/>
              <w:right w:w="40" w:type="dxa"/>
            </w:tcMar>
            <w:vAlign w:val="bottom"/>
          </w:tcPr>
          <w:p w14:paraId="1446F16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17B" w14:textId="77777777">
        <w:tc>
          <w:tcPr>
            <w:tcW w:w="0" w:type="auto"/>
            <w:shd w:val="clear" w:color="auto" w:fill="CCEEFF"/>
            <w:tcMar>
              <w:top w:w="40" w:type="dxa"/>
              <w:left w:w="40" w:type="dxa"/>
              <w:bottom w:w="40" w:type="dxa"/>
              <w:right w:w="40" w:type="dxa"/>
            </w:tcMar>
          </w:tcPr>
          <w:p w14:paraId="1446F17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F17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F17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1,583</w:t>
            </w:r>
          </w:p>
        </w:tc>
        <w:tc>
          <w:tcPr>
            <w:tcW w:w="0" w:type="auto"/>
            <w:tcBorders>
              <w:top w:val="single" w:sz="8" w:space="0" w:color="000000"/>
              <w:bottom w:val="double" w:sz="6" w:space="0" w:color="000000"/>
            </w:tcBorders>
            <w:shd w:val="clear" w:color="auto" w:fill="CCEEFF"/>
            <w:vAlign w:val="bottom"/>
          </w:tcPr>
          <w:p w14:paraId="1446F173"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17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F17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F17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4,064</w:t>
            </w:r>
          </w:p>
        </w:tc>
        <w:tc>
          <w:tcPr>
            <w:tcW w:w="0" w:type="auto"/>
            <w:tcBorders>
              <w:top w:val="single" w:sz="8" w:space="0" w:color="000000"/>
              <w:bottom w:val="double" w:sz="6" w:space="0" w:color="000000"/>
            </w:tcBorders>
            <w:shd w:val="clear" w:color="auto" w:fill="CCEEFF"/>
            <w:vAlign w:val="bottom"/>
          </w:tcPr>
          <w:p w14:paraId="1446F17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17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17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(61</w:t>
            </w:r>
          </w:p>
        </w:tc>
        <w:tc>
          <w:tcPr>
            <w:tcW w:w="0" w:type="auto"/>
            <w:shd w:val="clear" w:color="auto" w:fill="CCEEFF"/>
            <w:tcMar>
              <w:top w:w="40" w:type="dxa"/>
              <w:bottom w:w="40" w:type="dxa"/>
              <w:right w:w="40" w:type="dxa"/>
            </w:tcMar>
            <w:vAlign w:val="bottom"/>
          </w:tcPr>
          <w:p w14:paraId="1446F17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F184" w14:textId="77777777">
        <w:tc>
          <w:tcPr>
            <w:tcW w:w="0" w:type="auto"/>
            <w:shd w:val="clear" w:color="auto" w:fill="auto"/>
            <w:tcMar>
              <w:top w:w="40" w:type="dxa"/>
              <w:left w:w="40" w:type="dxa"/>
              <w:bottom w:w="40" w:type="dxa"/>
              <w:right w:w="40" w:type="dxa"/>
            </w:tcMar>
          </w:tcPr>
          <w:p w14:paraId="1446F17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40" w:type="dxa"/>
            </w:tcMar>
            <w:vAlign w:val="bottom"/>
          </w:tcPr>
          <w:p w14:paraId="1446F17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tcMar>
              <w:top w:w="40" w:type="dxa"/>
              <w:bottom w:w="40" w:type="dxa"/>
              <w:right w:w="40" w:type="dxa"/>
            </w:tcMar>
            <w:vAlign w:val="bottom"/>
          </w:tcPr>
          <w:p w14:paraId="1446F17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17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F18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auto"/>
            <w:tcMar>
              <w:top w:w="40" w:type="dxa"/>
              <w:bottom w:w="40" w:type="dxa"/>
              <w:right w:w="40" w:type="dxa"/>
            </w:tcMar>
            <w:vAlign w:val="bottom"/>
          </w:tcPr>
          <w:p w14:paraId="1446F18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18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18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bl>
    <w:p w14:paraId="1446F185"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General and </w:t>
      </w:r>
      <w:r>
        <w:rPr>
          <w:rFonts w:ascii="Times New Roman" w:eastAsia="宋体" w:hAnsi="Times New Roman"/>
          <w:sz w:val="20"/>
          <w:szCs w:val="20"/>
        </w:rPr>
        <w:t>administrative expenses in the three months ended March 31, 2020 decreased $2.48 billion, or 61%, compared to the same period in 2019. The decrease was mostly due to the $3.0 billion legal accrual recorded in the first quarter of 2019 related to our FTC se</w:t>
      </w:r>
      <w:r>
        <w:rPr>
          <w:rFonts w:ascii="Times New Roman" w:eastAsia="宋体" w:hAnsi="Times New Roman"/>
          <w:sz w:val="20"/>
          <w:szCs w:val="20"/>
        </w:rPr>
        <w:t>ttlement, partially offset by an increase of $193 million in bad debt expense, a majority of which was due to an increase in our estimated credit losses as the result of economic slowdown caused by the COVID-19 pandemic. In addition, our payroll and benefi</w:t>
      </w:r>
      <w:r>
        <w:rPr>
          <w:rFonts w:ascii="Times New Roman" w:eastAsia="宋体" w:hAnsi="Times New Roman"/>
          <w:sz w:val="20"/>
          <w:szCs w:val="20"/>
        </w:rPr>
        <w:t>ts expenses increased as a result of a 29% increase in employee headcount from March 31, 2019 to March 31, 2020 in our general and administrative functions.</w:t>
      </w:r>
    </w:p>
    <w:p w14:paraId="1446F186" w14:textId="77777777" w:rsidR="00FE42B5" w:rsidRDefault="00FE42B5">
      <w:pPr>
        <w:rPr>
          <w:rFonts w:ascii="Times New Roman" w:hAnsi="Times New Roman"/>
          <w:sz w:val="20"/>
          <w:szCs w:val="20"/>
        </w:rPr>
      </w:pPr>
    </w:p>
    <w:p w14:paraId="1446F187"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40</w:t>
      </w:r>
    </w:p>
    <w:p w14:paraId="1446F188" w14:textId="77777777" w:rsidR="00FE42B5" w:rsidRDefault="009213DC">
      <w:r>
        <w:rPr>
          <w:rFonts w:ascii="Times New Roman" w:hAnsi="Times New Roman"/>
          <w:sz w:val="20"/>
          <w:szCs w:val="20"/>
        </w:rPr>
        <w:pict w14:anchorId="1446FAF0">
          <v:rect id="_x0000_i1064" style="width:415.3pt;height:1.5pt" o:hralign="center" o:hrstd="t" o:hr="t" fillcolor="#a0a0a0" stroked="f"/>
        </w:pict>
      </w:r>
    </w:p>
    <w:p w14:paraId="1446F189" w14:textId="77777777" w:rsidR="00FE42B5" w:rsidRDefault="009213DC">
      <w:pPr>
        <w:spacing w:line="288" w:lineRule="auto"/>
        <w:rPr>
          <w:rFonts w:ascii="Times New Roman" w:hAnsi="Times New Roman"/>
          <w:sz w:val="20"/>
          <w:szCs w:val="20"/>
        </w:rPr>
      </w:pPr>
      <w:hyperlink r:id="rId81" w:anchor="sBB4BED1571A45A16AF3DC2E3B69C901C" w:history="1">
        <w:r>
          <w:rPr>
            <w:rStyle w:val="a5"/>
            <w:rFonts w:ascii="Times New Roman" w:eastAsia="宋体" w:hAnsi="Times New Roman"/>
            <w:sz w:val="20"/>
            <w:szCs w:val="20"/>
          </w:rPr>
          <w:t>Table of Contents</w:t>
        </w:r>
      </w:hyperlink>
    </w:p>
    <w:p w14:paraId="1446F18A" w14:textId="77777777" w:rsidR="00FE42B5" w:rsidRDefault="00FE42B5">
      <w:pPr>
        <w:rPr>
          <w:rFonts w:ascii="Times New Roman" w:hAnsi="Times New Roman"/>
          <w:sz w:val="20"/>
          <w:szCs w:val="20"/>
        </w:rPr>
      </w:pPr>
    </w:p>
    <w:p w14:paraId="1446F18B"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Interest and other income (expense), net</w:t>
      </w:r>
    </w:p>
    <w:tbl>
      <w:tblPr>
        <w:tblW w:w="4956" w:type="pct"/>
        <w:tblCellMar>
          <w:left w:w="0" w:type="dxa"/>
          <w:right w:w="0" w:type="dxa"/>
        </w:tblCellMar>
        <w:tblLook w:val="04A0" w:firstRow="1" w:lastRow="0" w:firstColumn="1" w:lastColumn="0" w:noHBand="0" w:noVBand="1"/>
      </w:tblPr>
      <w:tblGrid>
        <w:gridCol w:w="4497"/>
        <w:gridCol w:w="140"/>
        <w:gridCol w:w="957"/>
        <w:gridCol w:w="107"/>
        <w:gridCol w:w="130"/>
        <w:gridCol w:w="140"/>
        <w:gridCol w:w="957"/>
        <w:gridCol w:w="107"/>
        <w:gridCol w:w="130"/>
        <w:gridCol w:w="794"/>
        <w:gridCol w:w="274"/>
      </w:tblGrid>
      <w:tr w:rsidR="00FE42B5" w14:paraId="1446F18D" w14:textId="77777777">
        <w:tc>
          <w:tcPr>
            <w:tcW w:w="0" w:type="auto"/>
            <w:gridSpan w:val="11"/>
            <w:shd w:val="clear" w:color="auto" w:fill="auto"/>
            <w:vAlign w:val="center"/>
          </w:tcPr>
          <w:p w14:paraId="1446F18C" w14:textId="77777777" w:rsidR="00FE42B5" w:rsidRDefault="00FE42B5">
            <w:pPr>
              <w:rPr>
                <w:rFonts w:ascii="Times New Roman" w:hAnsi="Times New Roman"/>
                <w:sz w:val="20"/>
                <w:szCs w:val="20"/>
              </w:rPr>
            </w:pPr>
          </w:p>
        </w:tc>
      </w:tr>
      <w:tr w:rsidR="00FE42B5" w14:paraId="1446F199" w14:textId="77777777">
        <w:tc>
          <w:tcPr>
            <w:tcW w:w="2800" w:type="pct"/>
            <w:shd w:val="clear" w:color="auto" w:fill="auto"/>
            <w:vAlign w:val="center"/>
          </w:tcPr>
          <w:p w14:paraId="1446F18E" w14:textId="77777777" w:rsidR="00FE42B5" w:rsidRDefault="00FE42B5">
            <w:pPr>
              <w:rPr>
                <w:rFonts w:ascii="Times New Roman" w:hAnsi="Times New Roman"/>
                <w:sz w:val="20"/>
                <w:szCs w:val="20"/>
              </w:rPr>
            </w:pPr>
          </w:p>
        </w:tc>
        <w:tc>
          <w:tcPr>
            <w:tcW w:w="50" w:type="pct"/>
            <w:shd w:val="clear" w:color="auto" w:fill="auto"/>
            <w:vAlign w:val="center"/>
          </w:tcPr>
          <w:p w14:paraId="1446F18F" w14:textId="77777777" w:rsidR="00FE42B5" w:rsidRDefault="00FE42B5">
            <w:pPr>
              <w:rPr>
                <w:rFonts w:ascii="Times New Roman" w:hAnsi="Times New Roman"/>
                <w:sz w:val="20"/>
                <w:szCs w:val="20"/>
              </w:rPr>
            </w:pPr>
          </w:p>
        </w:tc>
        <w:tc>
          <w:tcPr>
            <w:tcW w:w="650" w:type="pct"/>
            <w:shd w:val="clear" w:color="auto" w:fill="auto"/>
            <w:vAlign w:val="center"/>
          </w:tcPr>
          <w:p w14:paraId="1446F190" w14:textId="77777777" w:rsidR="00FE42B5" w:rsidRDefault="00FE42B5">
            <w:pPr>
              <w:rPr>
                <w:rFonts w:ascii="Times New Roman" w:hAnsi="Times New Roman"/>
                <w:sz w:val="20"/>
                <w:szCs w:val="20"/>
              </w:rPr>
            </w:pPr>
          </w:p>
        </w:tc>
        <w:tc>
          <w:tcPr>
            <w:tcW w:w="50" w:type="pct"/>
            <w:shd w:val="clear" w:color="auto" w:fill="auto"/>
            <w:vAlign w:val="center"/>
          </w:tcPr>
          <w:p w14:paraId="1446F191" w14:textId="77777777" w:rsidR="00FE42B5" w:rsidRDefault="00FE42B5">
            <w:pPr>
              <w:rPr>
                <w:rFonts w:ascii="Times New Roman" w:hAnsi="Times New Roman"/>
                <w:sz w:val="20"/>
                <w:szCs w:val="20"/>
              </w:rPr>
            </w:pPr>
          </w:p>
        </w:tc>
        <w:tc>
          <w:tcPr>
            <w:tcW w:w="50" w:type="pct"/>
            <w:shd w:val="clear" w:color="auto" w:fill="auto"/>
            <w:vAlign w:val="center"/>
          </w:tcPr>
          <w:p w14:paraId="1446F192" w14:textId="77777777" w:rsidR="00FE42B5" w:rsidRDefault="00FE42B5">
            <w:pPr>
              <w:rPr>
                <w:rFonts w:ascii="Times New Roman" w:hAnsi="Times New Roman"/>
                <w:sz w:val="20"/>
                <w:szCs w:val="20"/>
              </w:rPr>
            </w:pPr>
          </w:p>
        </w:tc>
        <w:tc>
          <w:tcPr>
            <w:tcW w:w="50" w:type="pct"/>
            <w:shd w:val="clear" w:color="auto" w:fill="auto"/>
            <w:vAlign w:val="center"/>
          </w:tcPr>
          <w:p w14:paraId="1446F193" w14:textId="77777777" w:rsidR="00FE42B5" w:rsidRDefault="00FE42B5">
            <w:pPr>
              <w:rPr>
                <w:rFonts w:ascii="Times New Roman" w:hAnsi="Times New Roman"/>
                <w:sz w:val="20"/>
                <w:szCs w:val="20"/>
              </w:rPr>
            </w:pPr>
          </w:p>
        </w:tc>
        <w:tc>
          <w:tcPr>
            <w:tcW w:w="650" w:type="pct"/>
            <w:shd w:val="clear" w:color="auto" w:fill="auto"/>
            <w:vAlign w:val="center"/>
          </w:tcPr>
          <w:p w14:paraId="1446F194" w14:textId="77777777" w:rsidR="00FE42B5" w:rsidRDefault="00FE42B5">
            <w:pPr>
              <w:rPr>
                <w:rFonts w:ascii="Times New Roman" w:hAnsi="Times New Roman"/>
                <w:sz w:val="20"/>
                <w:szCs w:val="20"/>
              </w:rPr>
            </w:pPr>
          </w:p>
        </w:tc>
        <w:tc>
          <w:tcPr>
            <w:tcW w:w="50" w:type="pct"/>
            <w:shd w:val="clear" w:color="auto" w:fill="auto"/>
            <w:vAlign w:val="center"/>
          </w:tcPr>
          <w:p w14:paraId="1446F195" w14:textId="77777777" w:rsidR="00FE42B5" w:rsidRDefault="00FE42B5">
            <w:pPr>
              <w:rPr>
                <w:rFonts w:ascii="Times New Roman" w:hAnsi="Times New Roman"/>
                <w:sz w:val="20"/>
                <w:szCs w:val="20"/>
              </w:rPr>
            </w:pPr>
          </w:p>
        </w:tc>
        <w:tc>
          <w:tcPr>
            <w:tcW w:w="50" w:type="pct"/>
            <w:shd w:val="clear" w:color="auto" w:fill="auto"/>
            <w:vAlign w:val="center"/>
          </w:tcPr>
          <w:p w14:paraId="1446F196" w14:textId="77777777" w:rsidR="00FE42B5" w:rsidRDefault="00FE42B5">
            <w:pPr>
              <w:rPr>
                <w:rFonts w:ascii="Times New Roman" w:hAnsi="Times New Roman"/>
                <w:sz w:val="20"/>
                <w:szCs w:val="20"/>
              </w:rPr>
            </w:pPr>
          </w:p>
        </w:tc>
        <w:tc>
          <w:tcPr>
            <w:tcW w:w="550" w:type="pct"/>
            <w:shd w:val="clear" w:color="auto" w:fill="auto"/>
            <w:vAlign w:val="center"/>
          </w:tcPr>
          <w:p w14:paraId="1446F197" w14:textId="77777777" w:rsidR="00FE42B5" w:rsidRDefault="00FE42B5">
            <w:pPr>
              <w:rPr>
                <w:rFonts w:ascii="Times New Roman" w:hAnsi="Times New Roman"/>
                <w:sz w:val="20"/>
                <w:szCs w:val="20"/>
              </w:rPr>
            </w:pPr>
          </w:p>
        </w:tc>
        <w:tc>
          <w:tcPr>
            <w:tcW w:w="50" w:type="pct"/>
            <w:shd w:val="clear" w:color="auto" w:fill="auto"/>
            <w:vAlign w:val="center"/>
          </w:tcPr>
          <w:p w14:paraId="1446F198" w14:textId="77777777" w:rsidR="00FE42B5" w:rsidRDefault="00FE42B5">
            <w:pPr>
              <w:rPr>
                <w:rFonts w:ascii="Times New Roman" w:hAnsi="Times New Roman"/>
                <w:sz w:val="20"/>
                <w:szCs w:val="20"/>
              </w:rPr>
            </w:pPr>
          </w:p>
        </w:tc>
      </w:tr>
      <w:tr w:rsidR="00FE42B5" w14:paraId="1446F19E" w14:textId="77777777">
        <w:tc>
          <w:tcPr>
            <w:tcW w:w="0" w:type="auto"/>
            <w:shd w:val="clear" w:color="auto" w:fill="auto"/>
            <w:tcMar>
              <w:top w:w="40" w:type="dxa"/>
              <w:left w:w="40" w:type="dxa"/>
              <w:bottom w:w="40" w:type="dxa"/>
              <w:right w:w="40" w:type="dxa"/>
            </w:tcMar>
            <w:vAlign w:val="bottom"/>
          </w:tcPr>
          <w:p w14:paraId="1446F19A"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F19B"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xml:space="preserve">Three Months Ended </w:t>
            </w:r>
            <w:r>
              <w:rPr>
                <w:rFonts w:ascii="Times New Roman" w:eastAsia="宋体" w:hAnsi="Times New Roman"/>
                <w:b/>
                <w:bCs/>
                <w:sz w:val="16"/>
                <w:szCs w:val="16"/>
              </w:rPr>
              <w:t>March 31,</w:t>
            </w:r>
          </w:p>
        </w:tc>
        <w:tc>
          <w:tcPr>
            <w:tcW w:w="0" w:type="auto"/>
            <w:shd w:val="clear" w:color="auto" w:fill="auto"/>
            <w:tcMar>
              <w:top w:w="40" w:type="dxa"/>
              <w:left w:w="40" w:type="dxa"/>
              <w:bottom w:w="40" w:type="dxa"/>
              <w:right w:w="40" w:type="dxa"/>
            </w:tcMar>
            <w:vAlign w:val="bottom"/>
          </w:tcPr>
          <w:p w14:paraId="1446F19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19D"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r>
      <w:tr w:rsidR="00FE42B5" w14:paraId="1446F1A5" w14:textId="77777777">
        <w:tc>
          <w:tcPr>
            <w:tcW w:w="0" w:type="auto"/>
            <w:shd w:val="clear" w:color="auto" w:fill="auto"/>
            <w:tcMar>
              <w:top w:w="40" w:type="dxa"/>
              <w:left w:w="40" w:type="dxa"/>
              <w:bottom w:w="40" w:type="dxa"/>
              <w:right w:w="40" w:type="dxa"/>
            </w:tcMar>
            <w:vAlign w:val="bottom"/>
          </w:tcPr>
          <w:p w14:paraId="1446F19F"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1A0"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1446F1A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1A2"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446F1A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446F1A4"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E42B5" w14:paraId="1446F1A8" w14:textId="77777777">
        <w:tc>
          <w:tcPr>
            <w:tcW w:w="0" w:type="auto"/>
            <w:shd w:val="clear" w:color="auto" w:fill="auto"/>
            <w:tcMar>
              <w:top w:w="40" w:type="dxa"/>
              <w:left w:w="40" w:type="dxa"/>
              <w:bottom w:w="40" w:type="dxa"/>
              <w:right w:w="40" w:type="dxa"/>
            </w:tcMar>
            <w:vAlign w:val="bottom"/>
          </w:tcPr>
          <w:p w14:paraId="1446F1A6"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0"/>
            <w:shd w:val="clear" w:color="auto" w:fill="auto"/>
            <w:tcMar>
              <w:top w:w="40" w:type="dxa"/>
              <w:left w:w="40" w:type="dxa"/>
              <w:bottom w:w="40" w:type="dxa"/>
            </w:tcMar>
            <w:vAlign w:val="bottom"/>
          </w:tcPr>
          <w:p w14:paraId="1446F1A7" w14:textId="77777777" w:rsidR="00FE42B5" w:rsidRDefault="009213DC">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FE42B5" w14:paraId="1446F1B4" w14:textId="77777777">
        <w:tc>
          <w:tcPr>
            <w:tcW w:w="0" w:type="auto"/>
            <w:shd w:val="clear" w:color="auto" w:fill="CCEEFF"/>
            <w:tcMar>
              <w:top w:w="40" w:type="dxa"/>
              <w:left w:w="40" w:type="dxa"/>
              <w:bottom w:w="40" w:type="dxa"/>
              <w:right w:w="40" w:type="dxa"/>
            </w:tcMar>
          </w:tcPr>
          <w:p w14:paraId="1446F1A9"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Interest income, net</w:t>
            </w:r>
          </w:p>
        </w:tc>
        <w:tc>
          <w:tcPr>
            <w:tcW w:w="0" w:type="auto"/>
            <w:shd w:val="clear" w:color="auto" w:fill="CCEEFF"/>
            <w:tcMar>
              <w:top w:w="40" w:type="dxa"/>
              <w:left w:w="40" w:type="dxa"/>
              <w:bottom w:w="40" w:type="dxa"/>
            </w:tcMar>
            <w:vAlign w:val="bottom"/>
          </w:tcPr>
          <w:p w14:paraId="1446F1A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1AB"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228</w:t>
            </w:r>
          </w:p>
        </w:tc>
        <w:tc>
          <w:tcPr>
            <w:tcW w:w="0" w:type="auto"/>
            <w:shd w:val="clear" w:color="auto" w:fill="CCEEFF"/>
            <w:vAlign w:val="bottom"/>
          </w:tcPr>
          <w:p w14:paraId="1446F1AC"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1A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1A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1A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198</w:t>
            </w:r>
          </w:p>
        </w:tc>
        <w:tc>
          <w:tcPr>
            <w:tcW w:w="0" w:type="auto"/>
            <w:shd w:val="clear" w:color="auto" w:fill="CCEEFF"/>
            <w:vAlign w:val="bottom"/>
          </w:tcPr>
          <w:p w14:paraId="1446F1B0"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1B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1B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tcMar>
              <w:top w:w="40" w:type="dxa"/>
              <w:bottom w:w="40" w:type="dxa"/>
              <w:right w:w="40" w:type="dxa"/>
            </w:tcMar>
            <w:vAlign w:val="bottom"/>
          </w:tcPr>
          <w:p w14:paraId="1446F1B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1BE" w14:textId="77777777">
        <w:tc>
          <w:tcPr>
            <w:tcW w:w="0" w:type="auto"/>
            <w:shd w:val="clear" w:color="auto" w:fill="auto"/>
            <w:tcMar>
              <w:top w:w="40" w:type="dxa"/>
              <w:left w:w="40" w:type="dxa"/>
              <w:bottom w:w="40" w:type="dxa"/>
              <w:right w:w="40" w:type="dxa"/>
            </w:tcMar>
          </w:tcPr>
          <w:p w14:paraId="1446F1B5"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Other expense, net</w:t>
            </w:r>
          </w:p>
        </w:tc>
        <w:tc>
          <w:tcPr>
            <w:tcW w:w="0" w:type="auto"/>
            <w:gridSpan w:val="2"/>
            <w:tcBorders>
              <w:bottom w:val="single" w:sz="8" w:space="0" w:color="000000"/>
            </w:tcBorders>
            <w:shd w:val="clear" w:color="auto" w:fill="auto"/>
            <w:tcMar>
              <w:top w:w="40" w:type="dxa"/>
              <w:left w:w="40" w:type="dxa"/>
              <w:bottom w:w="40" w:type="dxa"/>
            </w:tcMar>
            <w:vAlign w:val="bottom"/>
          </w:tcPr>
          <w:p w14:paraId="1446F1B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(260</w:t>
            </w:r>
          </w:p>
        </w:tc>
        <w:tc>
          <w:tcPr>
            <w:tcW w:w="0" w:type="auto"/>
            <w:tcBorders>
              <w:bottom w:val="single" w:sz="8" w:space="0" w:color="000000"/>
            </w:tcBorders>
            <w:shd w:val="clear" w:color="auto" w:fill="auto"/>
            <w:tcMar>
              <w:top w:w="40" w:type="dxa"/>
              <w:bottom w:w="40" w:type="dxa"/>
              <w:right w:w="40" w:type="dxa"/>
            </w:tcMar>
            <w:vAlign w:val="bottom"/>
          </w:tcPr>
          <w:p w14:paraId="1446F1B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1B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F1B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tcBorders>
              <w:bottom w:val="single" w:sz="8" w:space="0" w:color="000000"/>
            </w:tcBorders>
            <w:shd w:val="clear" w:color="auto" w:fill="auto"/>
            <w:tcMar>
              <w:top w:w="40" w:type="dxa"/>
              <w:bottom w:w="40" w:type="dxa"/>
              <w:right w:w="40" w:type="dxa"/>
            </w:tcMar>
            <w:vAlign w:val="bottom"/>
          </w:tcPr>
          <w:p w14:paraId="1446F1B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1B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F1B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NM</w:t>
            </w:r>
          </w:p>
        </w:tc>
        <w:tc>
          <w:tcPr>
            <w:tcW w:w="0" w:type="auto"/>
            <w:shd w:val="clear" w:color="auto" w:fill="auto"/>
            <w:vAlign w:val="bottom"/>
          </w:tcPr>
          <w:p w14:paraId="1446F1BD" w14:textId="77777777" w:rsidR="00FE42B5" w:rsidRDefault="00FE42B5">
            <w:pPr>
              <w:textAlignment w:val="bottom"/>
              <w:rPr>
                <w:rFonts w:ascii="Times New Roman" w:hAnsi="Times New Roman"/>
                <w:sz w:val="20"/>
                <w:szCs w:val="20"/>
              </w:rPr>
            </w:pPr>
          </w:p>
        </w:tc>
      </w:tr>
      <w:tr w:rsidR="00FE42B5" w14:paraId="1446F1CA" w14:textId="77777777">
        <w:tc>
          <w:tcPr>
            <w:tcW w:w="0" w:type="auto"/>
            <w:shd w:val="clear" w:color="auto" w:fill="CCEEFF"/>
            <w:tcMar>
              <w:top w:w="40" w:type="dxa"/>
              <w:left w:w="40" w:type="dxa"/>
              <w:bottom w:w="40" w:type="dxa"/>
              <w:right w:w="40" w:type="dxa"/>
            </w:tcMar>
          </w:tcPr>
          <w:p w14:paraId="1446F1BF"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Interest and other income (expense), net</w:t>
            </w:r>
          </w:p>
        </w:tc>
        <w:tc>
          <w:tcPr>
            <w:tcW w:w="0" w:type="auto"/>
            <w:tcBorders>
              <w:bottom w:val="double" w:sz="6" w:space="0" w:color="000000"/>
            </w:tcBorders>
            <w:shd w:val="clear" w:color="auto" w:fill="CCEEFF"/>
            <w:tcMar>
              <w:top w:w="40" w:type="dxa"/>
              <w:left w:w="40" w:type="dxa"/>
              <w:bottom w:w="40" w:type="dxa"/>
            </w:tcMar>
            <w:vAlign w:val="bottom"/>
          </w:tcPr>
          <w:p w14:paraId="1446F1C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F1C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bottom w:val="double" w:sz="6" w:space="0" w:color="000000"/>
            </w:tcBorders>
            <w:shd w:val="clear" w:color="auto" w:fill="CCEEFF"/>
            <w:tcMar>
              <w:top w:w="40" w:type="dxa"/>
              <w:bottom w:w="40" w:type="dxa"/>
              <w:right w:w="40" w:type="dxa"/>
            </w:tcMar>
            <w:vAlign w:val="bottom"/>
          </w:tcPr>
          <w:p w14:paraId="1446F1C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446F1C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446F1C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1446F1C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tcBorders>
              <w:bottom w:val="double" w:sz="6" w:space="0" w:color="000000"/>
            </w:tcBorders>
            <w:shd w:val="clear" w:color="auto" w:fill="CCEEFF"/>
            <w:vAlign w:val="bottom"/>
          </w:tcPr>
          <w:p w14:paraId="1446F1C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1C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1C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(119</w:t>
            </w:r>
          </w:p>
        </w:tc>
        <w:tc>
          <w:tcPr>
            <w:tcW w:w="0" w:type="auto"/>
            <w:shd w:val="clear" w:color="auto" w:fill="CCEEFF"/>
            <w:tcMar>
              <w:top w:w="40" w:type="dxa"/>
              <w:bottom w:w="40" w:type="dxa"/>
              <w:right w:w="40" w:type="dxa"/>
            </w:tcMar>
            <w:vAlign w:val="bottom"/>
          </w:tcPr>
          <w:p w14:paraId="1446F1C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bl>
    <w:p w14:paraId="1446F1CB"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Interest and </w:t>
      </w:r>
      <w:r>
        <w:rPr>
          <w:rFonts w:ascii="Times New Roman" w:eastAsia="宋体" w:hAnsi="Times New Roman"/>
          <w:sz w:val="20"/>
          <w:szCs w:val="20"/>
        </w:rPr>
        <w:t>other income (expense), net in the three months ended March 31, 2020 decreased $197 million, or 119%, compared to the same period in 2019. The decrease was due to an increase in other expense, net which was mostly related to higher foreign exchange losses,</w:t>
      </w:r>
      <w:r>
        <w:rPr>
          <w:rFonts w:ascii="Times New Roman" w:eastAsia="宋体" w:hAnsi="Times New Roman"/>
          <w:sz w:val="20"/>
          <w:szCs w:val="20"/>
        </w:rPr>
        <w:t xml:space="preserve"> compared to the same period in 2019, as a result of foreign currency transactions and re</w:t>
      </w:r>
      <w:r>
        <w:rPr>
          <w:rFonts w:ascii="Times New Roman" w:eastAsia="宋体" w:hAnsi="Times New Roman"/>
          <w:sz w:val="20"/>
          <w:szCs w:val="20"/>
        </w:rPr>
        <w:noBreakHyphen/>
        <w:t xml:space="preserve">measurement. This decrease was partially offset by an increase in interest income, net due to higher investment balances. </w:t>
      </w:r>
    </w:p>
    <w:p w14:paraId="1446F1CC"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Provision for income taxes</w:t>
      </w:r>
    </w:p>
    <w:tbl>
      <w:tblPr>
        <w:tblW w:w="4956" w:type="pct"/>
        <w:tblCellMar>
          <w:left w:w="0" w:type="dxa"/>
          <w:right w:w="0" w:type="dxa"/>
        </w:tblCellMar>
        <w:tblLook w:val="04A0" w:firstRow="1" w:lastRow="0" w:firstColumn="1" w:lastColumn="0" w:noHBand="0" w:noVBand="1"/>
      </w:tblPr>
      <w:tblGrid>
        <w:gridCol w:w="4447"/>
        <w:gridCol w:w="140"/>
        <w:gridCol w:w="907"/>
        <w:gridCol w:w="207"/>
        <w:gridCol w:w="130"/>
        <w:gridCol w:w="140"/>
        <w:gridCol w:w="907"/>
        <w:gridCol w:w="207"/>
        <w:gridCol w:w="130"/>
        <w:gridCol w:w="744"/>
        <w:gridCol w:w="274"/>
      </w:tblGrid>
      <w:tr w:rsidR="00FE42B5" w14:paraId="1446F1CE" w14:textId="77777777">
        <w:tc>
          <w:tcPr>
            <w:tcW w:w="0" w:type="auto"/>
            <w:gridSpan w:val="11"/>
            <w:shd w:val="clear" w:color="auto" w:fill="auto"/>
            <w:vAlign w:val="center"/>
          </w:tcPr>
          <w:p w14:paraId="1446F1CD" w14:textId="77777777" w:rsidR="00FE42B5" w:rsidRDefault="00FE42B5">
            <w:pPr>
              <w:rPr>
                <w:rFonts w:ascii="Times New Roman" w:hAnsi="Times New Roman"/>
                <w:sz w:val="20"/>
                <w:szCs w:val="20"/>
              </w:rPr>
            </w:pPr>
          </w:p>
        </w:tc>
      </w:tr>
      <w:tr w:rsidR="00FE42B5" w14:paraId="1446F1DA" w14:textId="77777777">
        <w:tc>
          <w:tcPr>
            <w:tcW w:w="2800" w:type="pct"/>
            <w:shd w:val="clear" w:color="auto" w:fill="auto"/>
            <w:vAlign w:val="center"/>
          </w:tcPr>
          <w:p w14:paraId="1446F1CF" w14:textId="77777777" w:rsidR="00FE42B5" w:rsidRDefault="00FE42B5">
            <w:pPr>
              <w:rPr>
                <w:rFonts w:ascii="Times New Roman" w:hAnsi="Times New Roman"/>
                <w:sz w:val="20"/>
                <w:szCs w:val="20"/>
              </w:rPr>
            </w:pPr>
          </w:p>
        </w:tc>
        <w:tc>
          <w:tcPr>
            <w:tcW w:w="50" w:type="pct"/>
            <w:shd w:val="clear" w:color="auto" w:fill="auto"/>
            <w:vAlign w:val="center"/>
          </w:tcPr>
          <w:p w14:paraId="1446F1D0" w14:textId="77777777" w:rsidR="00FE42B5" w:rsidRDefault="00FE42B5">
            <w:pPr>
              <w:rPr>
                <w:rFonts w:ascii="Times New Roman" w:hAnsi="Times New Roman"/>
                <w:sz w:val="20"/>
                <w:szCs w:val="20"/>
              </w:rPr>
            </w:pPr>
          </w:p>
        </w:tc>
        <w:tc>
          <w:tcPr>
            <w:tcW w:w="650" w:type="pct"/>
            <w:shd w:val="clear" w:color="auto" w:fill="auto"/>
            <w:vAlign w:val="center"/>
          </w:tcPr>
          <w:p w14:paraId="1446F1D1" w14:textId="77777777" w:rsidR="00FE42B5" w:rsidRDefault="00FE42B5">
            <w:pPr>
              <w:rPr>
                <w:rFonts w:ascii="Times New Roman" w:hAnsi="Times New Roman"/>
                <w:sz w:val="20"/>
                <w:szCs w:val="20"/>
              </w:rPr>
            </w:pPr>
          </w:p>
        </w:tc>
        <w:tc>
          <w:tcPr>
            <w:tcW w:w="50" w:type="pct"/>
            <w:shd w:val="clear" w:color="auto" w:fill="auto"/>
            <w:vAlign w:val="center"/>
          </w:tcPr>
          <w:p w14:paraId="1446F1D2" w14:textId="77777777" w:rsidR="00FE42B5" w:rsidRDefault="00FE42B5">
            <w:pPr>
              <w:rPr>
                <w:rFonts w:ascii="Times New Roman" w:hAnsi="Times New Roman"/>
                <w:sz w:val="20"/>
                <w:szCs w:val="20"/>
              </w:rPr>
            </w:pPr>
          </w:p>
        </w:tc>
        <w:tc>
          <w:tcPr>
            <w:tcW w:w="50" w:type="pct"/>
            <w:shd w:val="clear" w:color="auto" w:fill="auto"/>
            <w:vAlign w:val="center"/>
          </w:tcPr>
          <w:p w14:paraId="1446F1D3" w14:textId="77777777" w:rsidR="00FE42B5" w:rsidRDefault="00FE42B5">
            <w:pPr>
              <w:rPr>
                <w:rFonts w:ascii="Times New Roman" w:hAnsi="Times New Roman"/>
                <w:sz w:val="20"/>
                <w:szCs w:val="20"/>
              </w:rPr>
            </w:pPr>
          </w:p>
        </w:tc>
        <w:tc>
          <w:tcPr>
            <w:tcW w:w="50" w:type="pct"/>
            <w:shd w:val="clear" w:color="auto" w:fill="auto"/>
            <w:vAlign w:val="center"/>
          </w:tcPr>
          <w:p w14:paraId="1446F1D4" w14:textId="77777777" w:rsidR="00FE42B5" w:rsidRDefault="00FE42B5">
            <w:pPr>
              <w:rPr>
                <w:rFonts w:ascii="Times New Roman" w:hAnsi="Times New Roman"/>
                <w:sz w:val="20"/>
                <w:szCs w:val="20"/>
              </w:rPr>
            </w:pPr>
          </w:p>
        </w:tc>
        <w:tc>
          <w:tcPr>
            <w:tcW w:w="650" w:type="pct"/>
            <w:shd w:val="clear" w:color="auto" w:fill="auto"/>
            <w:vAlign w:val="center"/>
          </w:tcPr>
          <w:p w14:paraId="1446F1D5" w14:textId="77777777" w:rsidR="00FE42B5" w:rsidRDefault="00FE42B5">
            <w:pPr>
              <w:rPr>
                <w:rFonts w:ascii="Times New Roman" w:hAnsi="Times New Roman"/>
                <w:sz w:val="20"/>
                <w:szCs w:val="20"/>
              </w:rPr>
            </w:pPr>
          </w:p>
        </w:tc>
        <w:tc>
          <w:tcPr>
            <w:tcW w:w="50" w:type="pct"/>
            <w:shd w:val="clear" w:color="auto" w:fill="auto"/>
            <w:vAlign w:val="center"/>
          </w:tcPr>
          <w:p w14:paraId="1446F1D6" w14:textId="77777777" w:rsidR="00FE42B5" w:rsidRDefault="00FE42B5">
            <w:pPr>
              <w:rPr>
                <w:rFonts w:ascii="Times New Roman" w:hAnsi="Times New Roman"/>
                <w:sz w:val="20"/>
                <w:szCs w:val="20"/>
              </w:rPr>
            </w:pPr>
          </w:p>
        </w:tc>
        <w:tc>
          <w:tcPr>
            <w:tcW w:w="50" w:type="pct"/>
            <w:shd w:val="clear" w:color="auto" w:fill="auto"/>
            <w:vAlign w:val="center"/>
          </w:tcPr>
          <w:p w14:paraId="1446F1D7" w14:textId="77777777" w:rsidR="00FE42B5" w:rsidRDefault="00FE42B5">
            <w:pPr>
              <w:rPr>
                <w:rFonts w:ascii="Times New Roman" w:hAnsi="Times New Roman"/>
                <w:sz w:val="20"/>
                <w:szCs w:val="20"/>
              </w:rPr>
            </w:pPr>
          </w:p>
        </w:tc>
        <w:tc>
          <w:tcPr>
            <w:tcW w:w="550" w:type="pct"/>
            <w:shd w:val="clear" w:color="auto" w:fill="auto"/>
            <w:vAlign w:val="center"/>
          </w:tcPr>
          <w:p w14:paraId="1446F1D8" w14:textId="77777777" w:rsidR="00FE42B5" w:rsidRDefault="00FE42B5">
            <w:pPr>
              <w:rPr>
                <w:rFonts w:ascii="Times New Roman" w:hAnsi="Times New Roman"/>
                <w:sz w:val="20"/>
                <w:szCs w:val="20"/>
              </w:rPr>
            </w:pPr>
          </w:p>
        </w:tc>
        <w:tc>
          <w:tcPr>
            <w:tcW w:w="50" w:type="pct"/>
            <w:shd w:val="clear" w:color="auto" w:fill="auto"/>
            <w:vAlign w:val="center"/>
          </w:tcPr>
          <w:p w14:paraId="1446F1D9" w14:textId="77777777" w:rsidR="00FE42B5" w:rsidRDefault="00FE42B5">
            <w:pPr>
              <w:rPr>
                <w:rFonts w:ascii="Times New Roman" w:hAnsi="Times New Roman"/>
                <w:sz w:val="20"/>
                <w:szCs w:val="20"/>
              </w:rPr>
            </w:pPr>
          </w:p>
        </w:tc>
      </w:tr>
      <w:tr w:rsidR="00FE42B5" w14:paraId="1446F1DF" w14:textId="77777777">
        <w:tc>
          <w:tcPr>
            <w:tcW w:w="0" w:type="auto"/>
            <w:shd w:val="clear" w:color="auto" w:fill="auto"/>
            <w:tcMar>
              <w:top w:w="40" w:type="dxa"/>
              <w:left w:w="40" w:type="dxa"/>
              <w:bottom w:w="40" w:type="dxa"/>
              <w:right w:w="40" w:type="dxa"/>
            </w:tcMar>
            <w:vAlign w:val="bottom"/>
          </w:tcPr>
          <w:p w14:paraId="1446F1D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446F1DC"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Three Months Ended March 31,</w:t>
            </w:r>
          </w:p>
        </w:tc>
        <w:tc>
          <w:tcPr>
            <w:tcW w:w="0" w:type="auto"/>
            <w:shd w:val="clear" w:color="auto" w:fill="auto"/>
            <w:tcMar>
              <w:top w:w="40" w:type="dxa"/>
              <w:left w:w="40" w:type="dxa"/>
              <w:bottom w:w="40" w:type="dxa"/>
              <w:right w:w="40" w:type="dxa"/>
            </w:tcMar>
            <w:vAlign w:val="bottom"/>
          </w:tcPr>
          <w:p w14:paraId="1446F1D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1DE"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r>
      <w:tr w:rsidR="00FE42B5" w14:paraId="1446F1E6" w14:textId="77777777">
        <w:tc>
          <w:tcPr>
            <w:tcW w:w="0" w:type="auto"/>
            <w:shd w:val="clear" w:color="auto" w:fill="auto"/>
            <w:tcMar>
              <w:top w:w="40" w:type="dxa"/>
              <w:left w:w="40" w:type="dxa"/>
              <w:bottom w:w="40" w:type="dxa"/>
              <w:right w:w="40" w:type="dxa"/>
            </w:tcMar>
            <w:vAlign w:val="bottom"/>
          </w:tcPr>
          <w:p w14:paraId="1446F1E0"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1E1"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446F1E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446F1E3"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446F1E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446F1E5"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E42B5" w14:paraId="1446F1E9" w14:textId="77777777">
        <w:tc>
          <w:tcPr>
            <w:tcW w:w="0" w:type="auto"/>
            <w:shd w:val="clear" w:color="auto" w:fill="auto"/>
            <w:tcMar>
              <w:top w:w="40" w:type="dxa"/>
              <w:left w:w="40" w:type="dxa"/>
              <w:bottom w:w="40" w:type="dxa"/>
              <w:right w:w="40" w:type="dxa"/>
            </w:tcMar>
            <w:vAlign w:val="bottom"/>
          </w:tcPr>
          <w:p w14:paraId="1446F1E7"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0"/>
            <w:shd w:val="clear" w:color="auto" w:fill="auto"/>
            <w:tcMar>
              <w:top w:w="40" w:type="dxa"/>
              <w:left w:w="40" w:type="dxa"/>
              <w:bottom w:w="40" w:type="dxa"/>
            </w:tcMar>
            <w:vAlign w:val="bottom"/>
          </w:tcPr>
          <w:p w14:paraId="1446F1E8" w14:textId="77777777" w:rsidR="00FE42B5" w:rsidRDefault="009213DC">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FE42B5" w14:paraId="1446F1F5" w14:textId="77777777">
        <w:tc>
          <w:tcPr>
            <w:tcW w:w="0" w:type="auto"/>
            <w:shd w:val="clear" w:color="auto" w:fill="CCEEFF"/>
            <w:tcMar>
              <w:top w:w="40" w:type="dxa"/>
              <w:left w:w="40" w:type="dxa"/>
              <w:bottom w:w="40" w:type="dxa"/>
              <w:right w:w="40" w:type="dxa"/>
            </w:tcMar>
          </w:tcPr>
          <w:p w14:paraId="1446F1E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Provision for income taxes</w:t>
            </w:r>
          </w:p>
        </w:tc>
        <w:tc>
          <w:tcPr>
            <w:tcW w:w="0" w:type="auto"/>
            <w:shd w:val="clear" w:color="auto" w:fill="CCEEFF"/>
            <w:tcMar>
              <w:top w:w="40" w:type="dxa"/>
              <w:left w:w="40" w:type="dxa"/>
              <w:bottom w:w="40" w:type="dxa"/>
            </w:tcMar>
            <w:vAlign w:val="bottom"/>
          </w:tcPr>
          <w:p w14:paraId="1446F1E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1E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959</w:t>
            </w:r>
          </w:p>
        </w:tc>
        <w:tc>
          <w:tcPr>
            <w:tcW w:w="0" w:type="auto"/>
            <w:shd w:val="clear" w:color="auto" w:fill="CCEEFF"/>
            <w:vAlign w:val="bottom"/>
          </w:tcPr>
          <w:p w14:paraId="1446F1E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1E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1E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1F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1,053</w:t>
            </w:r>
          </w:p>
        </w:tc>
        <w:tc>
          <w:tcPr>
            <w:tcW w:w="0" w:type="auto"/>
            <w:shd w:val="clear" w:color="auto" w:fill="CCEEFF"/>
            <w:vAlign w:val="bottom"/>
          </w:tcPr>
          <w:p w14:paraId="1446F1F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1F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1F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1446F1F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r>
      <w:tr w:rsidR="00FE42B5" w14:paraId="1446F1FE" w14:textId="77777777">
        <w:tc>
          <w:tcPr>
            <w:tcW w:w="0" w:type="auto"/>
            <w:shd w:val="clear" w:color="auto" w:fill="auto"/>
            <w:tcMar>
              <w:top w:w="40" w:type="dxa"/>
              <w:left w:w="40" w:type="dxa"/>
              <w:bottom w:w="40" w:type="dxa"/>
              <w:right w:w="40" w:type="dxa"/>
            </w:tcMar>
          </w:tcPr>
          <w:p w14:paraId="1446F1F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Effective tax rate</w:t>
            </w:r>
          </w:p>
        </w:tc>
        <w:tc>
          <w:tcPr>
            <w:tcW w:w="0" w:type="auto"/>
            <w:gridSpan w:val="2"/>
            <w:shd w:val="clear" w:color="auto" w:fill="auto"/>
            <w:tcMar>
              <w:top w:w="40" w:type="dxa"/>
              <w:left w:w="40" w:type="dxa"/>
              <w:bottom w:w="40" w:type="dxa"/>
            </w:tcMar>
            <w:vAlign w:val="bottom"/>
          </w:tcPr>
          <w:p w14:paraId="1446F1F7"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1446F1F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1F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F1F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auto"/>
            <w:tcMar>
              <w:top w:w="40" w:type="dxa"/>
              <w:bottom w:w="40" w:type="dxa"/>
              <w:right w:w="40" w:type="dxa"/>
            </w:tcMar>
            <w:vAlign w:val="bottom"/>
          </w:tcPr>
          <w:p w14:paraId="1446F1F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1F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1F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bl>
    <w:p w14:paraId="1446F1FF"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Our provision for income taxes in the first quarter of 2020 decreased $94 million, or 9%, compared to the same period in 2019, which was mostly due to a decrease in income from operations prior to the effect of the 2019 legal accrual related to the FTC set</w:t>
      </w:r>
      <w:r>
        <w:rPr>
          <w:rFonts w:ascii="Times New Roman" w:eastAsia="宋体" w:hAnsi="Times New Roman"/>
          <w:sz w:val="20"/>
          <w:szCs w:val="20"/>
        </w:rPr>
        <w:t xml:space="preserve">tlement that is not expected to be tax-deductible. </w:t>
      </w:r>
    </w:p>
    <w:p w14:paraId="1446F200"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Our effective tax rate in the first quarter of 2020 decreased compared to the same period in 2019, mostly due to the 2019 legal accrual related to the FTC settlement that is not expected to be tax-deducti</w:t>
      </w:r>
      <w:r>
        <w:rPr>
          <w:rFonts w:ascii="Times New Roman" w:eastAsia="宋体" w:hAnsi="Times New Roman"/>
          <w:sz w:val="20"/>
          <w:szCs w:val="20"/>
        </w:rPr>
        <w:t xml:space="preserve">ble. </w:t>
      </w:r>
    </w:p>
    <w:p w14:paraId="1446F201"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On July 27, 2015, the United States Tax Court issued a decision (Tax Court Decision) in </w:t>
      </w:r>
      <w:r>
        <w:rPr>
          <w:rFonts w:ascii="Times New Roman" w:eastAsia="宋体" w:hAnsi="Times New Roman"/>
          <w:i/>
          <w:iCs/>
          <w:sz w:val="20"/>
          <w:szCs w:val="20"/>
        </w:rPr>
        <w:t>Altera Corp. v. Commissioner</w:t>
      </w:r>
      <w:r>
        <w:rPr>
          <w:rFonts w:ascii="Times New Roman" w:eastAsia="宋体" w:hAnsi="Times New Roman"/>
          <w:sz w:val="20"/>
          <w:szCs w:val="20"/>
        </w:rPr>
        <w:t>, which concluded that related parties in a cost sharing arrangement are not required to share expenses related to share-based compens</w:t>
      </w:r>
      <w:r>
        <w:rPr>
          <w:rFonts w:ascii="Times New Roman" w:eastAsia="宋体" w:hAnsi="Times New Roman"/>
          <w:sz w:val="20"/>
          <w:szCs w:val="20"/>
        </w:rPr>
        <w:t>ation. The Tax Court Decision was appealed by the Commissioner to the Ninth Circuit Court of Appeals (Ninth Circuit). On June 7, 2019, the Ninth Circuit issued an opinion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that reversed the Tax Court Decision. Based on the </w:t>
      </w:r>
      <w:r>
        <w:rPr>
          <w:rFonts w:ascii="Times New Roman" w:eastAsia="宋体" w:hAnsi="Times New Roman"/>
          <w:i/>
          <w:iCs/>
          <w:sz w:val="20"/>
          <w:szCs w:val="20"/>
        </w:rPr>
        <w:t>Alt</w:t>
      </w:r>
      <w:r>
        <w:rPr>
          <w:rFonts w:ascii="Times New Roman" w:eastAsia="宋体" w:hAnsi="Times New Roman"/>
          <w:i/>
          <w:iCs/>
          <w:sz w:val="20"/>
          <w:szCs w:val="20"/>
        </w:rPr>
        <w:t>era</w:t>
      </w:r>
      <w:r>
        <w:rPr>
          <w:rFonts w:ascii="Times New Roman" w:eastAsia="宋体" w:hAnsi="Times New Roman"/>
          <w:sz w:val="20"/>
          <w:szCs w:val="20"/>
        </w:rPr>
        <w:t xml:space="preserve"> Ninth Circuit Opinion, we recorded a cumulative income tax expense of $1.11 billion in the second quarter of 2019. On July 22, 2019, the taxpayer requested a rehearing before the full Ninth Circuit and the request was denied on November 12, 2019. The t</w:t>
      </w:r>
      <w:r>
        <w:rPr>
          <w:rFonts w:ascii="Times New Roman" w:eastAsia="宋体" w:hAnsi="Times New Roman"/>
          <w:sz w:val="20"/>
          <w:szCs w:val="20"/>
        </w:rPr>
        <w:t>axpayer has requested a hearing before the Supreme Court of the United States. As a result, the final outcome of the case is uncertain. In November 2019, we made a $1.64 billion payment related to this matter and recorded the payment to net against the rel</w:t>
      </w:r>
      <w:r>
        <w:rPr>
          <w:rFonts w:ascii="Times New Roman" w:eastAsia="宋体" w:hAnsi="Times New Roman"/>
          <w:sz w:val="20"/>
          <w:szCs w:val="20"/>
        </w:rPr>
        <w:t xml:space="preserve">ated tax liability included within other liabilities in our consolidated balance sheets. If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is reversed, we would anticipate recording an income tax benefit at that time.</w:t>
      </w:r>
    </w:p>
    <w:p w14:paraId="1446F202"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i/>
          <w:iCs/>
          <w:sz w:val="20"/>
          <w:szCs w:val="20"/>
        </w:rPr>
        <w:t>Effective Tax Rate Items</w:t>
      </w:r>
      <w:r>
        <w:rPr>
          <w:rFonts w:ascii="Times New Roman" w:eastAsia="宋体" w:hAnsi="Times New Roman"/>
          <w:sz w:val="20"/>
          <w:szCs w:val="20"/>
        </w:rPr>
        <w:t xml:space="preserve">. Our effective tax rate in </w:t>
      </w:r>
      <w:r>
        <w:rPr>
          <w:rFonts w:ascii="Times New Roman" w:eastAsia="宋体" w:hAnsi="Times New Roman"/>
          <w:sz w:val="20"/>
          <w:szCs w:val="20"/>
        </w:rPr>
        <w:t>the future will depend upon the proportion between the following items and income before provision for income taxes: U.S. tax benefits from foreign derived intangible income, tax effects from share-based compensation, tax effects of integrating intellectua</w:t>
      </w:r>
      <w:r>
        <w:rPr>
          <w:rFonts w:ascii="Times New Roman" w:eastAsia="宋体" w:hAnsi="Times New Roman"/>
          <w:sz w:val="20"/>
          <w:szCs w:val="20"/>
        </w:rPr>
        <w:t>l property from acquisitions, settlement of tax contingency items, tax effects of changes in our business, and the effects of changes in tax law.</w:t>
      </w:r>
    </w:p>
    <w:p w14:paraId="1446F203"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The accounting for share-based compensation may increase or decrease our effective tax rate based upon the </w:t>
      </w:r>
      <w:r>
        <w:rPr>
          <w:rFonts w:ascii="Times New Roman" w:eastAsia="宋体" w:hAnsi="Times New Roman"/>
          <w:sz w:val="20"/>
          <w:szCs w:val="20"/>
        </w:rPr>
        <w:t>difference between our share-based compensation expense and the deductions taken on our tax return which depends upon the stock price at the time of employee award vesting. If our stock price remains constant to the April 24, 2020 price, we expect our effe</w:t>
      </w:r>
      <w:r>
        <w:rPr>
          <w:rFonts w:ascii="Times New Roman" w:eastAsia="宋体" w:hAnsi="Times New Roman"/>
          <w:sz w:val="20"/>
          <w:szCs w:val="20"/>
        </w:rPr>
        <w:t>ctive tax rate for the full-year 2020 will be in the high-teens, although we may see fluctuations in our quarterly rate depending on our financial results.</w:t>
      </w:r>
    </w:p>
    <w:p w14:paraId="1446F204"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Integrating intellectual property from acquisitions into our business generally involves intercompan</w:t>
      </w:r>
      <w:r>
        <w:rPr>
          <w:rFonts w:ascii="Times New Roman" w:eastAsia="宋体" w:hAnsi="Times New Roman"/>
          <w:sz w:val="20"/>
          <w:szCs w:val="20"/>
        </w:rPr>
        <w:t>y transactions that have the impact of increasing our provision for income taxes. Consequently, our provision for income taxes and our effective tax rate may initially increase in the period of an acquisition and integration. The magnitude of this impact w</w:t>
      </w:r>
      <w:r>
        <w:rPr>
          <w:rFonts w:ascii="Times New Roman" w:eastAsia="宋体" w:hAnsi="Times New Roman"/>
          <w:sz w:val="20"/>
          <w:szCs w:val="20"/>
        </w:rPr>
        <w:t xml:space="preserve">ill depend upon the specific type, size, and taxing jurisdictions of the intellectual property as well as the relative contribution to income in subsequent periods. </w:t>
      </w:r>
    </w:p>
    <w:p w14:paraId="1446F205"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i/>
          <w:iCs/>
          <w:sz w:val="20"/>
          <w:szCs w:val="20"/>
        </w:rPr>
        <w:t>Unrecognized Tax Benefits.</w:t>
      </w:r>
      <w:r>
        <w:rPr>
          <w:rFonts w:ascii="Times New Roman" w:eastAsia="宋体" w:hAnsi="Times New Roman"/>
          <w:sz w:val="20"/>
          <w:szCs w:val="20"/>
        </w:rPr>
        <w:t xml:space="preserve"> As of March 31, 2020, we had net unrecognized tax benefits of $</w:t>
      </w:r>
      <w:r>
        <w:rPr>
          <w:rFonts w:ascii="Times New Roman" w:eastAsia="宋体" w:hAnsi="Times New Roman"/>
          <w:sz w:val="20"/>
          <w:szCs w:val="20"/>
        </w:rPr>
        <w:t xml:space="preserve">3.95 billion which were accrued as other liabilities. These unrecognized tax benefits were predominantly accrued for uncertainties related to transfer pricing with </w:t>
      </w:r>
    </w:p>
    <w:p w14:paraId="1446F206" w14:textId="77777777" w:rsidR="00FE42B5" w:rsidRDefault="00FE42B5">
      <w:pPr>
        <w:rPr>
          <w:rFonts w:ascii="Times New Roman" w:hAnsi="Times New Roman"/>
          <w:sz w:val="20"/>
          <w:szCs w:val="20"/>
        </w:rPr>
      </w:pPr>
    </w:p>
    <w:p w14:paraId="1446F207"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41</w:t>
      </w:r>
    </w:p>
    <w:p w14:paraId="1446F208" w14:textId="77777777" w:rsidR="00FE42B5" w:rsidRDefault="009213DC">
      <w:r>
        <w:rPr>
          <w:rFonts w:ascii="Times New Roman" w:hAnsi="Times New Roman"/>
          <w:sz w:val="20"/>
          <w:szCs w:val="20"/>
        </w:rPr>
        <w:pict w14:anchorId="1446FAF1">
          <v:rect id="_x0000_i1065" style="width:415.3pt;height:1.5pt" o:hralign="center" o:hrstd="t" o:hr="t" fillcolor="#a0a0a0" stroked="f"/>
        </w:pict>
      </w:r>
    </w:p>
    <w:p w14:paraId="1446F209" w14:textId="77777777" w:rsidR="00FE42B5" w:rsidRDefault="009213DC">
      <w:pPr>
        <w:spacing w:line="288" w:lineRule="auto"/>
        <w:rPr>
          <w:rFonts w:ascii="Times New Roman" w:hAnsi="Times New Roman"/>
          <w:sz w:val="20"/>
          <w:szCs w:val="20"/>
        </w:rPr>
      </w:pPr>
      <w:hyperlink r:id="rId82" w:anchor="sBB4BED1571A45A16AF3DC2E3B69C901C" w:history="1">
        <w:r>
          <w:rPr>
            <w:rStyle w:val="a5"/>
            <w:rFonts w:ascii="Times New Roman" w:eastAsia="宋体" w:hAnsi="Times New Roman"/>
            <w:sz w:val="20"/>
            <w:szCs w:val="20"/>
          </w:rPr>
          <w:t>Table of Contents</w:t>
        </w:r>
      </w:hyperlink>
    </w:p>
    <w:p w14:paraId="1446F20A" w14:textId="77777777" w:rsidR="00FE42B5" w:rsidRDefault="00FE42B5">
      <w:pPr>
        <w:rPr>
          <w:rFonts w:ascii="Times New Roman" w:hAnsi="Times New Roman"/>
          <w:sz w:val="20"/>
          <w:szCs w:val="20"/>
        </w:rPr>
      </w:pPr>
    </w:p>
    <w:p w14:paraId="1446F20B"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our foreign subsidiaries, which includes licensing of intellectual property, providi</w:t>
      </w:r>
      <w:r>
        <w:rPr>
          <w:rFonts w:ascii="Times New Roman" w:eastAsia="宋体" w:hAnsi="Times New Roman"/>
          <w:sz w:val="20"/>
          <w:szCs w:val="20"/>
        </w:rPr>
        <w:t>ng services and other transactions, as well as for uncertainties with our research tax credits. The ultimate settlement of the liabilities will depend upon resolution of tax audits, litigation, or events that would otherwise change the assessment of such i</w:t>
      </w:r>
      <w:r>
        <w:rPr>
          <w:rFonts w:ascii="Times New Roman" w:eastAsia="宋体" w:hAnsi="Times New Roman"/>
          <w:sz w:val="20"/>
          <w:szCs w:val="20"/>
        </w:rPr>
        <w:t xml:space="preserve">tems. Based upon the status of litigation described below and the current status of tax audits in various jurisdictions, we do not anticipate a material change to such amounts within the next 12 months. </w:t>
      </w:r>
    </w:p>
    <w:p w14:paraId="1446F20C"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In July 2016, we received a Statutory Notice of Defi</w:t>
      </w:r>
      <w:r>
        <w:rPr>
          <w:rFonts w:ascii="Times New Roman" w:eastAsia="宋体" w:hAnsi="Times New Roman"/>
          <w:sz w:val="20"/>
          <w:szCs w:val="20"/>
        </w:rPr>
        <w:t>ciency (Notice) from the IRS related to transfer pricing with our foreign subsidiaries in conjunction with the examination of the 2010 tax year. While the Notice applies only to the 2010 tax year, the IRS stated that it will also apply its position for tax</w:t>
      </w:r>
      <w:r>
        <w:rPr>
          <w:rFonts w:ascii="Times New Roman" w:eastAsia="宋体" w:hAnsi="Times New Roman"/>
          <w:sz w:val="20"/>
          <w:szCs w:val="20"/>
        </w:rPr>
        <w:t xml:space="preserve"> years subsequent to 2010. We do not agree with the position of the IRS and have filed a petition in the Tax Court challenging the Notice. On January 15, 2020, the IRS filed its </w:t>
      </w:r>
      <w:r>
        <w:rPr>
          <w:rFonts w:ascii="Times New Roman" w:eastAsia="宋体" w:hAnsi="Times New Roman"/>
          <w:color w:val="212529"/>
          <w:sz w:val="20"/>
          <w:szCs w:val="20"/>
        </w:rPr>
        <w:t>Pretrial Memorandum</w:t>
      </w:r>
      <w:r>
        <w:rPr>
          <w:rFonts w:ascii="Times New Roman" w:eastAsia="宋体" w:hAnsi="Times New Roman"/>
          <w:sz w:val="20"/>
          <w:szCs w:val="20"/>
        </w:rPr>
        <w:t xml:space="preserve"> in the case stating that it planned to assert at trial an </w:t>
      </w:r>
      <w:r>
        <w:rPr>
          <w:rFonts w:ascii="Times New Roman" w:eastAsia="宋体" w:hAnsi="Times New Roman"/>
          <w:sz w:val="20"/>
          <w:szCs w:val="20"/>
        </w:rPr>
        <w:t xml:space="preserve">adjustment that is higher than the adjustment stated in the Notice. The first sessions of the trial began in February 2020, and additional sessions are expected to continue later in the year. The IRS did not provide any information about how it intends to </w:t>
      </w:r>
      <w:r>
        <w:rPr>
          <w:rFonts w:ascii="Times New Roman" w:eastAsia="宋体" w:hAnsi="Times New Roman"/>
          <w:sz w:val="20"/>
          <w:szCs w:val="20"/>
        </w:rPr>
        <w:t>apply the revised adjustment to future years. Based on the information provided, we believe that, if the IRS prevails in its updated position, this could result in an additional federal tax liability of an estimated, aggregate amount of up to approximately</w:t>
      </w:r>
      <w:r>
        <w:rPr>
          <w:rFonts w:ascii="Times New Roman" w:eastAsia="宋体" w:hAnsi="Times New Roman"/>
          <w:sz w:val="20"/>
          <w:szCs w:val="20"/>
        </w:rPr>
        <w:t xml:space="preserve"> $9.0 billion in excess of the amounts in our originally filed U.S. return, plus interest and any penalties asserted. </w:t>
      </w:r>
    </w:p>
    <w:p w14:paraId="1446F20D"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In March 2018, we received a second Notice from the IRS in conjunction with the examination of our 2011 through 2013 tax years. The IRS a</w:t>
      </w:r>
      <w:r>
        <w:rPr>
          <w:rFonts w:ascii="Times New Roman" w:eastAsia="宋体" w:hAnsi="Times New Roman"/>
          <w:sz w:val="20"/>
          <w:szCs w:val="20"/>
        </w:rPr>
        <w:t>pplied its position from the 2010 tax year to each of these years and also proposed new adjustments related to other transfer pricing with our foreign subsidiaries and certain tax credits that we claimed. If the IRS prevails in its position for these new a</w:t>
      </w:r>
      <w:r>
        <w:rPr>
          <w:rFonts w:ascii="Times New Roman" w:eastAsia="宋体" w:hAnsi="Times New Roman"/>
          <w:sz w:val="20"/>
          <w:szCs w:val="20"/>
        </w:rPr>
        <w:t xml:space="preserve">djustments, this could result in an additional federal tax liability of up to approximately $680 million in excess of the amounts in our originally filed U.S. returns, plus interest and any penalties asserted. We do not agree with the positions of the IRS </w:t>
      </w:r>
      <w:r>
        <w:rPr>
          <w:rFonts w:ascii="Times New Roman" w:eastAsia="宋体" w:hAnsi="Times New Roman"/>
          <w:sz w:val="20"/>
          <w:szCs w:val="20"/>
        </w:rPr>
        <w:t xml:space="preserve">in the second Notice and have filed a petition in the Tax Court challenging the second Notice. </w:t>
      </w:r>
    </w:p>
    <w:p w14:paraId="1446F20E"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We have previously accrued an estimated unrecognized tax benefit consistent with the guidance in ASC 740,</w:t>
      </w:r>
      <w:r>
        <w:rPr>
          <w:rFonts w:ascii="Times New Roman" w:eastAsia="宋体" w:hAnsi="Times New Roman"/>
          <w:i/>
          <w:iCs/>
          <w:sz w:val="20"/>
          <w:szCs w:val="20"/>
        </w:rPr>
        <w:t xml:space="preserve"> Income Taxes</w:t>
      </w:r>
      <w:r>
        <w:rPr>
          <w:rFonts w:ascii="Times New Roman" w:eastAsia="宋体" w:hAnsi="Times New Roman"/>
          <w:sz w:val="20"/>
          <w:szCs w:val="20"/>
        </w:rPr>
        <w:t>, that is lower than the potential additio</w:t>
      </w:r>
      <w:r>
        <w:rPr>
          <w:rFonts w:ascii="Times New Roman" w:eastAsia="宋体" w:hAnsi="Times New Roman"/>
          <w:sz w:val="20"/>
          <w:szCs w:val="20"/>
        </w:rPr>
        <w:t xml:space="preserve">nal federal tax liability from the positions taken by the IRS in the two Notices and its </w:t>
      </w:r>
      <w:r>
        <w:rPr>
          <w:rFonts w:ascii="Times New Roman" w:eastAsia="宋体" w:hAnsi="Times New Roman"/>
          <w:color w:val="212529"/>
          <w:sz w:val="20"/>
          <w:szCs w:val="20"/>
        </w:rPr>
        <w:t>Pretrial Memorandum</w:t>
      </w:r>
      <w:r>
        <w:rPr>
          <w:rFonts w:ascii="Times New Roman" w:eastAsia="宋体" w:hAnsi="Times New Roman"/>
          <w:sz w:val="20"/>
          <w:szCs w:val="20"/>
        </w:rPr>
        <w:t xml:space="preserve">. In addition, if the IRS prevails in its positions related to transfer pricing with our foreign subsidiaries, the additional tax that we would owe </w:t>
      </w:r>
      <w:r>
        <w:rPr>
          <w:rFonts w:ascii="Times New Roman" w:eastAsia="宋体" w:hAnsi="Times New Roman"/>
          <w:sz w:val="20"/>
          <w:szCs w:val="20"/>
        </w:rPr>
        <w:t>would be partially offset by a reduction in the tax that we owe under the mandatory transition tax on accumulated foreign earnings from the 2017 Tax Cuts and Jobs Act (Tax Act). As of March 31, 2020, we have not resolved these matters and proceedings conti</w:t>
      </w:r>
      <w:r>
        <w:rPr>
          <w:rFonts w:ascii="Times New Roman" w:eastAsia="宋体" w:hAnsi="Times New Roman"/>
          <w:sz w:val="20"/>
          <w:szCs w:val="20"/>
        </w:rPr>
        <w:t>nue in the Tax Court.</w:t>
      </w:r>
    </w:p>
    <w:p w14:paraId="1446F20F"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We believe that adequate amounts have been reserved in accordance with ASC 740, </w:t>
      </w:r>
      <w:r>
        <w:rPr>
          <w:rFonts w:ascii="Times New Roman" w:eastAsia="宋体" w:hAnsi="Times New Roman"/>
          <w:i/>
          <w:iCs/>
          <w:sz w:val="20"/>
          <w:szCs w:val="20"/>
        </w:rPr>
        <w:t>Income Taxes</w:t>
      </w:r>
      <w:r>
        <w:rPr>
          <w:rFonts w:ascii="Times New Roman" w:eastAsia="宋体" w:hAnsi="Times New Roman"/>
          <w:sz w:val="20"/>
          <w:szCs w:val="20"/>
        </w:rPr>
        <w:t>, for any adjustments to the provision for income taxes or other tax items that may ultimately result from these examinations. The timing of t</w:t>
      </w:r>
      <w:r>
        <w:rPr>
          <w:rFonts w:ascii="Times New Roman" w:eastAsia="宋体" w:hAnsi="Times New Roman"/>
          <w:sz w:val="20"/>
          <w:szCs w:val="20"/>
        </w:rPr>
        <w:t>he resolution, settlement, and closure of any audits is highly uncertain, and it is reasonably possible that the balance of gross unrecognized tax benefits could significantly change in the next 12 months. Given the number of years remaining that are subje</w:t>
      </w:r>
      <w:r>
        <w:rPr>
          <w:rFonts w:ascii="Times New Roman" w:eastAsia="宋体" w:hAnsi="Times New Roman"/>
          <w:sz w:val="20"/>
          <w:szCs w:val="20"/>
        </w:rPr>
        <w:t>ct to examination in various jurisdictions, we are unable to estimate the full range of possible adjustments to the balance of gross unrecognized tax benefits. If the taxing authorities prevail in the assessment of additional tax due, the assessed tax, int</w:t>
      </w:r>
      <w:r>
        <w:rPr>
          <w:rFonts w:ascii="Times New Roman" w:eastAsia="宋体" w:hAnsi="Times New Roman"/>
          <w:sz w:val="20"/>
          <w:szCs w:val="20"/>
        </w:rPr>
        <w:t>erest, and penalties, if any, could have a material adverse effect on our financial position, results of operations, and cash flows.</w:t>
      </w:r>
    </w:p>
    <w:p w14:paraId="1446F210" w14:textId="77777777" w:rsidR="00FE42B5" w:rsidRDefault="00FE42B5">
      <w:pPr>
        <w:rPr>
          <w:rFonts w:ascii="Times New Roman" w:hAnsi="Times New Roman"/>
          <w:sz w:val="20"/>
          <w:szCs w:val="20"/>
        </w:rPr>
      </w:pPr>
    </w:p>
    <w:p w14:paraId="1446F211"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42</w:t>
      </w:r>
    </w:p>
    <w:p w14:paraId="1446F212" w14:textId="77777777" w:rsidR="00FE42B5" w:rsidRDefault="009213DC">
      <w:r>
        <w:rPr>
          <w:rFonts w:ascii="Times New Roman" w:hAnsi="Times New Roman"/>
          <w:sz w:val="20"/>
          <w:szCs w:val="20"/>
        </w:rPr>
        <w:pict w14:anchorId="1446FAF2">
          <v:rect id="_x0000_i1066" style="width:415.3pt;height:1.5pt" o:hralign="center" o:hrstd="t" o:hr="t" fillcolor="#a0a0a0" stroked="f"/>
        </w:pict>
      </w:r>
    </w:p>
    <w:p w14:paraId="1446F213" w14:textId="77777777" w:rsidR="00FE42B5" w:rsidRDefault="009213DC">
      <w:pPr>
        <w:spacing w:line="288" w:lineRule="auto"/>
        <w:rPr>
          <w:rFonts w:ascii="Times New Roman" w:hAnsi="Times New Roman"/>
          <w:sz w:val="20"/>
          <w:szCs w:val="20"/>
        </w:rPr>
      </w:pPr>
      <w:hyperlink r:id="rId83" w:anchor="sBB4BED1571A45A16AF3DC2E3B69C901C" w:history="1">
        <w:r>
          <w:rPr>
            <w:rStyle w:val="a5"/>
            <w:rFonts w:ascii="Times New Roman" w:eastAsia="宋体" w:hAnsi="Times New Roman"/>
            <w:sz w:val="20"/>
            <w:szCs w:val="20"/>
          </w:rPr>
          <w:t>Table of Contents</w:t>
        </w:r>
      </w:hyperlink>
    </w:p>
    <w:p w14:paraId="1446F214" w14:textId="77777777" w:rsidR="00FE42B5" w:rsidRDefault="00FE42B5">
      <w:pPr>
        <w:rPr>
          <w:rFonts w:ascii="Times New Roman" w:hAnsi="Times New Roman"/>
          <w:sz w:val="20"/>
          <w:szCs w:val="20"/>
        </w:rPr>
      </w:pPr>
    </w:p>
    <w:p w14:paraId="1446F215"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Liquidity and Capital Resources</w:t>
      </w:r>
    </w:p>
    <w:p w14:paraId="1446F21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principal sources of liquidity are our cash and cash equivalents, marketable securities, and cash generated from operations. Cash and cash equivalents and marketable</w:t>
      </w:r>
      <w:r>
        <w:rPr>
          <w:rFonts w:ascii="Times New Roman" w:eastAsia="宋体" w:hAnsi="Times New Roman"/>
          <w:sz w:val="20"/>
          <w:szCs w:val="20"/>
        </w:rPr>
        <w:t xml:space="preserve"> securities consist mostly of cash on deposit with banks, investments in money market funds, and investments in U.S. government securities, U.S. government agency securities, and corporate debt securities. Cash and cash equivalents and marketable securitie</w:t>
      </w:r>
      <w:r>
        <w:rPr>
          <w:rFonts w:ascii="Times New Roman" w:eastAsia="宋体" w:hAnsi="Times New Roman"/>
          <w:sz w:val="20"/>
          <w:szCs w:val="20"/>
        </w:rPr>
        <w:t xml:space="preserve">s were $60.29 billion as of March 31, 2020, an increase of $5.43 billion from December 31, 2019. The increase was mostly due to $11.0 billion of cash generated from operations, offset by $3.66 billion for capital expenditures, including principal payments </w:t>
      </w:r>
      <w:r>
        <w:rPr>
          <w:rFonts w:ascii="Times New Roman" w:eastAsia="宋体" w:hAnsi="Times New Roman"/>
          <w:sz w:val="20"/>
          <w:szCs w:val="20"/>
        </w:rPr>
        <w:t xml:space="preserve">on finance leases, $1.25 billion for repurchases of our Class A common stock, and $690 million of taxes paid related to net share settlement of employee restricted stock units (RSU) awards. </w:t>
      </w:r>
    </w:p>
    <w:p w14:paraId="1446F21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Cash paid for income taxes was $209 million in the three months e</w:t>
      </w:r>
      <w:r>
        <w:rPr>
          <w:rFonts w:ascii="Times New Roman" w:eastAsia="宋体" w:hAnsi="Times New Roman"/>
          <w:sz w:val="20"/>
          <w:szCs w:val="20"/>
        </w:rPr>
        <w:t>nded March 31, 2020. As of March 31, 2020, our federal net operating loss carryforward was $9.35 billion, and we anticipate that none of this amount will be utilized to offset our federal taxable income in 2020. As of March 31, 2020, we had $324 million of</w:t>
      </w:r>
      <w:r>
        <w:rPr>
          <w:rFonts w:ascii="Times New Roman" w:eastAsia="宋体" w:hAnsi="Times New Roman"/>
          <w:sz w:val="20"/>
          <w:szCs w:val="20"/>
        </w:rPr>
        <w:t xml:space="preserve"> federal tax credit carryforward, of which none will be available to offset our federal tax liabilities in 2020.</w:t>
      </w:r>
    </w:p>
    <w:p w14:paraId="1446F21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May 2016, we entered into a $2.0 billion senior unsecured revolving credit facility, and any amounts outstanding under the facility will be </w:t>
      </w:r>
      <w:r>
        <w:rPr>
          <w:rFonts w:ascii="Times New Roman" w:eastAsia="宋体" w:hAnsi="Times New Roman"/>
          <w:sz w:val="20"/>
          <w:szCs w:val="20"/>
        </w:rPr>
        <w:t>due and payable on May 20, 2021. As of March 31, 2020, no amounts had been drawn down and we were in compliance with the covenants under this credit facility.</w:t>
      </w:r>
    </w:p>
    <w:p w14:paraId="1446F21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board of directors has authorized a share repurchase program of our Class A common stock, whi</w:t>
      </w:r>
      <w:r>
        <w:rPr>
          <w:rFonts w:ascii="Times New Roman" w:eastAsia="宋体" w:hAnsi="Times New Roman"/>
          <w:sz w:val="20"/>
          <w:szCs w:val="20"/>
        </w:rPr>
        <w:t>ch commenced in January 2017 and does not have an expiration date. As of December 31, 2019, $4.90 billion remained available and authorized for repurchases. In January 2020, an additional $10.0 billion of repurchases was authorized under this program. Duri</w:t>
      </w:r>
      <w:r>
        <w:rPr>
          <w:rFonts w:ascii="Times New Roman" w:eastAsia="宋体" w:hAnsi="Times New Roman"/>
          <w:sz w:val="20"/>
          <w:szCs w:val="20"/>
        </w:rPr>
        <w:t>ng the three months ended March 31, 2020, we repurchased and subsequently retired 6 million shares of our Class A common stock for an aggregate amount of $1.24 billion. As of March 31, 2020, $13.66 billion remained available and authorized for repurchases.</w:t>
      </w:r>
    </w:p>
    <w:p w14:paraId="1446F21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As of March 31, 2020, $14.69 billion of the $60.29 billion in cash and cash equivalents and marketable securities was held by our foreign subsidiaries. The Tax Act imposed a mandatory transition tax on accumulated foreign earnings and eliminated U.S. taxe</w:t>
      </w:r>
      <w:r>
        <w:rPr>
          <w:rFonts w:ascii="Times New Roman" w:eastAsia="宋体" w:hAnsi="Times New Roman"/>
          <w:sz w:val="20"/>
          <w:szCs w:val="20"/>
        </w:rPr>
        <w:t>s on foreign subsidiary distributions. As a result, earnings in foreign jurisdictions are available for distribution to the U.S. without incremental U.S. taxes.</w:t>
      </w:r>
    </w:p>
    <w:p w14:paraId="1446F21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July 2019, we entered into a settlement and modified consent order to resolve the </w:t>
      </w:r>
      <w:r>
        <w:rPr>
          <w:rFonts w:ascii="Times New Roman" w:eastAsia="宋体" w:hAnsi="Times New Roman"/>
          <w:sz w:val="20"/>
          <w:szCs w:val="20"/>
        </w:rPr>
        <w:t>inquiry of the FTC into our platform and user data practices, which was approved by the federal court and took effect in April 2020. The settlement requires us to pay a penalty of $5.0 billion, which is included in accrued expenses and other current liabil</w:t>
      </w:r>
      <w:r>
        <w:rPr>
          <w:rFonts w:ascii="Times New Roman" w:eastAsia="宋体" w:hAnsi="Times New Roman"/>
          <w:sz w:val="20"/>
          <w:szCs w:val="20"/>
        </w:rPr>
        <w:t>ities on our condensed consolidated balance sheet as of March 31, 2020. We paid the penalty in April 2020 upon the effectiveness of the modified consent order.</w:t>
      </w:r>
    </w:p>
    <w:p w14:paraId="1446F21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currently anticipate that our available funds, credit facility, and cash flow from operations</w:t>
      </w:r>
      <w:r>
        <w:rPr>
          <w:rFonts w:ascii="Times New Roman" w:eastAsia="宋体" w:hAnsi="Times New Roman"/>
          <w:sz w:val="20"/>
          <w:szCs w:val="20"/>
        </w:rPr>
        <w:t xml:space="preserve"> will be sufficient to meet our operational cash needs for the foreseeable future.</w:t>
      </w:r>
    </w:p>
    <w:p w14:paraId="1446F21D"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Cash Provided by Operating Activities</w:t>
      </w:r>
    </w:p>
    <w:p w14:paraId="1446F21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Cash flow from operating activities during the three months ended March 31, 2020 primarily consisted of net income adjusted for </w:t>
      </w:r>
      <w:r>
        <w:rPr>
          <w:rFonts w:ascii="Times New Roman" w:eastAsia="宋体" w:hAnsi="Times New Roman"/>
          <w:sz w:val="20"/>
          <w:szCs w:val="20"/>
        </w:rPr>
        <w:t>certain non-cash items, such as $1.60 billion of depreciation and amortization and $1.34 billion of share-based compensation expense, and cash collected from accounts receivable. The majority of the increase in cash flow from operating activities during th</w:t>
      </w:r>
      <w:r>
        <w:rPr>
          <w:rFonts w:ascii="Times New Roman" w:eastAsia="宋体" w:hAnsi="Times New Roman"/>
          <w:sz w:val="20"/>
          <w:szCs w:val="20"/>
        </w:rPr>
        <w:t>e three months ended March 31, 2020, compared to the same period in 2019, was due to the increases in net income and cash collected from accounts receivables partially offset by a decrease in accrued expenses and other current liabilities.</w:t>
      </w:r>
    </w:p>
    <w:p w14:paraId="1446F21F"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Cash Used in Inv</w:t>
      </w:r>
      <w:r>
        <w:rPr>
          <w:rFonts w:ascii="Times New Roman" w:eastAsia="宋体" w:hAnsi="Times New Roman"/>
          <w:b/>
          <w:bCs/>
          <w:i/>
          <w:iCs/>
          <w:sz w:val="20"/>
          <w:szCs w:val="20"/>
        </w:rPr>
        <w:t>esting Activities</w:t>
      </w:r>
    </w:p>
    <w:p w14:paraId="1446F22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Cash used in investing activities during the three months ended March 31, 2020 consisted mostly of $3.56 billion of net purchases of property and equipment as we continued to invest in data centers, servers, office buildings, and network </w:t>
      </w:r>
      <w:r>
        <w:rPr>
          <w:rFonts w:ascii="Times New Roman" w:eastAsia="宋体" w:hAnsi="Times New Roman"/>
          <w:sz w:val="20"/>
          <w:szCs w:val="20"/>
        </w:rPr>
        <w:t>infrastructure, and $476 million of net purchases of marketable securities. The decrease in cash used in investing activities during the three months ended March 31, 2020, compared to the same period in 2019, was mostly due to a decrease in net purchases o</w:t>
      </w:r>
      <w:r>
        <w:rPr>
          <w:rFonts w:ascii="Times New Roman" w:eastAsia="宋体" w:hAnsi="Times New Roman"/>
          <w:sz w:val="20"/>
          <w:szCs w:val="20"/>
        </w:rPr>
        <w:t>f marketable securities.</w:t>
      </w:r>
    </w:p>
    <w:p w14:paraId="1446F221" w14:textId="77777777" w:rsidR="00FE42B5" w:rsidRDefault="00FE42B5">
      <w:pPr>
        <w:rPr>
          <w:rFonts w:ascii="Times New Roman" w:hAnsi="Times New Roman"/>
          <w:sz w:val="20"/>
          <w:szCs w:val="20"/>
        </w:rPr>
      </w:pPr>
    </w:p>
    <w:p w14:paraId="1446F222"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43</w:t>
      </w:r>
    </w:p>
    <w:p w14:paraId="1446F223" w14:textId="77777777" w:rsidR="00FE42B5" w:rsidRDefault="009213DC">
      <w:r>
        <w:rPr>
          <w:rFonts w:ascii="Times New Roman" w:hAnsi="Times New Roman"/>
          <w:sz w:val="20"/>
          <w:szCs w:val="20"/>
        </w:rPr>
        <w:pict w14:anchorId="1446FAF3">
          <v:rect id="_x0000_i1067" style="width:415.3pt;height:1.5pt" o:hralign="center" o:hrstd="t" o:hr="t" fillcolor="#a0a0a0" stroked="f"/>
        </w:pict>
      </w:r>
    </w:p>
    <w:p w14:paraId="1446F224" w14:textId="77777777" w:rsidR="00FE42B5" w:rsidRDefault="009213DC">
      <w:pPr>
        <w:spacing w:line="288" w:lineRule="auto"/>
        <w:rPr>
          <w:rFonts w:ascii="Times New Roman" w:hAnsi="Times New Roman"/>
          <w:sz w:val="20"/>
          <w:szCs w:val="20"/>
        </w:rPr>
      </w:pPr>
      <w:hyperlink r:id="rId84" w:anchor="sBB4BED1571A45A16AF3DC2E3B69C901C" w:history="1">
        <w:r>
          <w:rPr>
            <w:rStyle w:val="a5"/>
            <w:rFonts w:ascii="Times New Roman" w:eastAsia="宋体" w:hAnsi="Times New Roman"/>
            <w:sz w:val="20"/>
            <w:szCs w:val="20"/>
          </w:rPr>
          <w:t>Table of Contents</w:t>
        </w:r>
      </w:hyperlink>
    </w:p>
    <w:p w14:paraId="1446F225" w14:textId="77777777" w:rsidR="00FE42B5" w:rsidRDefault="00FE42B5">
      <w:pPr>
        <w:rPr>
          <w:rFonts w:ascii="Times New Roman" w:hAnsi="Times New Roman"/>
          <w:sz w:val="20"/>
          <w:szCs w:val="20"/>
        </w:rPr>
      </w:pPr>
    </w:p>
    <w:p w14:paraId="1446F22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2020, we anticipate making capital expenditures of</w:t>
      </w:r>
      <w:r>
        <w:rPr>
          <w:rFonts w:ascii="Times New Roman" w:eastAsia="宋体" w:hAnsi="Times New Roman"/>
          <w:sz w:val="20"/>
          <w:szCs w:val="20"/>
        </w:rPr>
        <w:t xml:space="preserve"> approximately $14 billion to $16 billion and a payment of approximately $5.7 billion, at the current exchange rate, for our investment in Jio Platforms Limited. See Note 14 — Subsequent Event in the notes to the condensed consolidated financial statements</w:t>
      </w:r>
      <w:r>
        <w:rPr>
          <w:rFonts w:ascii="Times New Roman" w:eastAsia="宋体" w:hAnsi="Times New Roman"/>
          <w:sz w:val="20"/>
          <w:szCs w:val="20"/>
        </w:rPr>
        <w:t xml:space="preserve"> included in Part I, Item 1 of this Quarterly Report on Form 10-Q for information regarding our investment in Jio Platforms Limited.</w:t>
      </w:r>
    </w:p>
    <w:p w14:paraId="1446F227"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Cash Used in Financing Activities</w:t>
      </w:r>
    </w:p>
    <w:p w14:paraId="1446F22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Cash used in financing activities during the three months ended March 31, 2020 consisted </w:t>
      </w:r>
      <w:r>
        <w:rPr>
          <w:rFonts w:ascii="Times New Roman" w:eastAsia="宋体" w:hAnsi="Times New Roman"/>
          <w:sz w:val="20"/>
          <w:szCs w:val="20"/>
        </w:rPr>
        <w:t xml:space="preserve">mostly of $1.25 billion for repurchases of our Class A common stock, $690 million of taxes paid related to net share settlement of RSUs, and $100 million of principal payments on finance leases. The increase in cash used in financing activities during the </w:t>
      </w:r>
      <w:r>
        <w:rPr>
          <w:rFonts w:ascii="Times New Roman" w:eastAsia="宋体" w:hAnsi="Times New Roman"/>
          <w:sz w:val="20"/>
          <w:szCs w:val="20"/>
        </w:rPr>
        <w:t>three months ended March 31, 2020, compared to the same period in 2019, was mostly due to an increase in repurchases of our Class A common stock.</w:t>
      </w:r>
    </w:p>
    <w:p w14:paraId="1446F229" w14:textId="77777777" w:rsidR="00FE42B5" w:rsidRDefault="00FE42B5">
      <w:pPr>
        <w:spacing w:line="288" w:lineRule="auto"/>
        <w:ind w:firstLine="720"/>
        <w:jc w:val="both"/>
        <w:rPr>
          <w:rFonts w:ascii="Times New Roman" w:hAnsi="Times New Roman"/>
          <w:sz w:val="20"/>
          <w:szCs w:val="20"/>
        </w:rPr>
      </w:pPr>
    </w:p>
    <w:p w14:paraId="1446F22A"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Off-Balance Sheet Arrangements</w:t>
      </w:r>
    </w:p>
    <w:p w14:paraId="1446F22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did not have any off-balance sheet arrangements as of March 31, 2020.</w:t>
      </w:r>
    </w:p>
    <w:p w14:paraId="1446F22C" w14:textId="77777777" w:rsidR="00FE42B5" w:rsidRDefault="00FE42B5">
      <w:pPr>
        <w:spacing w:line="288" w:lineRule="auto"/>
        <w:ind w:firstLine="720"/>
        <w:jc w:val="both"/>
        <w:rPr>
          <w:rFonts w:ascii="Times New Roman" w:hAnsi="Times New Roman"/>
          <w:sz w:val="20"/>
          <w:szCs w:val="20"/>
        </w:rPr>
      </w:pPr>
    </w:p>
    <w:p w14:paraId="1446F22D"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Cont</w:t>
      </w:r>
      <w:r>
        <w:rPr>
          <w:rFonts w:ascii="Times New Roman" w:eastAsia="宋体" w:hAnsi="Times New Roman"/>
          <w:b/>
          <w:bCs/>
          <w:sz w:val="20"/>
          <w:szCs w:val="20"/>
        </w:rPr>
        <w:t>ractual Obligations</w:t>
      </w:r>
    </w:p>
    <w:p w14:paraId="1446F22E"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Our principal commitments consist mostly of obligations under operating leases and other contractual commitments. Our obligations under operating leases include among others, certain of our offices, data centers, land, and colocation le</w:t>
      </w:r>
      <w:r>
        <w:rPr>
          <w:rFonts w:ascii="Times New Roman" w:eastAsia="宋体" w:hAnsi="Times New Roman"/>
          <w:sz w:val="20"/>
          <w:szCs w:val="20"/>
        </w:rPr>
        <w:t>ases. A majority of the other contractual commitments are related to network infrastructure and data center operations. The following table summarizes our commitments to settle contractual obligations in cash as of March 31, 2020 (in millions):</w:t>
      </w:r>
    </w:p>
    <w:tbl>
      <w:tblPr>
        <w:tblW w:w="5000" w:type="pct"/>
        <w:tblCellMar>
          <w:left w:w="0" w:type="dxa"/>
          <w:right w:w="0" w:type="dxa"/>
        </w:tblCellMar>
        <w:tblLook w:val="04A0" w:firstRow="1" w:lastRow="0" w:firstColumn="1" w:lastColumn="0" w:noHBand="0" w:noVBand="1"/>
      </w:tblPr>
      <w:tblGrid>
        <w:gridCol w:w="2837"/>
        <w:gridCol w:w="140"/>
        <w:gridCol w:w="762"/>
        <w:gridCol w:w="14"/>
        <w:gridCol w:w="130"/>
        <w:gridCol w:w="141"/>
        <w:gridCol w:w="845"/>
        <w:gridCol w:w="72"/>
        <w:gridCol w:w="130"/>
        <w:gridCol w:w="141"/>
        <w:gridCol w:w="761"/>
        <w:gridCol w:w="76"/>
        <w:gridCol w:w="130"/>
        <w:gridCol w:w="141"/>
        <w:gridCol w:w="761"/>
        <w:gridCol w:w="76"/>
        <w:gridCol w:w="130"/>
        <w:gridCol w:w="141"/>
        <w:gridCol w:w="799"/>
        <w:gridCol w:w="79"/>
      </w:tblGrid>
      <w:tr w:rsidR="00FE42B5" w14:paraId="1446F230" w14:textId="77777777">
        <w:tc>
          <w:tcPr>
            <w:tcW w:w="0" w:type="auto"/>
            <w:gridSpan w:val="20"/>
            <w:shd w:val="clear" w:color="auto" w:fill="auto"/>
            <w:vAlign w:val="center"/>
          </w:tcPr>
          <w:p w14:paraId="1446F22F" w14:textId="77777777" w:rsidR="00FE42B5" w:rsidRDefault="00FE42B5">
            <w:pPr>
              <w:rPr>
                <w:rFonts w:ascii="Times New Roman" w:hAnsi="Times New Roman"/>
                <w:sz w:val="20"/>
                <w:szCs w:val="20"/>
              </w:rPr>
            </w:pPr>
          </w:p>
        </w:tc>
      </w:tr>
      <w:tr w:rsidR="00FE42B5" w14:paraId="1446F245" w14:textId="77777777">
        <w:tc>
          <w:tcPr>
            <w:tcW w:w="1750" w:type="pct"/>
            <w:shd w:val="clear" w:color="auto" w:fill="auto"/>
            <w:vAlign w:val="center"/>
          </w:tcPr>
          <w:p w14:paraId="1446F231" w14:textId="77777777" w:rsidR="00FE42B5" w:rsidRDefault="00FE42B5">
            <w:pPr>
              <w:rPr>
                <w:rFonts w:ascii="Times New Roman" w:hAnsi="Times New Roman"/>
                <w:sz w:val="20"/>
                <w:szCs w:val="20"/>
              </w:rPr>
            </w:pPr>
          </w:p>
        </w:tc>
        <w:tc>
          <w:tcPr>
            <w:tcW w:w="50" w:type="pct"/>
            <w:shd w:val="clear" w:color="auto" w:fill="auto"/>
            <w:vAlign w:val="center"/>
          </w:tcPr>
          <w:p w14:paraId="1446F232" w14:textId="77777777" w:rsidR="00FE42B5" w:rsidRDefault="00FE42B5">
            <w:pPr>
              <w:rPr>
                <w:rFonts w:ascii="Times New Roman" w:hAnsi="Times New Roman"/>
                <w:sz w:val="20"/>
                <w:szCs w:val="20"/>
              </w:rPr>
            </w:pPr>
          </w:p>
        </w:tc>
        <w:tc>
          <w:tcPr>
            <w:tcW w:w="500" w:type="pct"/>
            <w:shd w:val="clear" w:color="auto" w:fill="auto"/>
            <w:vAlign w:val="center"/>
          </w:tcPr>
          <w:p w14:paraId="1446F233" w14:textId="77777777" w:rsidR="00FE42B5" w:rsidRDefault="00FE42B5">
            <w:pPr>
              <w:rPr>
                <w:rFonts w:ascii="Times New Roman" w:hAnsi="Times New Roman"/>
                <w:sz w:val="20"/>
                <w:szCs w:val="20"/>
              </w:rPr>
            </w:pPr>
          </w:p>
        </w:tc>
        <w:tc>
          <w:tcPr>
            <w:tcW w:w="50" w:type="pct"/>
            <w:shd w:val="clear" w:color="auto" w:fill="auto"/>
            <w:vAlign w:val="center"/>
          </w:tcPr>
          <w:p w14:paraId="1446F234" w14:textId="77777777" w:rsidR="00FE42B5" w:rsidRDefault="00FE42B5">
            <w:pPr>
              <w:rPr>
                <w:rFonts w:ascii="Times New Roman" w:hAnsi="Times New Roman"/>
                <w:sz w:val="20"/>
                <w:szCs w:val="20"/>
              </w:rPr>
            </w:pPr>
          </w:p>
        </w:tc>
        <w:tc>
          <w:tcPr>
            <w:tcW w:w="50" w:type="pct"/>
            <w:shd w:val="clear" w:color="auto" w:fill="auto"/>
            <w:vAlign w:val="center"/>
          </w:tcPr>
          <w:p w14:paraId="1446F235" w14:textId="77777777" w:rsidR="00FE42B5" w:rsidRDefault="00FE42B5">
            <w:pPr>
              <w:rPr>
                <w:rFonts w:ascii="Times New Roman" w:hAnsi="Times New Roman"/>
                <w:sz w:val="20"/>
                <w:szCs w:val="20"/>
              </w:rPr>
            </w:pPr>
          </w:p>
        </w:tc>
        <w:tc>
          <w:tcPr>
            <w:tcW w:w="50" w:type="pct"/>
            <w:shd w:val="clear" w:color="auto" w:fill="auto"/>
            <w:vAlign w:val="center"/>
          </w:tcPr>
          <w:p w14:paraId="1446F236" w14:textId="77777777" w:rsidR="00FE42B5" w:rsidRDefault="00FE42B5">
            <w:pPr>
              <w:rPr>
                <w:rFonts w:ascii="Times New Roman" w:hAnsi="Times New Roman"/>
                <w:sz w:val="20"/>
                <w:szCs w:val="20"/>
              </w:rPr>
            </w:pPr>
          </w:p>
        </w:tc>
        <w:tc>
          <w:tcPr>
            <w:tcW w:w="550" w:type="pct"/>
            <w:shd w:val="clear" w:color="auto" w:fill="auto"/>
            <w:vAlign w:val="center"/>
          </w:tcPr>
          <w:p w14:paraId="1446F237" w14:textId="77777777" w:rsidR="00FE42B5" w:rsidRDefault="00FE42B5">
            <w:pPr>
              <w:rPr>
                <w:rFonts w:ascii="Times New Roman" w:hAnsi="Times New Roman"/>
                <w:sz w:val="20"/>
                <w:szCs w:val="20"/>
              </w:rPr>
            </w:pPr>
          </w:p>
        </w:tc>
        <w:tc>
          <w:tcPr>
            <w:tcW w:w="50" w:type="pct"/>
            <w:shd w:val="clear" w:color="auto" w:fill="auto"/>
            <w:vAlign w:val="center"/>
          </w:tcPr>
          <w:p w14:paraId="1446F238" w14:textId="77777777" w:rsidR="00FE42B5" w:rsidRDefault="00FE42B5">
            <w:pPr>
              <w:rPr>
                <w:rFonts w:ascii="Times New Roman" w:hAnsi="Times New Roman"/>
                <w:sz w:val="20"/>
                <w:szCs w:val="20"/>
              </w:rPr>
            </w:pPr>
          </w:p>
        </w:tc>
        <w:tc>
          <w:tcPr>
            <w:tcW w:w="50" w:type="pct"/>
            <w:shd w:val="clear" w:color="auto" w:fill="auto"/>
            <w:vAlign w:val="center"/>
          </w:tcPr>
          <w:p w14:paraId="1446F239" w14:textId="77777777" w:rsidR="00FE42B5" w:rsidRDefault="00FE42B5">
            <w:pPr>
              <w:rPr>
                <w:rFonts w:ascii="Times New Roman" w:hAnsi="Times New Roman"/>
                <w:sz w:val="20"/>
                <w:szCs w:val="20"/>
              </w:rPr>
            </w:pPr>
          </w:p>
        </w:tc>
        <w:tc>
          <w:tcPr>
            <w:tcW w:w="50" w:type="pct"/>
            <w:shd w:val="clear" w:color="auto" w:fill="auto"/>
            <w:vAlign w:val="center"/>
          </w:tcPr>
          <w:p w14:paraId="1446F23A" w14:textId="77777777" w:rsidR="00FE42B5" w:rsidRDefault="00FE42B5">
            <w:pPr>
              <w:rPr>
                <w:rFonts w:ascii="Times New Roman" w:hAnsi="Times New Roman"/>
                <w:sz w:val="20"/>
                <w:szCs w:val="20"/>
              </w:rPr>
            </w:pPr>
          </w:p>
        </w:tc>
        <w:tc>
          <w:tcPr>
            <w:tcW w:w="500" w:type="pct"/>
            <w:shd w:val="clear" w:color="auto" w:fill="auto"/>
            <w:vAlign w:val="center"/>
          </w:tcPr>
          <w:p w14:paraId="1446F23B" w14:textId="77777777" w:rsidR="00FE42B5" w:rsidRDefault="00FE42B5">
            <w:pPr>
              <w:rPr>
                <w:rFonts w:ascii="Times New Roman" w:hAnsi="Times New Roman"/>
                <w:sz w:val="20"/>
                <w:szCs w:val="20"/>
              </w:rPr>
            </w:pPr>
          </w:p>
        </w:tc>
        <w:tc>
          <w:tcPr>
            <w:tcW w:w="50" w:type="pct"/>
            <w:shd w:val="clear" w:color="auto" w:fill="auto"/>
            <w:vAlign w:val="center"/>
          </w:tcPr>
          <w:p w14:paraId="1446F23C" w14:textId="77777777" w:rsidR="00FE42B5" w:rsidRDefault="00FE42B5">
            <w:pPr>
              <w:rPr>
                <w:rFonts w:ascii="Times New Roman" w:hAnsi="Times New Roman"/>
                <w:sz w:val="20"/>
                <w:szCs w:val="20"/>
              </w:rPr>
            </w:pPr>
          </w:p>
        </w:tc>
        <w:tc>
          <w:tcPr>
            <w:tcW w:w="50" w:type="pct"/>
            <w:shd w:val="clear" w:color="auto" w:fill="auto"/>
            <w:vAlign w:val="center"/>
          </w:tcPr>
          <w:p w14:paraId="1446F23D" w14:textId="77777777" w:rsidR="00FE42B5" w:rsidRDefault="00FE42B5">
            <w:pPr>
              <w:rPr>
                <w:rFonts w:ascii="Times New Roman" w:hAnsi="Times New Roman"/>
                <w:sz w:val="20"/>
                <w:szCs w:val="20"/>
              </w:rPr>
            </w:pPr>
          </w:p>
        </w:tc>
        <w:tc>
          <w:tcPr>
            <w:tcW w:w="50" w:type="pct"/>
            <w:shd w:val="clear" w:color="auto" w:fill="auto"/>
            <w:vAlign w:val="center"/>
          </w:tcPr>
          <w:p w14:paraId="1446F23E" w14:textId="77777777" w:rsidR="00FE42B5" w:rsidRDefault="00FE42B5">
            <w:pPr>
              <w:rPr>
                <w:rFonts w:ascii="Times New Roman" w:hAnsi="Times New Roman"/>
                <w:sz w:val="20"/>
                <w:szCs w:val="20"/>
              </w:rPr>
            </w:pPr>
          </w:p>
        </w:tc>
        <w:tc>
          <w:tcPr>
            <w:tcW w:w="500" w:type="pct"/>
            <w:shd w:val="clear" w:color="auto" w:fill="auto"/>
            <w:vAlign w:val="center"/>
          </w:tcPr>
          <w:p w14:paraId="1446F23F" w14:textId="77777777" w:rsidR="00FE42B5" w:rsidRDefault="00FE42B5">
            <w:pPr>
              <w:rPr>
                <w:rFonts w:ascii="Times New Roman" w:hAnsi="Times New Roman"/>
                <w:sz w:val="20"/>
                <w:szCs w:val="20"/>
              </w:rPr>
            </w:pPr>
          </w:p>
        </w:tc>
        <w:tc>
          <w:tcPr>
            <w:tcW w:w="50" w:type="pct"/>
            <w:shd w:val="clear" w:color="auto" w:fill="auto"/>
            <w:vAlign w:val="center"/>
          </w:tcPr>
          <w:p w14:paraId="1446F240" w14:textId="77777777" w:rsidR="00FE42B5" w:rsidRDefault="00FE42B5">
            <w:pPr>
              <w:rPr>
                <w:rFonts w:ascii="Times New Roman" w:hAnsi="Times New Roman"/>
                <w:sz w:val="20"/>
                <w:szCs w:val="20"/>
              </w:rPr>
            </w:pPr>
          </w:p>
        </w:tc>
        <w:tc>
          <w:tcPr>
            <w:tcW w:w="50" w:type="pct"/>
            <w:shd w:val="clear" w:color="auto" w:fill="auto"/>
            <w:vAlign w:val="center"/>
          </w:tcPr>
          <w:p w14:paraId="1446F241" w14:textId="77777777" w:rsidR="00FE42B5" w:rsidRDefault="00FE42B5">
            <w:pPr>
              <w:rPr>
                <w:rFonts w:ascii="Times New Roman" w:hAnsi="Times New Roman"/>
                <w:sz w:val="20"/>
                <w:szCs w:val="20"/>
              </w:rPr>
            </w:pPr>
          </w:p>
        </w:tc>
        <w:tc>
          <w:tcPr>
            <w:tcW w:w="50" w:type="pct"/>
            <w:shd w:val="clear" w:color="auto" w:fill="auto"/>
            <w:vAlign w:val="center"/>
          </w:tcPr>
          <w:p w14:paraId="1446F242" w14:textId="77777777" w:rsidR="00FE42B5" w:rsidRDefault="00FE42B5">
            <w:pPr>
              <w:rPr>
                <w:rFonts w:ascii="Times New Roman" w:hAnsi="Times New Roman"/>
                <w:sz w:val="20"/>
                <w:szCs w:val="20"/>
              </w:rPr>
            </w:pPr>
          </w:p>
        </w:tc>
        <w:tc>
          <w:tcPr>
            <w:tcW w:w="500" w:type="pct"/>
            <w:shd w:val="clear" w:color="auto" w:fill="auto"/>
            <w:vAlign w:val="center"/>
          </w:tcPr>
          <w:p w14:paraId="1446F243" w14:textId="77777777" w:rsidR="00FE42B5" w:rsidRDefault="00FE42B5">
            <w:pPr>
              <w:rPr>
                <w:rFonts w:ascii="Times New Roman" w:hAnsi="Times New Roman"/>
                <w:sz w:val="20"/>
                <w:szCs w:val="20"/>
              </w:rPr>
            </w:pPr>
          </w:p>
        </w:tc>
        <w:tc>
          <w:tcPr>
            <w:tcW w:w="50" w:type="pct"/>
            <w:shd w:val="clear" w:color="auto" w:fill="auto"/>
            <w:vAlign w:val="center"/>
          </w:tcPr>
          <w:p w14:paraId="1446F244" w14:textId="77777777" w:rsidR="00FE42B5" w:rsidRDefault="00FE42B5">
            <w:pPr>
              <w:rPr>
                <w:rFonts w:ascii="Times New Roman" w:hAnsi="Times New Roman"/>
                <w:sz w:val="20"/>
                <w:szCs w:val="20"/>
              </w:rPr>
            </w:pPr>
          </w:p>
        </w:tc>
      </w:tr>
      <w:tr w:rsidR="00FE42B5" w14:paraId="1446F24A" w14:textId="77777777">
        <w:tc>
          <w:tcPr>
            <w:tcW w:w="0" w:type="auto"/>
            <w:shd w:val="clear" w:color="auto" w:fill="auto"/>
            <w:tcMar>
              <w:top w:w="40" w:type="dxa"/>
              <w:left w:w="40" w:type="dxa"/>
              <w:bottom w:w="40" w:type="dxa"/>
              <w:right w:w="40" w:type="dxa"/>
            </w:tcMar>
            <w:vAlign w:val="bottom"/>
          </w:tcPr>
          <w:p w14:paraId="1446F24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F24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24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180" w:type="dxa"/>
              <w:bottom w:w="40" w:type="dxa"/>
            </w:tcMar>
            <w:vAlign w:val="bottom"/>
          </w:tcPr>
          <w:p w14:paraId="1446F249"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Payment Due by Period</w:t>
            </w:r>
            <w:r>
              <w:rPr>
                <w:rFonts w:ascii="Times New Roman" w:eastAsia="宋体" w:hAnsi="Times New Roman"/>
                <w:sz w:val="16"/>
                <w:szCs w:val="16"/>
              </w:rPr>
              <w:t> </w:t>
            </w:r>
          </w:p>
        </w:tc>
      </w:tr>
      <w:tr w:rsidR="00FE42B5" w14:paraId="1446F255" w14:textId="77777777">
        <w:tc>
          <w:tcPr>
            <w:tcW w:w="0" w:type="auto"/>
            <w:shd w:val="clear" w:color="auto" w:fill="auto"/>
            <w:tcMar>
              <w:top w:w="40" w:type="dxa"/>
              <w:left w:w="40" w:type="dxa"/>
              <w:bottom w:w="40" w:type="dxa"/>
              <w:right w:w="40" w:type="dxa"/>
            </w:tcMar>
            <w:vAlign w:val="bottom"/>
          </w:tcPr>
          <w:p w14:paraId="1446F24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180" w:type="dxa"/>
              <w:bottom w:w="40" w:type="dxa"/>
              <w:right w:w="40" w:type="dxa"/>
            </w:tcMar>
            <w:vAlign w:val="bottom"/>
          </w:tcPr>
          <w:p w14:paraId="1446F24C"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1446F24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1446F24E"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The remainder of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446F24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1446F250"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2021-2022</w:t>
            </w:r>
          </w:p>
        </w:tc>
        <w:tc>
          <w:tcPr>
            <w:tcW w:w="0" w:type="auto"/>
            <w:tcBorders>
              <w:top w:val="single" w:sz="8" w:space="0" w:color="000000"/>
            </w:tcBorders>
            <w:shd w:val="clear" w:color="auto" w:fill="auto"/>
            <w:tcMar>
              <w:top w:w="40" w:type="dxa"/>
              <w:left w:w="40" w:type="dxa"/>
              <w:bottom w:w="40" w:type="dxa"/>
              <w:right w:w="40" w:type="dxa"/>
            </w:tcMar>
            <w:vAlign w:val="bottom"/>
          </w:tcPr>
          <w:p w14:paraId="1446F25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1446F252"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2023-2024</w:t>
            </w:r>
          </w:p>
        </w:tc>
        <w:tc>
          <w:tcPr>
            <w:tcW w:w="0" w:type="auto"/>
            <w:tcBorders>
              <w:top w:val="single" w:sz="8" w:space="0" w:color="000000"/>
            </w:tcBorders>
            <w:shd w:val="clear" w:color="auto" w:fill="auto"/>
            <w:tcMar>
              <w:top w:w="40" w:type="dxa"/>
              <w:left w:w="40" w:type="dxa"/>
              <w:bottom w:w="40" w:type="dxa"/>
              <w:right w:w="40" w:type="dxa"/>
            </w:tcMar>
            <w:vAlign w:val="bottom"/>
          </w:tcPr>
          <w:p w14:paraId="1446F25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1446F254"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Thereafter</w:t>
            </w:r>
          </w:p>
        </w:tc>
      </w:tr>
      <w:tr w:rsidR="00FE42B5" w14:paraId="1446F26A" w14:textId="77777777">
        <w:tc>
          <w:tcPr>
            <w:tcW w:w="0" w:type="auto"/>
            <w:shd w:val="clear" w:color="auto" w:fill="CCEEFF"/>
            <w:tcMar>
              <w:top w:w="40" w:type="dxa"/>
              <w:left w:w="40" w:type="dxa"/>
              <w:bottom w:w="40" w:type="dxa"/>
              <w:right w:w="40" w:type="dxa"/>
            </w:tcMar>
            <w:vAlign w:val="bottom"/>
          </w:tcPr>
          <w:p w14:paraId="1446F25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Operating lease obligations, including imputed interest</w:t>
            </w:r>
            <w:r>
              <w:rPr>
                <w:rFonts w:ascii="Times New Roman" w:eastAsia="宋体" w:hAnsi="Times New Roman"/>
                <w:sz w:val="14"/>
                <w:szCs w:val="14"/>
              </w:rPr>
              <w:t>(1)</w:t>
            </w:r>
          </w:p>
        </w:tc>
        <w:tc>
          <w:tcPr>
            <w:tcW w:w="0" w:type="auto"/>
            <w:shd w:val="clear" w:color="auto" w:fill="CCEEFF"/>
            <w:tcMar>
              <w:top w:w="40" w:type="dxa"/>
              <w:left w:w="40" w:type="dxa"/>
              <w:bottom w:w="40" w:type="dxa"/>
            </w:tcMar>
            <w:vAlign w:val="bottom"/>
          </w:tcPr>
          <w:p w14:paraId="1446F25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25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18,208</w:t>
            </w:r>
          </w:p>
        </w:tc>
        <w:tc>
          <w:tcPr>
            <w:tcW w:w="0" w:type="auto"/>
            <w:shd w:val="clear" w:color="auto" w:fill="CCEEFF"/>
            <w:vAlign w:val="bottom"/>
          </w:tcPr>
          <w:p w14:paraId="1446F259"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25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25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25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805</w:t>
            </w:r>
          </w:p>
        </w:tc>
        <w:tc>
          <w:tcPr>
            <w:tcW w:w="0" w:type="auto"/>
            <w:shd w:val="clear" w:color="auto" w:fill="CCEEFF"/>
            <w:vAlign w:val="bottom"/>
          </w:tcPr>
          <w:p w14:paraId="1446F25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25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25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260"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2,589</w:t>
            </w:r>
          </w:p>
        </w:tc>
        <w:tc>
          <w:tcPr>
            <w:tcW w:w="0" w:type="auto"/>
            <w:shd w:val="clear" w:color="auto" w:fill="CCEEFF"/>
            <w:vAlign w:val="bottom"/>
          </w:tcPr>
          <w:p w14:paraId="1446F261"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26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26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26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2,614</w:t>
            </w:r>
          </w:p>
        </w:tc>
        <w:tc>
          <w:tcPr>
            <w:tcW w:w="0" w:type="auto"/>
            <w:shd w:val="clear" w:color="auto" w:fill="CCEEFF"/>
            <w:vAlign w:val="bottom"/>
          </w:tcPr>
          <w:p w14:paraId="1446F26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26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26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26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12,200</w:t>
            </w:r>
          </w:p>
        </w:tc>
        <w:tc>
          <w:tcPr>
            <w:tcW w:w="0" w:type="auto"/>
            <w:shd w:val="clear" w:color="auto" w:fill="CCEEFF"/>
            <w:vAlign w:val="bottom"/>
          </w:tcPr>
          <w:p w14:paraId="1446F269" w14:textId="77777777" w:rsidR="00FE42B5" w:rsidRDefault="00FE42B5">
            <w:pPr>
              <w:textAlignment w:val="bottom"/>
              <w:rPr>
                <w:rFonts w:ascii="Times New Roman" w:hAnsi="Times New Roman"/>
                <w:sz w:val="20"/>
                <w:szCs w:val="20"/>
              </w:rPr>
            </w:pPr>
          </w:p>
        </w:tc>
      </w:tr>
      <w:tr w:rsidR="00FE42B5" w14:paraId="1446F27A" w14:textId="77777777">
        <w:tc>
          <w:tcPr>
            <w:tcW w:w="0" w:type="auto"/>
            <w:shd w:val="clear" w:color="auto" w:fill="auto"/>
            <w:tcMar>
              <w:top w:w="40" w:type="dxa"/>
              <w:left w:w="40" w:type="dxa"/>
              <w:bottom w:w="40" w:type="dxa"/>
              <w:right w:w="40" w:type="dxa"/>
            </w:tcMar>
            <w:vAlign w:val="bottom"/>
          </w:tcPr>
          <w:p w14:paraId="1446F26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Finance lease obligations, including imputed interest</w:t>
            </w:r>
            <w:r>
              <w:rPr>
                <w:rFonts w:ascii="Times New Roman" w:eastAsia="宋体" w:hAnsi="Times New Roman"/>
                <w:sz w:val="14"/>
                <w:szCs w:val="14"/>
              </w:rPr>
              <w:t>(1)</w:t>
            </w:r>
          </w:p>
        </w:tc>
        <w:tc>
          <w:tcPr>
            <w:tcW w:w="0" w:type="auto"/>
            <w:gridSpan w:val="2"/>
            <w:shd w:val="clear" w:color="auto" w:fill="auto"/>
            <w:tcMar>
              <w:top w:w="40" w:type="dxa"/>
              <w:left w:w="40" w:type="dxa"/>
              <w:bottom w:w="40" w:type="dxa"/>
            </w:tcMar>
            <w:vAlign w:val="bottom"/>
          </w:tcPr>
          <w:p w14:paraId="1446F26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923</w:t>
            </w:r>
          </w:p>
        </w:tc>
        <w:tc>
          <w:tcPr>
            <w:tcW w:w="0" w:type="auto"/>
            <w:shd w:val="clear" w:color="auto" w:fill="auto"/>
            <w:vAlign w:val="bottom"/>
          </w:tcPr>
          <w:p w14:paraId="1446F26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26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F26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204</w:t>
            </w:r>
          </w:p>
        </w:tc>
        <w:tc>
          <w:tcPr>
            <w:tcW w:w="0" w:type="auto"/>
            <w:shd w:val="clear" w:color="auto" w:fill="auto"/>
            <w:vAlign w:val="bottom"/>
          </w:tcPr>
          <w:p w14:paraId="1446F270"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27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F27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153</w:t>
            </w:r>
          </w:p>
        </w:tc>
        <w:tc>
          <w:tcPr>
            <w:tcW w:w="0" w:type="auto"/>
            <w:shd w:val="clear" w:color="auto" w:fill="auto"/>
            <w:vAlign w:val="bottom"/>
          </w:tcPr>
          <w:p w14:paraId="1446F27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27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F27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shd w:val="clear" w:color="auto" w:fill="auto"/>
            <w:vAlign w:val="bottom"/>
          </w:tcPr>
          <w:p w14:paraId="1446F27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27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F27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479</w:t>
            </w:r>
          </w:p>
        </w:tc>
        <w:tc>
          <w:tcPr>
            <w:tcW w:w="0" w:type="auto"/>
            <w:shd w:val="clear" w:color="auto" w:fill="auto"/>
            <w:vAlign w:val="bottom"/>
          </w:tcPr>
          <w:p w14:paraId="1446F279" w14:textId="77777777" w:rsidR="00FE42B5" w:rsidRDefault="00FE42B5">
            <w:pPr>
              <w:textAlignment w:val="bottom"/>
              <w:rPr>
                <w:rFonts w:ascii="Times New Roman" w:hAnsi="Times New Roman"/>
                <w:sz w:val="20"/>
                <w:szCs w:val="20"/>
              </w:rPr>
            </w:pPr>
          </w:p>
        </w:tc>
      </w:tr>
      <w:tr w:rsidR="00FE42B5" w14:paraId="1446F28A" w14:textId="77777777">
        <w:tc>
          <w:tcPr>
            <w:tcW w:w="0" w:type="auto"/>
            <w:shd w:val="clear" w:color="auto" w:fill="CCEEFF"/>
            <w:tcMar>
              <w:top w:w="40" w:type="dxa"/>
              <w:left w:w="40" w:type="dxa"/>
              <w:bottom w:w="40" w:type="dxa"/>
              <w:right w:w="40" w:type="dxa"/>
            </w:tcMar>
            <w:vAlign w:val="bottom"/>
          </w:tcPr>
          <w:p w14:paraId="1446F27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Transition tax payable</w:t>
            </w:r>
          </w:p>
        </w:tc>
        <w:tc>
          <w:tcPr>
            <w:tcW w:w="0" w:type="auto"/>
            <w:gridSpan w:val="2"/>
            <w:shd w:val="clear" w:color="auto" w:fill="CCEEFF"/>
            <w:tcMar>
              <w:top w:w="40" w:type="dxa"/>
              <w:left w:w="40" w:type="dxa"/>
              <w:bottom w:w="40" w:type="dxa"/>
            </w:tcMar>
            <w:vAlign w:val="bottom"/>
          </w:tcPr>
          <w:p w14:paraId="1446F27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1,579</w:t>
            </w:r>
          </w:p>
        </w:tc>
        <w:tc>
          <w:tcPr>
            <w:tcW w:w="0" w:type="auto"/>
            <w:shd w:val="clear" w:color="auto" w:fill="CCEEFF"/>
            <w:vAlign w:val="bottom"/>
          </w:tcPr>
          <w:p w14:paraId="1446F27D"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27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F27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F280"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28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F28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446F283"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28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F28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880</w:t>
            </w:r>
          </w:p>
        </w:tc>
        <w:tc>
          <w:tcPr>
            <w:tcW w:w="0" w:type="auto"/>
            <w:shd w:val="clear" w:color="auto" w:fill="CCEEFF"/>
            <w:vAlign w:val="bottom"/>
          </w:tcPr>
          <w:p w14:paraId="1446F28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28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446F28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699</w:t>
            </w:r>
          </w:p>
        </w:tc>
        <w:tc>
          <w:tcPr>
            <w:tcW w:w="0" w:type="auto"/>
            <w:shd w:val="clear" w:color="auto" w:fill="CCEEFF"/>
            <w:vAlign w:val="bottom"/>
          </w:tcPr>
          <w:p w14:paraId="1446F289" w14:textId="77777777" w:rsidR="00FE42B5" w:rsidRDefault="00FE42B5">
            <w:pPr>
              <w:textAlignment w:val="bottom"/>
              <w:rPr>
                <w:rFonts w:ascii="Times New Roman" w:hAnsi="Times New Roman"/>
                <w:sz w:val="20"/>
                <w:szCs w:val="20"/>
              </w:rPr>
            </w:pPr>
          </w:p>
        </w:tc>
      </w:tr>
      <w:tr w:rsidR="00FE42B5" w14:paraId="1446F29A" w14:textId="77777777">
        <w:tc>
          <w:tcPr>
            <w:tcW w:w="0" w:type="auto"/>
            <w:shd w:val="clear" w:color="auto" w:fill="auto"/>
            <w:tcMar>
              <w:top w:w="40" w:type="dxa"/>
              <w:left w:w="40" w:type="dxa"/>
              <w:bottom w:w="40" w:type="dxa"/>
              <w:right w:w="40" w:type="dxa"/>
            </w:tcMar>
            <w:vAlign w:val="bottom"/>
          </w:tcPr>
          <w:p w14:paraId="1446F28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Other contractual commitments</w:t>
            </w:r>
          </w:p>
        </w:tc>
        <w:tc>
          <w:tcPr>
            <w:tcW w:w="0" w:type="auto"/>
            <w:gridSpan w:val="2"/>
            <w:shd w:val="clear" w:color="auto" w:fill="auto"/>
            <w:tcMar>
              <w:top w:w="40" w:type="dxa"/>
              <w:left w:w="40" w:type="dxa"/>
              <w:bottom w:w="40" w:type="dxa"/>
            </w:tcMar>
            <w:vAlign w:val="bottom"/>
          </w:tcPr>
          <w:p w14:paraId="1446F28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7,620</w:t>
            </w:r>
          </w:p>
        </w:tc>
        <w:tc>
          <w:tcPr>
            <w:tcW w:w="0" w:type="auto"/>
            <w:shd w:val="clear" w:color="auto" w:fill="auto"/>
            <w:vAlign w:val="bottom"/>
          </w:tcPr>
          <w:p w14:paraId="1446F28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28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F28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4,052</w:t>
            </w:r>
          </w:p>
        </w:tc>
        <w:tc>
          <w:tcPr>
            <w:tcW w:w="0" w:type="auto"/>
            <w:shd w:val="clear" w:color="auto" w:fill="auto"/>
            <w:vAlign w:val="bottom"/>
          </w:tcPr>
          <w:p w14:paraId="1446F290"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29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F29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1,479</w:t>
            </w:r>
          </w:p>
        </w:tc>
        <w:tc>
          <w:tcPr>
            <w:tcW w:w="0" w:type="auto"/>
            <w:shd w:val="clear" w:color="auto" w:fill="auto"/>
            <w:vAlign w:val="bottom"/>
          </w:tcPr>
          <w:p w14:paraId="1446F29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29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446F29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431</w:t>
            </w:r>
          </w:p>
        </w:tc>
        <w:tc>
          <w:tcPr>
            <w:tcW w:w="0" w:type="auto"/>
            <w:shd w:val="clear" w:color="auto" w:fill="auto"/>
            <w:vAlign w:val="bottom"/>
          </w:tcPr>
          <w:p w14:paraId="1446F29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29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446F298"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1,658</w:t>
            </w:r>
          </w:p>
        </w:tc>
        <w:tc>
          <w:tcPr>
            <w:tcW w:w="0" w:type="auto"/>
            <w:tcBorders>
              <w:bottom w:val="single" w:sz="8" w:space="0" w:color="000000"/>
            </w:tcBorders>
            <w:shd w:val="clear" w:color="auto" w:fill="auto"/>
            <w:vAlign w:val="bottom"/>
          </w:tcPr>
          <w:p w14:paraId="1446F299" w14:textId="77777777" w:rsidR="00FE42B5" w:rsidRDefault="00FE42B5">
            <w:pPr>
              <w:textAlignment w:val="bottom"/>
              <w:rPr>
                <w:rFonts w:ascii="Times New Roman" w:hAnsi="Times New Roman"/>
                <w:sz w:val="20"/>
                <w:szCs w:val="20"/>
              </w:rPr>
            </w:pPr>
          </w:p>
        </w:tc>
      </w:tr>
      <w:tr w:rsidR="00FE42B5" w14:paraId="1446F2AF" w14:textId="77777777">
        <w:tc>
          <w:tcPr>
            <w:tcW w:w="0" w:type="auto"/>
            <w:shd w:val="clear" w:color="auto" w:fill="CCEEFF"/>
            <w:tcMar>
              <w:top w:w="40" w:type="dxa"/>
              <w:left w:w="400" w:type="dxa"/>
              <w:bottom w:w="40" w:type="dxa"/>
              <w:right w:w="40" w:type="dxa"/>
            </w:tcMar>
            <w:vAlign w:val="bottom"/>
          </w:tcPr>
          <w:p w14:paraId="1446F29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xml:space="preserve">Total contractual </w:t>
            </w:r>
            <w:r>
              <w:rPr>
                <w:rFonts w:ascii="Times New Roman" w:eastAsia="宋体" w:hAnsi="Times New Roman"/>
                <w:sz w:val="20"/>
                <w:szCs w:val="20"/>
              </w:rPr>
              <w:t>obligations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F29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F29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28,330</w:t>
            </w:r>
          </w:p>
        </w:tc>
        <w:tc>
          <w:tcPr>
            <w:tcW w:w="0" w:type="auto"/>
            <w:tcBorders>
              <w:top w:val="single" w:sz="8" w:space="0" w:color="000000"/>
              <w:bottom w:val="double" w:sz="6" w:space="0" w:color="000000"/>
            </w:tcBorders>
            <w:shd w:val="clear" w:color="auto" w:fill="CCEEFF"/>
            <w:vAlign w:val="bottom"/>
          </w:tcPr>
          <w:p w14:paraId="1446F29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29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F2A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F2A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5,061</w:t>
            </w:r>
          </w:p>
        </w:tc>
        <w:tc>
          <w:tcPr>
            <w:tcW w:w="0" w:type="auto"/>
            <w:tcBorders>
              <w:top w:val="single" w:sz="8" w:space="0" w:color="000000"/>
              <w:bottom w:val="double" w:sz="6" w:space="0" w:color="000000"/>
            </w:tcBorders>
            <w:shd w:val="clear" w:color="auto" w:fill="CCEEFF"/>
            <w:vAlign w:val="bottom"/>
          </w:tcPr>
          <w:p w14:paraId="1446F2A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2A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F2A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F2A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4,221</w:t>
            </w:r>
          </w:p>
        </w:tc>
        <w:tc>
          <w:tcPr>
            <w:tcW w:w="0" w:type="auto"/>
            <w:tcBorders>
              <w:top w:val="single" w:sz="8" w:space="0" w:color="000000"/>
              <w:bottom w:val="double" w:sz="6" w:space="0" w:color="000000"/>
            </w:tcBorders>
            <w:shd w:val="clear" w:color="auto" w:fill="CCEEFF"/>
            <w:vAlign w:val="bottom"/>
          </w:tcPr>
          <w:p w14:paraId="1446F2A6"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2A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F2A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F2A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4,012</w:t>
            </w:r>
          </w:p>
        </w:tc>
        <w:tc>
          <w:tcPr>
            <w:tcW w:w="0" w:type="auto"/>
            <w:tcBorders>
              <w:top w:val="single" w:sz="8" w:space="0" w:color="000000"/>
              <w:bottom w:val="double" w:sz="6" w:space="0" w:color="000000"/>
            </w:tcBorders>
            <w:shd w:val="clear" w:color="auto" w:fill="CCEEFF"/>
            <w:vAlign w:val="bottom"/>
          </w:tcPr>
          <w:p w14:paraId="1446F2AA"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2A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446F2A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446F2A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15,036</w:t>
            </w:r>
          </w:p>
        </w:tc>
        <w:tc>
          <w:tcPr>
            <w:tcW w:w="0" w:type="auto"/>
            <w:tcBorders>
              <w:top w:val="single" w:sz="8" w:space="0" w:color="000000"/>
              <w:bottom w:val="double" w:sz="6" w:space="0" w:color="000000"/>
            </w:tcBorders>
            <w:shd w:val="clear" w:color="auto" w:fill="CCEEFF"/>
            <w:vAlign w:val="bottom"/>
          </w:tcPr>
          <w:p w14:paraId="1446F2AE" w14:textId="77777777" w:rsidR="00FE42B5" w:rsidRDefault="00FE42B5">
            <w:pPr>
              <w:textAlignment w:val="bottom"/>
              <w:rPr>
                <w:rFonts w:ascii="Times New Roman" w:hAnsi="Times New Roman"/>
                <w:sz w:val="20"/>
                <w:szCs w:val="20"/>
              </w:rPr>
            </w:pPr>
          </w:p>
        </w:tc>
      </w:tr>
    </w:tbl>
    <w:p w14:paraId="1446F2B0" w14:textId="77777777" w:rsidR="00FE42B5" w:rsidRDefault="009213DC">
      <w:pPr>
        <w:spacing w:line="288" w:lineRule="auto"/>
        <w:ind w:hanging="480"/>
        <w:jc w:val="both"/>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323"/>
      </w:tblGrid>
      <w:tr w:rsidR="00FE42B5" w14:paraId="1446F2B3" w14:textId="77777777">
        <w:trPr>
          <w:tblCellSpacing w:w="0" w:type="dxa"/>
        </w:trPr>
        <w:tc>
          <w:tcPr>
            <w:tcW w:w="480" w:type="dxa"/>
            <w:shd w:val="clear" w:color="auto" w:fill="auto"/>
            <w:vAlign w:val="center"/>
          </w:tcPr>
          <w:p w14:paraId="1446F2B1" w14:textId="77777777" w:rsidR="00FE42B5" w:rsidRDefault="00FE42B5">
            <w:pPr>
              <w:rPr>
                <w:rFonts w:ascii="Times New Roman" w:hAnsi="Times New Roman"/>
                <w:sz w:val="20"/>
                <w:szCs w:val="20"/>
              </w:rPr>
            </w:pPr>
          </w:p>
        </w:tc>
        <w:tc>
          <w:tcPr>
            <w:tcW w:w="0" w:type="auto"/>
            <w:shd w:val="clear" w:color="auto" w:fill="auto"/>
            <w:vAlign w:val="center"/>
          </w:tcPr>
          <w:p w14:paraId="1446F2B2" w14:textId="77777777" w:rsidR="00FE42B5" w:rsidRDefault="00FE42B5">
            <w:pPr>
              <w:rPr>
                <w:rFonts w:ascii="Times New Roman" w:hAnsi="Times New Roman"/>
                <w:sz w:val="20"/>
                <w:szCs w:val="20"/>
              </w:rPr>
            </w:pPr>
          </w:p>
        </w:tc>
      </w:tr>
      <w:tr w:rsidR="00FE42B5" w14:paraId="1446F2B6" w14:textId="77777777">
        <w:trPr>
          <w:tblCellSpacing w:w="0" w:type="dxa"/>
        </w:trPr>
        <w:tc>
          <w:tcPr>
            <w:tcW w:w="0" w:type="auto"/>
            <w:shd w:val="clear" w:color="auto" w:fill="auto"/>
          </w:tcPr>
          <w:p w14:paraId="1446F2B4" w14:textId="77777777" w:rsidR="00FE42B5" w:rsidRDefault="009213DC">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1446F2B5" w14:textId="77777777" w:rsidR="00FE42B5" w:rsidRDefault="009213DC">
            <w:pPr>
              <w:spacing w:line="288" w:lineRule="auto"/>
              <w:jc w:val="both"/>
              <w:textAlignment w:val="top"/>
              <w:rPr>
                <w:rFonts w:ascii="Times New Roman" w:hAnsi="Times New Roman"/>
                <w:sz w:val="18"/>
                <w:szCs w:val="18"/>
              </w:rPr>
            </w:pPr>
            <w:r>
              <w:rPr>
                <w:rFonts w:ascii="Times New Roman" w:eastAsia="宋体" w:hAnsi="Times New Roman"/>
                <w:sz w:val="18"/>
                <w:szCs w:val="18"/>
              </w:rPr>
              <w:t>Includes variable lease payments that were fixed subsequent to lease commencement or modification.</w:t>
            </w:r>
          </w:p>
        </w:tc>
      </w:tr>
    </w:tbl>
    <w:p w14:paraId="1446F2B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As part of the normal course of the business, we may enter into multi-year agreements to purchase certain network components that do not specify a fixed or minimum price commitment or to purchase renewable energy that do not specify a fixed or minimum volu</w:t>
      </w:r>
      <w:r>
        <w:rPr>
          <w:rFonts w:ascii="Times New Roman" w:eastAsia="宋体" w:hAnsi="Times New Roman"/>
          <w:sz w:val="20"/>
          <w:szCs w:val="20"/>
        </w:rPr>
        <w:t>me commitment. These agreements are generally entered into in order to secure either volume or price. Using projected market prices or expected volume consumption, the total estimated spend is approximately $4.99 billion. The ultimate spend under these agr</w:t>
      </w:r>
      <w:r>
        <w:rPr>
          <w:rFonts w:ascii="Times New Roman" w:eastAsia="宋体" w:hAnsi="Times New Roman"/>
          <w:sz w:val="20"/>
          <w:szCs w:val="20"/>
        </w:rPr>
        <w:t xml:space="preserve">eements may vary and will be based on prevailing market prices or actual volume purchased.  </w:t>
      </w:r>
    </w:p>
    <w:p w14:paraId="1446F2B8" w14:textId="77777777" w:rsidR="00FE42B5" w:rsidRDefault="009213DC">
      <w:pPr>
        <w:spacing w:line="288" w:lineRule="auto"/>
        <w:ind w:firstLine="660"/>
        <w:jc w:val="both"/>
        <w:rPr>
          <w:rFonts w:ascii="Times New Roman" w:hAnsi="Times New Roman"/>
          <w:sz w:val="20"/>
          <w:szCs w:val="20"/>
        </w:rPr>
      </w:pPr>
      <w:r>
        <w:rPr>
          <w:rFonts w:ascii="Times New Roman" w:eastAsia="宋体" w:hAnsi="Times New Roman"/>
          <w:sz w:val="20"/>
          <w:szCs w:val="20"/>
        </w:rPr>
        <w:t>In addition, our other liabilities also include $3.95 billion related to net uncertain tax positions as of March 31, 2020. Due to uncertainties in the timing of th</w:t>
      </w:r>
      <w:r>
        <w:rPr>
          <w:rFonts w:ascii="Times New Roman" w:eastAsia="宋体" w:hAnsi="Times New Roman"/>
          <w:sz w:val="20"/>
          <w:szCs w:val="20"/>
        </w:rPr>
        <w:t>e completion of tax audits, the timing of the resolution of these positions is uncertain and we are unable to make a reasonably reliable estimate of the timing of payments in individual years beyond 12 months. As a result, this amount is not included in th</w:t>
      </w:r>
      <w:r>
        <w:rPr>
          <w:rFonts w:ascii="Times New Roman" w:eastAsia="宋体" w:hAnsi="Times New Roman"/>
          <w:sz w:val="20"/>
          <w:szCs w:val="20"/>
        </w:rPr>
        <w:t>e above contractual obligations table.</w:t>
      </w:r>
    </w:p>
    <w:p w14:paraId="1446F2B9" w14:textId="77777777" w:rsidR="00FE42B5" w:rsidRDefault="00FE42B5">
      <w:pPr>
        <w:rPr>
          <w:rFonts w:ascii="Times New Roman" w:hAnsi="Times New Roman"/>
          <w:sz w:val="20"/>
          <w:szCs w:val="20"/>
        </w:rPr>
      </w:pPr>
    </w:p>
    <w:p w14:paraId="1446F2BA"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44</w:t>
      </w:r>
    </w:p>
    <w:p w14:paraId="1446F2BB" w14:textId="77777777" w:rsidR="00FE42B5" w:rsidRDefault="009213DC">
      <w:r>
        <w:rPr>
          <w:rFonts w:ascii="Times New Roman" w:hAnsi="Times New Roman"/>
          <w:sz w:val="20"/>
          <w:szCs w:val="20"/>
        </w:rPr>
        <w:pict w14:anchorId="1446FAF4">
          <v:rect id="_x0000_i1068" style="width:415.3pt;height:1.5pt" o:hralign="center" o:hrstd="t" o:hr="t" fillcolor="#a0a0a0" stroked="f"/>
        </w:pict>
      </w:r>
    </w:p>
    <w:p w14:paraId="1446F2BC" w14:textId="77777777" w:rsidR="00FE42B5" w:rsidRDefault="009213DC">
      <w:pPr>
        <w:spacing w:line="288" w:lineRule="auto"/>
        <w:rPr>
          <w:rFonts w:ascii="Times New Roman" w:hAnsi="Times New Roman"/>
          <w:sz w:val="20"/>
          <w:szCs w:val="20"/>
        </w:rPr>
      </w:pPr>
      <w:hyperlink r:id="rId85" w:anchor="sBB4BED1571A45A16AF3DC2E3B69C901C" w:history="1">
        <w:r>
          <w:rPr>
            <w:rStyle w:val="a5"/>
            <w:rFonts w:ascii="Times New Roman" w:eastAsia="宋体" w:hAnsi="Times New Roman"/>
            <w:sz w:val="20"/>
            <w:szCs w:val="20"/>
          </w:rPr>
          <w:t>Table of Contents</w:t>
        </w:r>
      </w:hyperlink>
    </w:p>
    <w:p w14:paraId="1446F2BD" w14:textId="77777777" w:rsidR="00FE42B5" w:rsidRDefault="00FE42B5">
      <w:pPr>
        <w:rPr>
          <w:rFonts w:ascii="Times New Roman" w:hAnsi="Times New Roman"/>
          <w:sz w:val="20"/>
          <w:szCs w:val="20"/>
        </w:rPr>
      </w:pPr>
    </w:p>
    <w:p w14:paraId="1446F2BE"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Contingencies</w:t>
      </w:r>
    </w:p>
    <w:p w14:paraId="1446F2B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are involved in legal proceedings, claims, and regulatory, tax or g</w:t>
      </w:r>
      <w:r>
        <w:rPr>
          <w:rFonts w:ascii="Times New Roman" w:eastAsia="宋体" w:hAnsi="Times New Roman"/>
          <w:sz w:val="20"/>
          <w:szCs w:val="20"/>
        </w:rPr>
        <w:t>overnment inquiries and investigations. We record a provision for a liability when we believe that it is both probable that a liability has been incurred, and that the amount can be reasonably estimated. If we determine there is a reasonable possibility th</w:t>
      </w:r>
      <w:r>
        <w:rPr>
          <w:rFonts w:ascii="Times New Roman" w:eastAsia="宋体" w:hAnsi="Times New Roman"/>
          <w:sz w:val="20"/>
          <w:szCs w:val="20"/>
        </w:rPr>
        <w:t>at we may incur a loss and the loss or range of loss can be estimated, we disclose the possible loss in the accompanying notes to the condensed consolidated financial statements to the extent material. Significant judgment is required to determine both pro</w:t>
      </w:r>
      <w:r>
        <w:rPr>
          <w:rFonts w:ascii="Times New Roman" w:eastAsia="宋体" w:hAnsi="Times New Roman"/>
          <w:sz w:val="20"/>
          <w:szCs w:val="20"/>
        </w:rPr>
        <w:t>bability and the estimated amount of loss. Such matters are inherently unpredictable and subject to significant uncertainties, some of which are beyond our control. Should any of these estimates and assumptions change or prove to be incorrect, it could hav</w:t>
      </w:r>
      <w:r>
        <w:rPr>
          <w:rFonts w:ascii="Times New Roman" w:eastAsia="宋体" w:hAnsi="Times New Roman"/>
          <w:sz w:val="20"/>
          <w:szCs w:val="20"/>
        </w:rPr>
        <w:t>e a material impact on our results of operations, financial position, and cash flows.</w:t>
      </w:r>
    </w:p>
    <w:p w14:paraId="1446F2C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See Note 10 — Commitments and Contingencies and Note 12 — Income Taxes in the notes to the condensed consolidated financial statements included in Part I, Item 1, and "Le</w:t>
      </w:r>
      <w:r>
        <w:rPr>
          <w:rFonts w:ascii="Times New Roman" w:eastAsia="宋体" w:hAnsi="Times New Roman"/>
          <w:sz w:val="20"/>
          <w:szCs w:val="20"/>
        </w:rPr>
        <w:t>gal Proceedings" contained in Part II, Item 1 of this Quarterly Report on Form 10-Q for additional information regarding contingencies.</w:t>
      </w:r>
    </w:p>
    <w:p w14:paraId="1446F2C1"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Critical Accounting Policies and Estimates</w:t>
      </w:r>
    </w:p>
    <w:p w14:paraId="1446F2C2" w14:textId="77777777" w:rsidR="00FE42B5" w:rsidRDefault="00FE42B5">
      <w:pPr>
        <w:spacing w:line="288" w:lineRule="auto"/>
        <w:ind w:firstLine="720"/>
        <w:jc w:val="both"/>
        <w:rPr>
          <w:rFonts w:ascii="Times New Roman" w:hAnsi="Times New Roman"/>
          <w:sz w:val="20"/>
          <w:szCs w:val="20"/>
        </w:rPr>
      </w:pPr>
    </w:p>
    <w:p w14:paraId="1446F2C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condensed consolidated financial statements are prepared in accordance w</w:t>
      </w:r>
      <w:r>
        <w:rPr>
          <w:rFonts w:ascii="Times New Roman" w:eastAsia="宋体" w:hAnsi="Times New Roman"/>
          <w:sz w:val="20"/>
          <w:szCs w:val="20"/>
        </w:rPr>
        <w:t>ith GAAP. The preparation of these condensed consolidated financial statements requires us to make estimates and assumptions that affect the reported amounts of assets, liabilities, revenue, costs and expenses, and related disclosures. These estimates form</w:t>
      </w:r>
      <w:r>
        <w:rPr>
          <w:rFonts w:ascii="Times New Roman" w:eastAsia="宋体" w:hAnsi="Times New Roman"/>
          <w:sz w:val="20"/>
          <w:szCs w:val="20"/>
        </w:rPr>
        <w:t xml:space="preserve"> the basis for judgments we make about the carrying values of our assets and liabilities, which are not readily apparent from other sources. We base our estimates and judgments on historical experience and on various other assumptions that we believe are r</w:t>
      </w:r>
      <w:r>
        <w:rPr>
          <w:rFonts w:ascii="Times New Roman" w:eastAsia="宋体" w:hAnsi="Times New Roman"/>
          <w:sz w:val="20"/>
          <w:szCs w:val="20"/>
        </w:rPr>
        <w:t xml:space="preserve">easonable under the circumstances. On an ongoing basis, we evaluate our estimates and assumptions. Our actual results may differ from these estimates under different assumptions or conditions. </w:t>
      </w:r>
    </w:p>
    <w:p w14:paraId="1446F2C4" w14:textId="77777777" w:rsidR="00FE42B5" w:rsidRDefault="00FE42B5">
      <w:pPr>
        <w:spacing w:line="288" w:lineRule="auto"/>
        <w:ind w:firstLine="720"/>
        <w:jc w:val="both"/>
        <w:rPr>
          <w:rFonts w:ascii="Times New Roman" w:hAnsi="Times New Roman"/>
          <w:sz w:val="20"/>
          <w:szCs w:val="20"/>
        </w:rPr>
      </w:pPr>
    </w:p>
    <w:p w14:paraId="1446F2C5"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An accounting policy is deemed to be critical if it requires </w:t>
      </w:r>
      <w:r>
        <w:rPr>
          <w:rFonts w:ascii="Times New Roman" w:eastAsia="宋体" w:hAnsi="Times New Roman"/>
          <w:sz w:val="20"/>
          <w:szCs w:val="20"/>
        </w:rPr>
        <w:t>an accounting estimate to be made based on assumptions about matters that are highly uncertain at the time the estimate is made, if different estimates reasonably could have been used, or if changes in the estimate that are reasonably possible could materi</w:t>
      </w:r>
      <w:r>
        <w:rPr>
          <w:rFonts w:ascii="Times New Roman" w:eastAsia="宋体" w:hAnsi="Times New Roman"/>
          <w:sz w:val="20"/>
          <w:szCs w:val="20"/>
        </w:rPr>
        <w:t xml:space="preserve">ally impact the financial statements. </w:t>
      </w:r>
    </w:p>
    <w:p w14:paraId="1446F2C6" w14:textId="77777777" w:rsidR="00FE42B5" w:rsidRDefault="00FE42B5">
      <w:pPr>
        <w:spacing w:line="288" w:lineRule="auto"/>
        <w:ind w:firstLine="720"/>
        <w:jc w:val="both"/>
        <w:rPr>
          <w:rFonts w:ascii="Times New Roman" w:hAnsi="Times New Roman"/>
          <w:sz w:val="20"/>
          <w:szCs w:val="20"/>
        </w:rPr>
      </w:pPr>
    </w:p>
    <w:p w14:paraId="1446F2C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our Annual Report on Form 10-K for the fiscal year ended December 31, 2019, we disclosed the assumptions and estimates associated with income taxes, loss contingencies, and valuation of long-lived assets including</w:t>
      </w:r>
      <w:r>
        <w:rPr>
          <w:rFonts w:ascii="Times New Roman" w:eastAsia="宋体" w:hAnsi="Times New Roman"/>
          <w:sz w:val="20"/>
          <w:szCs w:val="20"/>
        </w:rPr>
        <w:t xml:space="preserve"> goodwill, intangible assets and their associated estimated useful lives have the greatest potential impact on our consolidated financial statements. In addition, during the quarter ended March 31, 2020, in response to the economic slowdown caused by COVID</w:t>
      </w:r>
      <w:r>
        <w:rPr>
          <w:rFonts w:ascii="Times New Roman" w:eastAsia="宋体" w:hAnsi="Times New Roman"/>
          <w:sz w:val="20"/>
          <w:szCs w:val="20"/>
        </w:rPr>
        <w:t>-19 pandemic, we now believe that the assumptions and estimates associated with collectibility assessment of revenue and credit losses of accounts receivable may also have a material impact to our consolidated financial statements in future periods, depend</w:t>
      </w:r>
      <w:r>
        <w:rPr>
          <w:rFonts w:ascii="Times New Roman" w:eastAsia="宋体" w:hAnsi="Times New Roman"/>
          <w:sz w:val="20"/>
          <w:szCs w:val="20"/>
        </w:rPr>
        <w:t>ing on the duration or degree of the impact of the COVID-19 pandemic on the global economy. </w:t>
      </w:r>
    </w:p>
    <w:p w14:paraId="1446F2C8" w14:textId="77777777" w:rsidR="00FE42B5" w:rsidRDefault="00FE42B5">
      <w:pPr>
        <w:spacing w:line="288" w:lineRule="auto"/>
        <w:rPr>
          <w:rFonts w:ascii="Times New Roman" w:hAnsi="Times New Roman"/>
          <w:sz w:val="20"/>
          <w:szCs w:val="20"/>
        </w:rPr>
      </w:pPr>
    </w:p>
    <w:p w14:paraId="1446F2C9"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Collectibility assessment of revenue </w:t>
      </w:r>
    </w:p>
    <w:p w14:paraId="1446F2CA" w14:textId="77777777" w:rsidR="00FE42B5" w:rsidRDefault="00FE42B5">
      <w:pPr>
        <w:spacing w:line="288" w:lineRule="auto"/>
        <w:rPr>
          <w:rFonts w:ascii="Times New Roman" w:hAnsi="Times New Roman"/>
          <w:sz w:val="20"/>
          <w:szCs w:val="20"/>
        </w:rPr>
      </w:pPr>
    </w:p>
    <w:p w14:paraId="1446F2C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Under Topic 606, we recognize revenue using a five-step model. In step one, for a revenue contract to exist, it must be probable that substantially all of the consideration to which we are entitled to will be collected. In performing such collectibility as</w:t>
      </w:r>
      <w:r>
        <w:rPr>
          <w:rFonts w:ascii="Times New Roman" w:eastAsia="宋体" w:hAnsi="Times New Roman"/>
          <w:sz w:val="20"/>
          <w:szCs w:val="20"/>
        </w:rPr>
        <w:t>sessment, we consider various facts and circumstances including future expectations about our customer’s ability and intention to pay. Collectibility assessment uses a probable threshold which requires estimation based on several objective and subjective f</w:t>
      </w:r>
      <w:r>
        <w:rPr>
          <w:rFonts w:ascii="Times New Roman" w:eastAsia="宋体" w:hAnsi="Times New Roman"/>
          <w:sz w:val="20"/>
          <w:szCs w:val="20"/>
        </w:rPr>
        <w:t>actors, such as probability of default, customer’s intention to pay, payment history, financial strength, geography, and industry sub-vertical risks. The collectibility assessment has become increasingly uncertain during the current economic environment ca</w:t>
      </w:r>
      <w:r>
        <w:rPr>
          <w:rFonts w:ascii="Times New Roman" w:eastAsia="宋体" w:hAnsi="Times New Roman"/>
          <w:sz w:val="20"/>
          <w:szCs w:val="20"/>
        </w:rPr>
        <w:t xml:space="preserve">used by COVID-19 pandemic, and our actual experience in the future may differ from our past experiences or current assessment. </w:t>
      </w:r>
    </w:p>
    <w:p w14:paraId="1446F2CC" w14:textId="77777777" w:rsidR="00FE42B5" w:rsidRDefault="00FE42B5">
      <w:pPr>
        <w:spacing w:line="288" w:lineRule="auto"/>
        <w:jc w:val="both"/>
        <w:rPr>
          <w:rFonts w:ascii="Times New Roman" w:hAnsi="Times New Roman"/>
          <w:sz w:val="20"/>
          <w:szCs w:val="20"/>
        </w:rPr>
      </w:pPr>
    </w:p>
    <w:p w14:paraId="1446F2CD" w14:textId="77777777" w:rsidR="00FE42B5" w:rsidRDefault="009213DC">
      <w:pPr>
        <w:spacing w:line="288" w:lineRule="auto"/>
        <w:ind w:firstLine="720"/>
        <w:rPr>
          <w:rFonts w:ascii="Times New Roman" w:hAnsi="Times New Roman"/>
          <w:sz w:val="20"/>
          <w:szCs w:val="20"/>
        </w:rPr>
      </w:pPr>
      <w:r>
        <w:rPr>
          <w:rFonts w:ascii="Times New Roman" w:eastAsia="宋体" w:hAnsi="Times New Roman"/>
          <w:b/>
          <w:bCs/>
          <w:i/>
          <w:iCs/>
          <w:sz w:val="20"/>
          <w:szCs w:val="20"/>
        </w:rPr>
        <w:t>Credit losses of accounts receivable</w:t>
      </w:r>
    </w:p>
    <w:p w14:paraId="1446F2CE" w14:textId="77777777" w:rsidR="00FE42B5" w:rsidRDefault="00FE42B5">
      <w:pPr>
        <w:spacing w:line="288" w:lineRule="auto"/>
        <w:jc w:val="both"/>
        <w:rPr>
          <w:rFonts w:ascii="Times New Roman" w:hAnsi="Times New Roman"/>
          <w:sz w:val="20"/>
          <w:szCs w:val="20"/>
        </w:rPr>
      </w:pPr>
    </w:p>
    <w:p w14:paraId="1446F2C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On January 1, 2020, we adopted Accounting Standards Update No. 2016-13, Financial Instrum</w:t>
      </w:r>
      <w:r>
        <w:rPr>
          <w:rFonts w:ascii="Times New Roman" w:eastAsia="宋体" w:hAnsi="Times New Roman"/>
          <w:sz w:val="20"/>
          <w:szCs w:val="20"/>
        </w:rPr>
        <w:t>ents-Credit Losses (</w:t>
      </w:r>
      <w:r>
        <w:rPr>
          <w:rFonts w:ascii="Times New Roman" w:eastAsia="宋体" w:hAnsi="Times New Roman"/>
          <w:i/>
          <w:iCs/>
          <w:sz w:val="20"/>
          <w:szCs w:val="20"/>
        </w:rPr>
        <w:t>Topic 326</w:t>
      </w:r>
      <w:r>
        <w:rPr>
          <w:rFonts w:ascii="Times New Roman" w:eastAsia="宋体" w:hAnsi="Times New Roman"/>
          <w:sz w:val="20"/>
          <w:szCs w:val="20"/>
        </w:rPr>
        <w:t>): Measurement of Credit Losses on Financial Instruments, which requires the measurement and recognition of expected credit losses for financial assets held at amortized cost that an entity does not expect to collect over the a</w:t>
      </w:r>
      <w:r>
        <w:rPr>
          <w:rFonts w:ascii="Times New Roman" w:eastAsia="宋体" w:hAnsi="Times New Roman"/>
          <w:sz w:val="20"/>
          <w:szCs w:val="20"/>
        </w:rPr>
        <w:t>sset’s contractual life, considering past events, current conditions, and reasonable and supportable forecasts of future economic conditions. </w:t>
      </w:r>
    </w:p>
    <w:p w14:paraId="1446F2D0" w14:textId="77777777" w:rsidR="00FE42B5" w:rsidRDefault="00FE42B5">
      <w:pPr>
        <w:spacing w:line="288" w:lineRule="auto"/>
        <w:rPr>
          <w:rFonts w:ascii="Times New Roman" w:hAnsi="Times New Roman"/>
          <w:sz w:val="20"/>
          <w:szCs w:val="20"/>
        </w:rPr>
      </w:pPr>
    </w:p>
    <w:p w14:paraId="1446F2D1" w14:textId="77777777" w:rsidR="00FE42B5" w:rsidRDefault="00FE42B5">
      <w:pPr>
        <w:rPr>
          <w:rFonts w:ascii="Times New Roman" w:hAnsi="Times New Roman"/>
          <w:sz w:val="20"/>
          <w:szCs w:val="20"/>
        </w:rPr>
      </w:pPr>
    </w:p>
    <w:p w14:paraId="1446F2D2"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45</w:t>
      </w:r>
    </w:p>
    <w:p w14:paraId="1446F2D3" w14:textId="77777777" w:rsidR="00FE42B5" w:rsidRDefault="009213DC">
      <w:r>
        <w:rPr>
          <w:rFonts w:ascii="Times New Roman" w:hAnsi="Times New Roman"/>
          <w:sz w:val="20"/>
          <w:szCs w:val="20"/>
        </w:rPr>
        <w:pict w14:anchorId="1446FAF5">
          <v:rect id="_x0000_i1069" style="width:415.3pt;height:1.5pt" o:hralign="center" o:hrstd="t" o:hr="t" fillcolor="#a0a0a0" stroked="f"/>
        </w:pict>
      </w:r>
    </w:p>
    <w:p w14:paraId="1446F2D4" w14:textId="77777777" w:rsidR="00FE42B5" w:rsidRDefault="009213DC">
      <w:pPr>
        <w:spacing w:line="288" w:lineRule="auto"/>
        <w:rPr>
          <w:rFonts w:ascii="Times New Roman" w:hAnsi="Times New Roman"/>
          <w:sz w:val="20"/>
          <w:szCs w:val="20"/>
        </w:rPr>
      </w:pPr>
      <w:hyperlink r:id="rId86" w:anchor="sBB4BED1571A45A16AF3DC2E3B69C901C" w:history="1">
        <w:r>
          <w:rPr>
            <w:rStyle w:val="a5"/>
            <w:rFonts w:ascii="Times New Roman" w:eastAsia="宋体" w:hAnsi="Times New Roman"/>
            <w:sz w:val="20"/>
            <w:szCs w:val="20"/>
          </w:rPr>
          <w:t>Table of Contents</w:t>
        </w:r>
      </w:hyperlink>
    </w:p>
    <w:p w14:paraId="1446F2D5" w14:textId="77777777" w:rsidR="00FE42B5" w:rsidRDefault="00FE42B5">
      <w:pPr>
        <w:rPr>
          <w:rFonts w:ascii="Times New Roman" w:hAnsi="Times New Roman"/>
          <w:sz w:val="20"/>
          <w:szCs w:val="20"/>
        </w:rPr>
      </w:pPr>
    </w:p>
    <w:p w14:paraId="1446F2D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For accounts receivable measured at amortized cost, we use aging analysis, probabili</w:t>
      </w:r>
      <w:r>
        <w:rPr>
          <w:rFonts w:ascii="Times New Roman" w:eastAsia="宋体" w:hAnsi="Times New Roman"/>
          <w:sz w:val="20"/>
          <w:szCs w:val="20"/>
        </w:rPr>
        <w:t>ty of default methods and incorporate macroeconomic variables that are most relevant to evaluating and estimating the expected credit losses. These macroeconomic variables may vary by geography, customer-type, or industry sub-vertical. The contractual life</w:t>
      </w:r>
      <w:r>
        <w:rPr>
          <w:rFonts w:ascii="Times New Roman" w:eastAsia="宋体" w:hAnsi="Times New Roman"/>
          <w:sz w:val="20"/>
          <w:szCs w:val="20"/>
        </w:rPr>
        <w:t xml:space="preserve"> of our trade accounts receivable is generally short-term; however, we may experience increasing credit loss risks from accounts receivable in future periods depending on the duration or degree of economic slowdown caused by COVID-19 pandemic, and our actu</w:t>
      </w:r>
      <w:r>
        <w:rPr>
          <w:rFonts w:ascii="Times New Roman" w:eastAsia="宋体" w:hAnsi="Times New Roman"/>
          <w:sz w:val="20"/>
          <w:szCs w:val="20"/>
        </w:rPr>
        <w:t xml:space="preserve">al experience in the future may differ from our past experiences or current assessment. </w:t>
      </w:r>
    </w:p>
    <w:p w14:paraId="1446F2D7" w14:textId="77777777" w:rsidR="00FE42B5" w:rsidRDefault="00FE42B5">
      <w:pPr>
        <w:spacing w:line="288" w:lineRule="auto"/>
        <w:ind w:firstLine="720"/>
        <w:jc w:val="both"/>
        <w:rPr>
          <w:rFonts w:ascii="Times New Roman" w:hAnsi="Times New Roman"/>
          <w:sz w:val="20"/>
          <w:szCs w:val="20"/>
        </w:rPr>
      </w:pPr>
    </w:p>
    <w:p w14:paraId="1446F2D8" w14:textId="77777777" w:rsidR="00FE42B5" w:rsidRDefault="00FE42B5">
      <w:pPr>
        <w:spacing w:line="288" w:lineRule="auto"/>
        <w:ind w:firstLine="720"/>
        <w:jc w:val="both"/>
        <w:rPr>
          <w:rFonts w:ascii="Times New Roman" w:hAnsi="Times New Roman"/>
          <w:sz w:val="20"/>
          <w:szCs w:val="20"/>
        </w:rPr>
      </w:pPr>
    </w:p>
    <w:p w14:paraId="1446F2D9" w14:textId="77777777" w:rsidR="00FE42B5" w:rsidRDefault="00FE42B5">
      <w:pPr>
        <w:spacing w:line="288" w:lineRule="auto"/>
        <w:ind w:firstLine="720"/>
        <w:jc w:val="both"/>
        <w:rPr>
          <w:rFonts w:ascii="Times New Roman" w:hAnsi="Times New Roman"/>
          <w:sz w:val="20"/>
          <w:szCs w:val="20"/>
        </w:rPr>
      </w:pPr>
    </w:p>
    <w:p w14:paraId="1446F2DA" w14:textId="77777777" w:rsidR="00FE42B5" w:rsidRDefault="00FE42B5">
      <w:pPr>
        <w:rPr>
          <w:rFonts w:ascii="Times New Roman" w:hAnsi="Times New Roman"/>
          <w:sz w:val="20"/>
          <w:szCs w:val="20"/>
        </w:rPr>
      </w:pPr>
    </w:p>
    <w:p w14:paraId="1446F2DB"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46</w:t>
      </w:r>
    </w:p>
    <w:p w14:paraId="1446F2DC" w14:textId="77777777" w:rsidR="00FE42B5" w:rsidRDefault="009213DC">
      <w:r>
        <w:rPr>
          <w:rFonts w:ascii="Times New Roman" w:hAnsi="Times New Roman"/>
          <w:sz w:val="20"/>
          <w:szCs w:val="20"/>
        </w:rPr>
        <w:pict w14:anchorId="1446FAF6">
          <v:rect id="_x0000_i1070" style="width:415.3pt;height:1.5pt" o:hralign="center" o:hrstd="t" o:hr="t" fillcolor="#a0a0a0" stroked="f"/>
        </w:pict>
      </w:r>
    </w:p>
    <w:p w14:paraId="1446F2DD" w14:textId="77777777" w:rsidR="00FE42B5" w:rsidRDefault="009213DC">
      <w:pPr>
        <w:spacing w:line="288" w:lineRule="auto"/>
        <w:rPr>
          <w:rFonts w:ascii="Times New Roman" w:hAnsi="Times New Roman"/>
          <w:sz w:val="20"/>
          <w:szCs w:val="20"/>
        </w:rPr>
      </w:pPr>
      <w:hyperlink r:id="rId87" w:anchor="sBB4BED1571A45A16AF3DC2E3B69C901C" w:history="1">
        <w:r>
          <w:rPr>
            <w:rStyle w:val="a5"/>
            <w:rFonts w:ascii="Times New Roman" w:eastAsia="宋体" w:hAnsi="Times New Roman"/>
            <w:sz w:val="20"/>
            <w:szCs w:val="20"/>
          </w:rPr>
          <w:t>Table of</w:t>
        </w:r>
        <w:r>
          <w:rPr>
            <w:rStyle w:val="a5"/>
            <w:rFonts w:ascii="Times New Roman" w:eastAsia="宋体" w:hAnsi="Times New Roman"/>
            <w:sz w:val="20"/>
            <w:szCs w:val="20"/>
          </w:rPr>
          <w:t xml:space="preserve"> Contents</w:t>
        </w:r>
      </w:hyperlink>
    </w:p>
    <w:p w14:paraId="1446F2DE"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5189"/>
      </w:tblGrid>
      <w:tr w:rsidR="00FE42B5" w14:paraId="1446F2E1" w14:textId="77777777">
        <w:trPr>
          <w:tblCellSpacing w:w="0" w:type="dxa"/>
        </w:trPr>
        <w:tc>
          <w:tcPr>
            <w:tcW w:w="960" w:type="dxa"/>
            <w:shd w:val="clear" w:color="auto" w:fill="auto"/>
            <w:vAlign w:val="center"/>
          </w:tcPr>
          <w:p w14:paraId="1446F2DF" w14:textId="77777777" w:rsidR="00FE42B5" w:rsidRDefault="00FE42B5">
            <w:pPr>
              <w:rPr>
                <w:rFonts w:ascii="Times New Roman" w:hAnsi="Times New Roman"/>
                <w:sz w:val="20"/>
                <w:szCs w:val="20"/>
              </w:rPr>
            </w:pPr>
          </w:p>
        </w:tc>
        <w:tc>
          <w:tcPr>
            <w:tcW w:w="0" w:type="auto"/>
            <w:shd w:val="clear" w:color="auto" w:fill="auto"/>
            <w:vAlign w:val="center"/>
          </w:tcPr>
          <w:p w14:paraId="1446F2E0" w14:textId="77777777" w:rsidR="00FE42B5" w:rsidRDefault="00FE42B5">
            <w:pPr>
              <w:rPr>
                <w:rFonts w:ascii="Times New Roman" w:hAnsi="Times New Roman"/>
                <w:sz w:val="20"/>
                <w:szCs w:val="20"/>
              </w:rPr>
            </w:pPr>
          </w:p>
        </w:tc>
      </w:tr>
      <w:tr w:rsidR="00FE42B5" w14:paraId="1446F2E4" w14:textId="77777777">
        <w:trPr>
          <w:tblCellSpacing w:w="0" w:type="dxa"/>
        </w:trPr>
        <w:tc>
          <w:tcPr>
            <w:tcW w:w="0" w:type="auto"/>
            <w:shd w:val="clear" w:color="auto" w:fill="auto"/>
          </w:tcPr>
          <w:p w14:paraId="1446F2E2"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Item 3.</w:t>
            </w:r>
          </w:p>
        </w:tc>
        <w:tc>
          <w:tcPr>
            <w:tcW w:w="0" w:type="auto"/>
            <w:shd w:val="clear" w:color="auto" w:fill="auto"/>
          </w:tcPr>
          <w:p w14:paraId="1446F2E3"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Quantitative and Qualitative Disclosures About Market Risk</w:t>
            </w:r>
          </w:p>
        </w:tc>
      </w:tr>
    </w:tbl>
    <w:p w14:paraId="1446F2E5"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are exposed to market risks, including changes to foreign currency exchange rates, interest rates, and inflation.</w:t>
      </w:r>
    </w:p>
    <w:p w14:paraId="1446F2E6"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Foreign Currency Exchange Risk</w:t>
      </w:r>
    </w:p>
    <w:p w14:paraId="1446F2E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have foreign </w:t>
      </w:r>
      <w:r>
        <w:rPr>
          <w:rFonts w:ascii="Times New Roman" w:eastAsia="宋体" w:hAnsi="Times New Roman"/>
          <w:sz w:val="20"/>
          <w:szCs w:val="20"/>
        </w:rPr>
        <w:t>currency risks related to our revenue and operating expenses denominated in currencies other than the U.S. dollar, primarily the Euro. Accordingly, changes in exchange rates, and in particular a strengthening of the U.S. dollar, have negatively affected, a</w:t>
      </w:r>
      <w:r>
        <w:rPr>
          <w:rFonts w:ascii="Times New Roman" w:eastAsia="宋体" w:hAnsi="Times New Roman"/>
          <w:sz w:val="20"/>
          <w:szCs w:val="20"/>
        </w:rPr>
        <w:t>nd may continue to negatively affect, our revenue and other operating results as expressed in U.S. dollars.</w:t>
      </w:r>
    </w:p>
    <w:p w14:paraId="1446F2E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have experienced and will continue to experience fluctuations in our net income as a result of transaction gains or losses related to revaluing m</w:t>
      </w:r>
      <w:r>
        <w:rPr>
          <w:rFonts w:ascii="Times New Roman" w:eastAsia="宋体" w:hAnsi="Times New Roman"/>
          <w:sz w:val="20"/>
          <w:szCs w:val="20"/>
        </w:rPr>
        <w:t>onetary asset and liability balances that are denominated in currencies other than the functional currency of the entities in which they are recorded. At this time, we have not entered into, but in the future we may enter into, derivatives or other financi</w:t>
      </w:r>
      <w:r>
        <w:rPr>
          <w:rFonts w:ascii="Times New Roman" w:eastAsia="宋体" w:hAnsi="Times New Roman"/>
          <w:sz w:val="20"/>
          <w:szCs w:val="20"/>
        </w:rPr>
        <w:t>al instruments in an attempt to hedge our foreign currency exchange risk. It is difficult to predict the effect hedging activities would have on our results of operations. Foreign currency losses, net was $251 million and $37 million, recognized as interes</w:t>
      </w:r>
      <w:r>
        <w:rPr>
          <w:rFonts w:ascii="Times New Roman" w:eastAsia="宋体" w:hAnsi="Times New Roman"/>
          <w:sz w:val="20"/>
          <w:szCs w:val="20"/>
        </w:rPr>
        <w:t xml:space="preserve">t and other income (expense), net in our condensed consolidated statements of income for the three months ended March 31, 2020 and 2019, respectively. </w:t>
      </w:r>
    </w:p>
    <w:p w14:paraId="1446F2E9"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Interest Rate Sensitivity</w:t>
      </w:r>
    </w:p>
    <w:p w14:paraId="1446F2E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exposure to changes in interest rates relates primarily to </w:t>
      </w:r>
      <w:r>
        <w:rPr>
          <w:rFonts w:ascii="Times New Roman" w:eastAsia="宋体" w:hAnsi="Times New Roman"/>
          <w:sz w:val="20"/>
          <w:szCs w:val="20"/>
        </w:rPr>
        <w:t>interest earned and market value on our cash and cash equivalents and marketable securities.</w:t>
      </w:r>
    </w:p>
    <w:p w14:paraId="1446F2E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cash and cash equivalents and marketable securities consist of cash, certificates of deposit, time deposits, money market funds, U.S. government securities, U.</w:t>
      </w:r>
      <w:r>
        <w:rPr>
          <w:rFonts w:ascii="Times New Roman" w:eastAsia="宋体" w:hAnsi="Times New Roman"/>
          <w:sz w:val="20"/>
          <w:szCs w:val="20"/>
        </w:rPr>
        <w:t xml:space="preserve">S. government agency securities, and investment grade corporate debt securities. Our investment policy and strategy are focused on preservation of capital and supporting our liquidity requirements. Changes in U.S. interest rates affect the interest earned </w:t>
      </w:r>
      <w:r>
        <w:rPr>
          <w:rFonts w:ascii="Times New Roman" w:eastAsia="宋体" w:hAnsi="Times New Roman"/>
          <w:sz w:val="20"/>
          <w:szCs w:val="20"/>
        </w:rPr>
        <w:t>on our cash and cash equivalents and marketable securities, and the market value of those securities. A hypothetical 100 basis point increase in interest rates would have resulted in a decrease of $565 million and $525 million in the market value of our av</w:t>
      </w:r>
      <w:r>
        <w:rPr>
          <w:rFonts w:ascii="Times New Roman" w:eastAsia="宋体" w:hAnsi="Times New Roman"/>
          <w:sz w:val="20"/>
          <w:szCs w:val="20"/>
        </w:rPr>
        <w:t>ailable-for-sale debt securities as of March 31, 2020 and December 31, 2019, respectively. Any realized gains or losses resulting from such interest rate changes would only occur if we sold the investments prior to maturity.</w:t>
      </w:r>
    </w:p>
    <w:p w14:paraId="1446F2EC" w14:textId="77777777" w:rsidR="00FE42B5" w:rsidRDefault="00FE42B5">
      <w:pPr>
        <w:rPr>
          <w:rFonts w:ascii="Times New Roman" w:hAnsi="Times New Roman"/>
          <w:sz w:val="20"/>
          <w:szCs w:val="20"/>
        </w:rPr>
      </w:pPr>
    </w:p>
    <w:p w14:paraId="1446F2ED"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47</w:t>
      </w:r>
    </w:p>
    <w:p w14:paraId="1446F2EE" w14:textId="77777777" w:rsidR="00FE42B5" w:rsidRDefault="009213DC">
      <w:r>
        <w:rPr>
          <w:rFonts w:ascii="Times New Roman" w:hAnsi="Times New Roman"/>
          <w:sz w:val="20"/>
          <w:szCs w:val="20"/>
        </w:rPr>
        <w:pict w14:anchorId="1446FAF7">
          <v:rect id="_x0000_i1071" style="width:415.3pt;height:1.5pt" o:hralign="center" o:hrstd="t" o:hr="t" fillcolor="#a0a0a0" stroked="f"/>
        </w:pict>
      </w:r>
    </w:p>
    <w:p w14:paraId="1446F2EF" w14:textId="77777777" w:rsidR="00FE42B5" w:rsidRDefault="009213DC">
      <w:pPr>
        <w:spacing w:line="288" w:lineRule="auto"/>
        <w:rPr>
          <w:rFonts w:ascii="Times New Roman" w:hAnsi="Times New Roman"/>
          <w:sz w:val="20"/>
          <w:szCs w:val="20"/>
        </w:rPr>
      </w:pPr>
      <w:hyperlink r:id="rId88" w:anchor="sBB4BED1571A45A16AF3DC2E3B69C901C" w:history="1">
        <w:r>
          <w:rPr>
            <w:rStyle w:val="a5"/>
            <w:rFonts w:ascii="Times New Roman" w:eastAsia="宋体" w:hAnsi="Times New Roman"/>
            <w:sz w:val="20"/>
            <w:szCs w:val="20"/>
          </w:rPr>
          <w:t>Table of Contents</w:t>
        </w:r>
      </w:hyperlink>
    </w:p>
    <w:p w14:paraId="1446F2F0"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2134"/>
      </w:tblGrid>
      <w:tr w:rsidR="00FE42B5" w14:paraId="1446F2F3" w14:textId="77777777">
        <w:trPr>
          <w:tblCellSpacing w:w="0" w:type="dxa"/>
        </w:trPr>
        <w:tc>
          <w:tcPr>
            <w:tcW w:w="960" w:type="dxa"/>
            <w:shd w:val="clear" w:color="auto" w:fill="auto"/>
            <w:vAlign w:val="center"/>
          </w:tcPr>
          <w:p w14:paraId="1446F2F1" w14:textId="77777777" w:rsidR="00FE42B5" w:rsidRDefault="00FE42B5">
            <w:pPr>
              <w:rPr>
                <w:rFonts w:ascii="Times New Roman" w:hAnsi="Times New Roman"/>
                <w:sz w:val="20"/>
                <w:szCs w:val="20"/>
              </w:rPr>
            </w:pPr>
          </w:p>
        </w:tc>
        <w:tc>
          <w:tcPr>
            <w:tcW w:w="0" w:type="auto"/>
            <w:shd w:val="clear" w:color="auto" w:fill="auto"/>
            <w:vAlign w:val="center"/>
          </w:tcPr>
          <w:p w14:paraId="1446F2F2" w14:textId="77777777" w:rsidR="00FE42B5" w:rsidRDefault="00FE42B5">
            <w:pPr>
              <w:rPr>
                <w:rFonts w:ascii="Times New Roman" w:hAnsi="Times New Roman"/>
                <w:sz w:val="20"/>
                <w:szCs w:val="20"/>
              </w:rPr>
            </w:pPr>
          </w:p>
        </w:tc>
      </w:tr>
      <w:tr w:rsidR="00FE42B5" w14:paraId="1446F2F6" w14:textId="77777777">
        <w:trPr>
          <w:tblCellSpacing w:w="0" w:type="dxa"/>
        </w:trPr>
        <w:tc>
          <w:tcPr>
            <w:tcW w:w="0" w:type="auto"/>
            <w:shd w:val="clear" w:color="auto" w:fill="auto"/>
          </w:tcPr>
          <w:p w14:paraId="1446F2F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Item 4.</w:t>
            </w:r>
          </w:p>
        </w:tc>
        <w:tc>
          <w:tcPr>
            <w:tcW w:w="0" w:type="auto"/>
            <w:shd w:val="clear" w:color="auto" w:fill="auto"/>
          </w:tcPr>
          <w:p w14:paraId="1446F2F5"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Controls and Procedures</w:t>
            </w:r>
          </w:p>
        </w:tc>
      </w:tr>
    </w:tbl>
    <w:p w14:paraId="1446F2F7"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Evaluation of Disclosure Controls and Procedures</w:t>
      </w:r>
    </w:p>
    <w:p w14:paraId="1446F2F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w:t>
      </w:r>
      <w:r>
        <w:rPr>
          <w:rFonts w:ascii="Times New Roman" w:eastAsia="宋体" w:hAnsi="Times New Roman"/>
          <w:sz w:val="20"/>
          <w:szCs w:val="20"/>
        </w:rPr>
        <w:t>management, with the participation of our chief executive officer (CEO) and chief financial officer (CFO), has evaluated the effectiveness of our disclosure controls and procedures (as defined in Rules 13a- 15(e) and 15d- 15(e) under the Securities Exchang</w:t>
      </w:r>
      <w:r>
        <w:rPr>
          <w:rFonts w:ascii="Times New Roman" w:eastAsia="宋体" w:hAnsi="Times New Roman"/>
          <w:sz w:val="20"/>
          <w:szCs w:val="20"/>
        </w:rPr>
        <w:t>e Act of 1934, as amended (Exchange Act)), as of the end of the period covered by this Quarterly Report on Form 10-Q. Based on such evaluation, our CEO and CFO have concluded that as of March 31, 2020, our disclosure controls and procedures are designed at</w:t>
      </w:r>
      <w:r>
        <w:rPr>
          <w:rFonts w:ascii="Times New Roman" w:eastAsia="宋体" w:hAnsi="Times New Roman"/>
          <w:sz w:val="20"/>
          <w:szCs w:val="20"/>
        </w:rPr>
        <w:t xml:space="preserve"> a reasonable assurance level and are effective to provide reasonable assurance that information we are required to disclose in reports that we file or submit under the Exchange Act is recorded, processed, summarized, and reported within the time periods s</w:t>
      </w:r>
      <w:r>
        <w:rPr>
          <w:rFonts w:ascii="Times New Roman" w:eastAsia="宋体" w:hAnsi="Times New Roman"/>
          <w:sz w:val="20"/>
          <w:szCs w:val="20"/>
        </w:rPr>
        <w:t>pecified in the rules and forms of the Securities and Exchange Commission (SEC), and that such information is accumulated and communicated to our management, including our CEO and CFO, as appropriate, to allow timely decisions regarding required disclosure</w:t>
      </w:r>
      <w:r>
        <w:rPr>
          <w:rFonts w:ascii="Times New Roman" w:eastAsia="宋体" w:hAnsi="Times New Roman"/>
          <w:sz w:val="20"/>
          <w:szCs w:val="20"/>
        </w:rPr>
        <w:t>.</w:t>
      </w:r>
    </w:p>
    <w:p w14:paraId="1446F2F9"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Changes in Internal Control</w:t>
      </w:r>
    </w:p>
    <w:p w14:paraId="1446F2F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There were no changes in our internal control over financial reporting identified in management's evaluation pursuant to Rules 13a-15(d) or 15d-15(d) of the Exchange Act during the period covered by this Quarterly Report on Fo</w:t>
      </w:r>
      <w:r>
        <w:rPr>
          <w:rFonts w:ascii="Times New Roman" w:eastAsia="宋体" w:hAnsi="Times New Roman"/>
          <w:sz w:val="20"/>
          <w:szCs w:val="20"/>
        </w:rPr>
        <w:t>rm 10-Q that materially affected, or are reasonably likely to materially affect, our internal control over financial reporting.</w:t>
      </w:r>
    </w:p>
    <w:p w14:paraId="1446F2FB"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Limitations on Effectiveness of Controls and Procedures</w:t>
      </w:r>
    </w:p>
    <w:p w14:paraId="1446F2F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designing and evaluating the disclosure controls and procedures and i</w:t>
      </w:r>
      <w:r>
        <w:rPr>
          <w:rFonts w:ascii="Times New Roman" w:eastAsia="宋体" w:hAnsi="Times New Roman"/>
          <w:sz w:val="20"/>
          <w:szCs w:val="20"/>
        </w:rPr>
        <w:t>nternal control over financial reporting, management recognizes that any controls and procedures, no matter how well designed and operated, can provide only reasonable assurance of achieving the desired control objectives. In addition, the design of disclo</w:t>
      </w:r>
      <w:r>
        <w:rPr>
          <w:rFonts w:ascii="Times New Roman" w:eastAsia="宋体" w:hAnsi="Times New Roman"/>
          <w:sz w:val="20"/>
          <w:szCs w:val="20"/>
        </w:rPr>
        <w:t>sure controls and procedures and internal control over financial reporting must reflect the fact that there are resource constraints and that management is required to apply judgment in evaluating the benefits of possible controls and procedures relative t</w:t>
      </w:r>
      <w:r>
        <w:rPr>
          <w:rFonts w:ascii="Times New Roman" w:eastAsia="宋体" w:hAnsi="Times New Roman"/>
          <w:sz w:val="20"/>
          <w:szCs w:val="20"/>
        </w:rPr>
        <w:t>o their costs.</w:t>
      </w:r>
    </w:p>
    <w:p w14:paraId="1446F2FD" w14:textId="77777777" w:rsidR="00FE42B5" w:rsidRDefault="00FE42B5">
      <w:pPr>
        <w:spacing w:line="288" w:lineRule="auto"/>
        <w:ind w:firstLine="720"/>
        <w:jc w:val="both"/>
        <w:rPr>
          <w:rFonts w:ascii="Times New Roman" w:hAnsi="Times New Roman"/>
          <w:sz w:val="20"/>
          <w:szCs w:val="20"/>
        </w:rPr>
      </w:pPr>
    </w:p>
    <w:p w14:paraId="1446F2FE" w14:textId="77777777" w:rsidR="00FE42B5" w:rsidRDefault="00FE42B5">
      <w:pPr>
        <w:rPr>
          <w:rFonts w:ascii="Times New Roman" w:hAnsi="Times New Roman"/>
          <w:sz w:val="20"/>
          <w:szCs w:val="20"/>
        </w:rPr>
      </w:pPr>
    </w:p>
    <w:p w14:paraId="1446F2FF"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48</w:t>
      </w:r>
    </w:p>
    <w:p w14:paraId="1446F300" w14:textId="77777777" w:rsidR="00FE42B5" w:rsidRDefault="009213DC">
      <w:r>
        <w:rPr>
          <w:rFonts w:ascii="Times New Roman" w:hAnsi="Times New Roman"/>
          <w:sz w:val="20"/>
          <w:szCs w:val="20"/>
        </w:rPr>
        <w:pict w14:anchorId="1446FAF8">
          <v:rect id="_x0000_i1072" style="width:415.3pt;height:1.5pt" o:hralign="center" o:hrstd="t" o:hr="t" fillcolor="#a0a0a0" stroked="f"/>
        </w:pict>
      </w:r>
    </w:p>
    <w:p w14:paraId="1446F301" w14:textId="77777777" w:rsidR="00FE42B5" w:rsidRDefault="009213DC">
      <w:pPr>
        <w:spacing w:line="288" w:lineRule="auto"/>
        <w:rPr>
          <w:rFonts w:ascii="Times New Roman" w:hAnsi="Times New Roman"/>
          <w:sz w:val="20"/>
          <w:szCs w:val="20"/>
        </w:rPr>
      </w:pPr>
      <w:hyperlink r:id="rId89" w:anchor="sBB4BED1571A45A16AF3DC2E3B69C901C" w:history="1">
        <w:r>
          <w:rPr>
            <w:rStyle w:val="a5"/>
            <w:rFonts w:ascii="Times New Roman" w:eastAsia="宋体" w:hAnsi="Times New Roman"/>
            <w:sz w:val="20"/>
            <w:szCs w:val="20"/>
          </w:rPr>
          <w:t>Table of Contents</w:t>
        </w:r>
      </w:hyperlink>
    </w:p>
    <w:p w14:paraId="1446F302" w14:textId="77777777" w:rsidR="00FE42B5" w:rsidRDefault="00FE42B5">
      <w:pPr>
        <w:rPr>
          <w:rFonts w:ascii="Times New Roman" w:hAnsi="Times New Roman"/>
          <w:sz w:val="20"/>
          <w:szCs w:val="20"/>
        </w:rPr>
      </w:pPr>
    </w:p>
    <w:p w14:paraId="1446F303" w14:textId="77777777" w:rsidR="00FE42B5" w:rsidRDefault="009213DC">
      <w:pPr>
        <w:spacing w:line="288" w:lineRule="auto"/>
        <w:rPr>
          <w:rFonts w:ascii="Times New Roman" w:hAnsi="Times New Roman"/>
          <w:sz w:val="20"/>
          <w:szCs w:val="20"/>
        </w:rPr>
      </w:pPr>
      <w:r>
        <w:rPr>
          <w:rFonts w:ascii="Times New Roman" w:eastAsia="宋体" w:hAnsi="Times New Roman"/>
          <w:b/>
          <w:bCs/>
          <w:sz w:val="20"/>
          <w:szCs w:val="20"/>
        </w:rPr>
        <w:t>PART II—OTHER INFORMATION</w:t>
      </w:r>
    </w:p>
    <w:tbl>
      <w:tblPr>
        <w:tblW w:w="0" w:type="auto"/>
        <w:tblCellSpacing w:w="0" w:type="dxa"/>
        <w:tblCellMar>
          <w:left w:w="0" w:type="dxa"/>
          <w:right w:w="0" w:type="dxa"/>
        </w:tblCellMar>
        <w:tblLook w:val="04A0" w:firstRow="1" w:lastRow="0" w:firstColumn="1" w:lastColumn="0" w:noHBand="0" w:noVBand="1"/>
      </w:tblPr>
      <w:tblGrid>
        <w:gridCol w:w="960"/>
        <w:gridCol w:w="1561"/>
      </w:tblGrid>
      <w:tr w:rsidR="00FE42B5" w14:paraId="1446F306" w14:textId="77777777">
        <w:trPr>
          <w:tblCellSpacing w:w="0" w:type="dxa"/>
        </w:trPr>
        <w:tc>
          <w:tcPr>
            <w:tcW w:w="960" w:type="dxa"/>
            <w:shd w:val="clear" w:color="auto" w:fill="auto"/>
            <w:vAlign w:val="center"/>
          </w:tcPr>
          <w:p w14:paraId="1446F304" w14:textId="77777777" w:rsidR="00FE42B5" w:rsidRDefault="00FE42B5">
            <w:pPr>
              <w:rPr>
                <w:rFonts w:ascii="Times New Roman" w:hAnsi="Times New Roman"/>
                <w:sz w:val="20"/>
                <w:szCs w:val="20"/>
              </w:rPr>
            </w:pPr>
          </w:p>
        </w:tc>
        <w:tc>
          <w:tcPr>
            <w:tcW w:w="0" w:type="auto"/>
            <w:shd w:val="clear" w:color="auto" w:fill="auto"/>
            <w:vAlign w:val="center"/>
          </w:tcPr>
          <w:p w14:paraId="1446F305" w14:textId="77777777" w:rsidR="00FE42B5" w:rsidRDefault="00FE42B5">
            <w:pPr>
              <w:rPr>
                <w:rFonts w:ascii="Times New Roman" w:hAnsi="Times New Roman"/>
                <w:sz w:val="20"/>
                <w:szCs w:val="20"/>
              </w:rPr>
            </w:pPr>
          </w:p>
        </w:tc>
      </w:tr>
      <w:tr w:rsidR="00FE42B5" w14:paraId="1446F309" w14:textId="77777777">
        <w:trPr>
          <w:tblCellSpacing w:w="0" w:type="dxa"/>
        </w:trPr>
        <w:tc>
          <w:tcPr>
            <w:tcW w:w="0" w:type="auto"/>
            <w:shd w:val="clear" w:color="auto" w:fill="auto"/>
          </w:tcPr>
          <w:p w14:paraId="1446F307"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Item 1.</w:t>
            </w:r>
          </w:p>
        </w:tc>
        <w:tc>
          <w:tcPr>
            <w:tcW w:w="0" w:type="auto"/>
            <w:shd w:val="clear" w:color="auto" w:fill="auto"/>
          </w:tcPr>
          <w:p w14:paraId="1446F308"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Legal Proceedings</w:t>
            </w:r>
          </w:p>
        </w:tc>
      </w:tr>
    </w:tbl>
    <w:p w14:paraId="1446F30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Beginning on March 20, </w:t>
      </w:r>
      <w:r>
        <w:rPr>
          <w:rFonts w:ascii="Times New Roman" w:eastAsia="宋体" w:hAnsi="Times New Roman"/>
          <w:sz w:val="20"/>
          <w:szCs w:val="20"/>
        </w:rPr>
        <w:t xml:space="preserve">2018, multiple putative class actions and derivative actions were filed in state and federal courts in the United States and elsewhere against us and certain of our directors and officers alleging violations of securities laws, breach of fiduciary duties, </w:t>
      </w:r>
      <w:r>
        <w:rPr>
          <w:rFonts w:ascii="Times New Roman" w:eastAsia="宋体" w:hAnsi="Times New Roman"/>
          <w:sz w:val="20"/>
          <w:szCs w:val="20"/>
        </w:rPr>
        <w:t>and other causes of action in connection with our platform and user data practices as well as the misuse of certain data by a developer that shared such data with third parties in violation of our terms and policies, and seeking unspecified damages and inj</w:t>
      </w:r>
      <w:r>
        <w:rPr>
          <w:rFonts w:ascii="Times New Roman" w:eastAsia="宋体" w:hAnsi="Times New Roman"/>
          <w:sz w:val="20"/>
          <w:szCs w:val="20"/>
        </w:rPr>
        <w:t>unctive relief. Beginning on July 27, 2018, two putative class actions were filed in federal court in the United States against us and certain of our directors and officers alleging violations of securities laws in connection with the disclosure of our ear</w:t>
      </w:r>
      <w:r>
        <w:rPr>
          <w:rFonts w:ascii="Times New Roman" w:eastAsia="宋体" w:hAnsi="Times New Roman"/>
          <w:sz w:val="20"/>
          <w:szCs w:val="20"/>
        </w:rPr>
        <w:t>nings results for the second quarter of 2018 and seeking unspecified damages. These two actions subsequently were transferred and consolidated in the U.S. District Court for the Northern District of California with the putative securities class action desc</w:t>
      </w:r>
      <w:r>
        <w:rPr>
          <w:rFonts w:ascii="Times New Roman" w:eastAsia="宋体" w:hAnsi="Times New Roman"/>
          <w:sz w:val="20"/>
          <w:szCs w:val="20"/>
        </w:rPr>
        <w:t>ribed above relating to our platform and user data practices. On September 25, 2019, the district court granted our motion to dismiss the consolidated putative securities class action, with leave to amend. On November 15, 2019, an amended complaint was fil</w:t>
      </w:r>
      <w:r>
        <w:rPr>
          <w:rFonts w:ascii="Times New Roman" w:eastAsia="宋体" w:hAnsi="Times New Roman"/>
          <w:sz w:val="20"/>
          <w:szCs w:val="20"/>
        </w:rPr>
        <w:t>ed in the consolidated putative securities class action. We believe these lawsuits are without merit, and we are vigorously defending them. In addition, our platform and user data practices, as well as the events surrounding the misuse of certain data by a</w:t>
      </w:r>
      <w:r>
        <w:rPr>
          <w:rFonts w:ascii="Times New Roman" w:eastAsia="宋体" w:hAnsi="Times New Roman"/>
          <w:sz w:val="20"/>
          <w:szCs w:val="20"/>
        </w:rPr>
        <w:t xml:space="preserve"> developer, became the subject of U.S. Federal Trade Commission (FTC), state attorneys general, and other government inquiries in the United States, Europe, and other jurisdictions. In July 2019, we entered into a settlement and modified consent order to r</w:t>
      </w:r>
      <w:r>
        <w:rPr>
          <w:rFonts w:ascii="Times New Roman" w:eastAsia="宋体" w:hAnsi="Times New Roman"/>
          <w:sz w:val="20"/>
          <w:szCs w:val="20"/>
        </w:rPr>
        <w:t>esolve the FTC inquiry, which was approved by the federal court and took effect in April 2020. Among other matters, our settlement with the FTC requires us to pay a penalty of $5.0 billion and to significantly enhance our practices and processes for privac</w:t>
      </w:r>
      <w:r>
        <w:rPr>
          <w:rFonts w:ascii="Times New Roman" w:eastAsia="宋体" w:hAnsi="Times New Roman"/>
          <w:sz w:val="20"/>
          <w:szCs w:val="20"/>
        </w:rPr>
        <w:t xml:space="preserve">y compliance and oversight. Any other government inquiries regarding these matters could subject us to additional substantial fines and costs, require us to change our business practices, divert resources and the attention of management from our business, </w:t>
      </w:r>
      <w:r>
        <w:rPr>
          <w:rFonts w:ascii="Times New Roman" w:eastAsia="宋体" w:hAnsi="Times New Roman"/>
          <w:sz w:val="20"/>
          <w:szCs w:val="20"/>
        </w:rPr>
        <w:t>or adversely affect our business.</w:t>
      </w:r>
    </w:p>
    <w:p w14:paraId="1446F30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On April 1, 2015, a putative class action was filed against us in the U.S. District Court for the Northern District of California by Facebook users alleging that the "tag suggestions" facial recognition feature violates th</w:t>
      </w:r>
      <w:r>
        <w:rPr>
          <w:rFonts w:ascii="Times New Roman" w:eastAsia="宋体" w:hAnsi="Times New Roman"/>
          <w:sz w:val="20"/>
          <w:szCs w:val="20"/>
        </w:rPr>
        <w:t>e Illinois Biometric Information Privacy Act, and seeking statutory damages and injunctive relief. On April 16, 2018, the district court certified a class of Illinois residents, and on May 14, 2018, the district court denied both parties' motions for summa</w:t>
      </w:r>
      <w:r>
        <w:rPr>
          <w:rFonts w:ascii="Times New Roman" w:eastAsia="宋体" w:hAnsi="Times New Roman"/>
          <w:sz w:val="20"/>
          <w:szCs w:val="20"/>
        </w:rPr>
        <w:t>ry judgment. On May 29, 2018, the U.S. Court of Appeals for the Ninth Circuit granted our petition for review of the class certification order and stayed the proceeding. On August 8, 2019, the Ninth Circuit affirmed the class certification order. On Decemb</w:t>
      </w:r>
      <w:r>
        <w:rPr>
          <w:rFonts w:ascii="Times New Roman" w:eastAsia="宋体" w:hAnsi="Times New Roman"/>
          <w:sz w:val="20"/>
          <w:szCs w:val="20"/>
        </w:rPr>
        <w:t xml:space="preserve">er 2, 2019, we filed a petition with the U.S. Supreme Court seeking review of the decision of the Ninth Circuit, which was denied. On January 15, 2020, the parties agreed to a settlement in principle to resolve the lawsuit, which will require a payment of </w:t>
      </w:r>
      <w:r>
        <w:rPr>
          <w:rFonts w:ascii="Times New Roman" w:eastAsia="宋体" w:hAnsi="Times New Roman"/>
          <w:sz w:val="20"/>
          <w:szCs w:val="20"/>
        </w:rPr>
        <w:t>$550 million by us and is subject to approval by the district court.</w:t>
      </w:r>
    </w:p>
    <w:p w14:paraId="1446F30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Beginning on September 28, 2018, multiple putative class actions were filed in state and federal courts in the United States and elsewhere against us alleging violations of consumer prote</w:t>
      </w:r>
      <w:r>
        <w:rPr>
          <w:rFonts w:ascii="Times New Roman" w:eastAsia="宋体" w:hAnsi="Times New Roman"/>
          <w:sz w:val="20"/>
          <w:szCs w:val="20"/>
        </w:rPr>
        <w:t>ction laws and other causes of action in connection with a third-party cyber-attack that exploited a vulnerability in Facebook's code to steal user access tokens and access certain profile information from user accounts on Facebook, and seeking unspecified</w:t>
      </w:r>
      <w:r>
        <w:rPr>
          <w:rFonts w:ascii="Times New Roman" w:eastAsia="宋体" w:hAnsi="Times New Roman"/>
          <w:sz w:val="20"/>
          <w:szCs w:val="20"/>
        </w:rPr>
        <w:t xml:space="preserve"> damages and injunctive relief. The actions filed in the United States were consolidated in the U.S. District Court for the Northern District of California. On November 26, 2019, the district court certified a class for injunctive relief purposes, but deni</w:t>
      </w:r>
      <w:r>
        <w:rPr>
          <w:rFonts w:ascii="Times New Roman" w:eastAsia="宋体" w:hAnsi="Times New Roman"/>
          <w:sz w:val="20"/>
          <w:szCs w:val="20"/>
        </w:rPr>
        <w:t>ed certification of a class for purposes of pursuing damages. On January 16, 2020, the parties agreed to a settlement in principle to resolve the lawsuit. We believe the remaining lawsuits are without merit, and we are vigorously defending them. In additio</w:t>
      </w:r>
      <w:r>
        <w:rPr>
          <w:rFonts w:ascii="Times New Roman" w:eastAsia="宋体" w:hAnsi="Times New Roman"/>
          <w:sz w:val="20"/>
          <w:szCs w:val="20"/>
        </w:rPr>
        <w:t>n, the events surrounding this cyber-attack became the subject of Irish Data Protection Commission (IDPC) and other government inquiries. Any such inquiries could subject us to substantial fines and costs, require us to change our business practices, diver</w:t>
      </w:r>
      <w:r>
        <w:rPr>
          <w:rFonts w:ascii="Times New Roman" w:eastAsia="宋体" w:hAnsi="Times New Roman"/>
          <w:sz w:val="20"/>
          <w:szCs w:val="20"/>
        </w:rPr>
        <w:t>t resources and the attention of management from our business, or adversely affect our business.</w:t>
      </w:r>
    </w:p>
    <w:p w14:paraId="1446F30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we also notify the IDPC, our designated European privacy regulator under the General Data Protection Regulation, of certain other personal da</w:t>
      </w:r>
      <w:r>
        <w:rPr>
          <w:rFonts w:ascii="Times New Roman" w:eastAsia="宋体" w:hAnsi="Times New Roman"/>
          <w:sz w:val="20"/>
          <w:szCs w:val="20"/>
        </w:rPr>
        <w:t xml:space="preserve">ta breaches and privacy issues, and are subject to inquiries and investigations regarding various aspects of our regulatory compliance. Any such inquiries or investigations could subject us to substantial fines and costs, require us to change our business </w:t>
      </w:r>
      <w:r>
        <w:rPr>
          <w:rFonts w:ascii="Times New Roman" w:eastAsia="宋体" w:hAnsi="Times New Roman"/>
          <w:sz w:val="20"/>
          <w:szCs w:val="20"/>
        </w:rPr>
        <w:t>practices, divert resources and the attention of management from our business, or adversely affect our business.</w:t>
      </w:r>
    </w:p>
    <w:p w14:paraId="1446F30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from time to time we are subject to inquiries and investigations, formal or informal, by competition authorities in the United Sta</w:t>
      </w:r>
      <w:r>
        <w:rPr>
          <w:rFonts w:ascii="Times New Roman" w:eastAsia="宋体" w:hAnsi="Times New Roman"/>
          <w:sz w:val="20"/>
          <w:szCs w:val="20"/>
        </w:rPr>
        <w:t>tes, Europe, and other jurisdictions. For example, in June 2019 we were informed by the FTC that it had opened an antitrust investigation of our company. In addition, beginning in the third quarter of 2019, we became the subject of antitrust investigations</w:t>
      </w:r>
      <w:r>
        <w:rPr>
          <w:rFonts w:ascii="Times New Roman" w:eastAsia="宋体" w:hAnsi="Times New Roman"/>
          <w:sz w:val="20"/>
          <w:szCs w:val="20"/>
        </w:rPr>
        <w:t xml:space="preserve"> by the U.S. Department of Justice and state attorneys general. These investigations and inquiries concern, among other things, our business practices in the areas of social networking or social media services, digital advertising, and/or mobile </w:t>
      </w:r>
    </w:p>
    <w:p w14:paraId="1446F30F" w14:textId="77777777" w:rsidR="00FE42B5" w:rsidRDefault="00FE42B5">
      <w:pPr>
        <w:rPr>
          <w:rFonts w:ascii="Times New Roman" w:hAnsi="Times New Roman"/>
          <w:sz w:val="20"/>
          <w:szCs w:val="20"/>
        </w:rPr>
      </w:pPr>
    </w:p>
    <w:p w14:paraId="1446F310"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49</w:t>
      </w:r>
    </w:p>
    <w:p w14:paraId="1446F311" w14:textId="77777777" w:rsidR="00FE42B5" w:rsidRDefault="009213DC">
      <w:r>
        <w:rPr>
          <w:rFonts w:ascii="Times New Roman" w:hAnsi="Times New Roman"/>
          <w:sz w:val="20"/>
          <w:szCs w:val="20"/>
        </w:rPr>
        <w:pict w14:anchorId="1446FAF9">
          <v:rect id="_x0000_i1073" style="width:415.3pt;height:1.5pt" o:hralign="center" o:hrstd="t" o:hr="t" fillcolor="#a0a0a0" stroked="f"/>
        </w:pict>
      </w:r>
    </w:p>
    <w:p w14:paraId="1446F312" w14:textId="77777777" w:rsidR="00FE42B5" w:rsidRDefault="00FE42B5">
      <w:pPr>
        <w:rPr>
          <w:rFonts w:ascii="Times New Roman" w:hAnsi="Times New Roman"/>
          <w:sz w:val="20"/>
          <w:szCs w:val="20"/>
        </w:rPr>
      </w:pPr>
    </w:p>
    <w:p w14:paraId="1446F313"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or online applications, as well as past acquisitions. The result of such investigations or inquiries could subject us to substantial monetary remedies and costs, interrupt or require us to change our business practices, divert resources and the attention o</w:t>
      </w:r>
      <w:r>
        <w:rPr>
          <w:rFonts w:ascii="Times New Roman" w:eastAsia="宋体" w:hAnsi="Times New Roman"/>
          <w:sz w:val="20"/>
          <w:szCs w:val="20"/>
        </w:rPr>
        <w:t>f management from our business, or subject us to other remedies that adversely affect our business.</w:t>
      </w:r>
    </w:p>
    <w:p w14:paraId="1446F31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from time to time, we are subject to litigation and other proceedings involving law enforcement and other regulatory agencies, including in par</w:t>
      </w:r>
      <w:r>
        <w:rPr>
          <w:rFonts w:ascii="Times New Roman" w:eastAsia="宋体" w:hAnsi="Times New Roman"/>
          <w:sz w:val="20"/>
          <w:szCs w:val="20"/>
        </w:rPr>
        <w:t>ticular in Brazil and Europe, in order to ascertain the precise scope of our legal obligations to comply with the requests of those agencies, including our obligation to disclose user information in particular circumstances. A number of such instances have</w:t>
      </w:r>
      <w:r>
        <w:rPr>
          <w:rFonts w:ascii="Times New Roman" w:eastAsia="宋体" w:hAnsi="Times New Roman"/>
          <w:sz w:val="20"/>
          <w:szCs w:val="20"/>
        </w:rPr>
        <w:t xml:space="preserve"> resulted in the assessment of fines and penalties against us. We believe we have multiple legal grounds to satisfy these requests or prevail against associated fines and penalties, and we intend to vigorously defend such fines and penalties.</w:t>
      </w:r>
    </w:p>
    <w:p w14:paraId="1446F315"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p</w:t>
      </w:r>
      <w:r>
        <w:rPr>
          <w:rFonts w:ascii="Times New Roman" w:eastAsia="宋体" w:hAnsi="Times New Roman"/>
          <w:sz w:val="20"/>
          <w:szCs w:val="20"/>
        </w:rPr>
        <w:t>arty to various other legal proceedings, claims, and regulatory, tax or government inquiries and investigations that arise in the ordinary course of business, and we may in the future be subject to additional legal proceedings and disputes.</w:t>
      </w:r>
    </w:p>
    <w:p w14:paraId="1446F316" w14:textId="77777777" w:rsidR="00FE42B5" w:rsidRDefault="00FE42B5">
      <w:pPr>
        <w:rPr>
          <w:rFonts w:ascii="Times New Roman" w:hAnsi="Times New Roman"/>
          <w:sz w:val="20"/>
          <w:szCs w:val="20"/>
        </w:rPr>
      </w:pPr>
    </w:p>
    <w:p w14:paraId="1446F317"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50</w:t>
      </w:r>
    </w:p>
    <w:p w14:paraId="1446F318" w14:textId="77777777" w:rsidR="00FE42B5" w:rsidRDefault="009213DC">
      <w:r>
        <w:rPr>
          <w:rFonts w:ascii="Times New Roman" w:hAnsi="Times New Roman"/>
          <w:sz w:val="20"/>
          <w:szCs w:val="20"/>
        </w:rPr>
        <w:pict w14:anchorId="1446FAFA">
          <v:rect id="_x0000_i1074" style="width:415.3pt;height:1.5pt" o:hralign="center" o:hrstd="t" o:hr="t" fillcolor="#a0a0a0" stroked="f"/>
        </w:pict>
      </w:r>
    </w:p>
    <w:p w14:paraId="1446F319" w14:textId="77777777" w:rsidR="00FE42B5" w:rsidRDefault="009213DC">
      <w:pPr>
        <w:spacing w:line="288" w:lineRule="auto"/>
        <w:rPr>
          <w:rFonts w:ascii="Times New Roman" w:hAnsi="Times New Roman"/>
          <w:sz w:val="20"/>
          <w:szCs w:val="20"/>
        </w:rPr>
      </w:pPr>
      <w:hyperlink r:id="rId90" w:anchor="sBB4BED1571A45A16AF3DC2E3B69C901C" w:history="1">
        <w:r>
          <w:rPr>
            <w:rStyle w:val="a5"/>
            <w:rFonts w:ascii="Times New Roman" w:eastAsia="宋体" w:hAnsi="Times New Roman"/>
            <w:sz w:val="20"/>
            <w:szCs w:val="20"/>
          </w:rPr>
          <w:t>Table of Contents</w:t>
        </w:r>
      </w:hyperlink>
    </w:p>
    <w:p w14:paraId="1446F31A"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084"/>
      </w:tblGrid>
      <w:tr w:rsidR="00FE42B5" w14:paraId="1446F31D" w14:textId="77777777">
        <w:trPr>
          <w:tblCellSpacing w:w="0" w:type="dxa"/>
        </w:trPr>
        <w:tc>
          <w:tcPr>
            <w:tcW w:w="1080" w:type="dxa"/>
            <w:shd w:val="clear" w:color="auto" w:fill="auto"/>
            <w:vAlign w:val="center"/>
          </w:tcPr>
          <w:p w14:paraId="1446F31B" w14:textId="77777777" w:rsidR="00FE42B5" w:rsidRDefault="00FE42B5">
            <w:pPr>
              <w:rPr>
                <w:rFonts w:ascii="Times New Roman" w:hAnsi="Times New Roman"/>
                <w:sz w:val="20"/>
                <w:szCs w:val="20"/>
              </w:rPr>
            </w:pPr>
          </w:p>
        </w:tc>
        <w:tc>
          <w:tcPr>
            <w:tcW w:w="0" w:type="auto"/>
            <w:shd w:val="clear" w:color="auto" w:fill="auto"/>
            <w:vAlign w:val="center"/>
          </w:tcPr>
          <w:p w14:paraId="1446F31C" w14:textId="77777777" w:rsidR="00FE42B5" w:rsidRDefault="00FE42B5">
            <w:pPr>
              <w:rPr>
                <w:rFonts w:ascii="Times New Roman" w:hAnsi="Times New Roman"/>
                <w:sz w:val="20"/>
                <w:szCs w:val="20"/>
              </w:rPr>
            </w:pPr>
          </w:p>
        </w:tc>
      </w:tr>
      <w:tr w:rsidR="00FE42B5" w14:paraId="1446F320" w14:textId="77777777">
        <w:trPr>
          <w:tblCellSpacing w:w="0" w:type="dxa"/>
        </w:trPr>
        <w:tc>
          <w:tcPr>
            <w:tcW w:w="0" w:type="auto"/>
            <w:shd w:val="clear" w:color="auto" w:fill="auto"/>
          </w:tcPr>
          <w:p w14:paraId="1446F31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Item 1A.</w:t>
            </w:r>
          </w:p>
        </w:tc>
        <w:tc>
          <w:tcPr>
            <w:tcW w:w="0" w:type="auto"/>
            <w:shd w:val="clear" w:color="auto" w:fill="auto"/>
          </w:tcPr>
          <w:p w14:paraId="1446F31F"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Risk Factors </w:t>
            </w:r>
          </w:p>
        </w:tc>
      </w:tr>
    </w:tbl>
    <w:p w14:paraId="1446F321" w14:textId="77777777" w:rsidR="00FE42B5" w:rsidRDefault="009213DC">
      <w:pPr>
        <w:spacing w:line="288" w:lineRule="auto"/>
        <w:jc w:val="both"/>
        <w:rPr>
          <w:rFonts w:ascii="Times New Roman" w:hAnsi="Times New Roman"/>
          <w:sz w:val="20"/>
          <w:szCs w:val="20"/>
        </w:rPr>
      </w:pPr>
      <w:r>
        <w:rPr>
          <w:rFonts w:ascii="Times New Roman" w:eastAsia="宋体" w:hAnsi="Times New Roman"/>
          <w:i/>
          <w:iCs/>
          <w:sz w:val="20"/>
          <w:szCs w:val="20"/>
        </w:rPr>
        <w:t xml:space="preserve">Certain factors may have a material adverse effect on our </w:t>
      </w:r>
      <w:r>
        <w:rPr>
          <w:rFonts w:ascii="Times New Roman" w:eastAsia="宋体" w:hAnsi="Times New Roman"/>
          <w:i/>
          <w:iCs/>
          <w:sz w:val="20"/>
          <w:szCs w:val="20"/>
        </w:rPr>
        <w:t>business, financial condition, and results of operations. You should consider carefully the risks and uncertainties described below, in addition to other information contained in this Quarterly Report on Form 10-Q, including our condensed consolidated fina</w:t>
      </w:r>
      <w:r>
        <w:rPr>
          <w:rFonts w:ascii="Times New Roman" w:eastAsia="宋体" w:hAnsi="Times New Roman"/>
          <w:i/>
          <w:iCs/>
          <w:sz w:val="20"/>
          <w:szCs w:val="20"/>
        </w:rPr>
        <w:t xml:space="preserve">ncial statements and related notes. The risks and uncertainties described below are not the only ones we face. Additional risks and uncertainties that we are unaware of, or that we currently believe are not material, may also become important factors that </w:t>
      </w:r>
      <w:r>
        <w:rPr>
          <w:rFonts w:ascii="Times New Roman" w:eastAsia="宋体" w:hAnsi="Times New Roman"/>
          <w:i/>
          <w:iCs/>
          <w:sz w:val="20"/>
          <w:szCs w:val="20"/>
        </w:rPr>
        <w:t xml:space="preserve">adversely affect our business. If any of the following risks actually occurs, our business, financial condition, results of operations, and future prospects could be materially and adversely affected. In that event, the trading price of our Class A common </w:t>
      </w:r>
      <w:r>
        <w:rPr>
          <w:rFonts w:ascii="Times New Roman" w:eastAsia="宋体" w:hAnsi="Times New Roman"/>
          <w:i/>
          <w:iCs/>
          <w:sz w:val="20"/>
          <w:szCs w:val="20"/>
        </w:rPr>
        <w:t>stock could decline, and you could lose part or all of your investment.</w:t>
      </w:r>
    </w:p>
    <w:p w14:paraId="1446F322"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Risks Related to Our Business and Industry</w:t>
      </w:r>
    </w:p>
    <w:p w14:paraId="1446F323" w14:textId="77777777" w:rsidR="00FE42B5" w:rsidRDefault="00FE42B5">
      <w:pPr>
        <w:spacing w:line="288" w:lineRule="auto"/>
        <w:rPr>
          <w:rFonts w:ascii="Times New Roman" w:hAnsi="Times New Roman"/>
          <w:sz w:val="20"/>
          <w:szCs w:val="20"/>
        </w:rPr>
      </w:pPr>
    </w:p>
    <w:p w14:paraId="1446F324"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The COVID-19 pandemic has had, and is expected to continue to have, a significant adverse impact on our advertising revenue and also exposes</w:t>
      </w:r>
      <w:r>
        <w:rPr>
          <w:rFonts w:ascii="Times New Roman" w:eastAsia="宋体" w:hAnsi="Times New Roman"/>
          <w:b/>
          <w:bCs/>
          <w:i/>
          <w:iCs/>
          <w:sz w:val="20"/>
          <w:szCs w:val="20"/>
        </w:rPr>
        <w:t xml:space="preserve"> our business to other risks.</w:t>
      </w:r>
    </w:p>
    <w:p w14:paraId="1446F325" w14:textId="77777777" w:rsidR="00FE42B5" w:rsidRDefault="00FE42B5">
      <w:pPr>
        <w:spacing w:line="288" w:lineRule="auto"/>
        <w:ind w:firstLine="960"/>
        <w:jc w:val="both"/>
        <w:rPr>
          <w:rFonts w:ascii="Times New Roman" w:hAnsi="Times New Roman"/>
          <w:sz w:val="20"/>
          <w:szCs w:val="20"/>
        </w:rPr>
      </w:pPr>
    </w:p>
    <w:p w14:paraId="1446F32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COVID-19 pandemic has resulted in authorities implementing numerous preventative measures to contain or mitigate the outbreak of the virus, such as travel bans and restrictions, limitations on business activity, </w:t>
      </w:r>
      <w:r>
        <w:rPr>
          <w:rFonts w:ascii="Times New Roman" w:eastAsia="宋体" w:hAnsi="Times New Roman"/>
          <w:sz w:val="20"/>
          <w:szCs w:val="20"/>
        </w:rPr>
        <w:t>quarantines, and shelter-in-place orders. These measures have caused, and are continuing to cause, business slowdowns or shutdowns in affected areas, both regionally and worldwide, which have significantly impacted our business and results of operations. I</w:t>
      </w:r>
      <w:r>
        <w:rPr>
          <w:rFonts w:ascii="Times New Roman" w:eastAsia="宋体" w:hAnsi="Times New Roman"/>
          <w:sz w:val="20"/>
          <w:szCs w:val="20"/>
        </w:rPr>
        <w:t>n the first quarter of 2020, our advertising revenue grew 17% year-over-year, which was the slowest growth rate for our first fiscal quarter since our initial public offering and, in particular, we experienced a significant reduction in the demand for adve</w:t>
      </w:r>
      <w:r>
        <w:rPr>
          <w:rFonts w:ascii="Times New Roman" w:eastAsia="宋体" w:hAnsi="Times New Roman"/>
          <w:sz w:val="20"/>
          <w:szCs w:val="20"/>
        </w:rPr>
        <w:t>rtising, as well as a related decline in the pricing of our ads, over the last three weeks of the quarter. The demand for and pricing of our advertising services may be materially and adversely impacted by the pandemic for the duration of 2020 or longer, a</w:t>
      </w:r>
      <w:r>
        <w:rPr>
          <w:rFonts w:ascii="Times New Roman" w:eastAsia="宋体" w:hAnsi="Times New Roman"/>
          <w:sz w:val="20"/>
          <w:szCs w:val="20"/>
        </w:rPr>
        <w:t>nd we are unable to predict the duration or degree of such impact with any certainty. While our advertising revenue growth slowed in the first quarter of 2020, our total expenses grew 35% year-over-year (after excluding the $3.0 billion legal accrual in th</w:t>
      </w:r>
      <w:r>
        <w:rPr>
          <w:rFonts w:ascii="Times New Roman" w:eastAsia="宋体" w:hAnsi="Times New Roman"/>
          <w:sz w:val="20"/>
          <w:szCs w:val="20"/>
        </w:rPr>
        <w:t xml:space="preserve">e first quarter of 2019 related to our FTC settlement), which is approximately twice the rate of our advertising revenue growth. If this trend persists for a significant period of time, our operating margin and profitability will be adversely affected and </w:t>
      </w:r>
      <w:r>
        <w:rPr>
          <w:rFonts w:ascii="Times New Roman" w:eastAsia="宋体" w:hAnsi="Times New Roman"/>
          <w:sz w:val="20"/>
          <w:szCs w:val="20"/>
        </w:rPr>
        <w:t>the trading price of our Class A common stock could decline. In addition to the impact on our advertising business and operating margin, the pandemic exposes our business, operations, and workforce to a variety of other risks, including:</w:t>
      </w: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29" w14:textId="77777777">
        <w:trPr>
          <w:tblCellSpacing w:w="0" w:type="dxa"/>
        </w:trPr>
        <w:tc>
          <w:tcPr>
            <w:tcW w:w="1440" w:type="dxa"/>
            <w:shd w:val="clear" w:color="auto" w:fill="auto"/>
            <w:vAlign w:val="center"/>
          </w:tcPr>
          <w:p w14:paraId="1446F327" w14:textId="77777777" w:rsidR="00FE42B5" w:rsidRDefault="00FE42B5">
            <w:pPr>
              <w:rPr>
                <w:rFonts w:ascii="Times New Roman" w:hAnsi="Times New Roman"/>
                <w:sz w:val="20"/>
                <w:szCs w:val="20"/>
              </w:rPr>
            </w:pPr>
          </w:p>
        </w:tc>
        <w:tc>
          <w:tcPr>
            <w:tcW w:w="0" w:type="auto"/>
            <w:shd w:val="clear" w:color="auto" w:fill="auto"/>
            <w:vAlign w:val="center"/>
          </w:tcPr>
          <w:p w14:paraId="1446F328" w14:textId="77777777" w:rsidR="00FE42B5" w:rsidRDefault="00FE42B5">
            <w:pPr>
              <w:rPr>
                <w:rFonts w:ascii="Times New Roman" w:hAnsi="Times New Roman"/>
                <w:sz w:val="20"/>
                <w:szCs w:val="20"/>
              </w:rPr>
            </w:pPr>
          </w:p>
        </w:tc>
      </w:tr>
      <w:tr w:rsidR="00FE42B5" w14:paraId="1446F32C" w14:textId="77777777">
        <w:trPr>
          <w:tblCellSpacing w:w="0" w:type="dxa"/>
        </w:trPr>
        <w:tc>
          <w:tcPr>
            <w:tcW w:w="0" w:type="auto"/>
            <w:shd w:val="clear" w:color="auto" w:fill="auto"/>
          </w:tcPr>
          <w:p w14:paraId="1446F32A"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2B"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our inability</w:t>
            </w:r>
            <w:r>
              <w:rPr>
                <w:rFonts w:ascii="Times New Roman" w:eastAsia="宋体" w:hAnsi="Times New Roman"/>
                <w:sz w:val="20"/>
                <w:szCs w:val="20"/>
              </w:rPr>
              <w:t xml:space="preserve"> to sustain the significant increase in the size of our user base and user engagement, particularly for our messaging products, whether as a result of the lapse of shelter-in-place measures or otherwise;</w:t>
            </w:r>
          </w:p>
        </w:tc>
      </w:tr>
    </w:tbl>
    <w:p w14:paraId="1446F32D"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30" w14:textId="77777777">
        <w:trPr>
          <w:tblCellSpacing w:w="0" w:type="dxa"/>
        </w:trPr>
        <w:tc>
          <w:tcPr>
            <w:tcW w:w="1440" w:type="dxa"/>
            <w:shd w:val="clear" w:color="auto" w:fill="auto"/>
            <w:vAlign w:val="center"/>
          </w:tcPr>
          <w:p w14:paraId="1446F32E" w14:textId="77777777" w:rsidR="00FE42B5" w:rsidRDefault="00FE42B5">
            <w:pPr>
              <w:rPr>
                <w:rFonts w:ascii="Times New Roman" w:hAnsi="Times New Roman"/>
                <w:sz w:val="20"/>
                <w:szCs w:val="20"/>
              </w:rPr>
            </w:pPr>
          </w:p>
        </w:tc>
        <w:tc>
          <w:tcPr>
            <w:tcW w:w="0" w:type="auto"/>
            <w:shd w:val="clear" w:color="auto" w:fill="auto"/>
            <w:vAlign w:val="center"/>
          </w:tcPr>
          <w:p w14:paraId="1446F32F" w14:textId="77777777" w:rsidR="00FE42B5" w:rsidRDefault="00FE42B5">
            <w:pPr>
              <w:rPr>
                <w:rFonts w:ascii="Times New Roman" w:hAnsi="Times New Roman"/>
                <w:sz w:val="20"/>
                <w:szCs w:val="20"/>
              </w:rPr>
            </w:pPr>
          </w:p>
        </w:tc>
      </w:tr>
      <w:tr w:rsidR="00FE42B5" w14:paraId="1446F333" w14:textId="77777777">
        <w:trPr>
          <w:tblCellSpacing w:w="0" w:type="dxa"/>
        </w:trPr>
        <w:tc>
          <w:tcPr>
            <w:tcW w:w="0" w:type="auto"/>
            <w:shd w:val="clear" w:color="auto" w:fill="auto"/>
          </w:tcPr>
          <w:p w14:paraId="1446F331"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32"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decreased user engagement as a result of </w:t>
            </w:r>
            <w:r>
              <w:rPr>
                <w:rFonts w:ascii="Times New Roman" w:eastAsia="宋体" w:hAnsi="Times New Roman"/>
                <w:sz w:val="20"/>
                <w:szCs w:val="20"/>
              </w:rPr>
              <w:t>users' inability to purchase data packs or devices to access our products and services;</w:t>
            </w:r>
          </w:p>
        </w:tc>
      </w:tr>
    </w:tbl>
    <w:p w14:paraId="1446F334"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37" w14:textId="77777777">
        <w:trPr>
          <w:tblCellSpacing w:w="0" w:type="dxa"/>
        </w:trPr>
        <w:tc>
          <w:tcPr>
            <w:tcW w:w="1440" w:type="dxa"/>
            <w:shd w:val="clear" w:color="auto" w:fill="auto"/>
            <w:vAlign w:val="center"/>
          </w:tcPr>
          <w:p w14:paraId="1446F335" w14:textId="77777777" w:rsidR="00FE42B5" w:rsidRDefault="00FE42B5">
            <w:pPr>
              <w:rPr>
                <w:rFonts w:ascii="Times New Roman" w:hAnsi="Times New Roman"/>
                <w:sz w:val="20"/>
                <w:szCs w:val="20"/>
              </w:rPr>
            </w:pPr>
          </w:p>
        </w:tc>
        <w:tc>
          <w:tcPr>
            <w:tcW w:w="0" w:type="auto"/>
            <w:shd w:val="clear" w:color="auto" w:fill="auto"/>
            <w:vAlign w:val="center"/>
          </w:tcPr>
          <w:p w14:paraId="1446F336" w14:textId="77777777" w:rsidR="00FE42B5" w:rsidRDefault="00FE42B5">
            <w:pPr>
              <w:rPr>
                <w:rFonts w:ascii="Times New Roman" w:hAnsi="Times New Roman"/>
                <w:sz w:val="20"/>
                <w:szCs w:val="20"/>
              </w:rPr>
            </w:pPr>
          </w:p>
        </w:tc>
      </w:tr>
      <w:tr w:rsidR="00FE42B5" w14:paraId="1446F33A" w14:textId="77777777">
        <w:trPr>
          <w:tblCellSpacing w:w="0" w:type="dxa"/>
        </w:trPr>
        <w:tc>
          <w:tcPr>
            <w:tcW w:w="0" w:type="auto"/>
            <w:shd w:val="clear" w:color="auto" w:fill="auto"/>
          </w:tcPr>
          <w:p w14:paraId="1446F338"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39"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interruptions in the accessibility or performance of our products and services due to capacity constraints from increased usage, or product changes we implement </w:t>
            </w:r>
            <w:r>
              <w:rPr>
                <w:rFonts w:ascii="Times New Roman" w:eastAsia="宋体" w:hAnsi="Times New Roman"/>
                <w:sz w:val="20"/>
                <w:szCs w:val="20"/>
              </w:rPr>
              <w:t>to maintain accessibility of our services, such as reducing the quality of video to reduce bandwidth usage;</w:t>
            </w:r>
          </w:p>
        </w:tc>
      </w:tr>
    </w:tbl>
    <w:p w14:paraId="1446F33B"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3E" w14:textId="77777777">
        <w:trPr>
          <w:tblCellSpacing w:w="0" w:type="dxa"/>
        </w:trPr>
        <w:tc>
          <w:tcPr>
            <w:tcW w:w="1440" w:type="dxa"/>
            <w:shd w:val="clear" w:color="auto" w:fill="auto"/>
            <w:vAlign w:val="center"/>
          </w:tcPr>
          <w:p w14:paraId="1446F33C" w14:textId="77777777" w:rsidR="00FE42B5" w:rsidRDefault="00FE42B5">
            <w:pPr>
              <w:rPr>
                <w:rFonts w:ascii="Times New Roman" w:hAnsi="Times New Roman"/>
                <w:sz w:val="20"/>
                <w:szCs w:val="20"/>
              </w:rPr>
            </w:pPr>
          </w:p>
        </w:tc>
        <w:tc>
          <w:tcPr>
            <w:tcW w:w="0" w:type="auto"/>
            <w:shd w:val="clear" w:color="auto" w:fill="auto"/>
            <w:vAlign w:val="center"/>
          </w:tcPr>
          <w:p w14:paraId="1446F33D" w14:textId="77777777" w:rsidR="00FE42B5" w:rsidRDefault="00FE42B5">
            <w:pPr>
              <w:rPr>
                <w:rFonts w:ascii="Times New Roman" w:hAnsi="Times New Roman"/>
                <w:sz w:val="20"/>
                <w:szCs w:val="20"/>
              </w:rPr>
            </w:pPr>
          </w:p>
        </w:tc>
      </w:tr>
      <w:tr w:rsidR="00FE42B5" w14:paraId="1446F341" w14:textId="77777777">
        <w:trPr>
          <w:tblCellSpacing w:w="0" w:type="dxa"/>
        </w:trPr>
        <w:tc>
          <w:tcPr>
            <w:tcW w:w="0" w:type="auto"/>
            <w:shd w:val="clear" w:color="auto" w:fill="auto"/>
          </w:tcPr>
          <w:p w14:paraId="1446F33F"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40"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delays in product development or releases, or reductions in manufacturing production and sales of consumer hardware, as a result of </w:t>
            </w:r>
            <w:r>
              <w:rPr>
                <w:rFonts w:ascii="Times New Roman" w:eastAsia="宋体" w:hAnsi="Times New Roman"/>
                <w:sz w:val="20"/>
                <w:szCs w:val="20"/>
              </w:rPr>
              <w:t>inventory shortages, supply chain shortages, or diversion of our efforts and resources to projects related to COVID-19;</w:t>
            </w:r>
          </w:p>
        </w:tc>
      </w:tr>
    </w:tbl>
    <w:p w14:paraId="1446F342"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45" w14:textId="77777777">
        <w:trPr>
          <w:tblCellSpacing w:w="0" w:type="dxa"/>
        </w:trPr>
        <w:tc>
          <w:tcPr>
            <w:tcW w:w="1440" w:type="dxa"/>
            <w:shd w:val="clear" w:color="auto" w:fill="auto"/>
            <w:vAlign w:val="center"/>
          </w:tcPr>
          <w:p w14:paraId="1446F343" w14:textId="77777777" w:rsidR="00FE42B5" w:rsidRDefault="00FE42B5">
            <w:pPr>
              <w:rPr>
                <w:rFonts w:ascii="Times New Roman" w:hAnsi="Times New Roman"/>
                <w:sz w:val="20"/>
                <w:szCs w:val="20"/>
              </w:rPr>
            </w:pPr>
          </w:p>
        </w:tc>
        <w:tc>
          <w:tcPr>
            <w:tcW w:w="0" w:type="auto"/>
            <w:shd w:val="clear" w:color="auto" w:fill="auto"/>
            <w:vAlign w:val="center"/>
          </w:tcPr>
          <w:p w14:paraId="1446F344" w14:textId="77777777" w:rsidR="00FE42B5" w:rsidRDefault="00FE42B5">
            <w:pPr>
              <w:rPr>
                <w:rFonts w:ascii="Times New Roman" w:hAnsi="Times New Roman"/>
                <w:sz w:val="20"/>
                <w:szCs w:val="20"/>
              </w:rPr>
            </w:pPr>
          </w:p>
        </w:tc>
      </w:tr>
      <w:tr w:rsidR="00FE42B5" w14:paraId="1446F348" w14:textId="77777777">
        <w:trPr>
          <w:tblCellSpacing w:w="0" w:type="dxa"/>
        </w:trPr>
        <w:tc>
          <w:tcPr>
            <w:tcW w:w="0" w:type="auto"/>
            <w:shd w:val="clear" w:color="auto" w:fill="auto"/>
          </w:tcPr>
          <w:p w14:paraId="1446F346"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47"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increased misuse of our products and services or user data by third parties, including improper advertising practices or </w:t>
            </w:r>
            <w:r>
              <w:rPr>
                <w:rFonts w:ascii="Times New Roman" w:eastAsia="宋体" w:hAnsi="Times New Roman"/>
                <w:sz w:val="20"/>
                <w:szCs w:val="20"/>
              </w:rPr>
              <w:t>other activity inconsistent with our terms, contracts, or policies, misinformation or other illicit or objectionable material on our platforms, election interference, or other undesirable activity; </w:t>
            </w:r>
          </w:p>
        </w:tc>
      </w:tr>
    </w:tbl>
    <w:p w14:paraId="1446F349"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4C" w14:textId="77777777">
        <w:trPr>
          <w:tblCellSpacing w:w="0" w:type="dxa"/>
        </w:trPr>
        <w:tc>
          <w:tcPr>
            <w:tcW w:w="1440" w:type="dxa"/>
            <w:shd w:val="clear" w:color="auto" w:fill="auto"/>
            <w:vAlign w:val="center"/>
          </w:tcPr>
          <w:p w14:paraId="1446F34A" w14:textId="77777777" w:rsidR="00FE42B5" w:rsidRDefault="00FE42B5">
            <w:pPr>
              <w:rPr>
                <w:rFonts w:ascii="Times New Roman" w:hAnsi="Times New Roman"/>
                <w:sz w:val="20"/>
                <w:szCs w:val="20"/>
              </w:rPr>
            </w:pPr>
          </w:p>
        </w:tc>
        <w:tc>
          <w:tcPr>
            <w:tcW w:w="0" w:type="auto"/>
            <w:shd w:val="clear" w:color="auto" w:fill="auto"/>
            <w:vAlign w:val="center"/>
          </w:tcPr>
          <w:p w14:paraId="1446F34B" w14:textId="77777777" w:rsidR="00FE42B5" w:rsidRDefault="00FE42B5">
            <w:pPr>
              <w:rPr>
                <w:rFonts w:ascii="Times New Roman" w:hAnsi="Times New Roman"/>
                <w:sz w:val="20"/>
                <w:szCs w:val="20"/>
              </w:rPr>
            </w:pPr>
          </w:p>
        </w:tc>
      </w:tr>
      <w:tr w:rsidR="00FE42B5" w14:paraId="1446F34F" w14:textId="77777777">
        <w:trPr>
          <w:tblCellSpacing w:w="0" w:type="dxa"/>
        </w:trPr>
        <w:tc>
          <w:tcPr>
            <w:tcW w:w="0" w:type="auto"/>
            <w:shd w:val="clear" w:color="auto" w:fill="auto"/>
          </w:tcPr>
          <w:p w14:paraId="1446F34D"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4E"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adverse impacts to our efforts to combat misuse of</w:t>
            </w:r>
            <w:r>
              <w:rPr>
                <w:rFonts w:ascii="Times New Roman" w:eastAsia="宋体" w:hAnsi="Times New Roman"/>
                <w:sz w:val="20"/>
                <w:szCs w:val="20"/>
              </w:rPr>
              <w:t xml:space="preserve"> our products and services and user data as a result of limitations on our safety, security, and content review efforts while our workforce is working remotely, such as the necessity to rely more heavily on artificial intelligence to perform tasks that our</w:t>
            </w:r>
            <w:r>
              <w:rPr>
                <w:rFonts w:ascii="Times New Roman" w:eastAsia="宋体" w:hAnsi="Times New Roman"/>
                <w:sz w:val="20"/>
                <w:szCs w:val="20"/>
              </w:rPr>
              <w:t xml:space="preserve"> workforce is unable to perform; </w:t>
            </w:r>
          </w:p>
        </w:tc>
      </w:tr>
    </w:tbl>
    <w:p w14:paraId="1446F350"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53" w14:textId="77777777">
        <w:trPr>
          <w:tblCellSpacing w:w="0" w:type="dxa"/>
        </w:trPr>
        <w:tc>
          <w:tcPr>
            <w:tcW w:w="1440" w:type="dxa"/>
            <w:shd w:val="clear" w:color="auto" w:fill="auto"/>
            <w:vAlign w:val="center"/>
          </w:tcPr>
          <w:p w14:paraId="1446F351" w14:textId="77777777" w:rsidR="00FE42B5" w:rsidRDefault="00FE42B5">
            <w:pPr>
              <w:rPr>
                <w:rFonts w:ascii="Times New Roman" w:hAnsi="Times New Roman"/>
                <w:sz w:val="20"/>
                <w:szCs w:val="20"/>
              </w:rPr>
            </w:pPr>
          </w:p>
        </w:tc>
        <w:tc>
          <w:tcPr>
            <w:tcW w:w="0" w:type="auto"/>
            <w:shd w:val="clear" w:color="auto" w:fill="auto"/>
            <w:vAlign w:val="center"/>
          </w:tcPr>
          <w:p w14:paraId="1446F352" w14:textId="77777777" w:rsidR="00FE42B5" w:rsidRDefault="00FE42B5">
            <w:pPr>
              <w:rPr>
                <w:rFonts w:ascii="Times New Roman" w:hAnsi="Times New Roman"/>
                <w:sz w:val="20"/>
                <w:szCs w:val="20"/>
              </w:rPr>
            </w:pPr>
          </w:p>
        </w:tc>
      </w:tr>
      <w:tr w:rsidR="00FE42B5" w14:paraId="1446F356" w14:textId="77777777">
        <w:trPr>
          <w:tblCellSpacing w:w="0" w:type="dxa"/>
        </w:trPr>
        <w:tc>
          <w:tcPr>
            <w:tcW w:w="0" w:type="auto"/>
            <w:shd w:val="clear" w:color="auto" w:fill="auto"/>
          </w:tcPr>
          <w:p w14:paraId="1446F35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55"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inability to recognize revenue, collect payment, or generate future revenue from marketers, including from those that have been or may be forced to close their businesses or are otherwise impacted by the </w:t>
            </w:r>
            <w:r>
              <w:rPr>
                <w:rFonts w:ascii="Times New Roman" w:eastAsia="宋体" w:hAnsi="Times New Roman"/>
                <w:sz w:val="20"/>
                <w:szCs w:val="20"/>
              </w:rPr>
              <w:t>economic downturn;</w:t>
            </w:r>
          </w:p>
        </w:tc>
      </w:tr>
    </w:tbl>
    <w:p w14:paraId="1446F357"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5A" w14:textId="77777777">
        <w:trPr>
          <w:tblCellSpacing w:w="0" w:type="dxa"/>
        </w:trPr>
        <w:tc>
          <w:tcPr>
            <w:tcW w:w="1440" w:type="dxa"/>
            <w:shd w:val="clear" w:color="auto" w:fill="auto"/>
            <w:vAlign w:val="center"/>
          </w:tcPr>
          <w:p w14:paraId="1446F358" w14:textId="77777777" w:rsidR="00FE42B5" w:rsidRDefault="00FE42B5">
            <w:pPr>
              <w:rPr>
                <w:rFonts w:ascii="Times New Roman" w:hAnsi="Times New Roman"/>
                <w:sz w:val="20"/>
                <w:szCs w:val="20"/>
              </w:rPr>
            </w:pPr>
          </w:p>
        </w:tc>
        <w:tc>
          <w:tcPr>
            <w:tcW w:w="0" w:type="auto"/>
            <w:shd w:val="clear" w:color="auto" w:fill="auto"/>
            <w:vAlign w:val="center"/>
          </w:tcPr>
          <w:p w14:paraId="1446F359" w14:textId="77777777" w:rsidR="00FE42B5" w:rsidRDefault="00FE42B5">
            <w:pPr>
              <w:rPr>
                <w:rFonts w:ascii="Times New Roman" w:hAnsi="Times New Roman"/>
                <w:sz w:val="20"/>
                <w:szCs w:val="20"/>
              </w:rPr>
            </w:pPr>
          </w:p>
        </w:tc>
      </w:tr>
      <w:tr w:rsidR="00FE42B5" w14:paraId="1446F35D" w14:textId="77777777">
        <w:trPr>
          <w:tblCellSpacing w:w="0" w:type="dxa"/>
        </w:trPr>
        <w:tc>
          <w:tcPr>
            <w:tcW w:w="0" w:type="auto"/>
            <w:shd w:val="clear" w:color="auto" w:fill="auto"/>
          </w:tcPr>
          <w:p w14:paraId="1446F35B"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5C"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increased expenses resulting from our initiatives or donations related to the pandemic;</w:t>
            </w:r>
          </w:p>
        </w:tc>
      </w:tr>
    </w:tbl>
    <w:p w14:paraId="1446F35E" w14:textId="77777777" w:rsidR="00FE42B5" w:rsidRDefault="00FE42B5">
      <w:pPr>
        <w:rPr>
          <w:rFonts w:ascii="Times New Roman" w:hAnsi="Times New Roman"/>
          <w:sz w:val="20"/>
          <w:szCs w:val="20"/>
        </w:rPr>
      </w:pPr>
    </w:p>
    <w:p w14:paraId="1446F35F"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51</w:t>
      </w:r>
    </w:p>
    <w:p w14:paraId="1446F360" w14:textId="77777777" w:rsidR="00FE42B5" w:rsidRDefault="009213DC">
      <w:r>
        <w:rPr>
          <w:rFonts w:ascii="Times New Roman" w:hAnsi="Times New Roman"/>
          <w:sz w:val="20"/>
          <w:szCs w:val="20"/>
        </w:rPr>
        <w:pict w14:anchorId="1446FAFB">
          <v:rect id="_x0000_i1075" style="width:415.3pt;height:1.5pt" o:hralign="center" o:hrstd="t" o:hr="t" fillcolor="#a0a0a0" stroked="f"/>
        </w:pict>
      </w:r>
    </w:p>
    <w:p w14:paraId="1446F361" w14:textId="77777777" w:rsidR="00FE42B5" w:rsidRDefault="009213DC">
      <w:pPr>
        <w:spacing w:line="288" w:lineRule="auto"/>
        <w:rPr>
          <w:rFonts w:ascii="Times New Roman" w:hAnsi="Times New Roman"/>
          <w:sz w:val="20"/>
          <w:szCs w:val="20"/>
        </w:rPr>
      </w:pPr>
      <w:hyperlink r:id="rId91" w:anchor="sBB4BED1571A45A16AF3DC2E3B69C901C" w:history="1">
        <w:r>
          <w:rPr>
            <w:rStyle w:val="a5"/>
            <w:rFonts w:ascii="Times New Roman" w:eastAsia="宋体" w:hAnsi="Times New Roman"/>
            <w:sz w:val="20"/>
            <w:szCs w:val="20"/>
          </w:rPr>
          <w:t>Table of Contents</w:t>
        </w:r>
      </w:hyperlink>
    </w:p>
    <w:p w14:paraId="1446F362"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65" w14:textId="77777777">
        <w:trPr>
          <w:tblCellSpacing w:w="0" w:type="dxa"/>
        </w:trPr>
        <w:tc>
          <w:tcPr>
            <w:tcW w:w="1440" w:type="dxa"/>
            <w:shd w:val="clear" w:color="auto" w:fill="auto"/>
            <w:vAlign w:val="center"/>
          </w:tcPr>
          <w:p w14:paraId="1446F363" w14:textId="77777777" w:rsidR="00FE42B5" w:rsidRDefault="00FE42B5">
            <w:pPr>
              <w:rPr>
                <w:rFonts w:ascii="Times New Roman" w:hAnsi="Times New Roman"/>
                <w:sz w:val="20"/>
                <w:szCs w:val="20"/>
              </w:rPr>
            </w:pPr>
          </w:p>
        </w:tc>
        <w:tc>
          <w:tcPr>
            <w:tcW w:w="0" w:type="auto"/>
            <w:shd w:val="clear" w:color="auto" w:fill="auto"/>
            <w:vAlign w:val="center"/>
          </w:tcPr>
          <w:p w14:paraId="1446F364" w14:textId="77777777" w:rsidR="00FE42B5" w:rsidRDefault="00FE42B5">
            <w:pPr>
              <w:rPr>
                <w:rFonts w:ascii="Times New Roman" w:hAnsi="Times New Roman"/>
                <w:sz w:val="20"/>
                <w:szCs w:val="20"/>
              </w:rPr>
            </w:pPr>
          </w:p>
        </w:tc>
      </w:tr>
      <w:tr w:rsidR="00FE42B5" w14:paraId="1446F368" w14:textId="77777777">
        <w:trPr>
          <w:tblCellSpacing w:w="0" w:type="dxa"/>
        </w:trPr>
        <w:tc>
          <w:tcPr>
            <w:tcW w:w="0" w:type="auto"/>
            <w:shd w:val="clear" w:color="auto" w:fill="auto"/>
          </w:tcPr>
          <w:p w14:paraId="1446F366"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67"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significant disruption of global financial markets, which could cause </w:t>
            </w:r>
            <w:r>
              <w:rPr>
                <w:rFonts w:ascii="Times New Roman" w:eastAsia="宋体" w:hAnsi="Times New Roman"/>
                <w:sz w:val="20"/>
                <w:szCs w:val="20"/>
              </w:rPr>
              <w:t>fluctuations in currency exchange rates or negatively impact our ability to access capital in the future;</w:t>
            </w:r>
          </w:p>
        </w:tc>
      </w:tr>
    </w:tbl>
    <w:p w14:paraId="1446F369"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6C" w14:textId="77777777">
        <w:trPr>
          <w:tblCellSpacing w:w="0" w:type="dxa"/>
        </w:trPr>
        <w:tc>
          <w:tcPr>
            <w:tcW w:w="1440" w:type="dxa"/>
            <w:shd w:val="clear" w:color="auto" w:fill="auto"/>
            <w:vAlign w:val="center"/>
          </w:tcPr>
          <w:p w14:paraId="1446F36A" w14:textId="77777777" w:rsidR="00FE42B5" w:rsidRDefault="00FE42B5">
            <w:pPr>
              <w:rPr>
                <w:rFonts w:ascii="Times New Roman" w:hAnsi="Times New Roman"/>
                <w:sz w:val="20"/>
                <w:szCs w:val="20"/>
              </w:rPr>
            </w:pPr>
          </w:p>
        </w:tc>
        <w:tc>
          <w:tcPr>
            <w:tcW w:w="0" w:type="auto"/>
            <w:shd w:val="clear" w:color="auto" w:fill="auto"/>
            <w:vAlign w:val="center"/>
          </w:tcPr>
          <w:p w14:paraId="1446F36B" w14:textId="77777777" w:rsidR="00FE42B5" w:rsidRDefault="00FE42B5">
            <w:pPr>
              <w:rPr>
                <w:rFonts w:ascii="Times New Roman" w:hAnsi="Times New Roman"/>
                <w:sz w:val="20"/>
                <w:szCs w:val="20"/>
              </w:rPr>
            </w:pPr>
          </w:p>
        </w:tc>
      </w:tr>
      <w:tr w:rsidR="00FE42B5" w14:paraId="1446F36F" w14:textId="77777777">
        <w:trPr>
          <w:tblCellSpacing w:w="0" w:type="dxa"/>
        </w:trPr>
        <w:tc>
          <w:tcPr>
            <w:tcW w:w="0" w:type="auto"/>
            <w:shd w:val="clear" w:color="auto" w:fill="auto"/>
          </w:tcPr>
          <w:p w14:paraId="1446F36D"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6E"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negative impact on our workforce productivity, product development, and research and development due to difficulties resulting from our personn</w:t>
            </w:r>
            <w:r>
              <w:rPr>
                <w:rFonts w:ascii="Times New Roman" w:eastAsia="宋体" w:hAnsi="Times New Roman"/>
                <w:sz w:val="20"/>
                <w:szCs w:val="20"/>
              </w:rPr>
              <w:t>el working remotely; </w:t>
            </w:r>
          </w:p>
        </w:tc>
      </w:tr>
    </w:tbl>
    <w:p w14:paraId="1446F370"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73" w14:textId="77777777">
        <w:trPr>
          <w:tblCellSpacing w:w="0" w:type="dxa"/>
        </w:trPr>
        <w:tc>
          <w:tcPr>
            <w:tcW w:w="1440" w:type="dxa"/>
            <w:shd w:val="clear" w:color="auto" w:fill="auto"/>
            <w:vAlign w:val="center"/>
          </w:tcPr>
          <w:p w14:paraId="1446F371" w14:textId="77777777" w:rsidR="00FE42B5" w:rsidRDefault="00FE42B5">
            <w:pPr>
              <w:rPr>
                <w:rFonts w:ascii="Times New Roman" w:hAnsi="Times New Roman"/>
                <w:sz w:val="20"/>
                <w:szCs w:val="20"/>
              </w:rPr>
            </w:pPr>
          </w:p>
        </w:tc>
        <w:tc>
          <w:tcPr>
            <w:tcW w:w="0" w:type="auto"/>
            <w:shd w:val="clear" w:color="auto" w:fill="auto"/>
            <w:vAlign w:val="center"/>
          </w:tcPr>
          <w:p w14:paraId="1446F372" w14:textId="77777777" w:rsidR="00FE42B5" w:rsidRDefault="00FE42B5">
            <w:pPr>
              <w:rPr>
                <w:rFonts w:ascii="Times New Roman" w:hAnsi="Times New Roman"/>
                <w:sz w:val="20"/>
                <w:szCs w:val="20"/>
              </w:rPr>
            </w:pPr>
          </w:p>
        </w:tc>
      </w:tr>
      <w:tr w:rsidR="00FE42B5" w14:paraId="1446F376" w14:textId="77777777">
        <w:trPr>
          <w:tblCellSpacing w:w="0" w:type="dxa"/>
        </w:trPr>
        <w:tc>
          <w:tcPr>
            <w:tcW w:w="0" w:type="auto"/>
            <w:shd w:val="clear" w:color="auto" w:fill="auto"/>
          </w:tcPr>
          <w:p w14:paraId="1446F37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75"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illnesses to key employees, or a significant portion of our workforce, which may result in inefficiencies, delays, and disruptions in our business; and</w:t>
            </w:r>
          </w:p>
        </w:tc>
      </w:tr>
    </w:tbl>
    <w:p w14:paraId="1446F377"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7A" w14:textId="77777777">
        <w:trPr>
          <w:tblCellSpacing w:w="0" w:type="dxa"/>
        </w:trPr>
        <w:tc>
          <w:tcPr>
            <w:tcW w:w="1440" w:type="dxa"/>
            <w:shd w:val="clear" w:color="auto" w:fill="auto"/>
            <w:vAlign w:val="center"/>
          </w:tcPr>
          <w:p w14:paraId="1446F378" w14:textId="77777777" w:rsidR="00FE42B5" w:rsidRDefault="00FE42B5">
            <w:pPr>
              <w:rPr>
                <w:rFonts w:ascii="Times New Roman" w:hAnsi="Times New Roman"/>
                <w:sz w:val="20"/>
                <w:szCs w:val="20"/>
              </w:rPr>
            </w:pPr>
          </w:p>
        </w:tc>
        <w:tc>
          <w:tcPr>
            <w:tcW w:w="0" w:type="auto"/>
            <w:shd w:val="clear" w:color="auto" w:fill="auto"/>
            <w:vAlign w:val="center"/>
          </w:tcPr>
          <w:p w14:paraId="1446F379" w14:textId="77777777" w:rsidR="00FE42B5" w:rsidRDefault="00FE42B5">
            <w:pPr>
              <w:rPr>
                <w:rFonts w:ascii="Times New Roman" w:hAnsi="Times New Roman"/>
                <w:sz w:val="20"/>
                <w:szCs w:val="20"/>
              </w:rPr>
            </w:pPr>
          </w:p>
        </w:tc>
      </w:tr>
      <w:tr w:rsidR="00FE42B5" w14:paraId="1446F37D" w14:textId="77777777">
        <w:trPr>
          <w:tblCellSpacing w:w="0" w:type="dxa"/>
        </w:trPr>
        <w:tc>
          <w:tcPr>
            <w:tcW w:w="0" w:type="auto"/>
            <w:shd w:val="clear" w:color="auto" w:fill="auto"/>
          </w:tcPr>
          <w:p w14:paraId="1446F37B"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7C"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increased volatility and uncertainty in the financial </w:t>
            </w:r>
            <w:r>
              <w:rPr>
                <w:rFonts w:ascii="Times New Roman" w:eastAsia="宋体" w:hAnsi="Times New Roman"/>
                <w:sz w:val="20"/>
                <w:szCs w:val="20"/>
              </w:rPr>
              <w:t>projections we use as the basis for estimates used in our financial statements.</w:t>
            </w:r>
          </w:p>
        </w:tc>
      </w:tr>
    </w:tbl>
    <w:p w14:paraId="1446F37E" w14:textId="77777777" w:rsidR="00FE42B5" w:rsidRDefault="00FE42B5">
      <w:pPr>
        <w:spacing w:line="288" w:lineRule="auto"/>
        <w:jc w:val="both"/>
        <w:rPr>
          <w:rFonts w:ascii="Times New Roman" w:hAnsi="Times New Roman"/>
          <w:sz w:val="20"/>
          <w:szCs w:val="20"/>
        </w:rPr>
      </w:pPr>
    </w:p>
    <w:p w14:paraId="1446F37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Any of these developments may adversely affect our business, harm our reputation, or result in legal or regulatory actions against us. The persistence of COVID-19, and the pr</w:t>
      </w:r>
      <w:r>
        <w:rPr>
          <w:rFonts w:ascii="Times New Roman" w:eastAsia="宋体" w:hAnsi="Times New Roman"/>
          <w:sz w:val="20"/>
          <w:szCs w:val="20"/>
        </w:rPr>
        <w:t>eventative measures implemented to help limit the spread of the illness, will impact our ability to operate our business and may materially and adversely impact our business, financial condition, and results of operations.</w:t>
      </w:r>
    </w:p>
    <w:p w14:paraId="1446F380"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If we fail to retain existing use</w:t>
      </w:r>
      <w:r>
        <w:rPr>
          <w:rFonts w:ascii="Times New Roman" w:eastAsia="宋体" w:hAnsi="Times New Roman"/>
          <w:b/>
          <w:bCs/>
          <w:i/>
          <w:iCs/>
          <w:sz w:val="20"/>
          <w:szCs w:val="20"/>
        </w:rPr>
        <w:t>rs or add new users, or if our users decrease their level of engagement with our products, our revenue, financial results, and business may be significantly harmed.</w:t>
      </w:r>
    </w:p>
    <w:p w14:paraId="1446F38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size of our user base and our users' level of engagement are critical to our success. O</w:t>
      </w:r>
      <w:r>
        <w:rPr>
          <w:rFonts w:ascii="Times New Roman" w:eastAsia="宋体" w:hAnsi="Times New Roman"/>
          <w:sz w:val="20"/>
          <w:szCs w:val="20"/>
        </w:rPr>
        <w:t xml:space="preserve">ur financial performance has been and will continue to be significantly determined by our success in adding, retaining, and engaging active users of our products, particularly for Facebook and Instagram. We anticipate that our active user growth rate will </w:t>
      </w:r>
      <w:r>
        <w:rPr>
          <w:rFonts w:ascii="Times New Roman" w:eastAsia="宋体" w:hAnsi="Times New Roman"/>
          <w:sz w:val="20"/>
          <w:szCs w:val="20"/>
        </w:rPr>
        <w:t>generally decline over time as the size of our active user base increases, and we expect that the size of our active user base will fluctuate or decline in one or more markets from time to time, particularly in markets where we have achieved higher penetra</w:t>
      </w:r>
      <w:r>
        <w:rPr>
          <w:rFonts w:ascii="Times New Roman" w:eastAsia="宋体" w:hAnsi="Times New Roman"/>
          <w:sz w:val="20"/>
          <w:szCs w:val="20"/>
        </w:rPr>
        <w:t>tion rates. For example, in the fourth quarter of 2017, we experienced a slight decline on a quarter-over-quarter basis in the number of daily active users on Facebook in the United States &amp; Canada region. More recently, we have experienced a significant i</w:t>
      </w:r>
      <w:r>
        <w:rPr>
          <w:rFonts w:ascii="Times New Roman" w:eastAsia="宋体" w:hAnsi="Times New Roman"/>
          <w:sz w:val="20"/>
          <w:szCs w:val="20"/>
        </w:rPr>
        <w:t>ncrease in the size and engagement of our active user base across a number of regions as a result of the COVID-19 pandemic, and we expect that we will lose at least some of this increased engagement when various shelter-in-place restrictions are relaxed in</w:t>
      </w:r>
      <w:r>
        <w:rPr>
          <w:rFonts w:ascii="Times New Roman" w:eastAsia="宋体" w:hAnsi="Times New Roman"/>
          <w:sz w:val="20"/>
          <w:szCs w:val="20"/>
        </w:rPr>
        <w:t xml:space="preserve"> the future. If people do not perceive our products to be useful, reliable, and trustworthy, we may not be able to attract or retain users or otherwise maintain or increase the frequency and duration of their engagement. A number of other social networking</w:t>
      </w:r>
      <w:r>
        <w:rPr>
          <w:rFonts w:ascii="Times New Roman" w:eastAsia="宋体" w:hAnsi="Times New Roman"/>
          <w:sz w:val="20"/>
          <w:szCs w:val="20"/>
        </w:rPr>
        <w:t xml:space="preserve"> companies that achieved early popularity have since seen their active user bases or levels of engagement decline, in some cases precipitously. There is no guarantee that we will not experience a similar erosion of our active user base or engagement levels</w:t>
      </w:r>
      <w:r>
        <w:rPr>
          <w:rFonts w:ascii="Times New Roman" w:eastAsia="宋体" w:hAnsi="Times New Roman"/>
          <w:sz w:val="20"/>
          <w:szCs w:val="20"/>
        </w:rPr>
        <w:t>. Our user engagement patterns have changed over time, and user engagement can be difficult to measure, particularly as we introduce new and different products and services. Any number of factors can negatively affect user retention, growth, and engagement</w:t>
      </w:r>
      <w:r>
        <w:rPr>
          <w:rFonts w:ascii="Times New Roman" w:eastAsia="宋体" w:hAnsi="Times New Roman"/>
          <w:sz w:val="20"/>
          <w:szCs w:val="20"/>
        </w:rPr>
        <w:t>, including if:</w:t>
      </w:r>
    </w:p>
    <w:tbl>
      <w:tblPr>
        <w:tblW w:w="0" w:type="auto"/>
        <w:tblCellSpacing w:w="0" w:type="dxa"/>
        <w:tblCellMar>
          <w:left w:w="0" w:type="dxa"/>
          <w:right w:w="0" w:type="dxa"/>
        </w:tblCellMar>
        <w:tblLook w:val="04A0" w:firstRow="1" w:lastRow="0" w:firstColumn="1" w:lastColumn="0" w:noHBand="0" w:noVBand="1"/>
      </w:tblPr>
      <w:tblGrid>
        <w:gridCol w:w="1440"/>
        <w:gridCol w:w="5621"/>
      </w:tblGrid>
      <w:tr w:rsidR="00FE42B5" w14:paraId="1446F384" w14:textId="77777777">
        <w:trPr>
          <w:tblCellSpacing w:w="0" w:type="dxa"/>
        </w:trPr>
        <w:tc>
          <w:tcPr>
            <w:tcW w:w="1440" w:type="dxa"/>
            <w:shd w:val="clear" w:color="auto" w:fill="auto"/>
            <w:vAlign w:val="center"/>
          </w:tcPr>
          <w:p w14:paraId="1446F382" w14:textId="77777777" w:rsidR="00FE42B5" w:rsidRDefault="00FE42B5">
            <w:pPr>
              <w:rPr>
                <w:rFonts w:ascii="Times New Roman" w:hAnsi="Times New Roman"/>
                <w:sz w:val="20"/>
                <w:szCs w:val="20"/>
              </w:rPr>
            </w:pPr>
          </w:p>
        </w:tc>
        <w:tc>
          <w:tcPr>
            <w:tcW w:w="0" w:type="auto"/>
            <w:shd w:val="clear" w:color="auto" w:fill="auto"/>
            <w:vAlign w:val="center"/>
          </w:tcPr>
          <w:p w14:paraId="1446F383" w14:textId="77777777" w:rsidR="00FE42B5" w:rsidRDefault="00FE42B5">
            <w:pPr>
              <w:rPr>
                <w:rFonts w:ascii="Times New Roman" w:hAnsi="Times New Roman"/>
                <w:sz w:val="20"/>
                <w:szCs w:val="20"/>
              </w:rPr>
            </w:pPr>
          </w:p>
        </w:tc>
      </w:tr>
      <w:tr w:rsidR="00FE42B5" w14:paraId="1446F387" w14:textId="77777777">
        <w:trPr>
          <w:tblCellSpacing w:w="0" w:type="dxa"/>
        </w:trPr>
        <w:tc>
          <w:tcPr>
            <w:tcW w:w="0" w:type="auto"/>
            <w:shd w:val="clear" w:color="auto" w:fill="auto"/>
          </w:tcPr>
          <w:p w14:paraId="1446F385"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86"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users increasingly engage with other competitive products or services;</w:t>
            </w:r>
          </w:p>
        </w:tc>
      </w:tr>
    </w:tbl>
    <w:p w14:paraId="1446F388"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8B" w14:textId="77777777">
        <w:trPr>
          <w:tblCellSpacing w:w="0" w:type="dxa"/>
        </w:trPr>
        <w:tc>
          <w:tcPr>
            <w:tcW w:w="1440" w:type="dxa"/>
            <w:shd w:val="clear" w:color="auto" w:fill="auto"/>
            <w:vAlign w:val="center"/>
          </w:tcPr>
          <w:p w14:paraId="1446F389" w14:textId="77777777" w:rsidR="00FE42B5" w:rsidRDefault="00FE42B5">
            <w:pPr>
              <w:rPr>
                <w:rFonts w:ascii="Times New Roman" w:hAnsi="Times New Roman"/>
                <w:sz w:val="20"/>
                <w:szCs w:val="20"/>
              </w:rPr>
            </w:pPr>
          </w:p>
        </w:tc>
        <w:tc>
          <w:tcPr>
            <w:tcW w:w="0" w:type="auto"/>
            <w:shd w:val="clear" w:color="auto" w:fill="auto"/>
            <w:vAlign w:val="center"/>
          </w:tcPr>
          <w:p w14:paraId="1446F38A" w14:textId="77777777" w:rsidR="00FE42B5" w:rsidRDefault="00FE42B5">
            <w:pPr>
              <w:rPr>
                <w:rFonts w:ascii="Times New Roman" w:hAnsi="Times New Roman"/>
                <w:sz w:val="20"/>
                <w:szCs w:val="20"/>
              </w:rPr>
            </w:pPr>
          </w:p>
        </w:tc>
      </w:tr>
      <w:tr w:rsidR="00FE42B5" w14:paraId="1446F38E" w14:textId="77777777">
        <w:trPr>
          <w:tblCellSpacing w:w="0" w:type="dxa"/>
        </w:trPr>
        <w:tc>
          <w:tcPr>
            <w:tcW w:w="0" w:type="auto"/>
            <w:shd w:val="clear" w:color="auto" w:fill="auto"/>
          </w:tcPr>
          <w:p w14:paraId="1446F38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8D"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fail to introduce new features, products or services that users find engaging or if we introduce new products or services, or make changes to </w:t>
            </w:r>
            <w:r>
              <w:rPr>
                <w:rFonts w:ascii="Times New Roman" w:eastAsia="宋体" w:hAnsi="Times New Roman"/>
                <w:sz w:val="20"/>
                <w:szCs w:val="20"/>
              </w:rPr>
              <w:t>existing products and services, that are not favorably received;</w:t>
            </w:r>
          </w:p>
        </w:tc>
      </w:tr>
    </w:tbl>
    <w:p w14:paraId="1446F38F"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92" w14:textId="77777777">
        <w:trPr>
          <w:tblCellSpacing w:w="0" w:type="dxa"/>
        </w:trPr>
        <w:tc>
          <w:tcPr>
            <w:tcW w:w="1440" w:type="dxa"/>
            <w:shd w:val="clear" w:color="auto" w:fill="auto"/>
            <w:vAlign w:val="center"/>
          </w:tcPr>
          <w:p w14:paraId="1446F390" w14:textId="77777777" w:rsidR="00FE42B5" w:rsidRDefault="00FE42B5">
            <w:pPr>
              <w:rPr>
                <w:rFonts w:ascii="Times New Roman" w:hAnsi="Times New Roman"/>
                <w:sz w:val="20"/>
                <w:szCs w:val="20"/>
              </w:rPr>
            </w:pPr>
          </w:p>
        </w:tc>
        <w:tc>
          <w:tcPr>
            <w:tcW w:w="0" w:type="auto"/>
            <w:shd w:val="clear" w:color="auto" w:fill="auto"/>
            <w:vAlign w:val="center"/>
          </w:tcPr>
          <w:p w14:paraId="1446F391" w14:textId="77777777" w:rsidR="00FE42B5" w:rsidRDefault="00FE42B5">
            <w:pPr>
              <w:rPr>
                <w:rFonts w:ascii="Times New Roman" w:hAnsi="Times New Roman"/>
                <w:sz w:val="20"/>
                <w:szCs w:val="20"/>
              </w:rPr>
            </w:pPr>
          </w:p>
        </w:tc>
      </w:tr>
      <w:tr w:rsidR="00FE42B5" w14:paraId="1446F395" w14:textId="77777777">
        <w:trPr>
          <w:tblCellSpacing w:w="0" w:type="dxa"/>
        </w:trPr>
        <w:tc>
          <w:tcPr>
            <w:tcW w:w="0" w:type="auto"/>
            <w:shd w:val="clear" w:color="auto" w:fill="auto"/>
          </w:tcPr>
          <w:p w14:paraId="1446F39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9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users feel that their experience is diminished as a result of the decisions we make with respect to the frequency, prominence, format, size, and quality of ads that we display;</w:t>
            </w:r>
          </w:p>
        </w:tc>
      </w:tr>
    </w:tbl>
    <w:p w14:paraId="1446F396"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99" w14:textId="77777777">
        <w:trPr>
          <w:tblCellSpacing w:w="0" w:type="dxa"/>
        </w:trPr>
        <w:tc>
          <w:tcPr>
            <w:tcW w:w="1440" w:type="dxa"/>
            <w:shd w:val="clear" w:color="auto" w:fill="auto"/>
            <w:vAlign w:val="center"/>
          </w:tcPr>
          <w:p w14:paraId="1446F397" w14:textId="77777777" w:rsidR="00FE42B5" w:rsidRDefault="00FE42B5">
            <w:pPr>
              <w:rPr>
                <w:rFonts w:ascii="Times New Roman" w:hAnsi="Times New Roman"/>
                <w:sz w:val="20"/>
                <w:szCs w:val="20"/>
              </w:rPr>
            </w:pPr>
          </w:p>
        </w:tc>
        <w:tc>
          <w:tcPr>
            <w:tcW w:w="0" w:type="auto"/>
            <w:shd w:val="clear" w:color="auto" w:fill="auto"/>
            <w:vAlign w:val="center"/>
          </w:tcPr>
          <w:p w14:paraId="1446F398" w14:textId="77777777" w:rsidR="00FE42B5" w:rsidRDefault="00FE42B5">
            <w:pPr>
              <w:rPr>
                <w:rFonts w:ascii="Times New Roman" w:hAnsi="Times New Roman"/>
                <w:sz w:val="20"/>
                <w:szCs w:val="20"/>
              </w:rPr>
            </w:pPr>
          </w:p>
        </w:tc>
      </w:tr>
      <w:tr w:rsidR="00FE42B5" w14:paraId="1446F39C" w14:textId="77777777">
        <w:trPr>
          <w:tblCellSpacing w:w="0" w:type="dxa"/>
        </w:trPr>
        <w:tc>
          <w:tcPr>
            <w:tcW w:w="0" w:type="auto"/>
            <w:shd w:val="clear" w:color="auto" w:fill="auto"/>
          </w:tcPr>
          <w:p w14:paraId="1446F39A"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9B"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users have difficulty installing, updating, or otherwise accessing our products on mobile devices as a result of actions by us or third parties that we rely on to distribute our products and deliver our services;</w:t>
            </w:r>
          </w:p>
        </w:tc>
      </w:tr>
    </w:tbl>
    <w:p w14:paraId="1446F39D"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A0" w14:textId="77777777">
        <w:trPr>
          <w:tblCellSpacing w:w="0" w:type="dxa"/>
        </w:trPr>
        <w:tc>
          <w:tcPr>
            <w:tcW w:w="1440" w:type="dxa"/>
            <w:shd w:val="clear" w:color="auto" w:fill="auto"/>
            <w:vAlign w:val="center"/>
          </w:tcPr>
          <w:p w14:paraId="1446F39E" w14:textId="77777777" w:rsidR="00FE42B5" w:rsidRDefault="00FE42B5">
            <w:pPr>
              <w:rPr>
                <w:rFonts w:ascii="Times New Roman" w:hAnsi="Times New Roman"/>
                <w:sz w:val="20"/>
                <w:szCs w:val="20"/>
              </w:rPr>
            </w:pPr>
          </w:p>
        </w:tc>
        <w:tc>
          <w:tcPr>
            <w:tcW w:w="0" w:type="auto"/>
            <w:shd w:val="clear" w:color="auto" w:fill="auto"/>
            <w:vAlign w:val="center"/>
          </w:tcPr>
          <w:p w14:paraId="1446F39F" w14:textId="77777777" w:rsidR="00FE42B5" w:rsidRDefault="00FE42B5">
            <w:pPr>
              <w:rPr>
                <w:rFonts w:ascii="Times New Roman" w:hAnsi="Times New Roman"/>
                <w:sz w:val="20"/>
                <w:szCs w:val="20"/>
              </w:rPr>
            </w:pPr>
          </w:p>
        </w:tc>
      </w:tr>
      <w:tr w:rsidR="00FE42B5" w14:paraId="1446F3A3" w14:textId="77777777">
        <w:trPr>
          <w:tblCellSpacing w:w="0" w:type="dxa"/>
        </w:trPr>
        <w:tc>
          <w:tcPr>
            <w:tcW w:w="0" w:type="auto"/>
            <w:shd w:val="clear" w:color="auto" w:fill="auto"/>
          </w:tcPr>
          <w:p w14:paraId="1446F3A1"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A2"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user behavior on any of our product</w:t>
            </w:r>
            <w:r>
              <w:rPr>
                <w:rFonts w:ascii="Times New Roman" w:eastAsia="宋体" w:hAnsi="Times New Roman"/>
                <w:sz w:val="20"/>
                <w:szCs w:val="20"/>
              </w:rPr>
              <w:t>s changes, including decreases in the quality and frequency of content shared on our products and services;</w:t>
            </w:r>
          </w:p>
        </w:tc>
      </w:tr>
    </w:tbl>
    <w:p w14:paraId="1446F3A4"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A7" w14:textId="77777777">
        <w:trPr>
          <w:tblCellSpacing w:w="0" w:type="dxa"/>
        </w:trPr>
        <w:tc>
          <w:tcPr>
            <w:tcW w:w="1440" w:type="dxa"/>
            <w:shd w:val="clear" w:color="auto" w:fill="auto"/>
            <w:vAlign w:val="center"/>
          </w:tcPr>
          <w:p w14:paraId="1446F3A5" w14:textId="77777777" w:rsidR="00FE42B5" w:rsidRDefault="00FE42B5">
            <w:pPr>
              <w:rPr>
                <w:rFonts w:ascii="Times New Roman" w:hAnsi="Times New Roman"/>
                <w:sz w:val="20"/>
                <w:szCs w:val="20"/>
              </w:rPr>
            </w:pPr>
          </w:p>
        </w:tc>
        <w:tc>
          <w:tcPr>
            <w:tcW w:w="0" w:type="auto"/>
            <w:shd w:val="clear" w:color="auto" w:fill="auto"/>
            <w:vAlign w:val="center"/>
          </w:tcPr>
          <w:p w14:paraId="1446F3A6" w14:textId="77777777" w:rsidR="00FE42B5" w:rsidRDefault="00FE42B5">
            <w:pPr>
              <w:rPr>
                <w:rFonts w:ascii="Times New Roman" w:hAnsi="Times New Roman"/>
                <w:sz w:val="20"/>
                <w:szCs w:val="20"/>
              </w:rPr>
            </w:pPr>
          </w:p>
        </w:tc>
      </w:tr>
      <w:tr w:rsidR="00FE42B5" w14:paraId="1446F3AA" w14:textId="77777777">
        <w:trPr>
          <w:tblCellSpacing w:w="0" w:type="dxa"/>
        </w:trPr>
        <w:tc>
          <w:tcPr>
            <w:tcW w:w="0" w:type="auto"/>
            <w:shd w:val="clear" w:color="auto" w:fill="auto"/>
          </w:tcPr>
          <w:p w14:paraId="1446F3A8"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A9"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are unable to continue to develop products for mobile devices that users find engaging, that work with a variety of mobile </w:t>
            </w:r>
            <w:r>
              <w:rPr>
                <w:rFonts w:ascii="Times New Roman" w:eastAsia="宋体" w:hAnsi="Times New Roman"/>
                <w:sz w:val="20"/>
                <w:szCs w:val="20"/>
              </w:rPr>
              <w:t>operating systems and networks, and that achieve a high level of market acceptance;</w:t>
            </w:r>
          </w:p>
        </w:tc>
      </w:tr>
    </w:tbl>
    <w:p w14:paraId="1446F3AB"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AE" w14:textId="77777777">
        <w:trPr>
          <w:tblCellSpacing w:w="0" w:type="dxa"/>
        </w:trPr>
        <w:tc>
          <w:tcPr>
            <w:tcW w:w="1440" w:type="dxa"/>
            <w:shd w:val="clear" w:color="auto" w:fill="auto"/>
            <w:vAlign w:val="center"/>
          </w:tcPr>
          <w:p w14:paraId="1446F3AC" w14:textId="77777777" w:rsidR="00FE42B5" w:rsidRDefault="00FE42B5">
            <w:pPr>
              <w:rPr>
                <w:rFonts w:ascii="Times New Roman" w:hAnsi="Times New Roman"/>
                <w:sz w:val="20"/>
                <w:szCs w:val="20"/>
              </w:rPr>
            </w:pPr>
          </w:p>
        </w:tc>
        <w:tc>
          <w:tcPr>
            <w:tcW w:w="0" w:type="auto"/>
            <w:shd w:val="clear" w:color="auto" w:fill="auto"/>
            <w:vAlign w:val="center"/>
          </w:tcPr>
          <w:p w14:paraId="1446F3AD" w14:textId="77777777" w:rsidR="00FE42B5" w:rsidRDefault="00FE42B5">
            <w:pPr>
              <w:rPr>
                <w:rFonts w:ascii="Times New Roman" w:hAnsi="Times New Roman"/>
                <w:sz w:val="20"/>
                <w:szCs w:val="20"/>
              </w:rPr>
            </w:pPr>
          </w:p>
        </w:tc>
      </w:tr>
      <w:tr w:rsidR="00FE42B5" w14:paraId="1446F3B1" w14:textId="77777777">
        <w:trPr>
          <w:tblCellSpacing w:w="0" w:type="dxa"/>
        </w:trPr>
        <w:tc>
          <w:tcPr>
            <w:tcW w:w="0" w:type="auto"/>
            <w:shd w:val="clear" w:color="auto" w:fill="auto"/>
          </w:tcPr>
          <w:p w14:paraId="1446F3AF"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B0"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there are decreases in user sentiment due to questions about the quality or usefulness of our products or our user data practices, or concerns related to </w:t>
            </w:r>
            <w:r>
              <w:rPr>
                <w:rFonts w:ascii="Times New Roman" w:eastAsia="宋体" w:hAnsi="Times New Roman"/>
                <w:sz w:val="20"/>
                <w:szCs w:val="20"/>
              </w:rPr>
              <w:t>privacy and sharing, safety, security, well-being, or other factors;</w:t>
            </w:r>
          </w:p>
        </w:tc>
      </w:tr>
    </w:tbl>
    <w:p w14:paraId="1446F3B2"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B5" w14:textId="77777777">
        <w:trPr>
          <w:tblCellSpacing w:w="0" w:type="dxa"/>
        </w:trPr>
        <w:tc>
          <w:tcPr>
            <w:tcW w:w="1440" w:type="dxa"/>
            <w:shd w:val="clear" w:color="auto" w:fill="auto"/>
            <w:vAlign w:val="center"/>
          </w:tcPr>
          <w:p w14:paraId="1446F3B3" w14:textId="77777777" w:rsidR="00FE42B5" w:rsidRDefault="00FE42B5">
            <w:pPr>
              <w:rPr>
                <w:rFonts w:ascii="Times New Roman" w:hAnsi="Times New Roman"/>
                <w:sz w:val="20"/>
                <w:szCs w:val="20"/>
              </w:rPr>
            </w:pPr>
          </w:p>
        </w:tc>
        <w:tc>
          <w:tcPr>
            <w:tcW w:w="0" w:type="auto"/>
            <w:shd w:val="clear" w:color="auto" w:fill="auto"/>
            <w:vAlign w:val="center"/>
          </w:tcPr>
          <w:p w14:paraId="1446F3B4" w14:textId="77777777" w:rsidR="00FE42B5" w:rsidRDefault="00FE42B5">
            <w:pPr>
              <w:rPr>
                <w:rFonts w:ascii="Times New Roman" w:hAnsi="Times New Roman"/>
                <w:sz w:val="20"/>
                <w:szCs w:val="20"/>
              </w:rPr>
            </w:pPr>
          </w:p>
        </w:tc>
      </w:tr>
      <w:tr w:rsidR="00FE42B5" w14:paraId="1446F3B8" w14:textId="77777777">
        <w:trPr>
          <w:tblCellSpacing w:w="0" w:type="dxa"/>
        </w:trPr>
        <w:tc>
          <w:tcPr>
            <w:tcW w:w="0" w:type="auto"/>
            <w:shd w:val="clear" w:color="auto" w:fill="auto"/>
          </w:tcPr>
          <w:p w14:paraId="1446F3B6"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B7"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we are unable to manage and prioritize information to ensure users are presented with content that is appropriate, interesting, useful, and relevant to them;</w:t>
            </w:r>
          </w:p>
        </w:tc>
      </w:tr>
    </w:tbl>
    <w:p w14:paraId="1446F3B9" w14:textId="77777777" w:rsidR="00FE42B5" w:rsidRDefault="00FE42B5">
      <w:pPr>
        <w:rPr>
          <w:rFonts w:ascii="Times New Roman" w:hAnsi="Times New Roman"/>
          <w:sz w:val="20"/>
          <w:szCs w:val="20"/>
        </w:rPr>
      </w:pPr>
    </w:p>
    <w:p w14:paraId="1446F3BA"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52</w:t>
      </w:r>
    </w:p>
    <w:p w14:paraId="1446F3BB" w14:textId="77777777" w:rsidR="00FE42B5" w:rsidRDefault="009213DC">
      <w:r>
        <w:rPr>
          <w:rFonts w:ascii="Times New Roman" w:hAnsi="Times New Roman"/>
          <w:sz w:val="20"/>
          <w:szCs w:val="20"/>
        </w:rPr>
        <w:pict w14:anchorId="1446FAFC">
          <v:rect id="_x0000_i1076" style="width:415.3pt;height:1.5pt" o:hralign="center" o:hrstd="t" o:hr="t" fillcolor="#a0a0a0" stroked="f"/>
        </w:pict>
      </w:r>
    </w:p>
    <w:p w14:paraId="1446F3BC" w14:textId="77777777" w:rsidR="00FE42B5" w:rsidRDefault="009213DC">
      <w:pPr>
        <w:spacing w:line="288" w:lineRule="auto"/>
        <w:rPr>
          <w:rFonts w:ascii="Times New Roman" w:hAnsi="Times New Roman"/>
          <w:sz w:val="20"/>
          <w:szCs w:val="20"/>
        </w:rPr>
      </w:pPr>
      <w:hyperlink r:id="rId92" w:anchor="sBB4BED1571A45A16AF3DC2E3B69C901C" w:history="1">
        <w:r>
          <w:rPr>
            <w:rStyle w:val="a5"/>
            <w:rFonts w:ascii="Times New Roman" w:eastAsia="宋体" w:hAnsi="Times New Roman"/>
            <w:sz w:val="20"/>
            <w:szCs w:val="20"/>
          </w:rPr>
          <w:t>Table of Contents</w:t>
        </w:r>
      </w:hyperlink>
    </w:p>
    <w:p w14:paraId="1446F3BD"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015"/>
      </w:tblGrid>
      <w:tr w:rsidR="00FE42B5" w14:paraId="1446F3C0" w14:textId="77777777">
        <w:trPr>
          <w:tblCellSpacing w:w="0" w:type="dxa"/>
        </w:trPr>
        <w:tc>
          <w:tcPr>
            <w:tcW w:w="1440" w:type="dxa"/>
            <w:shd w:val="clear" w:color="auto" w:fill="auto"/>
            <w:vAlign w:val="center"/>
          </w:tcPr>
          <w:p w14:paraId="1446F3BE" w14:textId="77777777" w:rsidR="00FE42B5" w:rsidRDefault="00FE42B5">
            <w:pPr>
              <w:rPr>
                <w:rFonts w:ascii="Times New Roman" w:hAnsi="Times New Roman"/>
                <w:sz w:val="20"/>
                <w:szCs w:val="20"/>
              </w:rPr>
            </w:pPr>
          </w:p>
        </w:tc>
        <w:tc>
          <w:tcPr>
            <w:tcW w:w="0" w:type="auto"/>
            <w:shd w:val="clear" w:color="auto" w:fill="auto"/>
            <w:vAlign w:val="center"/>
          </w:tcPr>
          <w:p w14:paraId="1446F3BF" w14:textId="77777777" w:rsidR="00FE42B5" w:rsidRDefault="00FE42B5">
            <w:pPr>
              <w:rPr>
                <w:rFonts w:ascii="Times New Roman" w:hAnsi="Times New Roman"/>
                <w:sz w:val="20"/>
                <w:szCs w:val="20"/>
              </w:rPr>
            </w:pPr>
          </w:p>
        </w:tc>
      </w:tr>
      <w:tr w:rsidR="00FE42B5" w14:paraId="1446F3C3" w14:textId="77777777">
        <w:trPr>
          <w:tblCellSpacing w:w="0" w:type="dxa"/>
        </w:trPr>
        <w:tc>
          <w:tcPr>
            <w:tcW w:w="0" w:type="auto"/>
            <w:shd w:val="clear" w:color="auto" w:fill="auto"/>
          </w:tcPr>
          <w:p w14:paraId="1446F3C1"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C2"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we are unable to obtain or attract engaging third-party content;</w:t>
            </w:r>
          </w:p>
        </w:tc>
      </w:tr>
    </w:tbl>
    <w:p w14:paraId="1446F3C4"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C7" w14:textId="77777777">
        <w:trPr>
          <w:tblCellSpacing w:w="0" w:type="dxa"/>
        </w:trPr>
        <w:tc>
          <w:tcPr>
            <w:tcW w:w="1440" w:type="dxa"/>
            <w:shd w:val="clear" w:color="auto" w:fill="auto"/>
            <w:vAlign w:val="center"/>
          </w:tcPr>
          <w:p w14:paraId="1446F3C5" w14:textId="77777777" w:rsidR="00FE42B5" w:rsidRDefault="00FE42B5">
            <w:pPr>
              <w:rPr>
                <w:rFonts w:ascii="Times New Roman" w:hAnsi="Times New Roman"/>
                <w:sz w:val="20"/>
                <w:szCs w:val="20"/>
              </w:rPr>
            </w:pPr>
          </w:p>
        </w:tc>
        <w:tc>
          <w:tcPr>
            <w:tcW w:w="0" w:type="auto"/>
            <w:shd w:val="clear" w:color="auto" w:fill="auto"/>
            <w:vAlign w:val="center"/>
          </w:tcPr>
          <w:p w14:paraId="1446F3C6" w14:textId="77777777" w:rsidR="00FE42B5" w:rsidRDefault="00FE42B5">
            <w:pPr>
              <w:rPr>
                <w:rFonts w:ascii="Times New Roman" w:hAnsi="Times New Roman"/>
                <w:sz w:val="20"/>
                <w:szCs w:val="20"/>
              </w:rPr>
            </w:pPr>
          </w:p>
        </w:tc>
      </w:tr>
      <w:tr w:rsidR="00FE42B5" w14:paraId="1446F3CA" w14:textId="77777777">
        <w:trPr>
          <w:tblCellSpacing w:w="0" w:type="dxa"/>
        </w:trPr>
        <w:tc>
          <w:tcPr>
            <w:tcW w:w="0" w:type="auto"/>
            <w:shd w:val="clear" w:color="auto" w:fill="auto"/>
          </w:tcPr>
          <w:p w14:paraId="1446F3C8"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C9"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w:t>
            </w:r>
            <w:r>
              <w:rPr>
                <w:rFonts w:ascii="Times New Roman" w:eastAsia="宋体" w:hAnsi="Times New Roman"/>
                <w:sz w:val="20"/>
                <w:szCs w:val="20"/>
              </w:rPr>
              <w:t>are unable to successfully maintain or grow usage of and engagement with mobile and web applications that integrate with Facebook and our other products;</w:t>
            </w:r>
          </w:p>
        </w:tc>
      </w:tr>
    </w:tbl>
    <w:p w14:paraId="1446F3CB"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CE" w14:textId="77777777">
        <w:trPr>
          <w:tblCellSpacing w:w="0" w:type="dxa"/>
        </w:trPr>
        <w:tc>
          <w:tcPr>
            <w:tcW w:w="1440" w:type="dxa"/>
            <w:shd w:val="clear" w:color="auto" w:fill="auto"/>
            <w:vAlign w:val="center"/>
          </w:tcPr>
          <w:p w14:paraId="1446F3CC" w14:textId="77777777" w:rsidR="00FE42B5" w:rsidRDefault="00FE42B5">
            <w:pPr>
              <w:rPr>
                <w:rFonts w:ascii="Times New Roman" w:hAnsi="Times New Roman"/>
                <w:sz w:val="20"/>
                <w:szCs w:val="20"/>
              </w:rPr>
            </w:pPr>
          </w:p>
        </w:tc>
        <w:tc>
          <w:tcPr>
            <w:tcW w:w="0" w:type="auto"/>
            <w:shd w:val="clear" w:color="auto" w:fill="auto"/>
            <w:vAlign w:val="center"/>
          </w:tcPr>
          <w:p w14:paraId="1446F3CD" w14:textId="77777777" w:rsidR="00FE42B5" w:rsidRDefault="00FE42B5">
            <w:pPr>
              <w:rPr>
                <w:rFonts w:ascii="Times New Roman" w:hAnsi="Times New Roman"/>
                <w:sz w:val="20"/>
                <w:szCs w:val="20"/>
              </w:rPr>
            </w:pPr>
          </w:p>
        </w:tc>
      </w:tr>
      <w:tr w:rsidR="00FE42B5" w14:paraId="1446F3D1" w14:textId="77777777">
        <w:trPr>
          <w:tblCellSpacing w:w="0" w:type="dxa"/>
        </w:trPr>
        <w:tc>
          <w:tcPr>
            <w:tcW w:w="0" w:type="auto"/>
            <w:shd w:val="clear" w:color="auto" w:fill="auto"/>
          </w:tcPr>
          <w:p w14:paraId="1446F3CF"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D0"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users adopt new technologies where our products may be displaced in favor of other </w:t>
            </w:r>
            <w:r>
              <w:rPr>
                <w:rFonts w:ascii="Times New Roman" w:eastAsia="宋体" w:hAnsi="Times New Roman"/>
                <w:sz w:val="20"/>
                <w:szCs w:val="20"/>
              </w:rPr>
              <w:t>products or services, or may not be featured or otherwise available;</w:t>
            </w:r>
          </w:p>
        </w:tc>
      </w:tr>
    </w:tbl>
    <w:p w14:paraId="1446F3D2"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D5" w14:textId="77777777">
        <w:trPr>
          <w:tblCellSpacing w:w="0" w:type="dxa"/>
        </w:trPr>
        <w:tc>
          <w:tcPr>
            <w:tcW w:w="1440" w:type="dxa"/>
            <w:shd w:val="clear" w:color="auto" w:fill="auto"/>
            <w:vAlign w:val="center"/>
          </w:tcPr>
          <w:p w14:paraId="1446F3D3" w14:textId="77777777" w:rsidR="00FE42B5" w:rsidRDefault="00FE42B5">
            <w:pPr>
              <w:rPr>
                <w:rFonts w:ascii="Times New Roman" w:hAnsi="Times New Roman"/>
                <w:sz w:val="20"/>
                <w:szCs w:val="20"/>
              </w:rPr>
            </w:pPr>
          </w:p>
        </w:tc>
        <w:tc>
          <w:tcPr>
            <w:tcW w:w="0" w:type="auto"/>
            <w:shd w:val="clear" w:color="auto" w:fill="auto"/>
            <w:vAlign w:val="center"/>
          </w:tcPr>
          <w:p w14:paraId="1446F3D4" w14:textId="77777777" w:rsidR="00FE42B5" w:rsidRDefault="00FE42B5">
            <w:pPr>
              <w:rPr>
                <w:rFonts w:ascii="Times New Roman" w:hAnsi="Times New Roman"/>
                <w:sz w:val="20"/>
                <w:szCs w:val="20"/>
              </w:rPr>
            </w:pPr>
          </w:p>
        </w:tc>
      </w:tr>
      <w:tr w:rsidR="00FE42B5" w14:paraId="1446F3D8" w14:textId="77777777">
        <w:trPr>
          <w:tblCellSpacing w:w="0" w:type="dxa"/>
        </w:trPr>
        <w:tc>
          <w:tcPr>
            <w:tcW w:w="0" w:type="auto"/>
            <w:shd w:val="clear" w:color="auto" w:fill="auto"/>
          </w:tcPr>
          <w:p w14:paraId="1446F3D6"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D7"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there are changes mandated by legislation, regulatory authorities, or litigation that adversely affect our products or users;</w:t>
            </w:r>
          </w:p>
        </w:tc>
      </w:tr>
    </w:tbl>
    <w:p w14:paraId="1446F3D9"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DC" w14:textId="77777777">
        <w:trPr>
          <w:tblCellSpacing w:w="0" w:type="dxa"/>
        </w:trPr>
        <w:tc>
          <w:tcPr>
            <w:tcW w:w="1440" w:type="dxa"/>
            <w:shd w:val="clear" w:color="auto" w:fill="auto"/>
            <w:vAlign w:val="center"/>
          </w:tcPr>
          <w:p w14:paraId="1446F3DA" w14:textId="77777777" w:rsidR="00FE42B5" w:rsidRDefault="00FE42B5">
            <w:pPr>
              <w:rPr>
                <w:rFonts w:ascii="Times New Roman" w:hAnsi="Times New Roman"/>
                <w:sz w:val="20"/>
                <w:szCs w:val="20"/>
              </w:rPr>
            </w:pPr>
          </w:p>
        </w:tc>
        <w:tc>
          <w:tcPr>
            <w:tcW w:w="0" w:type="auto"/>
            <w:shd w:val="clear" w:color="auto" w:fill="auto"/>
            <w:vAlign w:val="center"/>
          </w:tcPr>
          <w:p w14:paraId="1446F3DB" w14:textId="77777777" w:rsidR="00FE42B5" w:rsidRDefault="00FE42B5">
            <w:pPr>
              <w:rPr>
                <w:rFonts w:ascii="Times New Roman" w:hAnsi="Times New Roman"/>
                <w:sz w:val="20"/>
                <w:szCs w:val="20"/>
              </w:rPr>
            </w:pPr>
          </w:p>
        </w:tc>
      </w:tr>
      <w:tr w:rsidR="00FE42B5" w14:paraId="1446F3DF" w14:textId="77777777">
        <w:trPr>
          <w:tblCellSpacing w:w="0" w:type="dxa"/>
        </w:trPr>
        <w:tc>
          <w:tcPr>
            <w:tcW w:w="0" w:type="auto"/>
            <w:shd w:val="clear" w:color="auto" w:fill="auto"/>
          </w:tcPr>
          <w:p w14:paraId="1446F3DD"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DE"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there is decreased engagement with our </w:t>
            </w:r>
            <w:r>
              <w:rPr>
                <w:rFonts w:ascii="Times New Roman" w:eastAsia="宋体" w:hAnsi="Times New Roman"/>
                <w:sz w:val="20"/>
                <w:szCs w:val="20"/>
              </w:rPr>
              <w:t xml:space="preserve">products, or failure to accept our terms of service, as part of changes that we implemented in connection with the General Data Protection Regulation (GDPR) in Europe, other similar changes that we implemented in the United States and around the world, or </w:t>
            </w:r>
            <w:r>
              <w:rPr>
                <w:rFonts w:ascii="Times New Roman" w:eastAsia="宋体" w:hAnsi="Times New Roman"/>
                <w:sz w:val="20"/>
                <w:szCs w:val="20"/>
              </w:rPr>
              <w:t>other changes we have implemented or may implement in the future in connection with other regulations, regulatory actions or otherwise;</w:t>
            </w:r>
          </w:p>
        </w:tc>
      </w:tr>
    </w:tbl>
    <w:p w14:paraId="1446F3E0"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E3" w14:textId="77777777">
        <w:trPr>
          <w:tblCellSpacing w:w="0" w:type="dxa"/>
        </w:trPr>
        <w:tc>
          <w:tcPr>
            <w:tcW w:w="1440" w:type="dxa"/>
            <w:shd w:val="clear" w:color="auto" w:fill="auto"/>
            <w:vAlign w:val="center"/>
          </w:tcPr>
          <w:p w14:paraId="1446F3E1" w14:textId="77777777" w:rsidR="00FE42B5" w:rsidRDefault="00FE42B5">
            <w:pPr>
              <w:rPr>
                <w:rFonts w:ascii="Times New Roman" w:hAnsi="Times New Roman"/>
                <w:sz w:val="20"/>
                <w:szCs w:val="20"/>
              </w:rPr>
            </w:pPr>
          </w:p>
        </w:tc>
        <w:tc>
          <w:tcPr>
            <w:tcW w:w="0" w:type="auto"/>
            <w:shd w:val="clear" w:color="auto" w:fill="auto"/>
            <w:vAlign w:val="center"/>
          </w:tcPr>
          <w:p w14:paraId="1446F3E2" w14:textId="77777777" w:rsidR="00FE42B5" w:rsidRDefault="00FE42B5">
            <w:pPr>
              <w:rPr>
                <w:rFonts w:ascii="Times New Roman" w:hAnsi="Times New Roman"/>
                <w:sz w:val="20"/>
                <w:szCs w:val="20"/>
              </w:rPr>
            </w:pPr>
          </w:p>
        </w:tc>
      </w:tr>
      <w:tr w:rsidR="00FE42B5" w14:paraId="1446F3E6" w14:textId="77777777">
        <w:trPr>
          <w:tblCellSpacing w:w="0" w:type="dxa"/>
        </w:trPr>
        <w:tc>
          <w:tcPr>
            <w:tcW w:w="0" w:type="auto"/>
            <w:shd w:val="clear" w:color="auto" w:fill="auto"/>
          </w:tcPr>
          <w:p w14:paraId="1446F3E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E5"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technical or other problems prevent us from delivering our products in a rapid and reliable manner or otherwise affect the user experience, such as security breaches or failure to prevent or limit spam or similar content; </w:t>
            </w:r>
          </w:p>
        </w:tc>
      </w:tr>
    </w:tbl>
    <w:p w14:paraId="1446F3E7"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EA" w14:textId="77777777">
        <w:trPr>
          <w:tblCellSpacing w:w="0" w:type="dxa"/>
        </w:trPr>
        <w:tc>
          <w:tcPr>
            <w:tcW w:w="1440" w:type="dxa"/>
            <w:shd w:val="clear" w:color="auto" w:fill="auto"/>
            <w:vAlign w:val="center"/>
          </w:tcPr>
          <w:p w14:paraId="1446F3E8" w14:textId="77777777" w:rsidR="00FE42B5" w:rsidRDefault="00FE42B5">
            <w:pPr>
              <w:rPr>
                <w:rFonts w:ascii="Times New Roman" w:hAnsi="Times New Roman"/>
                <w:sz w:val="20"/>
                <w:szCs w:val="20"/>
              </w:rPr>
            </w:pPr>
          </w:p>
        </w:tc>
        <w:tc>
          <w:tcPr>
            <w:tcW w:w="0" w:type="auto"/>
            <w:shd w:val="clear" w:color="auto" w:fill="auto"/>
            <w:vAlign w:val="center"/>
          </w:tcPr>
          <w:p w14:paraId="1446F3E9" w14:textId="77777777" w:rsidR="00FE42B5" w:rsidRDefault="00FE42B5">
            <w:pPr>
              <w:rPr>
                <w:rFonts w:ascii="Times New Roman" w:hAnsi="Times New Roman"/>
                <w:sz w:val="20"/>
                <w:szCs w:val="20"/>
              </w:rPr>
            </w:pPr>
          </w:p>
        </w:tc>
      </w:tr>
      <w:tr w:rsidR="00FE42B5" w14:paraId="1446F3ED" w14:textId="77777777">
        <w:trPr>
          <w:tblCellSpacing w:w="0" w:type="dxa"/>
        </w:trPr>
        <w:tc>
          <w:tcPr>
            <w:tcW w:w="0" w:type="auto"/>
            <w:shd w:val="clear" w:color="auto" w:fill="auto"/>
          </w:tcPr>
          <w:p w14:paraId="1446F3EB"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EC"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adopt terms, policies, </w:t>
            </w:r>
            <w:r>
              <w:rPr>
                <w:rFonts w:ascii="Times New Roman" w:eastAsia="宋体" w:hAnsi="Times New Roman"/>
                <w:sz w:val="20"/>
                <w:szCs w:val="20"/>
              </w:rPr>
              <w:t>or procedures related to areas such as sharing, content, user data, or advertising that are perceived negatively by our users or the general public;</w:t>
            </w:r>
          </w:p>
        </w:tc>
      </w:tr>
    </w:tbl>
    <w:p w14:paraId="1446F3EE"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F1" w14:textId="77777777">
        <w:trPr>
          <w:tblCellSpacing w:w="0" w:type="dxa"/>
        </w:trPr>
        <w:tc>
          <w:tcPr>
            <w:tcW w:w="1440" w:type="dxa"/>
            <w:shd w:val="clear" w:color="auto" w:fill="auto"/>
            <w:vAlign w:val="center"/>
          </w:tcPr>
          <w:p w14:paraId="1446F3EF" w14:textId="77777777" w:rsidR="00FE42B5" w:rsidRDefault="00FE42B5">
            <w:pPr>
              <w:rPr>
                <w:rFonts w:ascii="Times New Roman" w:hAnsi="Times New Roman"/>
                <w:sz w:val="20"/>
                <w:szCs w:val="20"/>
              </w:rPr>
            </w:pPr>
          </w:p>
        </w:tc>
        <w:tc>
          <w:tcPr>
            <w:tcW w:w="0" w:type="auto"/>
            <w:shd w:val="clear" w:color="auto" w:fill="auto"/>
            <w:vAlign w:val="center"/>
          </w:tcPr>
          <w:p w14:paraId="1446F3F0" w14:textId="77777777" w:rsidR="00FE42B5" w:rsidRDefault="00FE42B5">
            <w:pPr>
              <w:rPr>
                <w:rFonts w:ascii="Times New Roman" w:hAnsi="Times New Roman"/>
                <w:sz w:val="20"/>
                <w:szCs w:val="20"/>
              </w:rPr>
            </w:pPr>
          </w:p>
        </w:tc>
      </w:tr>
      <w:tr w:rsidR="00FE42B5" w14:paraId="1446F3F4" w14:textId="77777777">
        <w:trPr>
          <w:tblCellSpacing w:w="0" w:type="dxa"/>
        </w:trPr>
        <w:tc>
          <w:tcPr>
            <w:tcW w:w="0" w:type="auto"/>
            <w:shd w:val="clear" w:color="auto" w:fill="auto"/>
          </w:tcPr>
          <w:p w14:paraId="1446F3F2"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F3"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elect to focus our product decisions on longer-term initiatives that do not prioritize </w:t>
            </w:r>
            <w:r>
              <w:rPr>
                <w:rFonts w:ascii="Times New Roman" w:eastAsia="宋体" w:hAnsi="Times New Roman"/>
                <w:sz w:val="20"/>
                <w:szCs w:val="20"/>
              </w:rPr>
              <w:t>near-term user growth and engagement;</w:t>
            </w:r>
          </w:p>
        </w:tc>
      </w:tr>
    </w:tbl>
    <w:p w14:paraId="1446F3F5"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F8" w14:textId="77777777">
        <w:trPr>
          <w:tblCellSpacing w:w="0" w:type="dxa"/>
        </w:trPr>
        <w:tc>
          <w:tcPr>
            <w:tcW w:w="1440" w:type="dxa"/>
            <w:shd w:val="clear" w:color="auto" w:fill="auto"/>
            <w:vAlign w:val="center"/>
          </w:tcPr>
          <w:p w14:paraId="1446F3F6" w14:textId="77777777" w:rsidR="00FE42B5" w:rsidRDefault="00FE42B5">
            <w:pPr>
              <w:rPr>
                <w:rFonts w:ascii="Times New Roman" w:hAnsi="Times New Roman"/>
                <w:sz w:val="20"/>
                <w:szCs w:val="20"/>
              </w:rPr>
            </w:pPr>
          </w:p>
        </w:tc>
        <w:tc>
          <w:tcPr>
            <w:tcW w:w="0" w:type="auto"/>
            <w:shd w:val="clear" w:color="auto" w:fill="auto"/>
            <w:vAlign w:val="center"/>
          </w:tcPr>
          <w:p w14:paraId="1446F3F7" w14:textId="77777777" w:rsidR="00FE42B5" w:rsidRDefault="00FE42B5">
            <w:pPr>
              <w:rPr>
                <w:rFonts w:ascii="Times New Roman" w:hAnsi="Times New Roman"/>
                <w:sz w:val="20"/>
                <w:szCs w:val="20"/>
              </w:rPr>
            </w:pPr>
          </w:p>
        </w:tc>
      </w:tr>
      <w:tr w:rsidR="00FE42B5" w14:paraId="1446F3FB" w14:textId="77777777">
        <w:trPr>
          <w:tblCellSpacing w:w="0" w:type="dxa"/>
        </w:trPr>
        <w:tc>
          <w:tcPr>
            <w:tcW w:w="0" w:type="auto"/>
            <w:shd w:val="clear" w:color="auto" w:fill="auto"/>
          </w:tcPr>
          <w:p w14:paraId="1446F3F9"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3FA"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we make changes in how we promote different products and services across our family of products;</w:t>
            </w:r>
          </w:p>
        </w:tc>
      </w:tr>
    </w:tbl>
    <w:p w14:paraId="1446F3FC"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3FF" w14:textId="77777777">
        <w:trPr>
          <w:tblCellSpacing w:w="0" w:type="dxa"/>
        </w:trPr>
        <w:tc>
          <w:tcPr>
            <w:tcW w:w="1440" w:type="dxa"/>
            <w:shd w:val="clear" w:color="auto" w:fill="auto"/>
            <w:vAlign w:val="center"/>
          </w:tcPr>
          <w:p w14:paraId="1446F3FD" w14:textId="77777777" w:rsidR="00FE42B5" w:rsidRDefault="00FE42B5">
            <w:pPr>
              <w:rPr>
                <w:rFonts w:ascii="Times New Roman" w:hAnsi="Times New Roman"/>
                <w:sz w:val="20"/>
                <w:szCs w:val="20"/>
              </w:rPr>
            </w:pPr>
          </w:p>
        </w:tc>
        <w:tc>
          <w:tcPr>
            <w:tcW w:w="0" w:type="auto"/>
            <w:shd w:val="clear" w:color="auto" w:fill="auto"/>
            <w:vAlign w:val="center"/>
          </w:tcPr>
          <w:p w14:paraId="1446F3FE" w14:textId="77777777" w:rsidR="00FE42B5" w:rsidRDefault="00FE42B5">
            <w:pPr>
              <w:rPr>
                <w:rFonts w:ascii="Times New Roman" w:hAnsi="Times New Roman"/>
                <w:sz w:val="20"/>
                <w:szCs w:val="20"/>
              </w:rPr>
            </w:pPr>
          </w:p>
        </w:tc>
      </w:tr>
      <w:tr w:rsidR="00FE42B5" w14:paraId="1446F402" w14:textId="77777777">
        <w:trPr>
          <w:tblCellSpacing w:w="0" w:type="dxa"/>
        </w:trPr>
        <w:tc>
          <w:tcPr>
            <w:tcW w:w="0" w:type="auto"/>
            <w:shd w:val="clear" w:color="auto" w:fill="auto"/>
          </w:tcPr>
          <w:p w14:paraId="1446F400"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01"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initiatives designed to attract and retain users and engagement are unsuccessful or </w:t>
            </w:r>
            <w:r>
              <w:rPr>
                <w:rFonts w:ascii="Times New Roman" w:eastAsia="宋体" w:hAnsi="Times New Roman"/>
                <w:sz w:val="20"/>
                <w:szCs w:val="20"/>
              </w:rPr>
              <w:t>discontinued, whether as a result of actions by us, third parties, or otherwise;</w:t>
            </w:r>
          </w:p>
        </w:tc>
      </w:tr>
    </w:tbl>
    <w:p w14:paraId="1446F403"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06" w14:textId="77777777">
        <w:trPr>
          <w:tblCellSpacing w:w="0" w:type="dxa"/>
        </w:trPr>
        <w:tc>
          <w:tcPr>
            <w:tcW w:w="1440" w:type="dxa"/>
            <w:shd w:val="clear" w:color="auto" w:fill="auto"/>
            <w:vAlign w:val="center"/>
          </w:tcPr>
          <w:p w14:paraId="1446F404" w14:textId="77777777" w:rsidR="00FE42B5" w:rsidRDefault="00FE42B5">
            <w:pPr>
              <w:rPr>
                <w:rFonts w:ascii="Times New Roman" w:hAnsi="Times New Roman"/>
                <w:sz w:val="20"/>
                <w:szCs w:val="20"/>
              </w:rPr>
            </w:pPr>
          </w:p>
        </w:tc>
        <w:tc>
          <w:tcPr>
            <w:tcW w:w="0" w:type="auto"/>
            <w:shd w:val="clear" w:color="auto" w:fill="auto"/>
            <w:vAlign w:val="center"/>
          </w:tcPr>
          <w:p w14:paraId="1446F405" w14:textId="77777777" w:rsidR="00FE42B5" w:rsidRDefault="00FE42B5">
            <w:pPr>
              <w:rPr>
                <w:rFonts w:ascii="Times New Roman" w:hAnsi="Times New Roman"/>
                <w:sz w:val="20"/>
                <w:szCs w:val="20"/>
              </w:rPr>
            </w:pPr>
          </w:p>
        </w:tc>
      </w:tr>
      <w:tr w:rsidR="00FE42B5" w14:paraId="1446F409" w14:textId="77777777">
        <w:trPr>
          <w:tblCellSpacing w:w="0" w:type="dxa"/>
        </w:trPr>
        <w:tc>
          <w:tcPr>
            <w:tcW w:w="0" w:type="auto"/>
            <w:shd w:val="clear" w:color="auto" w:fill="auto"/>
          </w:tcPr>
          <w:p w14:paraId="1446F407"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08"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third-party initiatives that may enable greater use of our products, including low-cost or discounted data plans, are discontinued;</w:t>
            </w:r>
          </w:p>
        </w:tc>
      </w:tr>
    </w:tbl>
    <w:p w14:paraId="1446F40A"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0D" w14:textId="77777777">
        <w:trPr>
          <w:tblCellSpacing w:w="0" w:type="dxa"/>
        </w:trPr>
        <w:tc>
          <w:tcPr>
            <w:tcW w:w="1440" w:type="dxa"/>
            <w:shd w:val="clear" w:color="auto" w:fill="auto"/>
            <w:vAlign w:val="center"/>
          </w:tcPr>
          <w:p w14:paraId="1446F40B" w14:textId="77777777" w:rsidR="00FE42B5" w:rsidRDefault="00FE42B5">
            <w:pPr>
              <w:rPr>
                <w:rFonts w:ascii="Times New Roman" w:hAnsi="Times New Roman"/>
                <w:sz w:val="20"/>
                <w:szCs w:val="20"/>
              </w:rPr>
            </w:pPr>
          </w:p>
        </w:tc>
        <w:tc>
          <w:tcPr>
            <w:tcW w:w="0" w:type="auto"/>
            <w:shd w:val="clear" w:color="auto" w:fill="auto"/>
            <w:vAlign w:val="center"/>
          </w:tcPr>
          <w:p w14:paraId="1446F40C" w14:textId="77777777" w:rsidR="00FE42B5" w:rsidRDefault="00FE42B5">
            <w:pPr>
              <w:rPr>
                <w:rFonts w:ascii="Times New Roman" w:hAnsi="Times New Roman"/>
                <w:sz w:val="20"/>
                <w:szCs w:val="20"/>
              </w:rPr>
            </w:pPr>
          </w:p>
        </w:tc>
      </w:tr>
      <w:tr w:rsidR="00FE42B5" w14:paraId="1446F410" w14:textId="77777777">
        <w:trPr>
          <w:tblCellSpacing w:w="0" w:type="dxa"/>
        </w:trPr>
        <w:tc>
          <w:tcPr>
            <w:tcW w:w="0" w:type="auto"/>
            <w:shd w:val="clear" w:color="auto" w:fill="auto"/>
          </w:tcPr>
          <w:p w14:paraId="1446F40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0F"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there is decreased </w:t>
            </w:r>
            <w:r>
              <w:rPr>
                <w:rFonts w:ascii="Times New Roman" w:eastAsia="宋体" w:hAnsi="Times New Roman"/>
                <w:sz w:val="20"/>
                <w:szCs w:val="20"/>
              </w:rPr>
              <w:t>engagement with our products as a result of taxes imposed on the use of social media or other mobile applications in certain countries, internet shutdowns, or other actions by governments that affect the accessibility of our products in their countries;</w:t>
            </w:r>
          </w:p>
        </w:tc>
      </w:tr>
    </w:tbl>
    <w:p w14:paraId="1446F411"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14" w14:textId="77777777">
        <w:trPr>
          <w:tblCellSpacing w:w="0" w:type="dxa"/>
        </w:trPr>
        <w:tc>
          <w:tcPr>
            <w:tcW w:w="1440" w:type="dxa"/>
            <w:shd w:val="clear" w:color="auto" w:fill="auto"/>
            <w:vAlign w:val="center"/>
          </w:tcPr>
          <w:p w14:paraId="1446F412" w14:textId="77777777" w:rsidR="00FE42B5" w:rsidRDefault="00FE42B5">
            <w:pPr>
              <w:rPr>
                <w:rFonts w:ascii="Times New Roman" w:hAnsi="Times New Roman"/>
                <w:sz w:val="20"/>
                <w:szCs w:val="20"/>
              </w:rPr>
            </w:pPr>
          </w:p>
        </w:tc>
        <w:tc>
          <w:tcPr>
            <w:tcW w:w="0" w:type="auto"/>
            <w:shd w:val="clear" w:color="auto" w:fill="auto"/>
            <w:vAlign w:val="center"/>
          </w:tcPr>
          <w:p w14:paraId="1446F413" w14:textId="77777777" w:rsidR="00FE42B5" w:rsidRDefault="00FE42B5">
            <w:pPr>
              <w:rPr>
                <w:rFonts w:ascii="Times New Roman" w:hAnsi="Times New Roman"/>
                <w:sz w:val="20"/>
                <w:szCs w:val="20"/>
              </w:rPr>
            </w:pPr>
          </w:p>
        </w:tc>
      </w:tr>
      <w:tr w:rsidR="00FE42B5" w14:paraId="1446F417" w14:textId="77777777">
        <w:trPr>
          <w:tblCellSpacing w:w="0" w:type="dxa"/>
        </w:trPr>
        <w:tc>
          <w:tcPr>
            <w:tcW w:w="0" w:type="auto"/>
            <w:shd w:val="clear" w:color="auto" w:fill="auto"/>
          </w:tcPr>
          <w:p w14:paraId="1446F415"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16"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we fail to provide adequate customer service to users, marketers, developers, or other partners;</w:t>
            </w:r>
          </w:p>
        </w:tc>
      </w:tr>
    </w:tbl>
    <w:p w14:paraId="1446F418"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1B" w14:textId="77777777">
        <w:trPr>
          <w:tblCellSpacing w:w="0" w:type="dxa"/>
        </w:trPr>
        <w:tc>
          <w:tcPr>
            <w:tcW w:w="1440" w:type="dxa"/>
            <w:shd w:val="clear" w:color="auto" w:fill="auto"/>
            <w:vAlign w:val="center"/>
          </w:tcPr>
          <w:p w14:paraId="1446F419" w14:textId="77777777" w:rsidR="00FE42B5" w:rsidRDefault="00FE42B5">
            <w:pPr>
              <w:rPr>
                <w:rFonts w:ascii="Times New Roman" w:hAnsi="Times New Roman"/>
                <w:sz w:val="20"/>
                <w:szCs w:val="20"/>
              </w:rPr>
            </w:pPr>
          </w:p>
        </w:tc>
        <w:tc>
          <w:tcPr>
            <w:tcW w:w="0" w:type="auto"/>
            <w:shd w:val="clear" w:color="auto" w:fill="auto"/>
            <w:vAlign w:val="center"/>
          </w:tcPr>
          <w:p w14:paraId="1446F41A" w14:textId="77777777" w:rsidR="00FE42B5" w:rsidRDefault="00FE42B5">
            <w:pPr>
              <w:rPr>
                <w:rFonts w:ascii="Times New Roman" w:hAnsi="Times New Roman"/>
                <w:sz w:val="20"/>
                <w:szCs w:val="20"/>
              </w:rPr>
            </w:pPr>
          </w:p>
        </w:tc>
      </w:tr>
      <w:tr w:rsidR="00FE42B5" w14:paraId="1446F41E" w14:textId="77777777">
        <w:trPr>
          <w:tblCellSpacing w:w="0" w:type="dxa"/>
        </w:trPr>
        <w:tc>
          <w:tcPr>
            <w:tcW w:w="0" w:type="auto"/>
            <w:shd w:val="clear" w:color="auto" w:fill="auto"/>
          </w:tcPr>
          <w:p w14:paraId="1446F41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1D"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developers whose products are integrated with our products, or other partners and companies in our industry are the subject of adverse </w:t>
            </w:r>
            <w:r>
              <w:rPr>
                <w:rFonts w:ascii="Times New Roman" w:eastAsia="宋体" w:hAnsi="Times New Roman"/>
                <w:sz w:val="20"/>
                <w:szCs w:val="20"/>
              </w:rPr>
              <w:t>media reports or other negative publicity, including as a result of our or their user data practices; or</w:t>
            </w:r>
          </w:p>
        </w:tc>
      </w:tr>
    </w:tbl>
    <w:p w14:paraId="1446F41F"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22" w14:textId="77777777">
        <w:trPr>
          <w:tblCellSpacing w:w="0" w:type="dxa"/>
        </w:trPr>
        <w:tc>
          <w:tcPr>
            <w:tcW w:w="1440" w:type="dxa"/>
            <w:shd w:val="clear" w:color="auto" w:fill="auto"/>
            <w:vAlign w:val="center"/>
          </w:tcPr>
          <w:p w14:paraId="1446F420" w14:textId="77777777" w:rsidR="00FE42B5" w:rsidRDefault="00FE42B5">
            <w:pPr>
              <w:rPr>
                <w:rFonts w:ascii="Times New Roman" w:hAnsi="Times New Roman"/>
                <w:sz w:val="20"/>
                <w:szCs w:val="20"/>
              </w:rPr>
            </w:pPr>
          </w:p>
        </w:tc>
        <w:tc>
          <w:tcPr>
            <w:tcW w:w="0" w:type="auto"/>
            <w:shd w:val="clear" w:color="auto" w:fill="auto"/>
            <w:vAlign w:val="center"/>
          </w:tcPr>
          <w:p w14:paraId="1446F421" w14:textId="77777777" w:rsidR="00FE42B5" w:rsidRDefault="00FE42B5">
            <w:pPr>
              <w:rPr>
                <w:rFonts w:ascii="Times New Roman" w:hAnsi="Times New Roman"/>
                <w:sz w:val="20"/>
                <w:szCs w:val="20"/>
              </w:rPr>
            </w:pPr>
          </w:p>
        </w:tc>
      </w:tr>
      <w:tr w:rsidR="00FE42B5" w14:paraId="1446F425" w14:textId="77777777">
        <w:trPr>
          <w:tblCellSpacing w:w="0" w:type="dxa"/>
        </w:trPr>
        <w:tc>
          <w:tcPr>
            <w:tcW w:w="0" w:type="auto"/>
            <w:shd w:val="clear" w:color="auto" w:fill="auto"/>
          </w:tcPr>
          <w:p w14:paraId="1446F42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2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current or future products, such as our development tools and application programming interfaces that enable developers to build, grow, and </w:t>
            </w:r>
            <w:r>
              <w:rPr>
                <w:rFonts w:ascii="Times New Roman" w:eastAsia="宋体" w:hAnsi="Times New Roman"/>
                <w:sz w:val="20"/>
                <w:szCs w:val="20"/>
              </w:rPr>
              <w:t>monetize mobile and web applications, reduce user activity on our products by making it easier for our users to interact and share on third-party mobile and web applications.</w:t>
            </w:r>
          </w:p>
        </w:tc>
      </w:tr>
    </w:tbl>
    <w:p w14:paraId="1446F42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From time to time, certain of these factors have negatively affected user </w:t>
      </w:r>
      <w:r>
        <w:rPr>
          <w:rFonts w:ascii="Times New Roman" w:eastAsia="宋体" w:hAnsi="Times New Roman"/>
          <w:sz w:val="20"/>
          <w:szCs w:val="20"/>
        </w:rPr>
        <w:t>retention, growth, and engagement to varying degrees. If we are unable to maintain or increase our user base and user engagement, particularly for our significant revenue-generating products like Facebook and Instagram, our revenue and financial results ma</w:t>
      </w:r>
      <w:r>
        <w:rPr>
          <w:rFonts w:ascii="Times New Roman" w:eastAsia="宋体" w:hAnsi="Times New Roman"/>
          <w:sz w:val="20"/>
          <w:szCs w:val="20"/>
        </w:rPr>
        <w:t>y be adversely affected. Any decrease in user retention, growth, or engagement could render our products less attractive to users, marketers, and developers, which is likely to have a material and adverse impact on our revenue, business, financial conditio</w:t>
      </w:r>
      <w:r>
        <w:rPr>
          <w:rFonts w:ascii="Times New Roman" w:eastAsia="宋体" w:hAnsi="Times New Roman"/>
          <w:sz w:val="20"/>
          <w:szCs w:val="20"/>
        </w:rPr>
        <w:t>n, and results of operations. If our active user growth rate continues to slow, we will become increasingly dependent on our ability to maintain or increase levels of user engagement and monetization in order to drive revenue growth.</w:t>
      </w:r>
    </w:p>
    <w:p w14:paraId="1446F427"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generate substantia</w:t>
      </w:r>
      <w:r>
        <w:rPr>
          <w:rFonts w:ascii="Times New Roman" w:eastAsia="宋体" w:hAnsi="Times New Roman"/>
          <w:b/>
          <w:bCs/>
          <w:i/>
          <w:iCs/>
          <w:sz w:val="20"/>
          <w:szCs w:val="20"/>
        </w:rPr>
        <w:t>lly all of our revenue from advertising. The loss of marketers, or reduction in spending by marketers, could seriously harm our business.</w:t>
      </w:r>
    </w:p>
    <w:p w14:paraId="1446F42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Substantially all of our revenue is currently generated from third parties advertising on Facebook and Instagram. As i</w:t>
      </w:r>
      <w:r>
        <w:rPr>
          <w:rFonts w:ascii="Times New Roman" w:eastAsia="宋体" w:hAnsi="Times New Roman"/>
          <w:sz w:val="20"/>
          <w:szCs w:val="20"/>
        </w:rPr>
        <w:t xml:space="preserve">s common in the industry, our marketers do not have long-term advertising commitments with us. Many of our marketers spend </w:t>
      </w:r>
    </w:p>
    <w:p w14:paraId="1446F429" w14:textId="77777777" w:rsidR="00FE42B5" w:rsidRDefault="00FE42B5">
      <w:pPr>
        <w:rPr>
          <w:rFonts w:ascii="Times New Roman" w:hAnsi="Times New Roman"/>
          <w:sz w:val="20"/>
          <w:szCs w:val="20"/>
        </w:rPr>
      </w:pPr>
    </w:p>
    <w:p w14:paraId="1446F42A"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53</w:t>
      </w:r>
    </w:p>
    <w:p w14:paraId="1446F42B" w14:textId="77777777" w:rsidR="00FE42B5" w:rsidRDefault="009213DC">
      <w:r>
        <w:rPr>
          <w:rFonts w:ascii="Times New Roman" w:hAnsi="Times New Roman"/>
          <w:sz w:val="20"/>
          <w:szCs w:val="20"/>
        </w:rPr>
        <w:pict w14:anchorId="1446FAFD">
          <v:rect id="_x0000_i1077" style="width:415.3pt;height:1.5pt" o:hralign="center" o:hrstd="t" o:hr="t" fillcolor="#a0a0a0" stroked="f"/>
        </w:pict>
      </w:r>
    </w:p>
    <w:p w14:paraId="1446F42C" w14:textId="77777777" w:rsidR="00FE42B5" w:rsidRDefault="009213DC">
      <w:pPr>
        <w:spacing w:line="288" w:lineRule="auto"/>
        <w:rPr>
          <w:rFonts w:ascii="Times New Roman" w:hAnsi="Times New Roman"/>
          <w:sz w:val="20"/>
          <w:szCs w:val="20"/>
        </w:rPr>
      </w:pPr>
      <w:hyperlink r:id="rId93" w:anchor="sBB4BED1571A45A16AF3DC2E3B69C901C" w:history="1">
        <w:r>
          <w:rPr>
            <w:rStyle w:val="a5"/>
            <w:rFonts w:ascii="Times New Roman" w:eastAsia="宋体" w:hAnsi="Times New Roman"/>
            <w:sz w:val="20"/>
            <w:szCs w:val="20"/>
          </w:rPr>
          <w:t>Table of Contents</w:t>
        </w:r>
      </w:hyperlink>
    </w:p>
    <w:p w14:paraId="1446F42D" w14:textId="77777777" w:rsidR="00FE42B5" w:rsidRDefault="00FE42B5">
      <w:pPr>
        <w:rPr>
          <w:rFonts w:ascii="Times New Roman" w:hAnsi="Times New Roman"/>
          <w:sz w:val="20"/>
          <w:szCs w:val="20"/>
        </w:rPr>
      </w:pPr>
    </w:p>
    <w:p w14:paraId="1446F42E"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only a relatively small portion of their overall advertising budget with us. Marketers will not continue to do business with us, or they will reduce the budgets they are willing to commit to us, if we do not de</w:t>
      </w:r>
      <w:r>
        <w:rPr>
          <w:rFonts w:ascii="Times New Roman" w:eastAsia="宋体" w:hAnsi="Times New Roman"/>
          <w:sz w:val="20"/>
          <w:szCs w:val="20"/>
        </w:rPr>
        <w:t>liver ads in an effective manner, or if they do not believe that their investment in advertising with us will generate a competitive return relative to other alternatives. We have recently implemented, and we will continue to implement, changes to our user</w:t>
      </w:r>
      <w:r>
        <w:rPr>
          <w:rFonts w:ascii="Times New Roman" w:eastAsia="宋体" w:hAnsi="Times New Roman"/>
          <w:sz w:val="20"/>
          <w:szCs w:val="20"/>
        </w:rPr>
        <w:t xml:space="preserve"> data practices. Some of these changes reduce our ability to effectively target ads, which has to some extent adversely affected, and will continue to adversely affect, our advertising business. If we are unable to provide marketers with a suitable return </w:t>
      </w:r>
      <w:r>
        <w:rPr>
          <w:rFonts w:ascii="Times New Roman" w:eastAsia="宋体" w:hAnsi="Times New Roman"/>
          <w:sz w:val="20"/>
          <w:szCs w:val="20"/>
        </w:rPr>
        <w:t>on investment, the pricing of our ads may not increase, or may decline, in which case our revenue and financial results may be harmed.</w:t>
      </w:r>
    </w:p>
    <w:p w14:paraId="1446F42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advertising revenue can also be adversely affected by a number of other factors, including:</w:t>
      </w:r>
    </w:p>
    <w:tbl>
      <w:tblPr>
        <w:tblW w:w="0" w:type="auto"/>
        <w:tblCellSpacing w:w="0" w:type="dxa"/>
        <w:tblCellMar>
          <w:left w:w="0" w:type="dxa"/>
          <w:right w:w="0" w:type="dxa"/>
        </w:tblCellMar>
        <w:tblLook w:val="04A0" w:firstRow="1" w:lastRow="0" w:firstColumn="1" w:lastColumn="0" w:noHBand="0" w:noVBand="1"/>
      </w:tblPr>
      <w:tblGrid>
        <w:gridCol w:w="1440"/>
        <w:gridCol w:w="5466"/>
      </w:tblGrid>
      <w:tr w:rsidR="00FE42B5" w14:paraId="1446F432" w14:textId="77777777">
        <w:trPr>
          <w:tblCellSpacing w:w="0" w:type="dxa"/>
        </w:trPr>
        <w:tc>
          <w:tcPr>
            <w:tcW w:w="1440" w:type="dxa"/>
            <w:shd w:val="clear" w:color="auto" w:fill="auto"/>
            <w:vAlign w:val="center"/>
          </w:tcPr>
          <w:p w14:paraId="1446F430" w14:textId="77777777" w:rsidR="00FE42B5" w:rsidRDefault="00FE42B5">
            <w:pPr>
              <w:rPr>
                <w:rFonts w:ascii="Times New Roman" w:hAnsi="Times New Roman"/>
                <w:sz w:val="20"/>
                <w:szCs w:val="20"/>
              </w:rPr>
            </w:pPr>
          </w:p>
        </w:tc>
        <w:tc>
          <w:tcPr>
            <w:tcW w:w="0" w:type="auto"/>
            <w:shd w:val="clear" w:color="auto" w:fill="auto"/>
            <w:vAlign w:val="center"/>
          </w:tcPr>
          <w:p w14:paraId="1446F431" w14:textId="77777777" w:rsidR="00FE42B5" w:rsidRDefault="00FE42B5">
            <w:pPr>
              <w:rPr>
                <w:rFonts w:ascii="Times New Roman" w:hAnsi="Times New Roman"/>
                <w:sz w:val="20"/>
                <w:szCs w:val="20"/>
              </w:rPr>
            </w:pPr>
          </w:p>
        </w:tc>
      </w:tr>
      <w:tr w:rsidR="00FE42B5" w14:paraId="1446F435" w14:textId="77777777">
        <w:trPr>
          <w:tblCellSpacing w:w="0" w:type="dxa"/>
        </w:trPr>
        <w:tc>
          <w:tcPr>
            <w:tcW w:w="0" w:type="auto"/>
            <w:shd w:val="clear" w:color="auto" w:fill="auto"/>
          </w:tcPr>
          <w:p w14:paraId="1446F43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3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decreases in </w:t>
            </w:r>
            <w:r>
              <w:rPr>
                <w:rFonts w:ascii="Times New Roman" w:eastAsia="宋体" w:hAnsi="Times New Roman"/>
                <w:sz w:val="20"/>
                <w:szCs w:val="20"/>
              </w:rPr>
              <w:t>user engagement, including time spent on our products;</w:t>
            </w:r>
          </w:p>
        </w:tc>
      </w:tr>
    </w:tbl>
    <w:p w14:paraId="1446F436"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0"/>
      </w:tblGrid>
      <w:tr w:rsidR="00FE42B5" w14:paraId="1446F439" w14:textId="77777777">
        <w:trPr>
          <w:tblCellSpacing w:w="0" w:type="dxa"/>
        </w:trPr>
        <w:tc>
          <w:tcPr>
            <w:tcW w:w="1440" w:type="dxa"/>
            <w:shd w:val="clear" w:color="auto" w:fill="auto"/>
            <w:vAlign w:val="center"/>
          </w:tcPr>
          <w:p w14:paraId="1446F437" w14:textId="77777777" w:rsidR="00FE42B5" w:rsidRDefault="00FE42B5">
            <w:pPr>
              <w:rPr>
                <w:rFonts w:ascii="Times New Roman" w:hAnsi="Times New Roman"/>
                <w:sz w:val="20"/>
                <w:szCs w:val="20"/>
              </w:rPr>
            </w:pPr>
          </w:p>
        </w:tc>
        <w:tc>
          <w:tcPr>
            <w:tcW w:w="0" w:type="auto"/>
            <w:shd w:val="clear" w:color="auto" w:fill="auto"/>
            <w:vAlign w:val="center"/>
          </w:tcPr>
          <w:p w14:paraId="1446F438" w14:textId="77777777" w:rsidR="00FE42B5" w:rsidRDefault="00FE42B5">
            <w:pPr>
              <w:rPr>
                <w:rFonts w:ascii="Times New Roman" w:hAnsi="Times New Roman"/>
                <w:sz w:val="20"/>
                <w:szCs w:val="20"/>
              </w:rPr>
            </w:pPr>
          </w:p>
        </w:tc>
      </w:tr>
      <w:tr w:rsidR="00FE42B5" w14:paraId="1446F43C" w14:textId="77777777">
        <w:trPr>
          <w:tblCellSpacing w:w="0" w:type="dxa"/>
        </w:trPr>
        <w:tc>
          <w:tcPr>
            <w:tcW w:w="0" w:type="auto"/>
            <w:shd w:val="clear" w:color="auto" w:fill="auto"/>
          </w:tcPr>
          <w:p w14:paraId="1446F43A"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3B"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our inability to continue to increase user access to and engagement with our products;</w:t>
            </w:r>
          </w:p>
        </w:tc>
      </w:tr>
    </w:tbl>
    <w:p w14:paraId="1446F43D"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40" w14:textId="77777777">
        <w:trPr>
          <w:tblCellSpacing w:w="0" w:type="dxa"/>
        </w:trPr>
        <w:tc>
          <w:tcPr>
            <w:tcW w:w="1440" w:type="dxa"/>
            <w:shd w:val="clear" w:color="auto" w:fill="auto"/>
            <w:vAlign w:val="center"/>
          </w:tcPr>
          <w:p w14:paraId="1446F43E" w14:textId="77777777" w:rsidR="00FE42B5" w:rsidRDefault="00FE42B5">
            <w:pPr>
              <w:rPr>
                <w:rFonts w:ascii="Times New Roman" w:hAnsi="Times New Roman"/>
                <w:sz w:val="20"/>
                <w:szCs w:val="20"/>
              </w:rPr>
            </w:pPr>
          </w:p>
        </w:tc>
        <w:tc>
          <w:tcPr>
            <w:tcW w:w="0" w:type="auto"/>
            <w:shd w:val="clear" w:color="auto" w:fill="auto"/>
            <w:vAlign w:val="center"/>
          </w:tcPr>
          <w:p w14:paraId="1446F43F" w14:textId="77777777" w:rsidR="00FE42B5" w:rsidRDefault="00FE42B5">
            <w:pPr>
              <w:rPr>
                <w:rFonts w:ascii="Times New Roman" w:hAnsi="Times New Roman"/>
                <w:sz w:val="20"/>
                <w:szCs w:val="20"/>
              </w:rPr>
            </w:pPr>
          </w:p>
        </w:tc>
      </w:tr>
      <w:tr w:rsidR="00FE42B5" w14:paraId="1446F443" w14:textId="77777777">
        <w:trPr>
          <w:tblCellSpacing w:w="0" w:type="dxa"/>
        </w:trPr>
        <w:tc>
          <w:tcPr>
            <w:tcW w:w="0" w:type="auto"/>
            <w:shd w:val="clear" w:color="auto" w:fill="auto"/>
          </w:tcPr>
          <w:p w14:paraId="1446F441"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42"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product changes or inventory management decisions we may make that change the size, format, </w:t>
            </w:r>
            <w:r>
              <w:rPr>
                <w:rFonts w:ascii="Times New Roman" w:eastAsia="宋体" w:hAnsi="Times New Roman"/>
                <w:sz w:val="20"/>
                <w:szCs w:val="20"/>
              </w:rPr>
              <w:t>frequency, or relative prominence of ads displayed on our products or of other unpaid content shared by marketers on our products;</w:t>
            </w:r>
          </w:p>
        </w:tc>
      </w:tr>
    </w:tbl>
    <w:p w14:paraId="1446F444"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43"/>
      </w:tblGrid>
      <w:tr w:rsidR="00FE42B5" w14:paraId="1446F447" w14:textId="77777777">
        <w:trPr>
          <w:tblCellSpacing w:w="0" w:type="dxa"/>
        </w:trPr>
        <w:tc>
          <w:tcPr>
            <w:tcW w:w="1440" w:type="dxa"/>
            <w:shd w:val="clear" w:color="auto" w:fill="auto"/>
            <w:vAlign w:val="center"/>
          </w:tcPr>
          <w:p w14:paraId="1446F445" w14:textId="77777777" w:rsidR="00FE42B5" w:rsidRDefault="00FE42B5">
            <w:pPr>
              <w:rPr>
                <w:rFonts w:ascii="Times New Roman" w:hAnsi="Times New Roman"/>
                <w:sz w:val="20"/>
                <w:szCs w:val="20"/>
              </w:rPr>
            </w:pPr>
          </w:p>
        </w:tc>
        <w:tc>
          <w:tcPr>
            <w:tcW w:w="0" w:type="auto"/>
            <w:shd w:val="clear" w:color="auto" w:fill="auto"/>
            <w:vAlign w:val="center"/>
          </w:tcPr>
          <w:p w14:paraId="1446F446" w14:textId="77777777" w:rsidR="00FE42B5" w:rsidRDefault="00FE42B5">
            <w:pPr>
              <w:rPr>
                <w:rFonts w:ascii="Times New Roman" w:hAnsi="Times New Roman"/>
                <w:sz w:val="20"/>
                <w:szCs w:val="20"/>
              </w:rPr>
            </w:pPr>
          </w:p>
        </w:tc>
      </w:tr>
      <w:tr w:rsidR="00FE42B5" w14:paraId="1446F44A" w14:textId="77777777">
        <w:trPr>
          <w:tblCellSpacing w:w="0" w:type="dxa"/>
        </w:trPr>
        <w:tc>
          <w:tcPr>
            <w:tcW w:w="0" w:type="auto"/>
            <w:shd w:val="clear" w:color="auto" w:fill="auto"/>
          </w:tcPr>
          <w:p w14:paraId="1446F448"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49"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our inability to maintain or increase marketer demand, the pricing of our ads, or both;</w:t>
            </w:r>
          </w:p>
        </w:tc>
      </w:tr>
    </w:tbl>
    <w:p w14:paraId="1446F44B"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510"/>
      </w:tblGrid>
      <w:tr w:rsidR="00FE42B5" w14:paraId="1446F44E" w14:textId="77777777">
        <w:trPr>
          <w:tblCellSpacing w:w="0" w:type="dxa"/>
        </w:trPr>
        <w:tc>
          <w:tcPr>
            <w:tcW w:w="1440" w:type="dxa"/>
            <w:shd w:val="clear" w:color="auto" w:fill="auto"/>
            <w:vAlign w:val="center"/>
          </w:tcPr>
          <w:p w14:paraId="1446F44C" w14:textId="77777777" w:rsidR="00FE42B5" w:rsidRDefault="00FE42B5">
            <w:pPr>
              <w:rPr>
                <w:rFonts w:ascii="Times New Roman" w:hAnsi="Times New Roman"/>
                <w:sz w:val="20"/>
                <w:szCs w:val="20"/>
              </w:rPr>
            </w:pPr>
          </w:p>
        </w:tc>
        <w:tc>
          <w:tcPr>
            <w:tcW w:w="0" w:type="auto"/>
            <w:shd w:val="clear" w:color="auto" w:fill="auto"/>
            <w:vAlign w:val="center"/>
          </w:tcPr>
          <w:p w14:paraId="1446F44D" w14:textId="77777777" w:rsidR="00FE42B5" w:rsidRDefault="00FE42B5">
            <w:pPr>
              <w:rPr>
                <w:rFonts w:ascii="Times New Roman" w:hAnsi="Times New Roman"/>
                <w:sz w:val="20"/>
                <w:szCs w:val="20"/>
              </w:rPr>
            </w:pPr>
          </w:p>
        </w:tc>
      </w:tr>
      <w:tr w:rsidR="00FE42B5" w14:paraId="1446F451" w14:textId="77777777">
        <w:trPr>
          <w:tblCellSpacing w:w="0" w:type="dxa"/>
        </w:trPr>
        <w:tc>
          <w:tcPr>
            <w:tcW w:w="0" w:type="auto"/>
            <w:shd w:val="clear" w:color="auto" w:fill="auto"/>
          </w:tcPr>
          <w:p w14:paraId="1446F44F"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50"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inability to </w:t>
            </w:r>
            <w:r>
              <w:rPr>
                <w:rFonts w:ascii="Times New Roman" w:eastAsia="宋体" w:hAnsi="Times New Roman"/>
                <w:sz w:val="20"/>
                <w:szCs w:val="20"/>
              </w:rPr>
              <w:t>maintain or increase the quantity or quality of ads shown to users;</w:t>
            </w:r>
          </w:p>
        </w:tc>
      </w:tr>
    </w:tbl>
    <w:p w14:paraId="1446F452"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55" w14:textId="77777777">
        <w:trPr>
          <w:tblCellSpacing w:w="0" w:type="dxa"/>
        </w:trPr>
        <w:tc>
          <w:tcPr>
            <w:tcW w:w="1440" w:type="dxa"/>
            <w:shd w:val="clear" w:color="auto" w:fill="auto"/>
            <w:vAlign w:val="center"/>
          </w:tcPr>
          <w:p w14:paraId="1446F453" w14:textId="77777777" w:rsidR="00FE42B5" w:rsidRDefault="00FE42B5">
            <w:pPr>
              <w:rPr>
                <w:rFonts w:ascii="Times New Roman" w:hAnsi="Times New Roman"/>
                <w:sz w:val="20"/>
                <w:szCs w:val="20"/>
              </w:rPr>
            </w:pPr>
          </w:p>
        </w:tc>
        <w:tc>
          <w:tcPr>
            <w:tcW w:w="0" w:type="auto"/>
            <w:shd w:val="clear" w:color="auto" w:fill="auto"/>
            <w:vAlign w:val="center"/>
          </w:tcPr>
          <w:p w14:paraId="1446F454" w14:textId="77777777" w:rsidR="00FE42B5" w:rsidRDefault="00FE42B5">
            <w:pPr>
              <w:rPr>
                <w:rFonts w:ascii="Times New Roman" w:hAnsi="Times New Roman"/>
                <w:sz w:val="20"/>
                <w:szCs w:val="20"/>
              </w:rPr>
            </w:pPr>
          </w:p>
        </w:tc>
      </w:tr>
      <w:tr w:rsidR="00FE42B5" w14:paraId="1446F458" w14:textId="77777777">
        <w:trPr>
          <w:tblCellSpacing w:w="0" w:type="dxa"/>
        </w:trPr>
        <w:tc>
          <w:tcPr>
            <w:tcW w:w="0" w:type="auto"/>
            <w:shd w:val="clear" w:color="auto" w:fill="auto"/>
          </w:tcPr>
          <w:p w14:paraId="1446F456"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57"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 behavior or product changes that may reduce traffic to features or products that we successfully monetize, including as a result of our efforts to promote the Stories </w:t>
            </w:r>
            <w:r>
              <w:rPr>
                <w:rFonts w:ascii="Times New Roman" w:eastAsia="宋体" w:hAnsi="Times New Roman"/>
                <w:sz w:val="20"/>
                <w:szCs w:val="20"/>
              </w:rPr>
              <w:t>format or increased usage of our messaging products;</w:t>
            </w:r>
          </w:p>
        </w:tc>
      </w:tr>
    </w:tbl>
    <w:p w14:paraId="1446F459"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5C" w14:textId="77777777">
        <w:trPr>
          <w:tblCellSpacing w:w="0" w:type="dxa"/>
        </w:trPr>
        <w:tc>
          <w:tcPr>
            <w:tcW w:w="1440" w:type="dxa"/>
            <w:shd w:val="clear" w:color="auto" w:fill="auto"/>
            <w:vAlign w:val="center"/>
          </w:tcPr>
          <w:p w14:paraId="1446F45A" w14:textId="77777777" w:rsidR="00FE42B5" w:rsidRDefault="00FE42B5">
            <w:pPr>
              <w:rPr>
                <w:rFonts w:ascii="Times New Roman" w:hAnsi="Times New Roman"/>
                <w:sz w:val="20"/>
                <w:szCs w:val="20"/>
              </w:rPr>
            </w:pPr>
          </w:p>
        </w:tc>
        <w:tc>
          <w:tcPr>
            <w:tcW w:w="0" w:type="auto"/>
            <w:shd w:val="clear" w:color="auto" w:fill="auto"/>
            <w:vAlign w:val="center"/>
          </w:tcPr>
          <w:p w14:paraId="1446F45B" w14:textId="77777777" w:rsidR="00FE42B5" w:rsidRDefault="00FE42B5">
            <w:pPr>
              <w:rPr>
                <w:rFonts w:ascii="Times New Roman" w:hAnsi="Times New Roman"/>
                <w:sz w:val="20"/>
                <w:szCs w:val="20"/>
              </w:rPr>
            </w:pPr>
          </w:p>
        </w:tc>
      </w:tr>
      <w:tr w:rsidR="00FE42B5" w14:paraId="1446F45F" w14:textId="77777777">
        <w:trPr>
          <w:tblCellSpacing w:w="0" w:type="dxa"/>
        </w:trPr>
        <w:tc>
          <w:tcPr>
            <w:tcW w:w="0" w:type="auto"/>
            <w:shd w:val="clear" w:color="auto" w:fill="auto"/>
          </w:tcPr>
          <w:p w14:paraId="1446F45D"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5E"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reductions of advertising by marketers due to our efforts to implement or enforce advertising policies that protect the security and integrity of our platform;</w:t>
            </w:r>
          </w:p>
        </w:tc>
      </w:tr>
    </w:tbl>
    <w:p w14:paraId="1446F460"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63" w14:textId="77777777">
        <w:trPr>
          <w:tblCellSpacing w:w="0" w:type="dxa"/>
        </w:trPr>
        <w:tc>
          <w:tcPr>
            <w:tcW w:w="1440" w:type="dxa"/>
            <w:shd w:val="clear" w:color="auto" w:fill="auto"/>
            <w:vAlign w:val="center"/>
          </w:tcPr>
          <w:p w14:paraId="1446F461" w14:textId="77777777" w:rsidR="00FE42B5" w:rsidRDefault="00FE42B5">
            <w:pPr>
              <w:rPr>
                <w:rFonts w:ascii="Times New Roman" w:hAnsi="Times New Roman"/>
                <w:sz w:val="20"/>
                <w:szCs w:val="20"/>
              </w:rPr>
            </w:pPr>
          </w:p>
        </w:tc>
        <w:tc>
          <w:tcPr>
            <w:tcW w:w="0" w:type="auto"/>
            <w:shd w:val="clear" w:color="auto" w:fill="auto"/>
            <w:vAlign w:val="center"/>
          </w:tcPr>
          <w:p w14:paraId="1446F462" w14:textId="77777777" w:rsidR="00FE42B5" w:rsidRDefault="00FE42B5">
            <w:pPr>
              <w:rPr>
                <w:rFonts w:ascii="Times New Roman" w:hAnsi="Times New Roman"/>
                <w:sz w:val="20"/>
                <w:szCs w:val="20"/>
              </w:rPr>
            </w:pPr>
          </w:p>
        </w:tc>
      </w:tr>
      <w:tr w:rsidR="00FE42B5" w14:paraId="1446F466" w14:textId="77777777">
        <w:trPr>
          <w:tblCellSpacing w:w="0" w:type="dxa"/>
        </w:trPr>
        <w:tc>
          <w:tcPr>
            <w:tcW w:w="0" w:type="auto"/>
            <w:shd w:val="clear" w:color="auto" w:fill="auto"/>
          </w:tcPr>
          <w:p w14:paraId="1446F46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65"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to </w:t>
            </w:r>
            <w:r>
              <w:rPr>
                <w:rFonts w:ascii="Times New Roman" w:eastAsia="宋体" w:hAnsi="Times New Roman"/>
                <w:sz w:val="20"/>
                <w:szCs w:val="20"/>
              </w:rPr>
              <w:t>third-party policies that limit our ability to deliver, target, or measure the effectiveness of advertising;</w:t>
            </w:r>
          </w:p>
        </w:tc>
      </w:tr>
    </w:tbl>
    <w:p w14:paraId="1446F467"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6A" w14:textId="77777777">
        <w:trPr>
          <w:tblCellSpacing w:w="0" w:type="dxa"/>
        </w:trPr>
        <w:tc>
          <w:tcPr>
            <w:tcW w:w="1440" w:type="dxa"/>
            <w:shd w:val="clear" w:color="auto" w:fill="auto"/>
            <w:vAlign w:val="center"/>
          </w:tcPr>
          <w:p w14:paraId="1446F468" w14:textId="77777777" w:rsidR="00FE42B5" w:rsidRDefault="00FE42B5">
            <w:pPr>
              <w:rPr>
                <w:rFonts w:ascii="Times New Roman" w:hAnsi="Times New Roman"/>
                <w:sz w:val="20"/>
                <w:szCs w:val="20"/>
              </w:rPr>
            </w:pPr>
          </w:p>
        </w:tc>
        <w:tc>
          <w:tcPr>
            <w:tcW w:w="0" w:type="auto"/>
            <w:shd w:val="clear" w:color="auto" w:fill="auto"/>
            <w:vAlign w:val="center"/>
          </w:tcPr>
          <w:p w14:paraId="1446F469" w14:textId="77777777" w:rsidR="00FE42B5" w:rsidRDefault="00FE42B5">
            <w:pPr>
              <w:rPr>
                <w:rFonts w:ascii="Times New Roman" w:hAnsi="Times New Roman"/>
                <w:sz w:val="20"/>
                <w:szCs w:val="20"/>
              </w:rPr>
            </w:pPr>
          </w:p>
        </w:tc>
      </w:tr>
      <w:tr w:rsidR="00FE42B5" w14:paraId="1446F46D" w14:textId="77777777">
        <w:trPr>
          <w:tblCellSpacing w:w="0" w:type="dxa"/>
        </w:trPr>
        <w:tc>
          <w:tcPr>
            <w:tcW w:w="0" w:type="auto"/>
            <w:shd w:val="clear" w:color="auto" w:fill="auto"/>
          </w:tcPr>
          <w:p w14:paraId="1446F46B"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6C"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the availability, accuracy, utility, and security of analytics and measurement solutions offered by us or third parties that demonstrate the</w:t>
            </w:r>
            <w:r>
              <w:rPr>
                <w:rFonts w:ascii="Times New Roman" w:eastAsia="宋体" w:hAnsi="Times New Roman"/>
                <w:sz w:val="20"/>
                <w:szCs w:val="20"/>
              </w:rPr>
              <w:t xml:space="preserve"> value of our ads to marketers, or our ability to further improve such tools;</w:t>
            </w:r>
          </w:p>
        </w:tc>
      </w:tr>
    </w:tbl>
    <w:p w14:paraId="1446F46E"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71" w14:textId="77777777">
        <w:trPr>
          <w:tblCellSpacing w:w="0" w:type="dxa"/>
        </w:trPr>
        <w:tc>
          <w:tcPr>
            <w:tcW w:w="1440" w:type="dxa"/>
            <w:shd w:val="clear" w:color="auto" w:fill="auto"/>
            <w:vAlign w:val="center"/>
          </w:tcPr>
          <w:p w14:paraId="1446F46F" w14:textId="77777777" w:rsidR="00FE42B5" w:rsidRDefault="00FE42B5">
            <w:pPr>
              <w:rPr>
                <w:rFonts w:ascii="Times New Roman" w:hAnsi="Times New Roman"/>
                <w:sz w:val="20"/>
                <w:szCs w:val="20"/>
              </w:rPr>
            </w:pPr>
          </w:p>
        </w:tc>
        <w:tc>
          <w:tcPr>
            <w:tcW w:w="0" w:type="auto"/>
            <w:shd w:val="clear" w:color="auto" w:fill="auto"/>
            <w:vAlign w:val="center"/>
          </w:tcPr>
          <w:p w14:paraId="1446F470" w14:textId="77777777" w:rsidR="00FE42B5" w:rsidRDefault="00FE42B5">
            <w:pPr>
              <w:rPr>
                <w:rFonts w:ascii="Times New Roman" w:hAnsi="Times New Roman"/>
                <w:sz w:val="20"/>
                <w:szCs w:val="20"/>
              </w:rPr>
            </w:pPr>
          </w:p>
        </w:tc>
      </w:tr>
      <w:tr w:rsidR="00FE42B5" w14:paraId="1446F474" w14:textId="77777777">
        <w:trPr>
          <w:tblCellSpacing w:w="0" w:type="dxa"/>
        </w:trPr>
        <w:tc>
          <w:tcPr>
            <w:tcW w:w="0" w:type="auto"/>
            <w:shd w:val="clear" w:color="auto" w:fill="auto"/>
          </w:tcPr>
          <w:p w14:paraId="1446F472"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73"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loss of advertising market share to our competitors, including if prices to purchase our ads increase or if competitors offer lower priced, more integrated or otherwise more effective products; </w:t>
            </w:r>
          </w:p>
        </w:tc>
      </w:tr>
    </w:tbl>
    <w:p w14:paraId="1446F475"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78" w14:textId="77777777">
        <w:trPr>
          <w:tblCellSpacing w:w="0" w:type="dxa"/>
        </w:trPr>
        <w:tc>
          <w:tcPr>
            <w:tcW w:w="1440" w:type="dxa"/>
            <w:shd w:val="clear" w:color="auto" w:fill="auto"/>
            <w:vAlign w:val="center"/>
          </w:tcPr>
          <w:p w14:paraId="1446F476" w14:textId="77777777" w:rsidR="00FE42B5" w:rsidRDefault="00FE42B5">
            <w:pPr>
              <w:rPr>
                <w:rFonts w:ascii="Times New Roman" w:hAnsi="Times New Roman"/>
                <w:sz w:val="20"/>
                <w:szCs w:val="20"/>
              </w:rPr>
            </w:pPr>
          </w:p>
        </w:tc>
        <w:tc>
          <w:tcPr>
            <w:tcW w:w="0" w:type="auto"/>
            <w:shd w:val="clear" w:color="auto" w:fill="auto"/>
            <w:vAlign w:val="center"/>
          </w:tcPr>
          <w:p w14:paraId="1446F477" w14:textId="77777777" w:rsidR="00FE42B5" w:rsidRDefault="00FE42B5">
            <w:pPr>
              <w:rPr>
                <w:rFonts w:ascii="Times New Roman" w:hAnsi="Times New Roman"/>
                <w:sz w:val="20"/>
                <w:szCs w:val="20"/>
              </w:rPr>
            </w:pPr>
          </w:p>
        </w:tc>
      </w:tr>
      <w:tr w:rsidR="00FE42B5" w14:paraId="1446F47B" w14:textId="77777777">
        <w:trPr>
          <w:tblCellSpacing w:w="0" w:type="dxa"/>
        </w:trPr>
        <w:tc>
          <w:tcPr>
            <w:tcW w:w="0" w:type="auto"/>
            <w:shd w:val="clear" w:color="auto" w:fill="auto"/>
          </w:tcPr>
          <w:p w14:paraId="1446F479"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7A"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adverse government actions or legislative, </w:t>
            </w:r>
            <w:r>
              <w:rPr>
                <w:rFonts w:ascii="Times New Roman" w:eastAsia="宋体" w:hAnsi="Times New Roman"/>
                <w:sz w:val="20"/>
                <w:szCs w:val="20"/>
              </w:rPr>
              <w:t>regulatory, or other legal developments relating to advertising, including developments that may impact our ability to deliver, target, or measure the effectiveness of advertising;</w:t>
            </w:r>
          </w:p>
        </w:tc>
      </w:tr>
    </w:tbl>
    <w:p w14:paraId="1446F47C"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7F" w14:textId="77777777">
        <w:trPr>
          <w:tblCellSpacing w:w="0" w:type="dxa"/>
        </w:trPr>
        <w:tc>
          <w:tcPr>
            <w:tcW w:w="1440" w:type="dxa"/>
            <w:shd w:val="clear" w:color="auto" w:fill="auto"/>
            <w:vAlign w:val="center"/>
          </w:tcPr>
          <w:p w14:paraId="1446F47D" w14:textId="77777777" w:rsidR="00FE42B5" w:rsidRDefault="00FE42B5">
            <w:pPr>
              <w:rPr>
                <w:rFonts w:ascii="Times New Roman" w:hAnsi="Times New Roman"/>
                <w:sz w:val="20"/>
                <w:szCs w:val="20"/>
              </w:rPr>
            </w:pPr>
          </w:p>
        </w:tc>
        <w:tc>
          <w:tcPr>
            <w:tcW w:w="0" w:type="auto"/>
            <w:shd w:val="clear" w:color="auto" w:fill="auto"/>
            <w:vAlign w:val="center"/>
          </w:tcPr>
          <w:p w14:paraId="1446F47E" w14:textId="77777777" w:rsidR="00FE42B5" w:rsidRDefault="00FE42B5">
            <w:pPr>
              <w:rPr>
                <w:rFonts w:ascii="Times New Roman" w:hAnsi="Times New Roman"/>
                <w:sz w:val="20"/>
                <w:szCs w:val="20"/>
              </w:rPr>
            </w:pPr>
          </w:p>
        </w:tc>
      </w:tr>
      <w:tr w:rsidR="00FE42B5" w14:paraId="1446F482" w14:textId="77777777">
        <w:trPr>
          <w:tblCellSpacing w:w="0" w:type="dxa"/>
        </w:trPr>
        <w:tc>
          <w:tcPr>
            <w:tcW w:w="0" w:type="auto"/>
            <w:shd w:val="clear" w:color="auto" w:fill="auto"/>
          </w:tcPr>
          <w:p w14:paraId="1446F480"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81"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decisions by marketers to reduce their advertising as a result of ad</w:t>
            </w:r>
            <w:r>
              <w:rPr>
                <w:rFonts w:ascii="Times New Roman" w:eastAsia="宋体" w:hAnsi="Times New Roman"/>
                <w:sz w:val="20"/>
                <w:szCs w:val="20"/>
              </w:rPr>
              <w:t>verse media reports or other negative publicity involving us, our user data practices, our advertising metrics or tools, content on our products, developers with mobile and web applications that are integrated with our products, or other companies in our i</w:t>
            </w:r>
            <w:r>
              <w:rPr>
                <w:rFonts w:ascii="Times New Roman" w:eastAsia="宋体" w:hAnsi="Times New Roman"/>
                <w:sz w:val="20"/>
                <w:szCs w:val="20"/>
              </w:rPr>
              <w:t>ndustry;</w:t>
            </w:r>
          </w:p>
        </w:tc>
      </w:tr>
    </w:tbl>
    <w:p w14:paraId="1446F483"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86" w14:textId="77777777">
        <w:trPr>
          <w:tblCellSpacing w:w="0" w:type="dxa"/>
        </w:trPr>
        <w:tc>
          <w:tcPr>
            <w:tcW w:w="1440" w:type="dxa"/>
            <w:shd w:val="clear" w:color="auto" w:fill="auto"/>
            <w:vAlign w:val="center"/>
          </w:tcPr>
          <w:p w14:paraId="1446F484" w14:textId="77777777" w:rsidR="00FE42B5" w:rsidRDefault="00FE42B5">
            <w:pPr>
              <w:rPr>
                <w:rFonts w:ascii="Times New Roman" w:hAnsi="Times New Roman"/>
                <w:sz w:val="20"/>
                <w:szCs w:val="20"/>
              </w:rPr>
            </w:pPr>
          </w:p>
        </w:tc>
        <w:tc>
          <w:tcPr>
            <w:tcW w:w="0" w:type="auto"/>
            <w:shd w:val="clear" w:color="auto" w:fill="auto"/>
            <w:vAlign w:val="center"/>
          </w:tcPr>
          <w:p w14:paraId="1446F485" w14:textId="77777777" w:rsidR="00FE42B5" w:rsidRDefault="00FE42B5">
            <w:pPr>
              <w:rPr>
                <w:rFonts w:ascii="Times New Roman" w:hAnsi="Times New Roman"/>
                <w:sz w:val="20"/>
                <w:szCs w:val="20"/>
              </w:rPr>
            </w:pPr>
          </w:p>
        </w:tc>
      </w:tr>
      <w:tr w:rsidR="00FE42B5" w14:paraId="1446F489" w14:textId="77777777">
        <w:trPr>
          <w:tblCellSpacing w:w="0" w:type="dxa"/>
        </w:trPr>
        <w:tc>
          <w:tcPr>
            <w:tcW w:w="0" w:type="auto"/>
            <w:shd w:val="clear" w:color="auto" w:fill="auto"/>
          </w:tcPr>
          <w:p w14:paraId="1446F487"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88"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reductions of advertising by marketers due to objectionable content published on our products by third parties, questions about our user data practices, concerns about brand safety or potential legal liability, or uncertainty </w:t>
            </w:r>
            <w:r>
              <w:rPr>
                <w:rFonts w:ascii="Times New Roman" w:eastAsia="宋体" w:hAnsi="Times New Roman"/>
                <w:sz w:val="20"/>
                <w:szCs w:val="20"/>
              </w:rPr>
              <w:t>regarding their own legal and compliance obligations;</w:t>
            </w:r>
          </w:p>
        </w:tc>
      </w:tr>
    </w:tbl>
    <w:p w14:paraId="1446F48A"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8D" w14:textId="77777777">
        <w:trPr>
          <w:tblCellSpacing w:w="0" w:type="dxa"/>
        </w:trPr>
        <w:tc>
          <w:tcPr>
            <w:tcW w:w="1440" w:type="dxa"/>
            <w:shd w:val="clear" w:color="auto" w:fill="auto"/>
            <w:vAlign w:val="center"/>
          </w:tcPr>
          <w:p w14:paraId="1446F48B" w14:textId="77777777" w:rsidR="00FE42B5" w:rsidRDefault="00FE42B5">
            <w:pPr>
              <w:rPr>
                <w:rFonts w:ascii="Times New Roman" w:hAnsi="Times New Roman"/>
                <w:sz w:val="20"/>
                <w:szCs w:val="20"/>
              </w:rPr>
            </w:pPr>
          </w:p>
        </w:tc>
        <w:tc>
          <w:tcPr>
            <w:tcW w:w="0" w:type="auto"/>
            <w:shd w:val="clear" w:color="auto" w:fill="auto"/>
            <w:vAlign w:val="center"/>
          </w:tcPr>
          <w:p w14:paraId="1446F48C" w14:textId="77777777" w:rsidR="00FE42B5" w:rsidRDefault="00FE42B5">
            <w:pPr>
              <w:rPr>
                <w:rFonts w:ascii="Times New Roman" w:hAnsi="Times New Roman"/>
                <w:sz w:val="20"/>
                <w:szCs w:val="20"/>
              </w:rPr>
            </w:pPr>
          </w:p>
        </w:tc>
      </w:tr>
      <w:tr w:rsidR="00FE42B5" w14:paraId="1446F490" w14:textId="77777777">
        <w:trPr>
          <w:tblCellSpacing w:w="0" w:type="dxa"/>
        </w:trPr>
        <w:tc>
          <w:tcPr>
            <w:tcW w:w="0" w:type="auto"/>
            <w:shd w:val="clear" w:color="auto" w:fill="auto"/>
          </w:tcPr>
          <w:p w14:paraId="1446F48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8F"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effectiveness of our ad targeting or degree to which users opt out of certain types of ad targeting, including as a result of product changes and controls that we implemented in </w:t>
            </w:r>
            <w:r>
              <w:rPr>
                <w:rFonts w:ascii="Times New Roman" w:eastAsia="宋体" w:hAnsi="Times New Roman"/>
                <w:sz w:val="20"/>
                <w:szCs w:val="20"/>
              </w:rPr>
              <w:t>connection with the GDPR, California Consumer Privacy Act (CCPA), or other similar changes that we implemented in the United States and around the world (for example, we have seen an increasing number of users opt out of certain types of ad targeting in Eu</w:t>
            </w:r>
            <w:r>
              <w:rPr>
                <w:rFonts w:ascii="Times New Roman" w:eastAsia="宋体" w:hAnsi="Times New Roman"/>
                <w:sz w:val="20"/>
                <w:szCs w:val="20"/>
              </w:rPr>
              <w:t>rope following adoption of the GDPR), or other product changes or controls we have implemented or may implement in the future, whether in connection with other regulations, regulatory actions or otherwise, that impact our ability to target ads;</w:t>
            </w:r>
          </w:p>
        </w:tc>
      </w:tr>
    </w:tbl>
    <w:p w14:paraId="1446F491"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94" w14:textId="77777777">
        <w:trPr>
          <w:tblCellSpacing w:w="0" w:type="dxa"/>
        </w:trPr>
        <w:tc>
          <w:tcPr>
            <w:tcW w:w="1440" w:type="dxa"/>
            <w:shd w:val="clear" w:color="auto" w:fill="auto"/>
            <w:vAlign w:val="center"/>
          </w:tcPr>
          <w:p w14:paraId="1446F492" w14:textId="77777777" w:rsidR="00FE42B5" w:rsidRDefault="00FE42B5">
            <w:pPr>
              <w:rPr>
                <w:rFonts w:ascii="Times New Roman" w:hAnsi="Times New Roman"/>
                <w:sz w:val="20"/>
                <w:szCs w:val="20"/>
              </w:rPr>
            </w:pPr>
          </w:p>
        </w:tc>
        <w:tc>
          <w:tcPr>
            <w:tcW w:w="0" w:type="auto"/>
            <w:shd w:val="clear" w:color="auto" w:fill="auto"/>
            <w:vAlign w:val="center"/>
          </w:tcPr>
          <w:p w14:paraId="1446F493" w14:textId="77777777" w:rsidR="00FE42B5" w:rsidRDefault="00FE42B5">
            <w:pPr>
              <w:rPr>
                <w:rFonts w:ascii="Times New Roman" w:hAnsi="Times New Roman"/>
                <w:sz w:val="20"/>
                <w:szCs w:val="20"/>
              </w:rPr>
            </w:pPr>
          </w:p>
        </w:tc>
      </w:tr>
      <w:tr w:rsidR="00FE42B5" w14:paraId="1446F497" w14:textId="77777777">
        <w:trPr>
          <w:tblCellSpacing w:w="0" w:type="dxa"/>
        </w:trPr>
        <w:tc>
          <w:tcPr>
            <w:tcW w:w="0" w:type="auto"/>
            <w:shd w:val="clear" w:color="auto" w:fill="auto"/>
          </w:tcPr>
          <w:p w14:paraId="1446F495"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96"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degree to which users cease or reduce the number of times they engage with our ads;</w:t>
            </w:r>
          </w:p>
        </w:tc>
      </w:tr>
    </w:tbl>
    <w:p w14:paraId="1446F498"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9B" w14:textId="77777777">
        <w:trPr>
          <w:tblCellSpacing w:w="0" w:type="dxa"/>
        </w:trPr>
        <w:tc>
          <w:tcPr>
            <w:tcW w:w="1440" w:type="dxa"/>
            <w:shd w:val="clear" w:color="auto" w:fill="auto"/>
            <w:vAlign w:val="center"/>
          </w:tcPr>
          <w:p w14:paraId="1446F499" w14:textId="77777777" w:rsidR="00FE42B5" w:rsidRDefault="00FE42B5">
            <w:pPr>
              <w:rPr>
                <w:rFonts w:ascii="Times New Roman" w:hAnsi="Times New Roman"/>
                <w:sz w:val="20"/>
                <w:szCs w:val="20"/>
              </w:rPr>
            </w:pPr>
          </w:p>
        </w:tc>
        <w:tc>
          <w:tcPr>
            <w:tcW w:w="0" w:type="auto"/>
            <w:shd w:val="clear" w:color="auto" w:fill="auto"/>
            <w:vAlign w:val="center"/>
          </w:tcPr>
          <w:p w14:paraId="1446F49A" w14:textId="77777777" w:rsidR="00FE42B5" w:rsidRDefault="00FE42B5">
            <w:pPr>
              <w:rPr>
                <w:rFonts w:ascii="Times New Roman" w:hAnsi="Times New Roman"/>
                <w:sz w:val="20"/>
                <w:szCs w:val="20"/>
              </w:rPr>
            </w:pPr>
          </w:p>
        </w:tc>
      </w:tr>
      <w:tr w:rsidR="00FE42B5" w14:paraId="1446F49E" w14:textId="77777777">
        <w:trPr>
          <w:tblCellSpacing w:w="0" w:type="dxa"/>
        </w:trPr>
        <w:tc>
          <w:tcPr>
            <w:tcW w:w="0" w:type="auto"/>
            <w:shd w:val="clear" w:color="auto" w:fill="auto"/>
          </w:tcPr>
          <w:p w14:paraId="1446F49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9D"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the way advertising on mobile devices or on personal computers is measured or priced;</w:t>
            </w:r>
          </w:p>
        </w:tc>
      </w:tr>
    </w:tbl>
    <w:p w14:paraId="1446F49F"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A2" w14:textId="77777777">
        <w:trPr>
          <w:tblCellSpacing w:w="0" w:type="dxa"/>
        </w:trPr>
        <w:tc>
          <w:tcPr>
            <w:tcW w:w="1440" w:type="dxa"/>
            <w:shd w:val="clear" w:color="auto" w:fill="auto"/>
            <w:vAlign w:val="center"/>
          </w:tcPr>
          <w:p w14:paraId="1446F4A0" w14:textId="77777777" w:rsidR="00FE42B5" w:rsidRDefault="00FE42B5">
            <w:pPr>
              <w:rPr>
                <w:rFonts w:ascii="Times New Roman" w:hAnsi="Times New Roman"/>
                <w:sz w:val="20"/>
                <w:szCs w:val="20"/>
              </w:rPr>
            </w:pPr>
          </w:p>
        </w:tc>
        <w:tc>
          <w:tcPr>
            <w:tcW w:w="0" w:type="auto"/>
            <w:shd w:val="clear" w:color="auto" w:fill="auto"/>
            <w:vAlign w:val="center"/>
          </w:tcPr>
          <w:p w14:paraId="1446F4A1" w14:textId="77777777" w:rsidR="00FE42B5" w:rsidRDefault="00FE42B5">
            <w:pPr>
              <w:rPr>
                <w:rFonts w:ascii="Times New Roman" w:hAnsi="Times New Roman"/>
                <w:sz w:val="20"/>
                <w:szCs w:val="20"/>
              </w:rPr>
            </w:pPr>
          </w:p>
        </w:tc>
      </w:tr>
      <w:tr w:rsidR="00FE42B5" w14:paraId="1446F4A5" w14:textId="77777777">
        <w:trPr>
          <w:tblCellSpacing w:w="0" w:type="dxa"/>
        </w:trPr>
        <w:tc>
          <w:tcPr>
            <w:tcW w:w="0" w:type="auto"/>
            <w:shd w:val="clear" w:color="auto" w:fill="auto"/>
          </w:tcPr>
          <w:p w14:paraId="1446F4A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A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the composition of our marketer base or our </w:t>
            </w:r>
            <w:r>
              <w:rPr>
                <w:rFonts w:ascii="Times New Roman" w:eastAsia="宋体" w:hAnsi="Times New Roman"/>
                <w:sz w:val="20"/>
                <w:szCs w:val="20"/>
              </w:rPr>
              <w:t>inability to maintain or grow our marketer base; and</w:t>
            </w:r>
          </w:p>
        </w:tc>
      </w:tr>
    </w:tbl>
    <w:p w14:paraId="1446F4A6" w14:textId="77777777" w:rsidR="00FE42B5" w:rsidRDefault="00FE42B5">
      <w:pPr>
        <w:rPr>
          <w:rFonts w:ascii="Times New Roman" w:hAnsi="Times New Roman"/>
          <w:sz w:val="20"/>
          <w:szCs w:val="20"/>
        </w:rPr>
      </w:pPr>
    </w:p>
    <w:p w14:paraId="1446F4A7"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54</w:t>
      </w:r>
    </w:p>
    <w:p w14:paraId="1446F4A8" w14:textId="77777777" w:rsidR="00FE42B5" w:rsidRDefault="009213DC">
      <w:r>
        <w:rPr>
          <w:rFonts w:ascii="Times New Roman" w:hAnsi="Times New Roman"/>
          <w:sz w:val="20"/>
          <w:szCs w:val="20"/>
        </w:rPr>
        <w:pict w14:anchorId="1446FAFE">
          <v:rect id="_x0000_i1078" style="width:415.3pt;height:1.5pt" o:hralign="center" o:hrstd="t" o:hr="t" fillcolor="#a0a0a0" stroked="f"/>
        </w:pict>
      </w:r>
    </w:p>
    <w:p w14:paraId="1446F4A9" w14:textId="77777777" w:rsidR="00FE42B5" w:rsidRDefault="009213DC">
      <w:pPr>
        <w:spacing w:line="288" w:lineRule="auto"/>
        <w:rPr>
          <w:rFonts w:ascii="Times New Roman" w:hAnsi="Times New Roman"/>
          <w:sz w:val="20"/>
          <w:szCs w:val="20"/>
        </w:rPr>
      </w:pPr>
      <w:hyperlink r:id="rId94" w:anchor="sBB4BED1571A45A16AF3DC2E3B69C901C" w:history="1">
        <w:r>
          <w:rPr>
            <w:rStyle w:val="a5"/>
            <w:rFonts w:ascii="Times New Roman" w:eastAsia="宋体" w:hAnsi="Times New Roman"/>
            <w:sz w:val="20"/>
            <w:szCs w:val="20"/>
          </w:rPr>
          <w:t>Table of Contents</w:t>
        </w:r>
      </w:hyperlink>
    </w:p>
    <w:p w14:paraId="1446F4AA"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AD" w14:textId="77777777">
        <w:trPr>
          <w:tblCellSpacing w:w="0" w:type="dxa"/>
        </w:trPr>
        <w:tc>
          <w:tcPr>
            <w:tcW w:w="1440" w:type="dxa"/>
            <w:shd w:val="clear" w:color="auto" w:fill="auto"/>
            <w:vAlign w:val="center"/>
          </w:tcPr>
          <w:p w14:paraId="1446F4AB" w14:textId="77777777" w:rsidR="00FE42B5" w:rsidRDefault="00FE42B5">
            <w:pPr>
              <w:rPr>
                <w:rFonts w:ascii="Times New Roman" w:hAnsi="Times New Roman"/>
                <w:sz w:val="20"/>
                <w:szCs w:val="20"/>
              </w:rPr>
            </w:pPr>
          </w:p>
        </w:tc>
        <w:tc>
          <w:tcPr>
            <w:tcW w:w="0" w:type="auto"/>
            <w:shd w:val="clear" w:color="auto" w:fill="auto"/>
            <w:vAlign w:val="center"/>
          </w:tcPr>
          <w:p w14:paraId="1446F4AC" w14:textId="77777777" w:rsidR="00FE42B5" w:rsidRDefault="00FE42B5">
            <w:pPr>
              <w:rPr>
                <w:rFonts w:ascii="Times New Roman" w:hAnsi="Times New Roman"/>
                <w:sz w:val="20"/>
                <w:szCs w:val="20"/>
              </w:rPr>
            </w:pPr>
          </w:p>
        </w:tc>
      </w:tr>
      <w:tr w:rsidR="00FE42B5" w14:paraId="1446F4B0" w14:textId="77777777">
        <w:trPr>
          <w:tblCellSpacing w:w="0" w:type="dxa"/>
        </w:trPr>
        <w:tc>
          <w:tcPr>
            <w:tcW w:w="0" w:type="auto"/>
            <w:shd w:val="clear" w:color="auto" w:fill="auto"/>
          </w:tcPr>
          <w:p w14:paraId="1446F4A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AF"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impact of macroeconomic conditions, whether in the advertising </w:t>
            </w:r>
            <w:r>
              <w:rPr>
                <w:rFonts w:ascii="Times New Roman" w:eastAsia="宋体" w:hAnsi="Times New Roman"/>
                <w:sz w:val="20"/>
                <w:szCs w:val="20"/>
              </w:rPr>
              <w:t>industry in general, or among specific types of marketers or within particular geographies.</w:t>
            </w:r>
          </w:p>
        </w:tc>
      </w:tr>
    </w:tbl>
    <w:p w14:paraId="1446F4B1" w14:textId="77777777" w:rsidR="00FE42B5" w:rsidRDefault="00FE42B5">
      <w:pPr>
        <w:spacing w:line="288" w:lineRule="auto"/>
        <w:ind w:firstLine="720"/>
        <w:jc w:val="both"/>
        <w:rPr>
          <w:rFonts w:ascii="Times New Roman" w:hAnsi="Times New Roman"/>
          <w:sz w:val="20"/>
          <w:szCs w:val="20"/>
        </w:rPr>
      </w:pPr>
    </w:p>
    <w:p w14:paraId="1446F4B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certain of these factors have adversely affected our advertising revenue to varying degrees. The occurrence of any of these or other factors in</w:t>
      </w:r>
      <w:r>
        <w:rPr>
          <w:rFonts w:ascii="Times New Roman" w:eastAsia="宋体" w:hAnsi="Times New Roman"/>
          <w:sz w:val="20"/>
          <w:szCs w:val="20"/>
        </w:rPr>
        <w:t xml:space="preserve"> the future could result in a reduction in demand for our ads, which may reduce the prices we receive for our ads, or cause marketers to stop advertising with us altogether, either of which would negatively affect our revenue and financial results. For exa</w:t>
      </w:r>
      <w:r>
        <w:rPr>
          <w:rFonts w:ascii="Times New Roman" w:eastAsia="宋体" w:hAnsi="Times New Roman"/>
          <w:sz w:val="20"/>
          <w:szCs w:val="20"/>
        </w:rPr>
        <w:t>mple, macroeconomic conditions have affected, and we expect will continue to affect, marketers' ability or willingness to spend with us, as we have seen with the regional and worldwide economic disruption related to the COVID-19 pandemic and associated dec</w:t>
      </w:r>
      <w:r>
        <w:rPr>
          <w:rFonts w:ascii="Times New Roman" w:eastAsia="宋体" w:hAnsi="Times New Roman"/>
          <w:sz w:val="20"/>
          <w:szCs w:val="20"/>
        </w:rPr>
        <w:t>lines in advertising activity on our products. The effects of the pandemic have resulted in reduced demand for our ads, a related decline in pricing of our ads, and additional demands on our technical infrastructure as a result of increased usage of our se</w:t>
      </w:r>
      <w:r>
        <w:rPr>
          <w:rFonts w:ascii="Times New Roman" w:eastAsia="宋体" w:hAnsi="Times New Roman"/>
          <w:sz w:val="20"/>
          <w:szCs w:val="20"/>
        </w:rPr>
        <w:t>rvices, which may impair our ability to maintain or increase the quantity or quality of ads shown to users and adversely affect our revenue and financial results.</w:t>
      </w:r>
    </w:p>
    <w:p w14:paraId="1446F4B3" w14:textId="77777777" w:rsidR="00FE42B5" w:rsidRDefault="00FE42B5">
      <w:pPr>
        <w:spacing w:line="288" w:lineRule="auto"/>
        <w:jc w:val="both"/>
        <w:rPr>
          <w:rFonts w:ascii="Times New Roman" w:hAnsi="Times New Roman"/>
          <w:sz w:val="20"/>
          <w:szCs w:val="20"/>
        </w:rPr>
      </w:pPr>
    </w:p>
    <w:p w14:paraId="1446F4B4"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Our advertising revenue is dependent on targeting and measurement tools that incorporate dat</w:t>
      </w:r>
      <w:r>
        <w:rPr>
          <w:rFonts w:ascii="Times New Roman" w:eastAsia="宋体" w:hAnsi="Times New Roman"/>
          <w:b/>
          <w:bCs/>
          <w:i/>
          <w:iCs/>
          <w:sz w:val="20"/>
          <w:szCs w:val="20"/>
        </w:rPr>
        <w:t>a signals from user activity on websites and services that we do not control, and changes to the regulatory environment, third-party mobile operating systems and browsers, and our own products have impacted, and we expect will continue to impact, the avail</w:t>
      </w:r>
      <w:r>
        <w:rPr>
          <w:rFonts w:ascii="Times New Roman" w:eastAsia="宋体" w:hAnsi="Times New Roman"/>
          <w:b/>
          <w:bCs/>
          <w:i/>
          <w:iCs/>
          <w:sz w:val="20"/>
          <w:szCs w:val="20"/>
        </w:rPr>
        <w:t>ability of such signals, which will adversely affect our advertising revenue.</w:t>
      </w:r>
    </w:p>
    <w:p w14:paraId="1446F4B5" w14:textId="77777777" w:rsidR="00FE42B5" w:rsidRDefault="00FE42B5">
      <w:pPr>
        <w:spacing w:line="288" w:lineRule="auto"/>
        <w:jc w:val="both"/>
        <w:rPr>
          <w:rFonts w:ascii="Times New Roman" w:hAnsi="Times New Roman"/>
          <w:sz w:val="20"/>
          <w:szCs w:val="20"/>
        </w:rPr>
      </w:pPr>
    </w:p>
    <w:p w14:paraId="1446F4B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rely on data signals from user activity on websites and services that we do not control in order to deliver relevant and effective ads to our users. Our advertising revenue i</w:t>
      </w:r>
      <w:r>
        <w:rPr>
          <w:rFonts w:ascii="Times New Roman" w:eastAsia="宋体" w:hAnsi="Times New Roman"/>
          <w:sz w:val="20"/>
          <w:szCs w:val="20"/>
        </w:rPr>
        <w:t>s dependent on targeting and measurement tools that incorporate these signals, and any changes in our ability to use such signals will adversely affect our business. For example, legislative and regulatory changes, such as the GDPR and CCPA, have impacted,</w:t>
      </w:r>
      <w:r>
        <w:rPr>
          <w:rFonts w:ascii="Times New Roman" w:eastAsia="宋体" w:hAnsi="Times New Roman"/>
          <w:sz w:val="20"/>
          <w:szCs w:val="20"/>
        </w:rPr>
        <w:t xml:space="preserve"> and we expect will continue to impact, our ability to use such signals in our ad products. In addition, mobile operating system and browser providers, such as Apple and Google, have announced product changes as well as future plans to limit the ability of</w:t>
      </w:r>
      <w:r>
        <w:rPr>
          <w:rFonts w:ascii="Times New Roman" w:eastAsia="宋体" w:hAnsi="Times New Roman"/>
          <w:sz w:val="20"/>
          <w:szCs w:val="20"/>
        </w:rPr>
        <w:t xml:space="preserve"> application developers to use these signals to target and measure advertising on their platforms. Similarly, we have implemented, and may continue to implement, product changes that give users the ability to limit our use of such data signals to improve a</w:t>
      </w:r>
      <w:r>
        <w:rPr>
          <w:rFonts w:ascii="Times New Roman" w:eastAsia="宋体" w:hAnsi="Times New Roman"/>
          <w:sz w:val="20"/>
          <w:szCs w:val="20"/>
        </w:rPr>
        <w:t xml:space="preserve">ds and other experiences on our products and services, including our Off-Facebook Activity tool and our worldwide offering of product changes we implemented in connection with the GDPR. These developments have limited our ability to target and measure the </w:t>
      </w:r>
      <w:r>
        <w:rPr>
          <w:rFonts w:ascii="Times New Roman" w:eastAsia="宋体" w:hAnsi="Times New Roman"/>
          <w:sz w:val="20"/>
          <w:szCs w:val="20"/>
        </w:rPr>
        <w:t>effectiveness of ads on our platform, and any additional loss of such signals in the future will adversely affect our targeting and measurement capabilities and negatively impact our advertising revenue.</w:t>
      </w:r>
    </w:p>
    <w:p w14:paraId="1446F4B7" w14:textId="77777777" w:rsidR="00FE42B5" w:rsidRDefault="00FE42B5">
      <w:pPr>
        <w:spacing w:line="288" w:lineRule="auto"/>
        <w:ind w:firstLine="720"/>
        <w:jc w:val="both"/>
        <w:rPr>
          <w:rFonts w:ascii="Times New Roman" w:hAnsi="Times New Roman"/>
          <w:sz w:val="20"/>
          <w:szCs w:val="20"/>
        </w:rPr>
      </w:pPr>
    </w:p>
    <w:p w14:paraId="1446F4B8"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Our user growth, engagement, and monetization on mo</w:t>
      </w:r>
      <w:r>
        <w:rPr>
          <w:rFonts w:ascii="Times New Roman" w:eastAsia="宋体" w:hAnsi="Times New Roman"/>
          <w:b/>
          <w:bCs/>
          <w:i/>
          <w:iCs/>
          <w:sz w:val="20"/>
          <w:szCs w:val="20"/>
        </w:rPr>
        <w:t>bile devices depend upon effective operation with mobile operating systems, networks, technologies, products, and standards that we do not control.</w:t>
      </w:r>
    </w:p>
    <w:p w14:paraId="1446F4B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substantial majority of our revenue is generated from advertising on mobile devices. There is no guarant</w:t>
      </w:r>
      <w:r>
        <w:rPr>
          <w:rFonts w:ascii="Times New Roman" w:eastAsia="宋体" w:hAnsi="Times New Roman"/>
          <w:sz w:val="20"/>
          <w:szCs w:val="20"/>
        </w:rPr>
        <w:t>ee that popular mobile devices will continue to feature Facebook or our other products, or that mobile device users will continue to use our products rather than competing products. We are dependent on the interoperability of Facebook and our other product</w:t>
      </w:r>
      <w:r>
        <w:rPr>
          <w:rFonts w:ascii="Times New Roman" w:eastAsia="宋体" w:hAnsi="Times New Roman"/>
          <w:sz w:val="20"/>
          <w:szCs w:val="20"/>
        </w:rPr>
        <w:t>s with popular mobile operating systems, networks, technologies, products, and standards that we do not control, such as the Android and iOS operating systems and mobile browsers. Any changes, bugs, or technical issues in such systems, or changes in our re</w:t>
      </w:r>
      <w:r>
        <w:rPr>
          <w:rFonts w:ascii="Times New Roman" w:eastAsia="宋体" w:hAnsi="Times New Roman"/>
          <w:sz w:val="20"/>
          <w:szCs w:val="20"/>
        </w:rPr>
        <w:t>lationships with mobile operating system partners, handset manufacturers, browser developers, or mobile carriers, or in their terms of service or policies that degrade our products' functionality, reduce or eliminate our ability to update or distribute our</w:t>
      </w:r>
      <w:r>
        <w:rPr>
          <w:rFonts w:ascii="Times New Roman" w:eastAsia="宋体" w:hAnsi="Times New Roman"/>
          <w:sz w:val="20"/>
          <w:szCs w:val="20"/>
        </w:rPr>
        <w:t xml:space="preserve"> products, give preferential treatment to competitive products, limit our ability to deliver, target, or measure the effectiveness of ads, or charge fees related to the distribution of our products or our delivery of ads could adversely affect the usage of</w:t>
      </w:r>
      <w:r>
        <w:rPr>
          <w:rFonts w:ascii="Times New Roman" w:eastAsia="宋体" w:hAnsi="Times New Roman"/>
          <w:sz w:val="20"/>
          <w:szCs w:val="20"/>
        </w:rPr>
        <w:t xml:space="preserve"> Facebook or our other products and monetization on mobile devices. For example, Apple previously released an update to its Safari browser that limits the use of third-party cookies, which reduces our ability to provide the most relevant ads to our users a</w:t>
      </w:r>
      <w:r>
        <w:rPr>
          <w:rFonts w:ascii="Times New Roman" w:eastAsia="宋体" w:hAnsi="Times New Roman"/>
          <w:sz w:val="20"/>
          <w:szCs w:val="20"/>
        </w:rPr>
        <w:t xml:space="preserve">nd impacts monetization, and we expect that any similar changes to its, Google's, or other browser or mobile platforms will further limit our ability to target and measure the effectiveness of ads and impact monetization. Additionally, in order to deliver </w:t>
      </w:r>
      <w:r>
        <w:rPr>
          <w:rFonts w:ascii="Times New Roman" w:eastAsia="宋体" w:hAnsi="Times New Roman"/>
          <w:sz w:val="20"/>
          <w:szCs w:val="20"/>
        </w:rPr>
        <w:t>high quality mobile products, it is important that our products work well with a range of mobile technologies, products, systems, networks, and standards that we do not control, and that we have good relationships with handset manufacturers, mobile carrier</w:t>
      </w:r>
      <w:r>
        <w:rPr>
          <w:rFonts w:ascii="Times New Roman" w:eastAsia="宋体" w:hAnsi="Times New Roman"/>
          <w:sz w:val="20"/>
          <w:szCs w:val="20"/>
        </w:rPr>
        <w:t>s and browser developers. We may not be successful in maintaining or developing relationships with key participants in the mobile ecosystem or in developing products that operate effectively with these technologies, products, systems, networks, or standard</w:t>
      </w:r>
      <w:r>
        <w:rPr>
          <w:rFonts w:ascii="Times New Roman" w:eastAsia="宋体" w:hAnsi="Times New Roman"/>
          <w:sz w:val="20"/>
          <w:szCs w:val="20"/>
        </w:rPr>
        <w:t>s. In the event that it is more difficult for our users to access and use Facebook or our other products on their mobile devices, or if our users choose not to access or use Facebook or our other products on their mobile devices or use mobile products that</w:t>
      </w:r>
      <w:r>
        <w:rPr>
          <w:rFonts w:ascii="Times New Roman" w:eastAsia="宋体" w:hAnsi="Times New Roman"/>
          <w:sz w:val="20"/>
          <w:szCs w:val="20"/>
        </w:rPr>
        <w:t xml:space="preserve"> do not offer access to Facebook or our other products, our user growth and user engagement could be harmed. From time to time, we may also take actions regarding the distribution of our products or the operation of our business based on what we believe to</w:t>
      </w:r>
      <w:r>
        <w:rPr>
          <w:rFonts w:ascii="Times New Roman" w:eastAsia="宋体" w:hAnsi="Times New Roman"/>
          <w:sz w:val="20"/>
          <w:szCs w:val="20"/>
        </w:rPr>
        <w:t xml:space="preserve"> be in our long-term best interests. Such actions may adversely affect our users and our relationships with the operators of </w:t>
      </w:r>
    </w:p>
    <w:p w14:paraId="1446F4BA" w14:textId="77777777" w:rsidR="00FE42B5" w:rsidRDefault="00FE42B5">
      <w:pPr>
        <w:rPr>
          <w:rFonts w:ascii="Times New Roman" w:hAnsi="Times New Roman"/>
          <w:sz w:val="20"/>
          <w:szCs w:val="20"/>
        </w:rPr>
      </w:pPr>
    </w:p>
    <w:p w14:paraId="1446F4BB"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55</w:t>
      </w:r>
    </w:p>
    <w:p w14:paraId="1446F4BC" w14:textId="77777777" w:rsidR="00FE42B5" w:rsidRDefault="009213DC">
      <w:r>
        <w:rPr>
          <w:rFonts w:ascii="Times New Roman" w:hAnsi="Times New Roman"/>
          <w:sz w:val="20"/>
          <w:szCs w:val="20"/>
        </w:rPr>
        <w:pict w14:anchorId="1446FAFF">
          <v:rect id="_x0000_i1079" style="width:415.3pt;height:1.5pt" o:hralign="center" o:hrstd="t" o:hr="t" fillcolor="#a0a0a0" stroked="f"/>
        </w:pict>
      </w:r>
    </w:p>
    <w:p w14:paraId="1446F4BD" w14:textId="77777777" w:rsidR="00FE42B5" w:rsidRDefault="009213DC">
      <w:pPr>
        <w:spacing w:line="288" w:lineRule="auto"/>
        <w:rPr>
          <w:rFonts w:ascii="Times New Roman" w:hAnsi="Times New Roman"/>
          <w:sz w:val="20"/>
          <w:szCs w:val="20"/>
        </w:rPr>
      </w:pPr>
      <w:hyperlink r:id="rId95" w:anchor="sBB4BED1571A45A16AF3DC2E3B69C901C" w:history="1">
        <w:r>
          <w:rPr>
            <w:rStyle w:val="a5"/>
            <w:rFonts w:ascii="Times New Roman" w:eastAsia="宋体" w:hAnsi="Times New Roman"/>
            <w:sz w:val="20"/>
            <w:szCs w:val="20"/>
          </w:rPr>
          <w:t>Table of Contents</w:t>
        </w:r>
      </w:hyperlink>
    </w:p>
    <w:p w14:paraId="1446F4BE" w14:textId="77777777" w:rsidR="00FE42B5" w:rsidRDefault="00FE42B5">
      <w:pPr>
        <w:rPr>
          <w:rFonts w:ascii="Times New Roman" w:hAnsi="Times New Roman"/>
          <w:sz w:val="20"/>
          <w:szCs w:val="20"/>
        </w:rPr>
      </w:pPr>
    </w:p>
    <w:p w14:paraId="1446F4BF"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mobile operating systems, handset manufacturers, mobile carriers, browser developers, or other business partners, and there is no assurance that these actions will result in the anticipated long-term benefits</w:t>
      </w:r>
      <w:r>
        <w:rPr>
          <w:rFonts w:ascii="Times New Roman" w:eastAsia="宋体" w:hAnsi="Times New Roman"/>
          <w:sz w:val="20"/>
          <w:szCs w:val="20"/>
        </w:rPr>
        <w:t>. In the event that our users are adversely affected by these actions or if our relationships with such third parties deteriorate, our user growth, engagement, and monetization could be adversely affected and our business could be harmed.</w:t>
      </w:r>
    </w:p>
    <w:p w14:paraId="1446F4C0"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Our </w:t>
      </w:r>
      <w:r>
        <w:rPr>
          <w:rFonts w:ascii="Times New Roman" w:eastAsia="宋体" w:hAnsi="Times New Roman"/>
          <w:b/>
          <w:bCs/>
          <w:i/>
          <w:iCs/>
          <w:sz w:val="20"/>
          <w:szCs w:val="20"/>
        </w:rPr>
        <w:t>business is highly competitive. Competition presents an ongoing threat to the success of our business.</w:t>
      </w:r>
    </w:p>
    <w:p w14:paraId="1446F4C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compete with companies that sell advertising, as well as with companies that provide social, media, and communication products and services that are d</w:t>
      </w:r>
      <w:r>
        <w:rPr>
          <w:rFonts w:ascii="Times New Roman" w:eastAsia="宋体" w:hAnsi="Times New Roman"/>
          <w:sz w:val="20"/>
          <w:szCs w:val="20"/>
        </w:rPr>
        <w:t>esigned to engage users on mobile devices and online. We face significant competition in every aspect of our business, including from companies that facilitate communication and the sharing of content and information, companies that enable marketers to dis</w:t>
      </w:r>
      <w:r>
        <w:rPr>
          <w:rFonts w:ascii="Times New Roman" w:eastAsia="宋体" w:hAnsi="Times New Roman"/>
          <w:sz w:val="20"/>
          <w:szCs w:val="20"/>
        </w:rPr>
        <w:t>play advertising, companies that distribute video and other forms of media content, and companies that provide development platforms for applications developers. We compete with companies that offer products across broad platforms that replicate capabiliti</w:t>
      </w:r>
      <w:r>
        <w:rPr>
          <w:rFonts w:ascii="Times New Roman" w:eastAsia="宋体" w:hAnsi="Times New Roman"/>
          <w:sz w:val="20"/>
          <w:szCs w:val="20"/>
        </w:rPr>
        <w:t>es we provide. For example, among other areas, we compete with Apple in messaging, Google and YouTube in advertising and video, Tencent and Snap in messaging and social media, Bytedance and Twitter in social media, and Amazon in advertising. We also compet</w:t>
      </w:r>
      <w:r>
        <w:rPr>
          <w:rFonts w:ascii="Times New Roman" w:eastAsia="宋体" w:hAnsi="Times New Roman"/>
          <w:sz w:val="20"/>
          <w:szCs w:val="20"/>
        </w:rPr>
        <w:t>e with companies that provide regional social networks and messaging products, many of which have strong positions in particular countries. Some of our competitors may be domiciled in different countries and subject to political, legal, and regulatory regi</w:t>
      </w:r>
      <w:r>
        <w:rPr>
          <w:rFonts w:ascii="Times New Roman" w:eastAsia="宋体" w:hAnsi="Times New Roman"/>
          <w:sz w:val="20"/>
          <w:szCs w:val="20"/>
        </w:rPr>
        <w:t>mes that enable them to compete more effectively than us. In addition, we face competition from traditional, online, and mobile businesses that provide media for marketers to reach their audiences and/or develop tools and systems for managing and optimizin</w:t>
      </w:r>
      <w:r>
        <w:rPr>
          <w:rFonts w:ascii="Times New Roman" w:eastAsia="宋体" w:hAnsi="Times New Roman"/>
          <w:sz w:val="20"/>
          <w:szCs w:val="20"/>
        </w:rPr>
        <w:t>g advertising campaigns. We also compete with companies that develop and deliver consumer hardware and virtual reality products and services.</w:t>
      </w:r>
    </w:p>
    <w:p w14:paraId="1446F4C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Some of our current and potential competitors may have greater resources or stronger competitive positions in cert</w:t>
      </w:r>
      <w:r>
        <w:rPr>
          <w:rFonts w:ascii="Times New Roman" w:eastAsia="宋体" w:hAnsi="Times New Roman"/>
          <w:sz w:val="20"/>
          <w:szCs w:val="20"/>
        </w:rPr>
        <w:t>ain product segments, geographic regions, or user demographics than we do. These factors may allow our competitors to respond more effectively than us to new or emerging technologies and changes in market conditions. We believe that some users, particularl</w:t>
      </w:r>
      <w:r>
        <w:rPr>
          <w:rFonts w:ascii="Times New Roman" w:eastAsia="宋体" w:hAnsi="Times New Roman"/>
          <w:sz w:val="20"/>
          <w:szCs w:val="20"/>
        </w:rPr>
        <w:t>y younger users, are aware of and actively engaging with other products and services similar to, or as a substitute for, our products and services, and we believe that some users have reduced their use of and engagement with our products and services in fa</w:t>
      </w:r>
      <w:r>
        <w:rPr>
          <w:rFonts w:ascii="Times New Roman" w:eastAsia="宋体" w:hAnsi="Times New Roman"/>
          <w:sz w:val="20"/>
          <w:szCs w:val="20"/>
        </w:rPr>
        <w:t>vor of these other products and services. In the event that users increasingly engage with other products and services, we may experience a decline in use and engagement in key user demographics or more broadly, in which case our business would likely be h</w:t>
      </w:r>
      <w:r>
        <w:rPr>
          <w:rFonts w:ascii="Times New Roman" w:eastAsia="宋体" w:hAnsi="Times New Roman"/>
          <w:sz w:val="20"/>
          <w:szCs w:val="20"/>
        </w:rPr>
        <w:t>armed.</w:t>
      </w:r>
    </w:p>
    <w:p w14:paraId="1446F4C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competitors may develop products, features, or services that are similar to ours or that achieve greater acceptance, may undertake more far-reaching and successful product development efforts or marketing campaigns, or may adopt more aggressive </w:t>
      </w:r>
      <w:r>
        <w:rPr>
          <w:rFonts w:ascii="Times New Roman" w:eastAsia="宋体" w:hAnsi="Times New Roman"/>
          <w:sz w:val="20"/>
          <w:szCs w:val="20"/>
        </w:rPr>
        <w:t xml:space="preserve">pricing policies. In addition, developers whose mobile and web applications are integrated with Facebook or our other products may use information shared by our users through our products in order to develop products or features that compete with us. Some </w:t>
      </w:r>
      <w:r>
        <w:rPr>
          <w:rFonts w:ascii="Times New Roman" w:eastAsia="宋体" w:hAnsi="Times New Roman"/>
          <w:sz w:val="20"/>
          <w:szCs w:val="20"/>
        </w:rPr>
        <w:t>competitors may gain a competitive advantage against us in areas where we operate, including: by making acquisitions; by limiting our ability to deliver, target, or measure the effectiveness of ads; by imposing fees or other charges related to our delivery</w:t>
      </w:r>
      <w:r>
        <w:rPr>
          <w:rFonts w:ascii="Times New Roman" w:eastAsia="宋体" w:hAnsi="Times New Roman"/>
          <w:sz w:val="20"/>
          <w:szCs w:val="20"/>
        </w:rPr>
        <w:t xml:space="preserve"> of ads; by making access to our products more difficult or impossible; by making it more difficult to communicate with our users; or by integrating competing platforms, applications, or features into products they control such as mobile device operating s</w:t>
      </w:r>
      <w:r>
        <w:rPr>
          <w:rFonts w:ascii="Times New Roman" w:eastAsia="宋体" w:hAnsi="Times New Roman"/>
          <w:sz w:val="20"/>
          <w:szCs w:val="20"/>
        </w:rPr>
        <w:t>ystems, search engines, browsers, or e-commerce platforms. For example, each of Apple and Google have integrated competitive products with iOS and Android, respectively. As a result, our competitors may acquire and engage users or generate advertising or o</w:t>
      </w:r>
      <w:r>
        <w:rPr>
          <w:rFonts w:ascii="Times New Roman" w:eastAsia="宋体" w:hAnsi="Times New Roman"/>
          <w:sz w:val="20"/>
          <w:szCs w:val="20"/>
        </w:rPr>
        <w:t>ther revenue at the expense of our own efforts, which may negatively affect our business and financial results. In addition, from time to time, we may take actions in response to competitive threats, but we cannot assure you that these actions will be succ</w:t>
      </w:r>
      <w:r>
        <w:rPr>
          <w:rFonts w:ascii="Times New Roman" w:eastAsia="宋体" w:hAnsi="Times New Roman"/>
          <w:sz w:val="20"/>
          <w:szCs w:val="20"/>
        </w:rPr>
        <w:t>essful or that they will not negatively affect our business and financial results.</w:t>
      </w:r>
    </w:p>
    <w:p w14:paraId="1446F4C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believe that our ability to compete effectively depends upon many factors both within and beyond our control, including:</w:t>
      </w: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C7" w14:textId="77777777">
        <w:trPr>
          <w:tblCellSpacing w:w="0" w:type="dxa"/>
        </w:trPr>
        <w:tc>
          <w:tcPr>
            <w:tcW w:w="1440" w:type="dxa"/>
            <w:shd w:val="clear" w:color="auto" w:fill="auto"/>
            <w:vAlign w:val="center"/>
          </w:tcPr>
          <w:p w14:paraId="1446F4C5" w14:textId="77777777" w:rsidR="00FE42B5" w:rsidRDefault="00FE42B5">
            <w:pPr>
              <w:rPr>
                <w:rFonts w:ascii="Times New Roman" w:hAnsi="Times New Roman"/>
                <w:sz w:val="20"/>
                <w:szCs w:val="20"/>
              </w:rPr>
            </w:pPr>
          </w:p>
        </w:tc>
        <w:tc>
          <w:tcPr>
            <w:tcW w:w="0" w:type="auto"/>
            <w:shd w:val="clear" w:color="auto" w:fill="auto"/>
            <w:vAlign w:val="center"/>
          </w:tcPr>
          <w:p w14:paraId="1446F4C6" w14:textId="77777777" w:rsidR="00FE42B5" w:rsidRDefault="00FE42B5">
            <w:pPr>
              <w:rPr>
                <w:rFonts w:ascii="Times New Roman" w:hAnsi="Times New Roman"/>
                <w:sz w:val="20"/>
                <w:szCs w:val="20"/>
              </w:rPr>
            </w:pPr>
          </w:p>
        </w:tc>
      </w:tr>
      <w:tr w:rsidR="00FE42B5" w14:paraId="1446F4CA" w14:textId="77777777">
        <w:trPr>
          <w:tblCellSpacing w:w="0" w:type="dxa"/>
        </w:trPr>
        <w:tc>
          <w:tcPr>
            <w:tcW w:w="0" w:type="auto"/>
            <w:shd w:val="clear" w:color="auto" w:fill="auto"/>
          </w:tcPr>
          <w:p w14:paraId="1446F4C8"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C9"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popularity, usefulness, ease of use, </w:t>
            </w:r>
            <w:r>
              <w:rPr>
                <w:rFonts w:ascii="Times New Roman" w:eastAsia="宋体" w:hAnsi="Times New Roman"/>
                <w:sz w:val="20"/>
                <w:szCs w:val="20"/>
              </w:rPr>
              <w:t>performance, and reliability of our products compared to our competitors' products;</w:t>
            </w:r>
          </w:p>
        </w:tc>
      </w:tr>
    </w:tbl>
    <w:p w14:paraId="1446F4CB"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3361"/>
      </w:tblGrid>
      <w:tr w:rsidR="00FE42B5" w14:paraId="1446F4CE" w14:textId="77777777">
        <w:trPr>
          <w:tblCellSpacing w:w="0" w:type="dxa"/>
        </w:trPr>
        <w:tc>
          <w:tcPr>
            <w:tcW w:w="1440" w:type="dxa"/>
            <w:shd w:val="clear" w:color="auto" w:fill="auto"/>
            <w:vAlign w:val="center"/>
          </w:tcPr>
          <w:p w14:paraId="1446F4CC" w14:textId="77777777" w:rsidR="00FE42B5" w:rsidRDefault="00FE42B5">
            <w:pPr>
              <w:rPr>
                <w:rFonts w:ascii="Times New Roman" w:hAnsi="Times New Roman"/>
                <w:sz w:val="20"/>
                <w:szCs w:val="20"/>
              </w:rPr>
            </w:pPr>
          </w:p>
        </w:tc>
        <w:tc>
          <w:tcPr>
            <w:tcW w:w="0" w:type="auto"/>
            <w:shd w:val="clear" w:color="auto" w:fill="auto"/>
            <w:vAlign w:val="center"/>
          </w:tcPr>
          <w:p w14:paraId="1446F4CD" w14:textId="77777777" w:rsidR="00FE42B5" w:rsidRDefault="00FE42B5">
            <w:pPr>
              <w:rPr>
                <w:rFonts w:ascii="Times New Roman" w:hAnsi="Times New Roman"/>
                <w:sz w:val="20"/>
                <w:szCs w:val="20"/>
              </w:rPr>
            </w:pPr>
          </w:p>
        </w:tc>
      </w:tr>
      <w:tr w:rsidR="00FE42B5" w14:paraId="1446F4D1" w14:textId="77777777">
        <w:trPr>
          <w:tblCellSpacing w:w="0" w:type="dxa"/>
        </w:trPr>
        <w:tc>
          <w:tcPr>
            <w:tcW w:w="0" w:type="auto"/>
            <w:shd w:val="clear" w:color="auto" w:fill="auto"/>
          </w:tcPr>
          <w:p w14:paraId="1446F4CF"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D0"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the size and composition of our user base;</w:t>
            </w:r>
          </w:p>
        </w:tc>
      </w:tr>
    </w:tbl>
    <w:p w14:paraId="1446F4D2"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5427"/>
      </w:tblGrid>
      <w:tr w:rsidR="00FE42B5" w14:paraId="1446F4D5" w14:textId="77777777">
        <w:trPr>
          <w:tblCellSpacing w:w="0" w:type="dxa"/>
        </w:trPr>
        <w:tc>
          <w:tcPr>
            <w:tcW w:w="1440" w:type="dxa"/>
            <w:shd w:val="clear" w:color="auto" w:fill="auto"/>
            <w:vAlign w:val="center"/>
          </w:tcPr>
          <w:p w14:paraId="1446F4D3" w14:textId="77777777" w:rsidR="00FE42B5" w:rsidRDefault="00FE42B5">
            <w:pPr>
              <w:rPr>
                <w:rFonts w:ascii="Times New Roman" w:hAnsi="Times New Roman"/>
                <w:sz w:val="20"/>
                <w:szCs w:val="20"/>
              </w:rPr>
            </w:pPr>
          </w:p>
        </w:tc>
        <w:tc>
          <w:tcPr>
            <w:tcW w:w="0" w:type="auto"/>
            <w:shd w:val="clear" w:color="auto" w:fill="auto"/>
            <w:vAlign w:val="center"/>
          </w:tcPr>
          <w:p w14:paraId="1446F4D4" w14:textId="77777777" w:rsidR="00FE42B5" w:rsidRDefault="00FE42B5">
            <w:pPr>
              <w:rPr>
                <w:rFonts w:ascii="Times New Roman" w:hAnsi="Times New Roman"/>
                <w:sz w:val="20"/>
                <w:szCs w:val="20"/>
              </w:rPr>
            </w:pPr>
          </w:p>
        </w:tc>
      </w:tr>
      <w:tr w:rsidR="00FE42B5" w14:paraId="1446F4D8" w14:textId="77777777">
        <w:trPr>
          <w:tblCellSpacing w:w="0" w:type="dxa"/>
        </w:trPr>
        <w:tc>
          <w:tcPr>
            <w:tcW w:w="0" w:type="auto"/>
            <w:shd w:val="clear" w:color="auto" w:fill="auto"/>
          </w:tcPr>
          <w:p w14:paraId="1446F4D6"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D7"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the engagement of users with our products and competing products;</w:t>
            </w:r>
          </w:p>
        </w:tc>
      </w:tr>
    </w:tbl>
    <w:p w14:paraId="1446F4D9"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DC" w14:textId="77777777">
        <w:trPr>
          <w:tblCellSpacing w:w="0" w:type="dxa"/>
        </w:trPr>
        <w:tc>
          <w:tcPr>
            <w:tcW w:w="1440" w:type="dxa"/>
            <w:shd w:val="clear" w:color="auto" w:fill="auto"/>
            <w:vAlign w:val="center"/>
          </w:tcPr>
          <w:p w14:paraId="1446F4DA" w14:textId="77777777" w:rsidR="00FE42B5" w:rsidRDefault="00FE42B5">
            <w:pPr>
              <w:rPr>
                <w:rFonts w:ascii="Times New Roman" w:hAnsi="Times New Roman"/>
                <w:sz w:val="20"/>
                <w:szCs w:val="20"/>
              </w:rPr>
            </w:pPr>
          </w:p>
        </w:tc>
        <w:tc>
          <w:tcPr>
            <w:tcW w:w="0" w:type="auto"/>
            <w:shd w:val="clear" w:color="auto" w:fill="auto"/>
            <w:vAlign w:val="center"/>
          </w:tcPr>
          <w:p w14:paraId="1446F4DB" w14:textId="77777777" w:rsidR="00FE42B5" w:rsidRDefault="00FE42B5">
            <w:pPr>
              <w:rPr>
                <w:rFonts w:ascii="Times New Roman" w:hAnsi="Times New Roman"/>
                <w:sz w:val="20"/>
                <w:szCs w:val="20"/>
              </w:rPr>
            </w:pPr>
          </w:p>
        </w:tc>
      </w:tr>
      <w:tr w:rsidR="00FE42B5" w14:paraId="1446F4DF" w14:textId="77777777">
        <w:trPr>
          <w:tblCellSpacing w:w="0" w:type="dxa"/>
        </w:trPr>
        <w:tc>
          <w:tcPr>
            <w:tcW w:w="0" w:type="auto"/>
            <w:shd w:val="clear" w:color="auto" w:fill="auto"/>
          </w:tcPr>
          <w:p w14:paraId="1446F4DD"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DE"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timing and market acceptance of </w:t>
            </w:r>
            <w:r>
              <w:rPr>
                <w:rFonts w:ascii="Times New Roman" w:eastAsia="宋体" w:hAnsi="Times New Roman"/>
                <w:sz w:val="20"/>
                <w:szCs w:val="20"/>
              </w:rPr>
              <w:t>products, including developments and enhancements to our or our competitors' products;</w:t>
            </w:r>
          </w:p>
        </w:tc>
      </w:tr>
    </w:tbl>
    <w:p w14:paraId="1446F4E0"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E3" w14:textId="77777777">
        <w:trPr>
          <w:tblCellSpacing w:w="0" w:type="dxa"/>
        </w:trPr>
        <w:tc>
          <w:tcPr>
            <w:tcW w:w="1440" w:type="dxa"/>
            <w:shd w:val="clear" w:color="auto" w:fill="auto"/>
            <w:vAlign w:val="center"/>
          </w:tcPr>
          <w:p w14:paraId="1446F4E1" w14:textId="77777777" w:rsidR="00FE42B5" w:rsidRDefault="00FE42B5">
            <w:pPr>
              <w:rPr>
                <w:rFonts w:ascii="Times New Roman" w:hAnsi="Times New Roman"/>
                <w:sz w:val="20"/>
                <w:szCs w:val="20"/>
              </w:rPr>
            </w:pPr>
          </w:p>
        </w:tc>
        <w:tc>
          <w:tcPr>
            <w:tcW w:w="0" w:type="auto"/>
            <w:shd w:val="clear" w:color="auto" w:fill="auto"/>
            <w:vAlign w:val="center"/>
          </w:tcPr>
          <w:p w14:paraId="1446F4E2" w14:textId="77777777" w:rsidR="00FE42B5" w:rsidRDefault="00FE42B5">
            <w:pPr>
              <w:rPr>
                <w:rFonts w:ascii="Times New Roman" w:hAnsi="Times New Roman"/>
                <w:sz w:val="20"/>
                <w:szCs w:val="20"/>
              </w:rPr>
            </w:pPr>
          </w:p>
        </w:tc>
      </w:tr>
      <w:tr w:rsidR="00FE42B5" w14:paraId="1446F4E6" w14:textId="77777777">
        <w:trPr>
          <w:tblCellSpacing w:w="0" w:type="dxa"/>
        </w:trPr>
        <w:tc>
          <w:tcPr>
            <w:tcW w:w="0" w:type="auto"/>
            <w:shd w:val="clear" w:color="auto" w:fill="auto"/>
          </w:tcPr>
          <w:p w14:paraId="1446F4E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E5"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our safety and security efforts and our ability to protect user data and to provide users with control over their data;</w:t>
            </w:r>
          </w:p>
        </w:tc>
      </w:tr>
    </w:tbl>
    <w:p w14:paraId="1446F4E7" w14:textId="77777777" w:rsidR="00FE42B5" w:rsidRDefault="00FE42B5">
      <w:pPr>
        <w:rPr>
          <w:rFonts w:ascii="Times New Roman" w:hAnsi="Times New Roman"/>
          <w:sz w:val="20"/>
          <w:szCs w:val="20"/>
        </w:rPr>
      </w:pPr>
    </w:p>
    <w:p w14:paraId="1446F4E8"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56</w:t>
      </w:r>
    </w:p>
    <w:p w14:paraId="1446F4E9" w14:textId="77777777" w:rsidR="00FE42B5" w:rsidRDefault="009213DC">
      <w:r>
        <w:rPr>
          <w:rFonts w:ascii="Times New Roman" w:hAnsi="Times New Roman"/>
          <w:sz w:val="20"/>
          <w:szCs w:val="20"/>
        </w:rPr>
        <w:pict w14:anchorId="1446FB00">
          <v:rect id="_x0000_i1080" style="width:415.3pt;height:1.5pt" o:hralign="center" o:hrstd="t" o:hr="t" fillcolor="#a0a0a0" stroked="f"/>
        </w:pict>
      </w:r>
    </w:p>
    <w:p w14:paraId="1446F4EA" w14:textId="77777777" w:rsidR="00FE42B5" w:rsidRDefault="009213DC">
      <w:pPr>
        <w:spacing w:line="288" w:lineRule="auto"/>
        <w:rPr>
          <w:rFonts w:ascii="Times New Roman" w:hAnsi="Times New Roman"/>
          <w:sz w:val="20"/>
          <w:szCs w:val="20"/>
        </w:rPr>
      </w:pPr>
      <w:hyperlink r:id="rId96" w:anchor="sBB4BED1571A45A16AF3DC2E3B69C901C" w:history="1">
        <w:r>
          <w:rPr>
            <w:rStyle w:val="a5"/>
            <w:rFonts w:ascii="Times New Roman" w:eastAsia="宋体" w:hAnsi="Times New Roman"/>
            <w:sz w:val="20"/>
            <w:szCs w:val="20"/>
          </w:rPr>
          <w:t>Table of Contents</w:t>
        </w:r>
      </w:hyperlink>
    </w:p>
    <w:p w14:paraId="1446F4EB"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022"/>
      </w:tblGrid>
      <w:tr w:rsidR="00FE42B5" w14:paraId="1446F4EE" w14:textId="77777777">
        <w:trPr>
          <w:tblCellSpacing w:w="0" w:type="dxa"/>
        </w:trPr>
        <w:tc>
          <w:tcPr>
            <w:tcW w:w="1440" w:type="dxa"/>
            <w:shd w:val="clear" w:color="auto" w:fill="auto"/>
            <w:vAlign w:val="center"/>
          </w:tcPr>
          <w:p w14:paraId="1446F4EC" w14:textId="77777777" w:rsidR="00FE42B5" w:rsidRDefault="00FE42B5">
            <w:pPr>
              <w:rPr>
                <w:rFonts w:ascii="Times New Roman" w:hAnsi="Times New Roman"/>
                <w:sz w:val="20"/>
                <w:szCs w:val="20"/>
              </w:rPr>
            </w:pPr>
          </w:p>
        </w:tc>
        <w:tc>
          <w:tcPr>
            <w:tcW w:w="0" w:type="auto"/>
            <w:shd w:val="clear" w:color="auto" w:fill="auto"/>
            <w:vAlign w:val="center"/>
          </w:tcPr>
          <w:p w14:paraId="1446F4ED" w14:textId="77777777" w:rsidR="00FE42B5" w:rsidRDefault="00FE42B5">
            <w:pPr>
              <w:rPr>
                <w:rFonts w:ascii="Times New Roman" w:hAnsi="Times New Roman"/>
                <w:sz w:val="20"/>
                <w:szCs w:val="20"/>
              </w:rPr>
            </w:pPr>
          </w:p>
        </w:tc>
      </w:tr>
      <w:tr w:rsidR="00FE42B5" w14:paraId="1446F4F1" w14:textId="77777777">
        <w:trPr>
          <w:tblCellSpacing w:w="0" w:type="dxa"/>
        </w:trPr>
        <w:tc>
          <w:tcPr>
            <w:tcW w:w="0" w:type="auto"/>
            <w:shd w:val="clear" w:color="auto" w:fill="auto"/>
          </w:tcPr>
          <w:p w14:paraId="1446F4EF"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F0"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distribute our products to new and existing users;</w:t>
            </w:r>
          </w:p>
        </w:tc>
      </w:tr>
    </w:tbl>
    <w:p w14:paraId="1446F4F2"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2928"/>
      </w:tblGrid>
      <w:tr w:rsidR="00FE42B5" w14:paraId="1446F4F5" w14:textId="77777777">
        <w:trPr>
          <w:tblCellSpacing w:w="0" w:type="dxa"/>
        </w:trPr>
        <w:tc>
          <w:tcPr>
            <w:tcW w:w="1440" w:type="dxa"/>
            <w:shd w:val="clear" w:color="auto" w:fill="auto"/>
            <w:vAlign w:val="center"/>
          </w:tcPr>
          <w:p w14:paraId="1446F4F3" w14:textId="77777777" w:rsidR="00FE42B5" w:rsidRDefault="00FE42B5">
            <w:pPr>
              <w:rPr>
                <w:rFonts w:ascii="Times New Roman" w:hAnsi="Times New Roman"/>
                <w:sz w:val="20"/>
                <w:szCs w:val="20"/>
              </w:rPr>
            </w:pPr>
          </w:p>
        </w:tc>
        <w:tc>
          <w:tcPr>
            <w:tcW w:w="0" w:type="auto"/>
            <w:shd w:val="clear" w:color="auto" w:fill="auto"/>
            <w:vAlign w:val="center"/>
          </w:tcPr>
          <w:p w14:paraId="1446F4F4" w14:textId="77777777" w:rsidR="00FE42B5" w:rsidRDefault="00FE42B5">
            <w:pPr>
              <w:rPr>
                <w:rFonts w:ascii="Times New Roman" w:hAnsi="Times New Roman"/>
                <w:sz w:val="20"/>
                <w:szCs w:val="20"/>
              </w:rPr>
            </w:pPr>
          </w:p>
        </w:tc>
      </w:tr>
      <w:tr w:rsidR="00FE42B5" w14:paraId="1446F4F8" w14:textId="77777777">
        <w:trPr>
          <w:tblCellSpacing w:w="0" w:type="dxa"/>
        </w:trPr>
        <w:tc>
          <w:tcPr>
            <w:tcW w:w="0" w:type="auto"/>
            <w:shd w:val="clear" w:color="auto" w:fill="auto"/>
          </w:tcPr>
          <w:p w14:paraId="1446F4F6"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F7"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w:t>
            </w:r>
            <w:r>
              <w:rPr>
                <w:rFonts w:ascii="Times New Roman" w:eastAsia="宋体" w:hAnsi="Times New Roman"/>
                <w:sz w:val="20"/>
                <w:szCs w:val="20"/>
              </w:rPr>
              <w:t>ability to monetize our products;</w:t>
            </w:r>
          </w:p>
        </w:tc>
      </w:tr>
    </w:tbl>
    <w:p w14:paraId="1446F4F9"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4FC" w14:textId="77777777">
        <w:trPr>
          <w:tblCellSpacing w:w="0" w:type="dxa"/>
        </w:trPr>
        <w:tc>
          <w:tcPr>
            <w:tcW w:w="1440" w:type="dxa"/>
            <w:shd w:val="clear" w:color="auto" w:fill="auto"/>
            <w:vAlign w:val="center"/>
          </w:tcPr>
          <w:p w14:paraId="1446F4FA" w14:textId="77777777" w:rsidR="00FE42B5" w:rsidRDefault="00FE42B5">
            <w:pPr>
              <w:rPr>
                <w:rFonts w:ascii="Times New Roman" w:hAnsi="Times New Roman"/>
                <w:sz w:val="20"/>
                <w:szCs w:val="20"/>
              </w:rPr>
            </w:pPr>
          </w:p>
        </w:tc>
        <w:tc>
          <w:tcPr>
            <w:tcW w:w="0" w:type="auto"/>
            <w:shd w:val="clear" w:color="auto" w:fill="auto"/>
            <w:vAlign w:val="center"/>
          </w:tcPr>
          <w:p w14:paraId="1446F4FB" w14:textId="77777777" w:rsidR="00FE42B5" w:rsidRDefault="00FE42B5">
            <w:pPr>
              <w:rPr>
                <w:rFonts w:ascii="Times New Roman" w:hAnsi="Times New Roman"/>
                <w:sz w:val="20"/>
                <w:szCs w:val="20"/>
              </w:rPr>
            </w:pPr>
          </w:p>
        </w:tc>
      </w:tr>
      <w:tr w:rsidR="00FE42B5" w14:paraId="1446F4FF" w14:textId="77777777">
        <w:trPr>
          <w:tblCellSpacing w:w="0" w:type="dxa"/>
        </w:trPr>
        <w:tc>
          <w:tcPr>
            <w:tcW w:w="0" w:type="auto"/>
            <w:shd w:val="clear" w:color="auto" w:fill="auto"/>
          </w:tcPr>
          <w:p w14:paraId="1446F4FD"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4FE"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the frequency, size, format, quality, and relative prominence of the ads displayed by us or our competitors;</w:t>
            </w:r>
          </w:p>
        </w:tc>
      </w:tr>
    </w:tbl>
    <w:p w14:paraId="1446F500"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2966"/>
      </w:tblGrid>
      <w:tr w:rsidR="00FE42B5" w14:paraId="1446F503" w14:textId="77777777">
        <w:trPr>
          <w:tblCellSpacing w:w="0" w:type="dxa"/>
        </w:trPr>
        <w:tc>
          <w:tcPr>
            <w:tcW w:w="1440" w:type="dxa"/>
            <w:shd w:val="clear" w:color="auto" w:fill="auto"/>
            <w:vAlign w:val="center"/>
          </w:tcPr>
          <w:p w14:paraId="1446F501" w14:textId="77777777" w:rsidR="00FE42B5" w:rsidRDefault="00FE42B5">
            <w:pPr>
              <w:rPr>
                <w:rFonts w:ascii="Times New Roman" w:hAnsi="Times New Roman"/>
                <w:sz w:val="20"/>
                <w:szCs w:val="20"/>
              </w:rPr>
            </w:pPr>
          </w:p>
        </w:tc>
        <w:tc>
          <w:tcPr>
            <w:tcW w:w="0" w:type="auto"/>
            <w:shd w:val="clear" w:color="auto" w:fill="auto"/>
            <w:vAlign w:val="center"/>
          </w:tcPr>
          <w:p w14:paraId="1446F502" w14:textId="77777777" w:rsidR="00FE42B5" w:rsidRDefault="00FE42B5">
            <w:pPr>
              <w:rPr>
                <w:rFonts w:ascii="Times New Roman" w:hAnsi="Times New Roman"/>
                <w:sz w:val="20"/>
                <w:szCs w:val="20"/>
              </w:rPr>
            </w:pPr>
          </w:p>
        </w:tc>
      </w:tr>
      <w:tr w:rsidR="00FE42B5" w14:paraId="1446F506" w14:textId="77777777">
        <w:trPr>
          <w:tblCellSpacing w:w="0" w:type="dxa"/>
        </w:trPr>
        <w:tc>
          <w:tcPr>
            <w:tcW w:w="0" w:type="auto"/>
            <w:shd w:val="clear" w:color="auto" w:fill="auto"/>
          </w:tcPr>
          <w:p w14:paraId="1446F50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05"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customer service and support efforts;</w:t>
            </w:r>
          </w:p>
        </w:tc>
      </w:tr>
    </w:tbl>
    <w:p w14:paraId="1446F507"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0A" w14:textId="77777777">
        <w:trPr>
          <w:tblCellSpacing w:w="0" w:type="dxa"/>
        </w:trPr>
        <w:tc>
          <w:tcPr>
            <w:tcW w:w="1440" w:type="dxa"/>
            <w:shd w:val="clear" w:color="auto" w:fill="auto"/>
            <w:vAlign w:val="center"/>
          </w:tcPr>
          <w:p w14:paraId="1446F508" w14:textId="77777777" w:rsidR="00FE42B5" w:rsidRDefault="00FE42B5">
            <w:pPr>
              <w:rPr>
                <w:rFonts w:ascii="Times New Roman" w:hAnsi="Times New Roman"/>
                <w:sz w:val="20"/>
                <w:szCs w:val="20"/>
              </w:rPr>
            </w:pPr>
          </w:p>
        </w:tc>
        <w:tc>
          <w:tcPr>
            <w:tcW w:w="0" w:type="auto"/>
            <w:shd w:val="clear" w:color="auto" w:fill="auto"/>
            <w:vAlign w:val="center"/>
          </w:tcPr>
          <w:p w14:paraId="1446F509" w14:textId="77777777" w:rsidR="00FE42B5" w:rsidRDefault="00FE42B5">
            <w:pPr>
              <w:rPr>
                <w:rFonts w:ascii="Times New Roman" w:hAnsi="Times New Roman"/>
                <w:sz w:val="20"/>
                <w:szCs w:val="20"/>
              </w:rPr>
            </w:pPr>
          </w:p>
        </w:tc>
      </w:tr>
      <w:tr w:rsidR="00FE42B5" w14:paraId="1446F50D" w14:textId="77777777">
        <w:trPr>
          <w:tblCellSpacing w:w="0" w:type="dxa"/>
        </w:trPr>
        <w:tc>
          <w:tcPr>
            <w:tcW w:w="0" w:type="auto"/>
            <w:shd w:val="clear" w:color="auto" w:fill="auto"/>
          </w:tcPr>
          <w:p w14:paraId="1446F50B"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0C"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marketing and selling efforts, including our </w:t>
            </w:r>
            <w:r>
              <w:rPr>
                <w:rFonts w:ascii="Times New Roman" w:eastAsia="宋体" w:hAnsi="Times New Roman"/>
                <w:sz w:val="20"/>
                <w:szCs w:val="20"/>
              </w:rPr>
              <w:t>ability to measure the effectiveness of our ads and to provide marketers with a compelling return on their investments;</w:t>
            </w:r>
          </w:p>
        </w:tc>
      </w:tr>
    </w:tbl>
    <w:p w14:paraId="1446F50E"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11" w14:textId="77777777">
        <w:trPr>
          <w:tblCellSpacing w:w="0" w:type="dxa"/>
        </w:trPr>
        <w:tc>
          <w:tcPr>
            <w:tcW w:w="1440" w:type="dxa"/>
            <w:shd w:val="clear" w:color="auto" w:fill="auto"/>
            <w:vAlign w:val="center"/>
          </w:tcPr>
          <w:p w14:paraId="1446F50F" w14:textId="77777777" w:rsidR="00FE42B5" w:rsidRDefault="00FE42B5">
            <w:pPr>
              <w:rPr>
                <w:rFonts w:ascii="Times New Roman" w:hAnsi="Times New Roman"/>
                <w:sz w:val="20"/>
                <w:szCs w:val="20"/>
              </w:rPr>
            </w:pPr>
          </w:p>
        </w:tc>
        <w:tc>
          <w:tcPr>
            <w:tcW w:w="0" w:type="auto"/>
            <w:shd w:val="clear" w:color="auto" w:fill="auto"/>
            <w:vAlign w:val="center"/>
          </w:tcPr>
          <w:p w14:paraId="1446F510" w14:textId="77777777" w:rsidR="00FE42B5" w:rsidRDefault="00FE42B5">
            <w:pPr>
              <w:rPr>
                <w:rFonts w:ascii="Times New Roman" w:hAnsi="Times New Roman"/>
                <w:sz w:val="20"/>
                <w:szCs w:val="20"/>
              </w:rPr>
            </w:pPr>
          </w:p>
        </w:tc>
      </w:tr>
      <w:tr w:rsidR="00FE42B5" w14:paraId="1446F514" w14:textId="77777777">
        <w:trPr>
          <w:tblCellSpacing w:w="0" w:type="dxa"/>
        </w:trPr>
        <w:tc>
          <w:tcPr>
            <w:tcW w:w="0" w:type="auto"/>
            <w:shd w:val="clear" w:color="auto" w:fill="auto"/>
          </w:tcPr>
          <w:p w14:paraId="1446F512"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13"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establish and maintain developers' interest in building mobile and web applications that integrate with Facebook a</w:t>
            </w:r>
            <w:r>
              <w:rPr>
                <w:rFonts w:ascii="Times New Roman" w:eastAsia="宋体" w:hAnsi="Times New Roman"/>
                <w:sz w:val="20"/>
                <w:szCs w:val="20"/>
              </w:rPr>
              <w:t>nd our other products;</w:t>
            </w:r>
          </w:p>
        </w:tc>
      </w:tr>
    </w:tbl>
    <w:p w14:paraId="1446F515"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18" w14:textId="77777777">
        <w:trPr>
          <w:tblCellSpacing w:w="0" w:type="dxa"/>
        </w:trPr>
        <w:tc>
          <w:tcPr>
            <w:tcW w:w="1440" w:type="dxa"/>
            <w:shd w:val="clear" w:color="auto" w:fill="auto"/>
            <w:vAlign w:val="center"/>
          </w:tcPr>
          <w:p w14:paraId="1446F516" w14:textId="77777777" w:rsidR="00FE42B5" w:rsidRDefault="00FE42B5">
            <w:pPr>
              <w:rPr>
                <w:rFonts w:ascii="Times New Roman" w:hAnsi="Times New Roman"/>
                <w:sz w:val="20"/>
                <w:szCs w:val="20"/>
              </w:rPr>
            </w:pPr>
          </w:p>
        </w:tc>
        <w:tc>
          <w:tcPr>
            <w:tcW w:w="0" w:type="auto"/>
            <w:shd w:val="clear" w:color="auto" w:fill="auto"/>
            <w:vAlign w:val="center"/>
          </w:tcPr>
          <w:p w14:paraId="1446F517" w14:textId="77777777" w:rsidR="00FE42B5" w:rsidRDefault="00FE42B5">
            <w:pPr>
              <w:rPr>
                <w:rFonts w:ascii="Times New Roman" w:hAnsi="Times New Roman"/>
                <w:sz w:val="20"/>
                <w:szCs w:val="20"/>
              </w:rPr>
            </w:pPr>
          </w:p>
        </w:tc>
      </w:tr>
      <w:tr w:rsidR="00FE42B5" w14:paraId="1446F51B" w14:textId="77777777">
        <w:trPr>
          <w:tblCellSpacing w:w="0" w:type="dxa"/>
        </w:trPr>
        <w:tc>
          <w:tcPr>
            <w:tcW w:w="0" w:type="auto"/>
            <w:shd w:val="clear" w:color="auto" w:fill="auto"/>
          </w:tcPr>
          <w:p w14:paraId="1446F519"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1A"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establish and maintain publisher interest in integrating their content with Facebook and our other products;</w:t>
            </w:r>
          </w:p>
        </w:tc>
      </w:tr>
    </w:tbl>
    <w:p w14:paraId="1446F51C"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1F" w14:textId="77777777">
        <w:trPr>
          <w:tblCellSpacing w:w="0" w:type="dxa"/>
        </w:trPr>
        <w:tc>
          <w:tcPr>
            <w:tcW w:w="1440" w:type="dxa"/>
            <w:shd w:val="clear" w:color="auto" w:fill="auto"/>
            <w:vAlign w:val="center"/>
          </w:tcPr>
          <w:p w14:paraId="1446F51D" w14:textId="77777777" w:rsidR="00FE42B5" w:rsidRDefault="00FE42B5">
            <w:pPr>
              <w:rPr>
                <w:rFonts w:ascii="Times New Roman" w:hAnsi="Times New Roman"/>
                <w:sz w:val="20"/>
                <w:szCs w:val="20"/>
              </w:rPr>
            </w:pPr>
          </w:p>
        </w:tc>
        <w:tc>
          <w:tcPr>
            <w:tcW w:w="0" w:type="auto"/>
            <w:shd w:val="clear" w:color="auto" w:fill="auto"/>
            <w:vAlign w:val="center"/>
          </w:tcPr>
          <w:p w14:paraId="1446F51E" w14:textId="77777777" w:rsidR="00FE42B5" w:rsidRDefault="00FE42B5">
            <w:pPr>
              <w:rPr>
                <w:rFonts w:ascii="Times New Roman" w:hAnsi="Times New Roman"/>
                <w:sz w:val="20"/>
                <w:szCs w:val="20"/>
              </w:rPr>
            </w:pPr>
          </w:p>
        </w:tc>
      </w:tr>
      <w:tr w:rsidR="00FE42B5" w14:paraId="1446F522" w14:textId="77777777">
        <w:trPr>
          <w:tblCellSpacing w:w="0" w:type="dxa"/>
        </w:trPr>
        <w:tc>
          <w:tcPr>
            <w:tcW w:w="0" w:type="auto"/>
            <w:shd w:val="clear" w:color="auto" w:fill="auto"/>
          </w:tcPr>
          <w:p w14:paraId="1446F520"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21"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mandated by legislation, regulatory authorities, or litigation, some of which may </w:t>
            </w:r>
            <w:r>
              <w:rPr>
                <w:rFonts w:ascii="Times New Roman" w:eastAsia="宋体" w:hAnsi="Times New Roman"/>
                <w:sz w:val="20"/>
                <w:szCs w:val="20"/>
              </w:rPr>
              <w:t>have a disproportionate effect on us;</w:t>
            </w:r>
          </w:p>
        </w:tc>
      </w:tr>
    </w:tbl>
    <w:p w14:paraId="1446F523"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26" w14:textId="77777777">
        <w:trPr>
          <w:tblCellSpacing w:w="0" w:type="dxa"/>
        </w:trPr>
        <w:tc>
          <w:tcPr>
            <w:tcW w:w="1440" w:type="dxa"/>
            <w:shd w:val="clear" w:color="auto" w:fill="auto"/>
            <w:vAlign w:val="center"/>
          </w:tcPr>
          <w:p w14:paraId="1446F524" w14:textId="77777777" w:rsidR="00FE42B5" w:rsidRDefault="00FE42B5">
            <w:pPr>
              <w:rPr>
                <w:rFonts w:ascii="Times New Roman" w:hAnsi="Times New Roman"/>
                <w:sz w:val="20"/>
                <w:szCs w:val="20"/>
              </w:rPr>
            </w:pPr>
          </w:p>
        </w:tc>
        <w:tc>
          <w:tcPr>
            <w:tcW w:w="0" w:type="auto"/>
            <w:shd w:val="clear" w:color="auto" w:fill="auto"/>
            <w:vAlign w:val="center"/>
          </w:tcPr>
          <w:p w14:paraId="1446F525" w14:textId="77777777" w:rsidR="00FE42B5" w:rsidRDefault="00FE42B5">
            <w:pPr>
              <w:rPr>
                <w:rFonts w:ascii="Times New Roman" w:hAnsi="Times New Roman"/>
                <w:sz w:val="20"/>
                <w:szCs w:val="20"/>
              </w:rPr>
            </w:pPr>
          </w:p>
        </w:tc>
      </w:tr>
      <w:tr w:rsidR="00FE42B5" w14:paraId="1446F529" w14:textId="77777777">
        <w:trPr>
          <w:tblCellSpacing w:w="0" w:type="dxa"/>
        </w:trPr>
        <w:tc>
          <w:tcPr>
            <w:tcW w:w="0" w:type="auto"/>
            <w:shd w:val="clear" w:color="auto" w:fill="auto"/>
          </w:tcPr>
          <w:p w14:paraId="1446F527"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28"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acquisitions or consolidation within our industry, which may result in more formidable competitors;</w:t>
            </w:r>
          </w:p>
        </w:tc>
      </w:tr>
    </w:tbl>
    <w:p w14:paraId="1446F52A"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2D" w14:textId="77777777">
        <w:trPr>
          <w:tblCellSpacing w:w="0" w:type="dxa"/>
        </w:trPr>
        <w:tc>
          <w:tcPr>
            <w:tcW w:w="1440" w:type="dxa"/>
            <w:shd w:val="clear" w:color="auto" w:fill="auto"/>
            <w:vAlign w:val="center"/>
          </w:tcPr>
          <w:p w14:paraId="1446F52B" w14:textId="77777777" w:rsidR="00FE42B5" w:rsidRDefault="00FE42B5">
            <w:pPr>
              <w:rPr>
                <w:rFonts w:ascii="Times New Roman" w:hAnsi="Times New Roman"/>
                <w:sz w:val="20"/>
                <w:szCs w:val="20"/>
              </w:rPr>
            </w:pPr>
          </w:p>
        </w:tc>
        <w:tc>
          <w:tcPr>
            <w:tcW w:w="0" w:type="auto"/>
            <w:shd w:val="clear" w:color="auto" w:fill="auto"/>
            <w:vAlign w:val="center"/>
          </w:tcPr>
          <w:p w14:paraId="1446F52C" w14:textId="77777777" w:rsidR="00FE42B5" w:rsidRDefault="00FE42B5">
            <w:pPr>
              <w:rPr>
                <w:rFonts w:ascii="Times New Roman" w:hAnsi="Times New Roman"/>
                <w:sz w:val="20"/>
                <w:szCs w:val="20"/>
              </w:rPr>
            </w:pPr>
          </w:p>
        </w:tc>
      </w:tr>
      <w:tr w:rsidR="00FE42B5" w14:paraId="1446F530" w14:textId="77777777">
        <w:trPr>
          <w:tblCellSpacing w:w="0" w:type="dxa"/>
        </w:trPr>
        <w:tc>
          <w:tcPr>
            <w:tcW w:w="0" w:type="auto"/>
            <w:shd w:val="clear" w:color="auto" w:fill="auto"/>
          </w:tcPr>
          <w:p w14:paraId="1446F52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2F"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attract, retain, and motivate talented employees, particularly software </w:t>
            </w:r>
            <w:r>
              <w:rPr>
                <w:rFonts w:ascii="Times New Roman" w:eastAsia="宋体" w:hAnsi="Times New Roman"/>
                <w:sz w:val="20"/>
                <w:szCs w:val="20"/>
              </w:rPr>
              <w:t>engineers, designers, and product managers;</w:t>
            </w:r>
          </w:p>
        </w:tc>
      </w:tr>
    </w:tbl>
    <w:p w14:paraId="1446F531"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5393"/>
      </w:tblGrid>
      <w:tr w:rsidR="00FE42B5" w14:paraId="1446F534" w14:textId="77777777">
        <w:trPr>
          <w:tblCellSpacing w:w="0" w:type="dxa"/>
        </w:trPr>
        <w:tc>
          <w:tcPr>
            <w:tcW w:w="1440" w:type="dxa"/>
            <w:shd w:val="clear" w:color="auto" w:fill="auto"/>
            <w:vAlign w:val="center"/>
          </w:tcPr>
          <w:p w14:paraId="1446F532" w14:textId="77777777" w:rsidR="00FE42B5" w:rsidRDefault="00FE42B5">
            <w:pPr>
              <w:rPr>
                <w:rFonts w:ascii="Times New Roman" w:hAnsi="Times New Roman"/>
                <w:sz w:val="20"/>
                <w:szCs w:val="20"/>
              </w:rPr>
            </w:pPr>
          </w:p>
        </w:tc>
        <w:tc>
          <w:tcPr>
            <w:tcW w:w="0" w:type="auto"/>
            <w:shd w:val="clear" w:color="auto" w:fill="auto"/>
            <w:vAlign w:val="center"/>
          </w:tcPr>
          <w:p w14:paraId="1446F533" w14:textId="77777777" w:rsidR="00FE42B5" w:rsidRDefault="00FE42B5">
            <w:pPr>
              <w:rPr>
                <w:rFonts w:ascii="Times New Roman" w:hAnsi="Times New Roman"/>
                <w:sz w:val="20"/>
                <w:szCs w:val="20"/>
              </w:rPr>
            </w:pPr>
          </w:p>
        </w:tc>
      </w:tr>
      <w:tr w:rsidR="00FE42B5" w14:paraId="1446F537" w14:textId="77777777">
        <w:trPr>
          <w:tblCellSpacing w:w="0" w:type="dxa"/>
        </w:trPr>
        <w:tc>
          <w:tcPr>
            <w:tcW w:w="0" w:type="auto"/>
            <w:shd w:val="clear" w:color="auto" w:fill="auto"/>
          </w:tcPr>
          <w:p w14:paraId="1446F535"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36"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cost-effectively manage and grow our operations; and</w:t>
            </w:r>
          </w:p>
        </w:tc>
      </w:tr>
    </w:tbl>
    <w:p w14:paraId="1446F538"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5571"/>
      </w:tblGrid>
      <w:tr w:rsidR="00FE42B5" w14:paraId="1446F53B" w14:textId="77777777">
        <w:trPr>
          <w:tblCellSpacing w:w="0" w:type="dxa"/>
        </w:trPr>
        <w:tc>
          <w:tcPr>
            <w:tcW w:w="1440" w:type="dxa"/>
            <w:shd w:val="clear" w:color="auto" w:fill="auto"/>
            <w:vAlign w:val="center"/>
          </w:tcPr>
          <w:p w14:paraId="1446F539" w14:textId="77777777" w:rsidR="00FE42B5" w:rsidRDefault="00FE42B5">
            <w:pPr>
              <w:rPr>
                <w:rFonts w:ascii="Times New Roman" w:hAnsi="Times New Roman"/>
                <w:sz w:val="20"/>
                <w:szCs w:val="20"/>
              </w:rPr>
            </w:pPr>
          </w:p>
        </w:tc>
        <w:tc>
          <w:tcPr>
            <w:tcW w:w="0" w:type="auto"/>
            <w:shd w:val="clear" w:color="auto" w:fill="auto"/>
            <w:vAlign w:val="center"/>
          </w:tcPr>
          <w:p w14:paraId="1446F53A" w14:textId="77777777" w:rsidR="00FE42B5" w:rsidRDefault="00FE42B5">
            <w:pPr>
              <w:rPr>
                <w:rFonts w:ascii="Times New Roman" w:hAnsi="Times New Roman"/>
                <w:sz w:val="20"/>
                <w:szCs w:val="20"/>
              </w:rPr>
            </w:pPr>
          </w:p>
        </w:tc>
      </w:tr>
      <w:tr w:rsidR="00FE42B5" w14:paraId="1446F53E" w14:textId="77777777">
        <w:trPr>
          <w:tblCellSpacing w:w="0" w:type="dxa"/>
        </w:trPr>
        <w:tc>
          <w:tcPr>
            <w:tcW w:w="0" w:type="auto"/>
            <w:shd w:val="clear" w:color="auto" w:fill="auto"/>
          </w:tcPr>
          <w:p w14:paraId="1446F53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3D"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our reputation and brand strength relative to those of our competitors.</w:t>
            </w:r>
          </w:p>
        </w:tc>
      </w:tr>
    </w:tbl>
    <w:p w14:paraId="1446F53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If we are not able to compete effectively, our user </w:t>
      </w:r>
      <w:r>
        <w:rPr>
          <w:rFonts w:ascii="Times New Roman" w:eastAsia="宋体" w:hAnsi="Times New Roman"/>
          <w:sz w:val="20"/>
          <w:szCs w:val="20"/>
        </w:rPr>
        <w:t>base and level of user engagement may decrease, we may become less attractive to developers and marketers, and our revenue and results of operations may be materially and adversely affected.</w:t>
      </w:r>
    </w:p>
    <w:p w14:paraId="1446F540"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Actions by governments that restrict access to Facebook or our </w:t>
      </w:r>
      <w:r>
        <w:rPr>
          <w:rFonts w:ascii="Times New Roman" w:eastAsia="宋体" w:hAnsi="Times New Roman"/>
          <w:b/>
          <w:bCs/>
          <w:i/>
          <w:iCs/>
          <w:sz w:val="20"/>
          <w:szCs w:val="20"/>
        </w:rPr>
        <w:t>other products in their countries, or that otherwise impair our ability to sell advertising in their countries, could substantially harm our business and financial results.</w:t>
      </w:r>
    </w:p>
    <w:p w14:paraId="1446F54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Governments from time to time seek to censor content available on Facebook or our o</w:t>
      </w:r>
      <w:r>
        <w:rPr>
          <w:rFonts w:ascii="Times New Roman" w:eastAsia="宋体" w:hAnsi="Times New Roman"/>
          <w:sz w:val="20"/>
          <w:szCs w:val="20"/>
        </w:rPr>
        <w:t>ther products in their country, restrict access to our products from their country entirely, or impose other restrictions that may affect the accessibility of our products in their country for an extended period of time or indefinitely. For example, user a</w:t>
      </w:r>
      <w:r>
        <w:rPr>
          <w:rFonts w:ascii="Times New Roman" w:eastAsia="宋体" w:hAnsi="Times New Roman"/>
          <w:sz w:val="20"/>
          <w:szCs w:val="20"/>
        </w:rPr>
        <w:t>ccess to Facebook and certain of our other products has been or is currently restricted in whole or in part in China, Iran, and North Korea. In addition, government authorities in other countries may seek to restrict user access to our products if they con</w:t>
      </w:r>
      <w:r>
        <w:rPr>
          <w:rFonts w:ascii="Times New Roman" w:eastAsia="宋体" w:hAnsi="Times New Roman"/>
          <w:sz w:val="20"/>
          <w:szCs w:val="20"/>
        </w:rPr>
        <w:t xml:space="preserve">sider us to be in violation of their laws or a threat to public safety or for other reasons, and certain of our products have been restricted by governments in other countries from time to time. It is possible that government authorities could take action </w:t>
      </w:r>
      <w:r>
        <w:rPr>
          <w:rFonts w:ascii="Times New Roman" w:eastAsia="宋体" w:hAnsi="Times New Roman"/>
          <w:sz w:val="20"/>
          <w:szCs w:val="20"/>
        </w:rPr>
        <w:t>that impairs our ability to sell advertising, including in countries where access to our consumer-facing products may be blocked or restricted. For example, we generate meaningful revenue from a limited number of resellers representing advertisers based in</w:t>
      </w:r>
      <w:r>
        <w:rPr>
          <w:rFonts w:ascii="Times New Roman" w:eastAsia="宋体" w:hAnsi="Times New Roman"/>
          <w:sz w:val="20"/>
          <w:szCs w:val="20"/>
        </w:rPr>
        <w:t xml:space="preserve"> China, and it is possible that the Chinese government could take action that reduces or eliminates our China-based advertising revenue, whether as a result of the trade dispute with the United States, in response to content issues, or otherwise, or take o</w:t>
      </w:r>
      <w:r>
        <w:rPr>
          <w:rFonts w:ascii="Times New Roman" w:eastAsia="宋体" w:hAnsi="Times New Roman"/>
          <w:sz w:val="20"/>
          <w:szCs w:val="20"/>
        </w:rPr>
        <w:t>ther action against us, such as imposing taxes or other penalties, which could adversely affect our financial results. In the event that content shown on Facebook or our other products is subject to censorship, access to our products is restricted, in whol</w:t>
      </w:r>
      <w:r>
        <w:rPr>
          <w:rFonts w:ascii="Times New Roman" w:eastAsia="宋体" w:hAnsi="Times New Roman"/>
          <w:sz w:val="20"/>
          <w:szCs w:val="20"/>
        </w:rPr>
        <w:t>e or in part, in one or more countries, or other restrictions are imposed on our products, or our competitors are able to successfully penetrate new geographic markets or capture a greater share of existing geographic markets that we cannot access or where</w:t>
      </w:r>
      <w:r>
        <w:rPr>
          <w:rFonts w:ascii="Times New Roman" w:eastAsia="宋体" w:hAnsi="Times New Roman"/>
          <w:sz w:val="20"/>
          <w:szCs w:val="20"/>
        </w:rPr>
        <w:t xml:space="preserve"> we face other restrictions, our ability to retain or increase our user base, user engagement, or the level of advertising by marketers may be adversely affected, we may not be able to maintain or grow our revenue as anticipated, and our financial results </w:t>
      </w:r>
      <w:r>
        <w:rPr>
          <w:rFonts w:ascii="Times New Roman" w:eastAsia="宋体" w:hAnsi="Times New Roman"/>
          <w:sz w:val="20"/>
          <w:szCs w:val="20"/>
        </w:rPr>
        <w:t>could be adversely affected.</w:t>
      </w:r>
    </w:p>
    <w:p w14:paraId="1446F542"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Our new products and changes to existing products could fail to attract or retain users or generate revenue and profits.</w:t>
      </w:r>
    </w:p>
    <w:p w14:paraId="1446F54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ability to retain, increase, and engage our user base and to increase our revenue depends heavily on o</w:t>
      </w:r>
      <w:r>
        <w:rPr>
          <w:rFonts w:ascii="Times New Roman" w:eastAsia="宋体" w:hAnsi="Times New Roman"/>
          <w:sz w:val="20"/>
          <w:szCs w:val="20"/>
        </w:rPr>
        <w:t>ur ability to continue to evolve our existing products and to create successful new products, both independently and in conjunction with developers or other third parties. We may introduce significant changes to our existing products or acquire or introduc</w:t>
      </w:r>
      <w:r>
        <w:rPr>
          <w:rFonts w:ascii="Times New Roman" w:eastAsia="宋体" w:hAnsi="Times New Roman"/>
          <w:sz w:val="20"/>
          <w:szCs w:val="20"/>
        </w:rPr>
        <w:t xml:space="preserve">e new and unproven products, including using technologies with which we have little or no prior development or operating experience. </w:t>
      </w:r>
    </w:p>
    <w:p w14:paraId="1446F544" w14:textId="77777777" w:rsidR="00FE42B5" w:rsidRDefault="00FE42B5">
      <w:pPr>
        <w:rPr>
          <w:rFonts w:ascii="Times New Roman" w:hAnsi="Times New Roman"/>
          <w:sz w:val="20"/>
          <w:szCs w:val="20"/>
        </w:rPr>
      </w:pPr>
    </w:p>
    <w:p w14:paraId="1446F545"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57</w:t>
      </w:r>
    </w:p>
    <w:p w14:paraId="1446F546" w14:textId="77777777" w:rsidR="00FE42B5" w:rsidRDefault="009213DC">
      <w:r>
        <w:rPr>
          <w:rFonts w:ascii="Times New Roman" w:hAnsi="Times New Roman"/>
          <w:sz w:val="20"/>
          <w:szCs w:val="20"/>
        </w:rPr>
        <w:pict w14:anchorId="1446FB01">
          <v:rect id="_x0000_i1081" style="width:415.3pt;height:1.5pt" o:hralign="center" o:hrstd="t" o:hr="t" fillcolor="#a0a0a0" stroked="f"/>
        </w:pict>
      </w:r>
    </w:p>
    <w:p w14:paraId="1446F547" w14:textId="77777777" w:rsidR="00FE42B5" w:rsidRDefault="009213DC">
      <w:pPr>
        <w:spacing w:line="288" w:lineRule="auto"/>
        <w:rPr>
          <w:rFonts w:ascii="Times New Roman" w:hAnsi="Times New Roman"/>
          <w:sz w:val="20"/>
          <w:szCs w:val="20"/>
        </w:rPr>
      </w:pPr>
      <w:hyperlink r:id="rId97" w:anchor="sBB4BED1571A45A16AF3DC2E3B69C901C" w:history="1">
        <w:r>
          <w:rPr>
            <w:rStyle w:val="a5"/>
            <w:rFonts w:ascii="Times New Roman" w:eastAsia="宋体" w:hAnsi="Times New Roman"/>
            <w:sz w:val="20"/>
            <w:szCs w:val="20"/>
          </w:rPr>
          <w:t>Table of Contents</w:t>
        </w:r>
      </w:hyperlink>
    </w:p>
    <w:p w14:paraId="1446F548" w14:textId="77777777" w:rsidR="00FE42B5" w:rsidRDefault="00FE42B5">
      <w:pPr>
        <w:rPr>
          <w:rFonts w:ascii="Times New Roman" w:hAnsi="Times New Roman"/>
          <w:sz w:val="20"/>
          <w:szCs w:val="20"/>
        </w:rPr>
      </w:pPr>
    </w:p>
    <w:p w14:paraId="1446F549"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For example, we do not have significant experience with consumer hardware products o</w:t>
      </w:r>
      <w:r>
        <w:rPr>
          <w:rFonts w:ascii="Times New Roman" w:eastAsia="宋体" w:hAnsi="Times New Roman"/>
          <w:sz w:val="20"/>
          <w:szCs w:val="20"/>
        </w:rPr>
        <w:t xml:space="preserve">r virtual or augmented reality technology, which may adversely affect our ability to successfully develop and market these products and technologies. We continue to incur substantial costs, and we may not be successful in generating profits, in connection </w:t>
      </w:r>
      <w:r>
        <w:rPr>
          <w:rFonts w:ascii="Times New Roman" w:eastAsia="宋体" w:hAnsi="Times New Roman"/>
          <w:sz w:val="20"/>
          <w:szCs w:val="20"/>
        </w:rPr>
        <w:t xml:space="preserve">with these efforts. In addition, the introduction of new products, or changes to existing products, may result in new or enhanced governmental or regulatory scrutiny or other complications that could adversely affect our business and financial results. We </w:t>
      </w:r>
      <w:r>
        <w:rPr>
          <w:rFonts w:ascii="Times New Roman" w:eastAsia="宋体" w:hAnsi="Times New Roman"/>
          <w:sz w:val="20"/>
          <w:szCs w:val="20"/>
        </w:rPr>
        <w:t>have also invested, and expect to continue to invest, significant resources in growing our WhatsApp and Messenger products to support increasing usage of such products. We have historically monetized messaging in only a limited fashion, and we may not be s</w:t>
      </w:r>
      <w:r>
        <w:rPr>
          <w:rFonts w:ascii="Times New Roman" w:eastAsia="宋体" w:hAnsi="Times New Roman"/>
          <w:sz w:val="20"/>
          <w:szCs w:val="20"/>
        </w:rPr>
        <w:t>uccessful in our efforts to generate meaningful revenue or profits from messaging over the long term. In addition, we have announced plans to implement end-to-end encryption across our messaging services, as well as facilitate interoperability between thes</w:t>
      </w:r>
      <w:r>
        <w:rPr>
          <w:rFonts w:ascii="Times New Roman" w:eastAsia="宋体" w:hAnsi="Times New Roman"/>
          <w:sz w:val="20"/>
          <w:szCs w:val="20"/>
        </w:rPr>
        <w:t xml:space="preserve">e platforms, which plans have drawn governmental and regulatory scrutiny in multiple jurisdictions. If our new or enhanced products fail to engage users, marketers, or developers, or if our business plans are unsuccessful, we may fail to attract or retain </w:t>
      </w:r>
      <w:r>
        <w:rPr>
          <w:rFonts w:ascii="Times New Roman" w:eastAsia="宋体" w:hAnsi="Times New Roman"/>
          <w:sz w:val="20"/>
          <w:szCs w:val="20"/>
        </w:rPr>
        <w:t>users or to generate sufficient revenue, operating margin, or other value to justify our investments, and our business may be adversely affected.</w:t>
      </w:r>
    </w:p>
    <w:p w14:paraId="1446F54A"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make product and investment decisions that may not prioritize short-term financial results and may not prod</w:t>
      </w:r>
      <w:r>
        <w:rPr>
          <w:rFonts w:ascii="Times New Roman" w:eastAsia="宋体" w:hAnsi="Times New Roman"/>
          <w:b/>
          <w:bCs/>
          <w:i/>
          <w:iCs/>
          <w:sz w:val="20"/>
          <w:szCs w:val="20"/>
        </w:rPr>
        <w:t>uce the long-term benefits that we expect.</w:t>
      </w:r>
    </w:p>
    <w:p w14:paraId="1446F54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frequently make product and investment decisions that may not prioritize short-term financial results if we believe that the decisions are consistent with our mission and benefit the aggregate user experience a</w:t>
      </w:r>
      <w:r>
        <w:rPr>
          <w:rFonts w:ascii="Times New Roman" w:eastAsia="宋体" w:hAnsi="Times New Roman"/>
          <w:sz w:val="20"/>
          <w:szCs w:val="20"/>
        </w:rPr>
        <w:t>nd will thereby improve our financial performance over the long term. For example, we have recently implemented, and we will continue to implement, changes to our user data practices. Some of these changes reduce our ability to effectively target ads, whic</w:t>
      </w:r>
      <w:r>
        <w:rPr>
          <w:rFonts w:ascii="Times New Roman" w:eastAsia="宋体" w:hAnsi="Times New Roman"/>
          <w:sz w:val="20"/>
          <w:szCs w:val="20"/>
        </w:rPr>
        <w:t>h has to some extent adversely affected, and will continue to adversely affect, our advertising business. For example, our Off-Facebook Activity tool enables users to place limits on our storage and use of information about their interactions with advertis</w:t>
      </w:r>
      <w:r>
        <w:rPr>
          <w:rFonts w:ascii="Times New Roman" w:eastAsia="宋体" w:hAnsi="Times New Roman"/>
          <w:sz w:val="20"/>
          <w:szCs w:val="20"/>
        </w:rPr>
        <w:t>ers' apps and websites, which will reduce our ability to deliver the most relevant and effective ads to our users. Similarly, from time to time we update our News Feed ranking algorithm to optimize the user experience, and these changes have had, and may i</w:t>
      </w:r>
      <w:r>
        <w:rPr>
          <w:rFonts w:ascii="Times New Roman" w:eastAsia="宋体" w:hAnsi="Times New Roman"/>
          <w:sz w:val="20"/>
          <w:szCs w:val="20"/>
        </w:rPr>
        <w:t>n the future have, the effect of reducing time spent and some measures of user engagement with Facebook, which could adversely affect our financial results. From time to time, we may also change the size, frequency, or relative prominence of ads in order t</w:t>
      </w:r>
      <w:r>
        <w:rPr>
          <w:rFonts w:ascii="Times New Roman" w:eastAsia="宋体" w:hAnsi="Times New Roman"/>
          <w:sz w:val="20"/>
          <w:szCs w:val="20"/>
        </w:rPr>
        <w:t xml:space="preserve">o improve ad quality and overall user experience. In addition, we have made, and we expect to continue to make, other changes to our products which may adversely affect the distribution of content of publishers, marketers, and developers, and could reduce </w:t>
      </w:r>
      <w:r>
        <w:rPr>
          <w:rFonts w:ascii="Times New Roman" w:eastAsia="宋体" w:hAnsi="Times New Roman"/>
          <w:sz w:val="20"/>
          <w:szCs w:val="20"/>
        </w:rPr>
        <w:t>their incentive to invest in their efforts on Facebook. We also may introduce new features or other changes to existing products, or introduce new stand-alone products, that attract users away from properties, formats, or use cases where we have more prove</w:t>
      </w:r>
      <w:r>
        <w:rPr>
          <w:rFonts w:ascii="Times New Roman" w:eastAsia="宋体" w:hAnsi="Times New Roman"/>
          <w:sz w:val="20"/>
          <w:szCs w:val="20"/>
        </w:rPr>
        <w:t xml:space="preserve">n means of monetization. For example, we plan to continue to promote the Stories format, which is becoming increasingly popular for sharing content across our products, but our advertising efforts with this format are still under development and we do not </w:t>
      </w:r>
      <w:r>
        <w:rPr>
          <w:rFonts w:ascii="Times New Roman" w:eastAsia="宋体" w:hAnsi="Times New Roman"/>
          <w:sz w:val="20"/>
          <w:szCs w:val="20"/>
        </w:rPr>
        <w:t>currently monetize Stories at the same rate as News Feed. In addition, as we focus on growing users and engagement across our family of products, from time to time these efforts have reduced, and may in the future reduce, engagement with one or more produc</w:t>
      </w:r>
      <w:r>
        <w:rPr>
          <w:rFonts w:ascii="Times New Roman" w:eastAsia="宋体" w:hAnsi="Times New Roman"/>
          <w:sz w:val="20"/>
          <w:szCs w:val="20"/>
        </w:rPr>
        <w:t>ts and services in favor of other products or services that we monetize less successfully or that are not growing as quickly. These decisions may adversely affect our business and results of operations and may not produce the long-term benefits that we exp</w:t>
      </w:r>
      <w:r>
        <w:rPr>
          <w:rFonts w:ascii="Times New Roman" w:eastAsia="宋体" w:hAnsi="Times New Roman"/>
          <w:sz w:val="20"/>
          <w:szCs w:val="20"/>
        </w:rPr>
        <w:t>ect.</w:t>
      </w:r>
    </w:p>
    <w:p w14:paraId="1446F54C"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If we are not able to maintain and enhance our brands, our ability to expand our base of users, marketers, and developers may be impaired, and our business and financial results may be harmed.</w:t>
      </w:r>
    </w:p>
    <w:p w14:paraId="1446F54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believe that our brands have significantly contributed </w:t>
      </w:r>
      <w:r>
        <w:rPr>
          <w:rFonts w:ascii="Times New Roman" w:eastAsia="宋体" w:hAnsi="Times New Roman"/>
          <w:sz w:val="20"/>
          <w:szCs w:val="20"/>
        </w:rPr>
        <w:t>to the success of our business. We also believe that maintaining and enhancing our brands is critical to expanding our base of users, marketers, and developers. Many of our new users are referred by existing users. Maintaining and enhancing our brands will</w:t>
      </w:r>
      <w:r>
        <w:rPr>
          <w:rFonts w:ascii="Times New Roman" w:eastAsia="宋体" w:hAnsi="Times New Roman"/>
          <w:sz w:val="20"/>
          <w:szCs w:val="20"/>
        </w:rPr>
        <w:t xml:space="preserve"> depend largely on our ability to continue to provide useful, reliable, trustworthy, and innovative products, which we may not do successfully. We may introduce new products or terms of service or policies that users do not like, which may negatively affec</w:t>
      </w:r>
      <w:r>
        <w:rPr>
          <w:rFonts w:ascii="Times New Roman" w:eastAsia="宋体" w:hAnsi="Times New Roman"/>
          <w:sz w:val="20"/>
          <w:szCs w:val="20"/>
        </w:rPr>
        <w:t xml:space="preserve">t our brands. Additionally, the actions of our developers or advertisers may affect our brands if users do not have a positive experience using third-party mobile and web applications integrated with our products or interacting with parties that advertise </w:t>
      </w:r>
      <w:r>
        <w:rPr>
          <w:rFonts w:ascii="Times New Roman" w:eastAsia="宋体" w:hAnsi="Times New Roman"/>
          <w:sz w:val="20"/>
          <w:szCs w:val="20"/>
        </w:rPr>
        <w:t>through our products. We will also continue to experience media, legislative, or regulatory scrutiny of our actions or decisions regarding user privacy, encryption, content, advertising, and other issues, including actions or decisions in connection with e</w:t>
      </w:r>
      <w:r>
        <w:rPr>
          <w:rFonts w:ascii="Times New Roman" w:eastAsia="宋体" w:hAnsi="Times New Roman"/>
          <w:sz w:val="20"/>
          <w:szCs w:val="20"/>
        </w:rPr>
        <w:t xml:space="preserve">lections or the COVID-19 pandemic, which may adversely affect our reputation and brands. For example, in March 2018, we announced developments regarding the misuse of certain data by a developer that shared such data with third parties in violation of our </w:t>
      </w:r>
      <w:r>
        <w:rPr>
          <w:rFonts w:ascii="Times New Roman" w:eastAsia="宋体" w:hAnsi="Times New Roman"/>
          <w:sz w:val="20"/>
          <w:szCs w:val="20"/>
        </w:rPr>
        <w:t>terms and policies. We also may fail to respond expeditiously or appropriately to the sharing of objectionable content on our services or objectionable practices by advertisers or developers, or to otherwise address user concerns, which has occurred in the</w:t>
      </w:r>
      <w:r>
        <w:rPr>
          <w:rFonts w:ascii="Times New Roman" w:eastAsia="宋体" w:hAnsi="Times New Roman"/>
          <w:sz w:val="20"/>
          <w:szCs w:val="20"/>
        </w:rPr>
        <w:t xml:space="preserve"> past and which could erode confidence in our brands. Our brands may also be negatively affected by the actions of users that are deemed to be hostile or inappropriate to other users, by the actions of users acting under false or inauthentic identities, by</w:t>
      </w:r>
      <w:r>
        <w:rPr>
          <w:rFonts w:ascii="Times New Roman" w:eastAsia="宋体" w:hAnsi="Times New Roman"/>
          <w:sz w:val="20"/>
          <w:szCs w:val="20"/>
        </w:rPr>
        <w:t xml:space="preserve"> the use of our products or services to disseminate </w:t>
      </w:r>
    </w:p>
    <w:p w14:paraId="1446F54E" w14:textId="77777777" w:rsidR="00FE42B5" w:rsidRDefault="00FE42B5">
      <w:pPr>
        <w:rPr>
          <w:rFonts w:ascii="Times New Roman" w:hAnsi="Times New Roman"/>
          <w:sz w:val="20"/>
          <w:szCs w:val="20"/>
        </w:rPr>
      </w:pPr>
    </w:p>
    <w:p w14:paraId="1446F54F"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58</w:t>
      </w:r>
    </w:p>
    <w:p w14:paraId="1446F550" w14:textId="77777777" w:rsidR="00FE42B5" w:rsidRDefault="009213DC">
      <w:r>
        <w:rPr>
          <w:rFonts w:ascii="Times New Roman" w:hAnsi="Times New Roman"/>
          <w:sz w:val="20"/>
          <w:szCs w:val="20"/>
        </w:rPr>
        <w:pict w14:anchorId="1446FB02">
          <v:rect id="_x0000_i1082" style="width:415.3pt;height:1.5pt" o:hralign="center" o:hrstd="t" o:hr="t" fillcolor="#a0a0a0" stroked="f"/>
        </w:pict>
      </w:r>
    </w:p>
    <w:p w14:paraId="1446F551" w14:textId="77777777" w:rsidR="00FE42B5" w:rsidRDefault="009213DC">
      <w:pPr>
        <w:spacing w:line="288" w:lineRule="auto"/>
        <w:rPr>
          <w:rFonts w:ascii="Times New Roman" w:hAnsi="Times New Roman"/>
          <w:sz w:val="20"/>
          <w:szCs w:val="20"/>
        </w:rPr>
      </w:pPr>
      <w:hyperlink r:id="rId98" w:anchor="sBB4BED1571A45A16AF3DC2E3B69C901C" w:history="1">
        <w:r>
          <w:rPr>
            <w:rStyle w:val="a5"/>
            <w:rFonts w:ascii="Times New Roman" w:eastAsia="宋体" w:hAnsi="Times New Roman"/>
            <w:sz w:val="20"/>
            <w:szCs w:val="20"/>
          </w:rPr>
          <w:t>Table of Contents</w:t>
        </w:r>
      </w:hyperlink>
    </w:p>
    <w:p w14:paraId="1446F552" w14:textId="77777777" w:rsidR="00FE42B5" w:rsidRDefault="00FE42B5">
      <w:pPr>
        <w:rPr>
          <w:rFonts w:ascii="Times New Roman" w:hAnsi="Times New Roman"/>
          <w:sz w:val="20"/>
          <w:szCs w:val="20"/>
        </w:rPr>
      </w:pPr>
    </w:p>
    <w:p w14:paraId="1446F553"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information that is deeme</w:t>
      </w:r>
      <w:r>
        <w:rPr>
          <w:rFonts w:ascii="Times New Roman" w:eastAsia="宋体" w:hAnsi="Times New Roman"/>
          <w:sz w:val="20"/>
          <w:szCs w:val="20"/>
        </w:rPr>
        <w:t>d to be misleading (or intended to manipulate opinions), by perceived or actual efforts by governments to obtain access to user information for security-related purposes or to censor certain content on our platform, or by the use of our products or service</w:t>
      </w:r>
      <w:r>
        <w:rPr>
          <w:rFonts w:ascii="Times New Roman" w:eastAsia="宋体" w:hAnsi="Times New Roman"/>
          <w:sz w:val="20"/>
          <w:szCs w:val="20"/>
        </w:rPr>
        <w:t>s for illicit or objectionable ends, including, for example, any such actions around the pandemic, the 2020 U.S. presidential election, or other elections around the world. Maintaining and enhancing our brands will require us to make substantial investment</w:t>
      </w:r>
      <w:r>
        <w:rPr>
          <w:rFonts w:ascii="Times New Roman" w:eastAsia="宋体" w:hAnsi="Times New Roman"/>
          <w:sz w:val="20"/>
          <w:szCs w:val="20"/>
        </w:rPr>
        <w:t>s and these investments may not be successful. Certain of our past actions, such as the foregoing matter regarding developer misuse of data, have eroded confidence in our brands, and if we fail to successfully promote and maintain our brands or if we incur</w:t>
      </w:r>
      <w:r>
        <w:rPr>
          <w:rFonts w:ascii="Times New Roman" w:eastAsia="宋体" w:hAnsi="Times New Roman"/>
          <w:sz w:val="20"/>
          <w:szCs w:val="20"/>
        </w:rPr>
        <w:t xml:space="preserve"> excessive expenses in this effort, our business and financial results may be adversely affected.</w:t>
      </w:r>
    </w:p>
    <w:p w14:paraId="1446F554" w14:textId="77777777" w:rsidR="00FE42B5" w:rsidRDefault="00FE42B5">
      <w:pPr>
        <w:spacing w:line="288" w:lineRule="auto"/>
        <w:jc w:val="both"/>
        <w:rPr>
          <w:rFonts w:ascii="Times New Roman" w:hAnsi="Times New Roman"/>
          <w:sz w:val="20"/>
          <w:szCs w:val="20"/>
        </w:rPr>
      </w:pPr>
    </w:p>
    <w:p w14:paraId="1446F555"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Security breaches, improper access to or disclosure of our data or user data, other hacking and phishing attacks on our systems, or other cyber incidents cou</w:t>
      </w:r>
      <w:r>
        <w:rPr>
          <w:rFonts w:ascii="Times New Roman" w:eastAsia="宋体" w:hAnsi="Times New Roman"/>
          <w:b/>
          <w:bCs/>
          <w:i/>
          <w:iCs/>
          <w:sz w:val="20"/>
          <w:szCs w:val="20"/>
        </w:rPr>
        <w:t>ld harm our reputation and adversely affect our business.</w:t>
      </w:r>
    </w:p>
    <w:p w14:paraId="1446F556" w14:textId="77777777" w:rsidR="00FE42B5" w:rsidRDefault="00FE42B5">
      <w:pPr>
        <w:spacing w:line="288" w:lineRule="auto"/>
        <w:ind w:firstLine="720"/>
        <w:jc w:val="both"/>
        <w:rPr>
          <w:rFonts w:ascii="Times New Roman" w:hAnsi="Times New Roman"/>
          <w:sz w:val="20"/>
          <w:szCs w:val="20"/>
        </w:rPr>
      </w:pPr>
    </w:p>
    <w:p w14:paraId="1446F55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industry is prone to cyber-attacks by third parties seeking unauthorized access to our data or users' data or to disrupt our ability to provide service. Our products and services involve the co</w:t>
      </w:r>
      <w:r>
        <w:rPr>
          <w:rFonts w:ascii="Times New Roman" w:eastAsia="宋体" w:hAnsi="Times New Roman"/>
          <w:sz w:val="20"/>
          <w:szCs w:val="20"/>
        </w:rPr>
        <w:t>llection, storage, processing, and transmission of a large amount of data. Any failure to prevent or mitigate security breaches and improper access to or disclosure of our data or user data, including personal information, content, or payment information f</w:t>
      </w:r>
      <w:r>
        <w:rPr>
          <w:rFonts w:ascii="Times New Roman" w:eastAsia="宋体" w:hAnsi="Times New Roman"/>
          <w:sz w:val="20"/>
          <w:szCs w:val="20"/>
        </w:rPr>
        <w:t>rom users, or information from marketers, could result in the loss, modification, disclosure, destruction, or other misuse of such data, which could harm our business and reputation and diminish our competitive position. In addition, computer malware, viru</w:t>
      </w:r>
      <w:r>
        <w:rPr>
          <w:rFonts w:ascii="Times New Roman" w:eastAsia="宋体" w:hAnsi="Times New Roman"/>
          <w:sz w:val="20"/>
          <w:szCs w:val="20"/>
        </w:rPr>
        <w:t>ses, social engineering (predominantly spear phishing attacks), and general hacking have become more prevalent in our industry, have occurred on our systems in the past, and will occur on our systems in the future. We also regularly encounter attempts to c</w:t>
      </w:r>
      <w:r>
        <w:rPr>
          <w:rFonts w:ascii="Times New Roman" w:eastAsia="宋体" w:hAnsi="Times New Roman"/>
          <w:sz w:val="20"/>
          <w:szCs w:val="20"/>
        </w:rPr>
        <w:t>reate false or undesirable user accounts, purchase ads, or take other actions on our platform for purposes such as spamming, spreading misinformation, or other objectionable ends. As a result of our prominence, the size of our user base, the types and volu</w:t>
      </w:r>
      <w:r>
        <w:rPr>
          <w:rFonts w:ascii="Times New Roman" w:eastAsia="宋体" w:hAnsi="Times New Roman"/>
          <w:sz w:val="20"/>
          <w:szCs w:val="20"/>
        </w:rPr>
        <w:t xml:space="preserve">me of personal data on our systems, and the evolving nature of our products and services (including our efforts involving new and emerging technologies), we believe that we are a particularly attractive target for such breaches and attacks, including from </w:t>
      </w:r>
      <w:r>
        <w:rPr>
          <w:rFonts w:ascii="Times New Roman" w:eastAsia="宋体" w:hAnsi="Times New Roman"/>
          <w:sz w:val="20"/>
          <w:szCs w:val="20"/>
        </w:rPr>
        <w:t>highly sophisticated, state-sponsored, or otherwise well-funded actors. Our efforts to address undesirable activity on our platform also increase the risk of retaliatory attacks. Such breaches and attacks may cause interruptions to the services we provide,</w:t>
      </w:r>
      <w:r>
        <w:rPr>
          <w:rFonts w:ascii="Times New Roman" w:eastAsia="宋体" w:hAnsi="Times New Roman"/>
          <w:sz w:val="20"/>
          <w:szCs w:val="20"/>
        </w:rPr>
        <w:t xml:space="preserve"> degrade the user experience, cause users or marketers to lose confidence and trust in our products, impair our internal systems, or result in financial harm to us. Our efforts to protect our company data or the information we receive, and to disable undes</w:t>
      </w:r>
      <w:r>
        <w:rPr>
          <w:rFonts w:ascii="Times New Roman" w:eastAsia="宋体" w:hAnsi="Times New Roman"/>
          <w:sz w:val="20"/>
          <w:szCs w:val="20"/>
        </w:rPr>
        <w:t>irable activities on our platform, may also be unsuccessful due to software bugs or other technical malfunctions; employee, contractor, or vendor error or malfeasance, including defects or vulnerabilities in our vendors' information technology systems or o</w:t>
      </w:r>
      <w:r>
        <w:rPr>
          <w:rFonts w:ascii="Times New Roman" w:eastAsia="宋体" w:hAnsi="Times New Roman"/>
          <w:sz w:val="20"/>
          <w:szCs w:val="20"/>
        </w:rPr>
        <w:t xml:space="preserve">fferings; government surveillance; breaches of physical security of our facilities or technical infrastructure; or other threats that evolve. In addition, third parties may attempt to fraudulently induce employees or users to disclose information in order </w:t>
      </w:r>
      <w:r>
        <w:rPr>
          <w:rFonts w:ascii="Times New Roman" w:eastAsia="宋体" w:hAnsi="Times New Roman"/>
          <w:sz w:val="20"/>
          <w:szCs w:val="20"/>
        </w:rPr>
        <w:t xml:space="preserve">to gain access to our data or our users' data. Cyber-attacks continue to evolve in sophistication and volume, and inherently may be difficult to detect for long periods of time. Although we have developed systems and processes that are designed to protect </w:t>
      </w:r>
      <w:r>
        <w:rPr>
          <w:rFonts w:ascii="Times New Roman" w:eastAsia="宋体" w:hAnsi="Times New Roman"/>
          <w:sz w:val="20"/>
          <w:szCs w:val="20"/>
        </w:rPr>
        <w:t xml:space="preserve">our data and user data, to prevent data loss, to disable undesirable accounts and activities on our platform, and to prevent or detect security breaches, we cannot assure you that such measures will provide absolute security, that we will be able to react </w:t>
      </w:r>
      <w:r>
        <w:rPr>
          <w:rFonts w:ascii="Times New Roman" w:eastAsia="宋体" w:hAnsi="Times New Roman"/>
          <w:sz w:val="20"/>
          <w:szCs w:val="20"/>
        </w:rPr>
        <w:t>in a timely manner, or that our remediation efforts will be successful. We experience cyber-attacks and other security incidents of varying degrees from time to time, and we may incur significant costs in protecting against or remediating such incidents.</w:t>
      </w:r>
    </w:p>
    <w:p w14:paraId="1446F558" w14:textId="77777777" w:rsidR="00FE42B5" w:rsidRDefault="00FE42B5">
      <w:pPr>
        <w:spacing w:line="288" w:lineRule="auto"/>
        <w:ind w:firstLine="720"/>
        <w:jc w:val="both"/>
        <w:rPr>
          <w:rFonts w:ascii="Times New Roman" w:hAnsi="Times New Roman"/>
          <w:sz w:val="20"/>
          <w:szCs w:val="20"/>
        </w:rPr>
      </w:pPr>
    </w:p>
    <w:p w14:paraId="1446F55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some of our developers or other partners, such as those that help us measure the effectiveness of ads, may receive or store information provided by us or by our users through mobile or web applications integrated with Facebook. We provide limi</w:t>
      </w:r>
      <w:r>
        <w:rPr>
          <w:rFonts w:ascii="Times New Roman" w:eastAsia="宋体" w:hAnsi="Times New Roman"/>
          <w:sz w:val="20"/>
          <w:szCs w:val="20"/>
        </w:rPr>
        <w:t>ted information to such third parties based on the scope of services provided to us. However, if these third parties or developers fail to adopt or adhere to adequate data security practices, or in the event of a breach of their networks, our data or our u</w:t>
      </w:r>
      <w:r>
        <w:rPr>
          <w:rFonts w:ascii="Times New Roman" w:eastAsia="宋体" w:hAnsi="Times New Roman"/>
          <w:sz w:val="20"/>
          <w:szCs w:val="20"/>
        </w:rPr>
        <w:t xml:space="preserve">sers' data may be improperly accessed, used, or disclosed. </w:t>
      </w:r>
    </w:p>
    <w:p w14:paraId="1446F55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are subject to a variety of laws and regulations in the United States and abroad relating to cybersecurity and data protection, as well as obligations under our modified consent order with the </w:t>
      </w:r>
      <w:r>
        <w:rPr>
          <w:rFonts w:ascii="Times New Roman" w:eastAsia="宋体" w:hAnsi="Times New Roman"/>
          <w:sz w:val="20"/>
          <w:szCs w:val="20"/>
        </w:rPr>
        <w:t>U.S. Federal Trade Commission (FTC). As a result, affected users or government authorities could initiate legal or regulatory actions against us in connection with any actual or perceived security breaches or improper access to or disclosure of data, which</w:t>
      </w:r>
      <w:r>
        <w:rPr>
          <w:rFonts w:ascii="Times New Roman" w:eastAsia="宋体" w:hAnsi="Times New Roman"/>
          <w:sz w:val="20"/>
          <w:szCs w:val="20"/>
        </w:rPr>
        <w:t xml:space="preserve"> has occurred in the past and which could cause us to incur significant expense and liability or result in orders or consent decrees forcing us to modify our business practices. Such incidents or our efforts to remediate such incidents may also result in a</w:t>
      </w:r>
      <w:r>
        <w:rPr>
          <w:rFonts w:ascii="Times New Roman" w:eastAsia="宋体" w:hAnsi="Times New Roman"/>
          <w:sz w:val="20"/>
          <w:szCs w:val="20"/>
        </w:rPr>
        <w:t xml:space="preserve"> decline in our active user base or engagement levels. Any of these events could have a material and adverse effect on our business, reputation, or financial results.</w:t>
      </w:r>
    </w:p>
    <w:p w14:paraId="1446F55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For example, in September 2018, we announced our discovery of a third-party cyber-attack </w:t>
      </w:r>
      <w:r>
        <w:rPr>
          <w:rFonts w:ascii="Times New Roman" w:eastAsia="宋体" w:hAnsi="Times New Roman"/>
          <w:sz w:val="20"/>
          <w:szCs w:val="20"/>
        </w:rPr>
        <w:t>that exploited a vulnerability in Facebook's code to steal user access tokens, which were then used to access certain profile information from approximately 29 million user accounts on Facebook. While we took steps to remediate the attack, including fixing</w:t>
      </w:r>
      <w:r>
        <w:rPr>
          <w:rFonts w:ascii="Times New Roman" w:eastAsia="宋体" w:hAnsi="Times New Roman"/>
          <w:sz w:val="20"/>
          <w:szCs w:val="20"/>
        </w:rPr>
        <w:t xml:space="preserve"> the vulnerability, resetting user access tokens and notifying affected users, we may discover and announce additional developments, which could further </w:t>
      </w:r>
    </w:p>
    <w:p w14:paraId="1446F55C" w14:textId="77777777" w:rsidR="00FE42B5" w:rsidRDefault="00FE42B5">
      <w:pPr>
        <w:rPr>
          <w:rFonts w:ascii="Times New Roman" w:hAnsi="Times New Roman"/>
          <w:sz w:val="20"/>
          <w:szCs w:val="20"/>
        </w:rPr>
      </w:pPr>
    </w:p>
    <w:p w14:paraId="1446F55D"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59</w:t>
      </w:r>
    </w:p>
    <w:p w14:paraId="1446F55E" w14:textId="77777777" w:rsidR="00FE42B5" w:rsidRDefault="009213DC">
      <w:r>
        <w:rPr>
          <w:rFonts w:ascii="Times New Roman" w:hAnsi="Times New Roman"/>
          <w:sz w:val="20"/>
          <w:szCs w:val="20"/>
        </w:rPr>
        <w:pict w14:anchorId="1446FB03">
          <v:rect id="_x0000_i1083" style="width:415.3pt;height:1.5pt" o:hralign="center" o:hrstd="t" o:hr="t" fillcolor="#a0a0a0" stroked="f"/>
        </w:pict>
      </w:r>
    </w:p>
    <w:p w14:paraId="1446F55F" w14:textId="77777777" w:rsidR="00FE42B5" w:rsidRDefault="009213DC">
      <w:pPr>
        <w:spacing w:line="288" w:lineRule="auto"/>
        <w:rPr>
          <w:rFonts w:ascii="Times New Roman" w:hAnsi="Times New Roman"/>
          <w:sz w:val="20"/>
          <w:szCs w:val="20"/>
        </w:rPr>
      </w:pPr>
      <w:hyperlink r:id="rId99" w:anchor="sBB4BED1571A45A16AF3DC2E3B69C901C" w:history="1">
        <w:r>
          <w:rPr>
            <w:rStyle w:val="a5"/>
            <w:rFonts w:ascii="Times New Roman" w:eastAsia="宋体" w:hAnsi="Times New Roman"/>
            <w:sz w:val="20"/>
            <w:szCs w:val="20"/>
          </w:rPr>
          <w:t>Table of Contents</w:t>
        </w:r>
      </w:hyperlink>
    </w:p>
    <w:p w14:paraId="1446F560" w14:textId="77777777" w:rsidR="00FE42B5" w:rsidRDefault="00FE42B5">
      <w:pPr>
        <w:rPr>
          <w:rFonts w:ascii="Times New Roman" w:hAnsi="Times New Roman"/>
          <w:sz w:val="20"/>
          <w:szCs w:val="20"/>
        </w:rPr>
      </w:pPr>
    </w:p>
    <w:p w14:paraId="1446F561"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erode confidence in our brand. In addition, the events surrounding this cyber-attack</w:t>
      </w:r>
      <w:r>
        <w:rPr>
          <w:rFonts w:ascii="Times New Roman" w:eastAsia="宋体" w:hAnsi="Times New Roman"/>
          <w:sz w:val="20"/>
          <w:szCs w:val="20"/>
        </w:rPr>
        <w:t xml:space="preserve"> became the subject of Irish Data Protection Commission and other government inquiries. Any such inquiries could subject us to substantial fines and costs, require us to change our business practices, divert resources and the attention of management from o</w:t>
      </w:r>
      <w:r>
        <w:rPr>
          <w:rFonts w:ascii="Times New Roman" w:eastAsia="宋体" w:hAnsi="Times New Roman"/>
          <w:sz w:val="20"/>
          <w:szCs w:val="20"/>
        </w:rPr>
        <w:t>ur business, or adversely affect our business.</w:t>
      </w:r>
    </w:p>
    <w:p w14:paraId="1446F56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the changes in our work environment as a result of the COVID-19 pandemic could impact the security of our systems, as well as our ability to protect against attacks and detect and respond to them </w:t>
      </w:r>
      <w:r>
        <w:rPr>
          <w:rFonts w:ascii="Times New Roman" w:eastAsia="宋体" w:hAnsi="Times New Roman"/>
          <w:sz w:val="20"/>
          <w:szCs w:val="20"/>
        </w:rPr>
        <w:t>quickly. The rapid adoption of some third-party services designed to enable the transition to a remote workforce also may introduce security risk that is not fully mitigated prior to the use of these services. We may also be subject to increased cyber-atta</w:t>
      </w:r>
      <w:r>
        <w:rPr>
          <w:rFonts w:ascii="Times New Roman" w:eastAsia="宋体" w:hAnsi="Times New Roman"/>
          <w:sz w:val="20"/>
          <w:szCs w:val="20"/>
        </w:rPr>
        <w:t>cks, such as phishing attacks by threat actors using the attention placed on the pandemic as a method for targeting our personnel.</w:t>
      </w:r>
    </w:p>
    <w:p w14:paraId="1446F563"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anticipate that our ongoing efforts related to privacy, safety, security, and content review will identify additional inst</w:t>
      </w:r>
      <w:r>
        <w:rPr>
          <w:rFonts w:ascii="Times New Roman" w:eastAsia="宋体" w:hAnsi="Times New Roman"/>
          <w:b/>
          <w:bCs/>
          <w:i/>
          <w:iCs/>
          <w:sz w:val="20"/>
          <w:szCs w:val="20"/>
        </w:rPr>
        <w:t>ances of misuse of user data or other undesirable activity by third parties on our platform.</w:t>
      </w:r>
    </w:p>
    <w:p w14:paraId="1446F56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to our efforts to mitigate cybersecurity risks, we are making significant investments in privacy, safety, security, and content review efforts to comba</w:t>
      </w:r>
      <w:r>
        <w:rPr>
          <w:rFonts w:ascii="Times New Roman" w:eastAsia="宋体" w:hAnsi="Times New Roman"/>
          <w:sz w:val="20"/>
          <w:szCs w:val="20"/>
        </w:rPr>
        <w:t>t misuse of our services and user data by third parties, including investigations and audits of platform applications that previously accessed information of a large number of users of our services. As a result of these efforts we have discovered and annou</w:t>
      </w:r>
      <w:r>
        <w:rPr>
          <w:rFonts w:ascii="Times New Roman" w:eastAsia="宋体" w:hAnsi="Times New Roman"/>
          <w:sz w:val="20"/>
          <w:szCs w:val="20"/>
        </w:rPr>
        <w:t>nced, and anticipate that we will continue to discover and announce, additional incidents of misuse of user data or other undesirable activity by third parties. We may not discover all such incidents or activity, whether as a result of our data limitations</w:t>
      </w:r>
      <w:r>
        <w:rPr>
          <w:rFonts w:ascii="Times New Roman" w:eastAsia="宋体" w:hAnsi="Times New Roman"/>
          <w:sz w:val="20"/>
          <w:szCs w:val="20"/>
        </w:rPr>
        <w:t>, including our lack of visibility over our encrypted services, the scale of activity on our platform, challenges related to our personnel working remotely during the COVID-19 pandemic, the re-allocation of resources to other projects, or other factors, an</w:t>
      </w:r>
      <w:r>
        <w:rPr>
          <w:rFonts w:ascii="Times New Roman" w:eastAsia="宋体" w:hAnsi="Times New Roman"/>
          <w:sz w:val="20"/>
          <w:szCs w:val="20"/>
        </w:rPr>
        <w:t>d we may be notified of such incidents or activity by the independent privacy assessor required under our modified consent order with the FTC, the media, or other third parties. Such incidents and activities have in the past, and may in the future, include</w:t>
      </w:r>
      <w:r>
        <w:rPr>
          <w:rFonts w:ascii="Times New Roman" w:eastAsia="宋体" w:hAnsi="Times New Roman"/>
          <w:sz w:val="20"/>
          <w:szCs w:val="20"/>
        </w:rPr>
        <w:t xml:space="preserve"> the use of user data or our systems in a manner inconsistent with our terms, contracts or policies, the existence of false or undesirable user accounts, election interference, improper advertising practices, activities that threaten people's safety on- or</w:t>
      </w:r>
      <w:r>
        <w:rPr>
          <w:rFonts w:ascii="Times New Roman" w:eastAsia="宋体" w:hAnsi="Times New Roman"/>
          <w:sz w:val="20"/>
          <w:szCs w:val="20"/>
        </w:rPr>
        <w:t xml:space="preserve"> offline, or instances of spamming, scraping, or spreading misinformation. We may also be unsuccessful in our efforts to enforce our policies or otherwise remediate any such incidents. Any of the foregoing developments may negatively affect user trust and </w:t>
      </w:r>
      <w:r>
        <w:rPr>
          <w:rFonts w:ascii="Times New Roman" w:eastAsia="宋体" w:hAnsi="Times New Roman"/>
          <w:sz w:val="20"/>
          <w:szCs w:val="20"/>
        </w:rPr>
        <w:t>engagement, harm our reputation and brands, require us to change our business practices in a manner adverse to our business, and adversely affect our business and financial results. Any such developments may also subject us to additional litigation and reg</w:t>
      </w:r>
      <w:r>
        <w:rPr>
          <w:rFonts w:ascii="Times New Roman" w:eastAsia="宋体" w:hAnsi="Times New Roman"/>
          <w:sz w:val="20"/>
          <w:szCs w:val="20"/>
        </w:rPr>
        <w:t>ulatory inquiries, which could subject us to monetary penalties and damages, divert management's time and attention, and lead to enhanced regulatory oversight.</w:t>
      </w:r>
    </w:p>
    <w:p w14:paraId="1446F565"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Unfavorable media coverage could negatively affect our business.</w:t>
      </w:r>
    </w:p>
    <w:p w14:paraId="1446F56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receive a high degree of </w:t>
      </w:r>
      <w:r>
        <w:rPr>
          <w:rFonts w:ascii="Times New Roman" w:eastAsia="宋体" w:hAnsi="Times New Roman"/>
          <w:sz w:val="20"/>
          <w:szCs w:val="20"/>
        </w:rPr>
        <w:t>media coverage around the world. Unfavorable publicity regarding, for example, our privacy practices, terms of service, advertising policies, product changes, product quality, litigation or regulatory activity, government surveillance, the actions of our a</w:t>
      </w:r>
      <w:r>
        <w:rPr>
          <w:rFonts w:ascii="Times New Roman" w:eastAsia="宋体" w:hAnsi="Times New Roman"/>
          <w:sz w:val="20"/>
          <w:szCs w:val="20"/>
        </w:rPr>
        <w:t>dvertisers, the actions of our developers whose products are integrated with our products, the use of our products or services for illicit or objectionable ends, the substance or enforcement of our community standards, the actions of our users, the quality</w:t>
      </w:r>
      <w:r>
        <w:rPr>
          <w:rFonts w:ascii="Times New Roman" w:eastAsia="宋体" w:hAnsi="Times New Roman"/>
          <w:sz w:val="20"/>
          <w:szCs w:val="20"/>
        </w:rPr>
        <w:t xml:space="preserve"> and integrity of content shared on our platform, or the actions of other companies that provide similar services to ours, has in the past, and could in the future, adversely affect our reputation. For example, beginning in March 2018, we were the subject </w:t>
      </w:r>
      <w:r>
        <w:rPr>
          <w:rFonts w:ascii="Times New Roman" w:eastAsia="宋体" w:hAnsi="Times New Roman"/>
          <w:sz w:val="20"/>
          <w:szCs w:val="20"/>
        </w:rPr>
        <w:t>of intense media coverage involving the misuse of certain data by a developer that shared such data with third parties in violation of our terms and policies, and we have continued to receive negative publicity. In addition, we may be subject to negative p</w:t>
      </w:r>
      <w:r>
        <w:rPr>
          <w:rFonts w:ascii="Times New Roman" w:eastAsia="宋体" w:hAnsi="Times New Roman"/>
          <w:sz w:val="20"/>
          <w:szCs w:val="20"/>
        </w:rPr>
        <w:t xml:space="preserve">ublicity if we are not successful in our efforts to prevent misinformation or other illicit or objectionable use of our products or services in connection with the COVID-19 pandemic, the 2020 U.S. presidential election or other elections around the world. </w:t>
      </w:r>
      <w:r>
        <w:rPr>
          <w:rFonts w:ascii="Times New Roman" w:eastAsia="宋体" w:hAnsi="Times New Roman"/>
          <w:sz w:val="20"/>
          <w:szCs w:val="20"/>
        </w:rPr>
        <w:t>Any such negative publicity could have an adverse effect on the size, engagement, and loyalty of our user base and result in decreased revenue, which could adversely affect our business and financial results.</w:t>
      </w:r>
    </w:p>
    <w:p w14:paraId="1446F567"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Our financial results will fluctuate from quart</w:t>
      </w:r>
      <w:r>
        <w:rPr>
          <w:rFonts w:ascii="Times New Roman" w:eastAsia="宋体" w:hAnsi="Times New Roman"/>
          <w:b/>
          <w:bCs/>
          <w:i/>
          <w:iCs/>
          <w:sz w:val="20"/>
          <w:szCs w:val="20"/>
        </w:rPr>
        <w:t>er to quarter and are difficult to predict.</w:t>
      </w:r>
    </w:p>
    <w:p w14:paraId="1446F56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quarterly financial results have fluctuated in the past and will fluctuate in the future. Additionally, we have a limited operating history with the current scale of our business, which makes it difficult to </w:t>
      </w:r>
      <w:r>
        <w:rPr>
          <w:rFonts w:ascii="Times New Roman" w:eastAsia="宋体" w:hAnsi="Times New Roman"/>
          <w:sz w:val="20"/>
          <w:szCs w:val="20"/>
        </w:rPr>
        <w:t>forecast our future results. As a result, you should not rely upon our past quarterly financial results as indicators of future performance. You should take into account the risks and uncertainties frequently encountered by companies in rapidly evolving ma</w:t>
      </w:r>
      <w:r>
        <w:rPr>
          <w:rFonts w:ascii="Times New Roman" w:eastAsia="宋体" w:hAnsi="Times New Roman"/>
          <w:sz w:val="20"/>
          <w:szCs w:val="20"/>
        </w:rPr>
        <w:t>rkets. Our financial results in any given quarter can be influenced by numerous factors, many of which we are unable to predict or are outside of our control, including:</w:t>
      </w:r>
    </w:p>
    <w:tbl>
      <w:tblPr>
        <w:tblW w:w="0" w:type="auto"/>
        <w:tblCellSpacing w:w="0" w:type="dxa"/>
        <w:tblCellMar>
          <w:left w:w="0" w:type="dxa"/>
          <w:right w:w="0" w:type="dxa"/>
        </w:tblCellMar>
        <w:tblLook w:val="04A0" w:firstRow="1" w:lastRow="0" w:firstColumn="1" w:lastColumn="0" w:noHBand="0" w:noVBand="1"/>
      </w:tblPr>
      <w:tblGrid>
        <w:gridCol w:w="1440"/>
        <w:gridCol w:w="5482"/>
      </w:tblGrid>
      <w:tr w:rsidR="00FE42B5" w14:paraId="1446F56B" w14:textId="77777777">
        <w:trPr>
          <w:tblCellSpacing w:w="0" w:type="dxa"/>
        </w:trPr>
        <w:tc>
          <w:tcPr>
            <w:tcW w:w="1440" w:type="dxa"/>
            <w:shd w:val="clear" w:color="auto" w:fill="auto"/>
            <w:vAlign w:val="center"/>
          </w:tcPr>
          <w:p w14:paraId="1446F569" w14:textId="77777777" w:rsidR="00FE42B5" w:rsidRDefault="00FE42B5">
            <w:pPr>
              <w:rPr>
                <w:rFonts w:ascii="Times New Roman" w:hAnsi="Times New Roman"/>
                <w:sz w:val="20"/>
                <w:szCs w:val="20"/>
              </w:rPr>
            </w:pPr>
          </w:p>
        </w:tc>
        <w:tc>
          <w:tcPr>
            <w:tcW w:w="0" w:type="auto"/>
            <w:shd w:val="clear" w:color="auto" w:fill="auto"/>
            <w:vAlign w:val="center"/>
          </w:tcPr>
          <w:p w14:paraId="1446F56A" w14:textId="77777777" w:rsidR="00FE42B5" w:rsidRDefault="00FE42B5">
            <w:pPr>
              <w:rPr>
                <w:rFonts w:ascii="Times New Roman" w:hAnsi="Times New Roman"/>
                <w:sz w:val="20"/>
                <w:szCs w:val="20"/>
              </w:rPr>
            </w:pPr>
          </w:p>
        </w:tc>
      </w:tr>
      <w:tr w:rsidR="00FE42B5" w14:paraId="1446F56E" w14:textId="77777777">
        <w:trPr>
          <w:tblCellSpacing w:w="0" w:type="dxa"/>
        </w:trPr>
        <w:tc>
          <w:tcPr>
            <w:tcW w:w="0" w:type="auto"/>
            <w:shd w:val="clear" w:color="auto" w:fill="auto"/>
          </w:tcPr>
          <w:p w14:paraId="1446F56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6D"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maintain and grow our user base and user engagement;</w:t>
            </w:r>
          </w:p>
        </w:tc>
      </w:tr>
    </w:tbl>
    <w:p w14:paraId="1446F56F"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5043"/>
      </w:tblGrid>
      <w:tr w:rsidR="00FE42B5" w14:paraId="1446F572" w14:textId="77777777">
        <w:trPr>
          <w:tblCellSpacing w:w="0" w:type="dxa"/>
        </w:trPr>
        <w:tc>
          <w:tcPr>
            <w:tcW w:w="1440" w:type="dxa"/>
            <w:shd w:val="clear" w:color="auto" w:fill="auto"/>
            <w:vAlign w:val="center"/>
          </w:tcPr>
          <w:p w14:paraId="1446F570" w14:textId="77777777" w:rsidR="00FE42B5" w:rsidRDefault="00FE42B5">
            <w:pPr>
              <w:rPr>
                <w:rFonts w:ascii="Times New Roman" w:hAnsi="Times New Roman"/>
                <w:sz w:val="20"/>
                <w:szCs w:val="20"/>
              </w:rPr>
            </w:pPr>
          </w:p>
        </w:tc>
        <w:tc>
          <w:tcPr>
            <w:tcW w:w="0" w:type="auto"/>
            <w:shd w:val="clear" w:color="auto" w:fill="auto"/>
            <w:vAlign w:val="center"/>
          </w:tcPr>
          <w:p w14:paraId="1446F571" w14:textId="77777777" w:rsidR="00FE42B5" w:rsidRDefault="00FE42B5">
            <w:pPr>
              <w:rPr>
                <w:rFonts w:ascii="Times New Roman" w:hAnsi="Times New Roman"/>
                <w:sz w:val="20"/>
                <w:szCs w:val="20"/>
              </w:rPr>
            </w:pPr>
          </w:p>
        </w:tc>
      </w:tr>
      <w:tr w:rsidR="00FE42B5" w14:paraId="1446F575" w14:textId="77777777">
        <w:trPr>
          <w:tblCellSpacing w:w="0" w:type="dxa"/>
        </w:trPr>
        <w:tc>
          <w:tcPr>
            <w:tcW w:w="0" w:type="auto"/>
            <w:shd w:val="clear" w:color="auto" w:fill="auto"/>
          </w:tcPr>
          <w:p w14:paraId="1446F57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7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w:t>
            </w:r>
            <w:r>
              <w:rPr>
                <w:rFonts w:ascii="Times New Roman" w:eastAsia="宋体" w:hAnsi="Times New Roman"/>
                <w:sz w:val="20"/>
                <w:szCs w:val="20"/>
              </w:rPr>
              <w:t>ability to attract and retain marketers in a particular period;</w:t>
            </w:r>
          </w:p>
        </w:tc>
      </w:tr>
    </w:tbl>
    <w:p w14:paraId="1446F576" w14:textId="77777777" w:rsidR="00FE42B5" w:rsidRDefault="00FE42B5">
      <w:pPr>
        <w:rPr>
          <w:rFonts w:ascii="Times New Roman" w:hAnsi="Times New Roman"/>
          <w:sz w:val="20"/>
          <w:szCs w:val="20"/>
        </w:rPr>
      </w:pPr>
    </w:p>
    <w:p w14:paraId="1446F577"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60</w:t>
      </w:r>
    </w:p>
    <w:p w14:paraId="1446F578" w14:textId="77777777" w:rsidR="00FE42B5" w:rsidRDefault="009213DC">
      <w:r>
        <w:rPr>
          <w:rFonts w:ascii="Times New Roman" w:hAnsi="Times New Roman"/>
          <w:sz w:val="20"/>
          <w:szCs w:val="20"/>
        </w:rPr>
        <w:pict w14:anchorId="1446FB04">
          <v:rect id="_x0000_i1084" style="width:415.3pt;height:1.5pt" o:hralign="center" o:hrstd="t" o:hr="t" fillcolor="#a0a0a0" stroked="f"/>
        </w:pict>
      </w:r>
    </w:p>
    <w:p w14:paraId="1446F579" w14:textId="77777777" w:rsidR="00FE42B5" w:rsidRDefault="009213DC">
      <w:pPr>
        <w:spacing w:line="288" w:lineRule="auto"/>
        <w:rPr>
          <w:rFonts w:ascii="Times New Roman" w:hAnsi="Times New Roman"/>
          <w:sz w:val="20"/>
          <w:szCs w:val="20"/>
        </w:rPr>
      </w:pPr>
      <w:hyperlink r:id="rId100" w:anchor="sBB4BED1571A45A16AF3DC2E3B69C901C" w:history="1">
        <w:r>
          <w:rPr>
            <w:rStyle w:val="a5"/>
            <w:rFonts w:ascii="Times New Roman" w:eastAsia="宋体" w:hAnsi="Times New Roman"/>
            <w:sz w:val="20"/>
            <w:szCs w:val="20"/>
          </w:rPr>
          <w:t>Table of Contents</w:t>
        </w:r>
      </w:hyperlink>
    </w:p>
    <w:p w14:paraId="1446F57A"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7D" w14:textId="77777777">
        <w:trPr>
          <w:tblCellSpacing w:w="0" w:type="dxa"/>
        </w:trPr>
        <w:tc>
          <w:tcPr>
            <w:tcW w:w="1440" w:type="dxa"/>
            <w:shd w:val="clear" w:color="auto" w:fill="auto"/>
            <w:vAlign w:val="center"/>
          </w:tcPr>
          <w:p w14:paraId="1446F57B" w14:textId="77777777" w:rsidR="00FE42B5" w:rsidRDefault="00FE42B5">
            <w:pPr>
              <w:rPr>
                <w:rFonts w:ascii="Times New Roman" w:hAnsi="Times New Roman"/>
                <w:sz w:val="20"/>
                <w:szCs w:val="20"/>
              </w:rPr>
            </w:pPr>
          </w:p>
        </w:tc>
        <w:tc>
          <w:tcPr>
            <w:tcW w:w="0" w:type="auto"/>
            <w:shd w:val="clear" w:color="auto" w:fill="auto"/>
            <w:vAlign w:val="center"/>
          </w:tcPr>
          <w:p w14:paraId="1446F57C" w14:textId="77777777" w:rsidR="00FE42B5" w:rsidRDefault="00FE42B5">
            <w:pPr>
              <w:rPr>
                <w:rFonts w:ascii="Times New Roman" w:hAnsi="Times New Roman"/>
                <w:sz w:val="20"/>
                <w:szCs w:val="20"/>
              </w:rPr>
            </w:pPr>
          </w:p>
        </w:tc>
      </w:tr>
      <w:tr w:rsidR="00FE42B5" w14:paraId="1446F580" w14:textId="77777777">
        <w:trPr>
          <w:tblCellSpacing w:w="0" w:type="dxa"/>
        </w:trPr>
        <w:tc>
          <w:tcPr>
            <w:tcW w:w="0" w:type="auto"/>
            <w:shd w:val="clear" w:color="auto" w:fill="auto"/>
          </w:tcPr>
          <w:p w14:paraId="1446F57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7F"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recognize revenue or collect payments from marketers in a </w:t>
            </w:r>
            <w:r>
              <w:rPr>
                <w:rFonts w:ascii="Times New Roman" w:eastAsia="宋体" w:hAnsi="Times New Roman"/>
                <w:sz w:val="20"/>
                <w:szCs w:val="20"/>
              </w:rPr>
              <w:t>particular period, including as a result of the effects of the COVID-19 pandemic;</w:t>
            </w:r>
          </w:p>
        </w:tc>
      </w:tr>
    </w:tbl>
    <w:p w14:paraId="1446F581"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84" w14:textId="77777777">
        <w:trPr>
          <w:tblCellSpacing w:w="0" w:type="dxa"/>
        </w:trPr>
        <w:tc>
          <w:tcPr>
            <w:tcW w:w="1440" w:type="dxa"/>
            <w:shd w:val="clear" w:color="auto" w:fill="auto"/>
            <w:vAlign w:val="center"/>
          </w:tcPr>
          <w:p w14:paraId="1446F582" w14:textId="77777777" w:rsidR="00FE42B5" w:rsidRDefault="00FE42B5">
            <w:pPr>
              <w:rPr>
                <w:rFonts w:ascii="Times New Roman" w:hAnsi="Times New Roman"/>
                <w:sz w:val="20"/>
                <w:szCs w:val="20"/>
              </w:rPr>
            </w:pPr>
          </w:p>
        </w:tc>
        <w:tc>
          <w:tcPr>
            <w:tcW w:w="0" w:type="auto"/>
            <w:shd w:val="clear" w:color="auto" w:fill="auto"/>
            <w:vAlign w:val="center"/>
          </w:tcPr>
          <w:p w14:paraId="1446F583" w14:textId="77777777" w:rsidR="00FE42B5" w:rsidRDefault="00FE42B5">
            <w:pPr>
              <w:rPr>
                <w:rFonts w:ascii="Times New Roman" w:hAnsi="Times New Roman"/>
                <w:sz w:val="20"/>
                <w:szCs w:val="20"/>
              </w:rPr>
            </w:pPr>
          </w:p>
        </w:tc>
      </w:tr>
      <w:tr w:rsidR="00FE42B5" w14:paraId="1446F587" w14:textId="77777777">
        <w:trPr>
          <w:tblCellSpacing w:w="0" w:type="dxa"/>
        </w:trPr>
        <w:tc>
          <w:tcPr>
            <w:tcW w:w="0" w:type="auto"/>
            <w:shd w:val="clear" w:color="auto" w:fill="auto"/>
          </w:tcPr>
          <w:p w14:paraId="1446F585"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86"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fluctuations in spending by our marketers due to seasonality, such as historically strong spending in the fourth quarter of each year, episodic regional or global even</w:t>
            </w:r>
            <w:r>
              <w:rPr>
                <w:rFonts w:ascii="Times New Roman" w:eastAsia="宋体" w:hAnsi="Times New Roman"/>
                <w:sz w:val="20"/>
                <w:szCs w:val="20"/>
              </w:rPr>
              <w:t>ts, including the COVID-19 pandemic, or other factors;</w:t>
            </w:r>
          </w:p>
        </w:tc>
      </w:tr>
    </w:tbl>
    <w:p w14:paraId="1446F588"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004"/>
      </w:tblGrid>
      <w:tr w:rsidR="00FE42B5" w14:paraId="1446F58B" w14:textId="77777777">
        <w:trPr>
          <w:tblCellSpacing w:w="0" w:type="dxa"/>
        </w:trPr>
        <w:tc>
          <w:tcPr>
            <w:tcW w:w="1440" w:type="dxa"/>
            <w:shd w:val="clear" w:color="auto" w:fill="auto"/>
            <w:vAlign w:val="center"/>
          </w:tcPr>
          <w:p w14:paraId="1446F589" w14:textId="77777777" w:rsidR="00FE42B5" w:rsidRDefault="00FE42B5">
            <w:pPr>
              <w:rPr>
                <w:rFonts w:ascii="Times New Roman" w:hAnsi="Times New Roman"/>
                <w:sz w:val="20"/>
                <w:szCs w:val="20"/>
              </w:rPr>
            </w:pPr>
          </w:p>
        </w:tc>
        <w:tc>
          <w:tcPr>
            <w:tcW w:w="0" w:type="auto"/>
            <w:shd w:val="clear" w:color="auto" w:fill="auto"/>
            <w:vAlign w:val="center"/>
          </w:tcPr>
          <w:p w14:paraId="1446F58A" w14:textId="77777777" w:rsidR="00FE42B5" w:rsidRDefault="00FE42B5">
            <w:pPr>
              <w:rPr>
                <w:rFonts w:ascii="Times New Roman" w:hAnsi="Times New Roman"/>
                <w:sz w:val="20"/>
                <w:szCs w:val="20"/>
              </w:rPr>
            </w:pPr>
          </w:p>
        </w:tc>
      </w:tr>
      <w:tr w:rsidR="00FE42B5" w14:paraId="1446F58E" w14:textId="77777777">
        <w:trPr>
          <w:tblCellSpacing w:w="0" w:type="dxa"/>
        </w:trPr>
        <w:tc>
          <w:tcPr>
            <w:tcW w:w="0" w:type="auto"/>
            <w:shd w:val="clear" w:color="auto" w:fill="auto"/>
          </w:tcPr>
          <w:p w14:paraId="1446F58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8D"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the frequency, prominence, size, format, and quality of ads shown to users;</w:t>
            </w:r>
          </w:p>
        </w:tc>
      </w:tr>
    </w:tbl>
    <w:p w14:paraId="1446F58F"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5144"/>
      </w:tblGrid>
      <w:tr w:rsidR="00FE42B5" w14:paraId="1446F592" w14:textId="77777777">
        <w:trPr>
          <w:tblCellSpacing w:w="0" w:type="dxa"/>
        </w:trPr>
        <w:tc>
          <w:tcPr>
            <w:tcW w:w="1440" w:type="dxa"/>
            <w:shd w:val="clear" w:color="auto" w:fill="auto"/>
            <w:vAlign w:val="center"/>
          </w:tcPr>
          <w:p w14:paraId="1446F590" w14:textId="77777777" w:rsidR="00FE42B5" w:rsidRDefault="00FE42B5">
            <w:pPr>
              <w:rPr>
                <w:rFonts w:ascii="Times New Roman" w:hAnsi="Times New Roman"/>
                <w:sz w:val="20"/>
                <w:szCs w:val="20"/>
              </w:rPr>
            </w:pPr>
          </w:p>
        </w:tc>
        <w:tc>
          <w:tcPr>
            <w:tcW w:w="0" w:type="auto"/>
            <w:shd w:val="clear" w:color="auto" w:fill="auto"/>
            <w:vAlign w:val="center"/>
          </w:tcPr>
          <w:p w14:paraId="1446F591" w14:textId="77777777" w:rsidR="00FE42B5" w:rsidRDefault="00FE42B5">
            <w:pPr>
              <w:rPr>
                <w:rFonts w:ascii="Times New Roman" w:hAnsi="Times New Roman"/>
                <w:sz w:val="20"/>
                <w:szCs w:val="20"/>
              </w:rPr>
            </w:pPr>
          </w:p>
        </w:tc>
      </w:tr>
      <w:tr w:rsidR="00FE42B5" w14:paraId="1446F595" w14:textId="77777777">
        <w:trPr>
          <w:tblCellSpacing w:w="0" w:type="dxa"/>
        </w:trPr>
        <w:tc>
          <w:tcPr>
            <w:tcW w:w="0" w:type="auto"/>
            <w:shd w:val="clear" w:color="auto" w:fill="auto"/>
          </w:tcPr>
          <w:p w14:paraId="1446F59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9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the success of technologies designed to block the display of ads;</w:t>
            </w:r>
          </w:p>
        </w:tc>
      </w:tr>
    </w:tbl>
    <w:p w14:paraId="1446F596"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99" w14:textId="77777777">
        <w:trPr>
          <w:tblCellSpacing w:w="0" w:type="dxa"/>
        </w:trPr>
        <w:tc>
          <w:tcPr>
            <w:tcW w:w="1440" w:type="dxa"/>
            <w:shd w:val="clear" w:color="auto" w:fill="auto"/>
            <w:vAlign w:val="center"/>
          </w:tcPr>
          <w:p w14:paraId="1446F597" w14:textId="77777777" w:rsidR="00FE42B5" w:rsidRDefault="00FE42B5">
            <w:pPr>
              <w:rPr>
                <w:rFonts w:ascii="Times New Roman" w:hAnsi="Times New Roman"/>
                <w:sz w:val="20"/>
                <w:szCs w:val="20"/>
              </w:rPr>
            </w:pPr>
          </w:p>
        </w:tc>
        <w:tc>
          <w:tcPr>
            <w:tcW w:w="0" w:type="auto"/>
            <w:shd w:val="clear" w:color="auto" w:fill="auto"/>
            <w:vAlign w:val="center"/>
          </w:tcPr>
          <w:p w14:paraId="1446F598" w14:textId="77777777" w:rsidR="00FE42B5" w:rsidRDefault="00FE42B5">
            <w:pPr>
              <w:rPr>
                <w:rFonts w:ascii="Times New Roman" w:hAnsi="Times New Roman"/>
                <w:sz w:val="20"/>
                <w:szCs w:val="20"/>
              </w:rPr>
            </w:pPr>
          </w:p>
        </w:tc>
      </w:tr>
      <w:tr w:rsidR="00FE42B5" w14:paraId="1446F59C" w14:textId="77777777">
        <w:trPr>
          <w:tblCellSpacing w:w="0" w:type="dxa"/>
        </w:trPr>
        <w:tc>
          <w:tcPr>
            <w:tcW w:w="0" w:type="auto"/>
            <w:shd w:val="clear" w:color="auto" w:fill="auto"/>
          </w:tcPr>
          <w:p w14:paraId="1446F59A"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9B"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to third-party </w:t>
            </w:r>
            <w:r>
              <w:rPr>
                <w:rFonts w:ascii="Times New Roman" w:eastAsia="宋体" w:hAnsi="Times New Roman"/>
                <w:sz w:val="20"/>
                <w:szCs w:val="20"/>
              </w:rPr>
              <w:t>policies that limit our ability to deliver, target, or measure the effectiveness of advertising;</w:t>
            </w:r>
          </w:p>
        </w:tc>
      </w:tr>
    </w:tbl>
    <w:p w14:paraId="1446F59D"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3305"/>
      </w:tblGrid>
      <w:tr w:rsidR="00FE42B5" w14:paraId="1446F5A0" w14:textId="77777777">
        <w:trPr>
          <w:tblCellSpacing w:w="0" w:type="dxa"/>
        </w:trPr>
        <w:tc>
          <w:tcPr>
            <w:tcW w:w="1440" w:type="dxa"/>
            <w:shd w:val="clear" w:color="auto" w:fill="auto"/>
            <w:vAlign w:val="center"/>
          </w:tcPr>
          <w:p w14:paraId="1446F59E" w14:textId="77777777" w:rsidR="00FE42B5" w:rsidRDefault="00FE42B5">
            <w:pPr>
              <w:rPr>
                <w:rFonts w:ascii="Times New Roman" w:hAnsi="Times New Roman"/>
                <w:sz w:val="20"/>
                <w:szCs w:val="20"/>
              </w:rPr>
            </w:pPr>
          </w:p>
        </w:tc>
        <w:tc>
          <w:tcPr>
            <w:tcW w:w="0" w:type="auto"/>
            <w:shd w:val="clear" w:color="auto" w:fill="auto"/>
            <w:vAlign w:val="center"/>
          </w:tcPr>
          <w:p w14:paraId="1446F59F" w14:textId="77777777" w:rsidR="00FE42B5" w:rsidRDefault="00FE42B5">
            <w:pPr>
              <w:rPr>
                <w:rFonts w:ascii="Times New Roman" w:hAnsi="Times New Roman"/>
                <w:sz w:val="20"/>
                <w:szCs w:val="20"/>
              </w:rPr>
            </w:pPr>
          </w:p>
        </w:tc>
      </w:tr>
      <w:tr w:rsidR="00FE42B5" w14:paraId="1446F5A3" w14:textId="77777777">
        <w:trPr>
          <w:tblCellSpacing w:w="0" w:type="dxa"/>
        </w:trPr>
        <w:tc>
          <w:tcPr>
            <w:tcW w:w="0" w:type="auto"/>
            <w:shd w:val="clear" w:color="auto" w:fill="auto"/>
          </w:tcPr>
          <w:p w14:paraId="1446F5A1"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A2"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the pricing of our ads and other products;</w:t>
            </w:r>
          </w:p>
        </w:tc>
      </w:tr>
    </w:tbl>
    <w:p w14:paraId="1446F5A4"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A7" w14:textId="77777777">
        <w:trPr>
          <w:tblCellSpacing w:w="0" w:type="dxa"/>
        </w:trPr>
        <w:tc>
          <w:tcPr>
            <w:tcW w:w="1440" w:type="dxa"/>
            <w:shd w:val="clear" w:color="auto" w:fill="auto"/>
            <w:vAlign w:val="center"/>
          </w:tcPr>
          <w:p w14:paraId="1446F5A5" w14:textId="77777777" w:rsidR="00FE42B5" w:rsidRDefault="00FE42B5">
            <w:pPr>
              <w:rPr>
                <w:rFonts w:ascii="Times New Roman" w:hAnsi="Times New Roman"/>
                <w:sz w:val="20"/>
                <w:szCs w:val="20"/>
              </w:rPr>
            </w:pPr>
          </w:p>
        </w:tc>
        <w:tc>
          <w:tcPr>
            <w:tcW w:w="0" w:type="auto"/>
            <w:shd w:val="clear" w:color="auto" w:fill="auto"/>
            <w:vAlign w:val="center"/>
          </w:tcPr>
          <w:p w14:paraId="1446F5A6" w14:textId="77777777" w:rsidR="00FE42B5" w:rsidRDefault="00FE42B5">
            <w:pPr>
              <w:rPr>
                <w:rFonts w:ascii="Times New Roman" w:hAnsi="Times New Roman"/>
                <w:sz w:val="20"/>
                <w:szCs w:val="20"/>
              </w:rPr>
            </w:pPr>
          </w:p>
        </w:tc>
      </w:tr>
      <w:tr w:rsidR="00FE42B5" w14:paraId="1446F5AA" w14:textId="77777777">
        <w:trPr>
          <w:tblCellSpacing w:w="0" w:type="dxa"/>
        </w:trPr>
        <w:tc>
          <w:tcPr>
            <w:tcW w:w="0" w:type="auto"/>
            <w:shd w:val="clear" w:color="auto" w:fill="auto"/>
          </w:tcPr>
          <w:p w14:paraId="1446F5A8"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A9"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diversification and growth of revenue sources beyond advertising on Facebook and </w:t>
            </w:r>
            <w:r>
              <w:rPr>
                <w:rFonts w:ascii="Times New Roman" w:eastAsia="宋体" w:hAnsi="Times New Roman"/>
                <w:sz w:val="20"/>
                <w:szCs w:val="20"/>
              </w:rPr>
              <w:t>Instagram;</w:t>
            </w:r>
          </w:p>
        </w:tc>
      </w:tr>
    </w:tbl>
    <w:p w14:paraId="1446F5AB"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AE" w14:textId="77777777">
        <w:trPr>
          <w:tblCellSpacing w:w="0" w:type="dxa"/>
        </w:trPr>
        <w:tc>
          <w:tcPr>
            <w:tcW w:w="1440" w:type="dxa"/>
            <w:shd w:val="clear" w:color="auto" w:fill="auto"/>
            <w:vAlign w:val="center"/>
          </w:tcPr>
          <w:p w14:paraId="1446F5AC" w14:textId="77777777" w:rsidR="00FE42B5" w:rsidRDefault="00FE42B5">
            <w:pPr>
              <w:rPr>
                <w:rFonts w:ascii="Times New Roman" w:hAnsi="Times New Roman"/>
                <w:sz w:val="20"/>
                <w:szCs w:val="20"/>
              </w:rPr>
            </w:pPr>
          </w:p>
        </w:tc>
        <w:tc>
          <w:tcPr>
            <w:tcW w:w="0" w:type="auto"/>
            <w:shd w:val="clear" w:color="auto" w:fill="auto"/>
            <w:vAlign w:val="center"/>
          </w:tcPr>
          <w:p w14:paraId="1446F5AD" w14:textId="77777777" w:rsidR="00FE42B5" w:rsidRDefault="00FE42B5">
            <w:pPr>
              <w:rPr>
                <w:rFonts w:ascii="Times New Roman" w:hAnsi="Times New Roman"/>
                <w:sz w:val="20"/>
                <w:szCs w:val="20"/>
              </w:rPr>
            </w:pPr>
          </w:p>
        </w:tc>
      </w:tr>
      <w:tr w:rsidR="00FE42B5" w14:paraId="1446F5B1" w14:textId="77777777">
        <w:trPr>
          <w:tblCellSpacing w:w="0" w:type="dxa"/>
        </w:trPr>
        <w:tc>
          <w:tcPr>
            <w:tcW w:w="0" w:type="auto"/>
            <w:shd w:val="clear" w:color="auto" w:fill="auto"/>
          </w:tcPr>
          <w:p w14:paraId="1446F5AF"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B0"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generate revenue from Payments, or the sale of our consumer hardware products or other products we may introduce in the future;</w:t>
            </w:r>
          </w:p>
        </w:tc>
      </w:tr>
    </w:tbl>
    <w:p w14:paraId="1446F5B2"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B5" w14:textId="77777777">
        <w:trPr>
          <w:tblCellSpacing w:w="0" w:type="dxa"/>
        </w:trPr>
        <w:tc>
          <w:tcPr>
            <w:tcW w:w="1440" w:type="dxa"/>
            <w:shd w:val="clear" w:color="auto" w:fill="auto"/>
            <w:vAlign w:val="center"/>
          </w:tcPr>
          <w:p w14:paraId="1446F5B3" w14:textId="77777777" w:rsidR="00FE42B5" w:rsidRDefault="00FE42B5">
            <w:pPr>
              <w:rPr>
                <w:rFonts w:ascii="Times New Roman" w:hAnsi="Times New Roman"/>
                <w:sz w:val="20"/>
                <w:szCs w:val="20"/>
              </w:rPr>
            </w:pPr>
          </w:p>
        </w:tc>
        <w:tc>
          <w:tcPr>
            <w:tcW w:w="0" w:type="auto"/>
            <w:shd w:val="clear" w:color="auto" w:fill="auto"/>
            <w:vAlign w:val="center"/>
          </w:tcPr>
          <w:p w14:paraId="1446F5B4" w14:textId="77777777" w:rsidR="00FE42B5" w:rsidRDefault="00FE42B5">
            <w:pPr>
              <w:rPr>
                <w:rFonts w:ascii="Times New Roman" w:hAnsi="Times New Roman"/>
                <w:sz w:val="20"/>
                <w:szCs w:val="20"/>
              </w:rPr>
            </w:pPr>
          </w:p>
        </w:tc>
      </w:tr>
      <w:tr w:rsidR="00FE42B5" w14:paraId="1446F5B8" w14:textId="77777777">
        <w:trPr>
          <w:tblCellSpacing w:w="0" w:type="dxa"/>
        </w:trPr>
        <w:tc>
          <w:tcPr>
            <w:tcW w:w="0" w:type="auto"/>
            <w:shd w:val="clear" w:color="auto" w:fill="auto"/>
          </w:tcPr>
          <w:p w14:paraId="1446F5B6"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B7"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to existing products or services or the development and introduction of new </w:t>
            </w:r>
            <w:r>
              <w:rPr>
                <w:rFonts w:ascii="Times New Roman" w:eastAsia="宋体" w:hAnsi="Times New Roman"/>
                <w:sz w:val="20"/>
                <w:szCs w:val="20"/>
              </w:rPr>
              <w:t>products or services by us or our competitors;</w:t>
            </w:r>
          </w:p>
        </w:tc>
      </w:tr>
    </w:tbl>
    <w:p w14:paraId="1446F5B9"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BC" w14:textId="77777777">
        <w:trPr>
          <w:tblCellSpacing w:w="0" w:type="dxa"/>
        </w:trPr>
        <w:tc>
          <w:tcPr>
            <w:tcW w:w="1440" w:type="dxa"/>
            <w:shd w:val="clear" w:color="auto" w:fill="auto"/>
            <w:vAlign w:val="center"/>
          </w:tcPr>
          <w:p w14:paraId="1446F5BA" w14:textId="77777777" w:rsidR="00FE42B5" w:rsidRDefault="00FE42B5">
            <w:pPr>
              <w:rPr>
                <w:rFonts w:ascii="Times New Roman" w:hAnsi="Times New Roman"/>
                <w:sz w:val="20"/>
                <w:szCs w:val="20"/>
              </w:rPr>
            </w:pPr>
          </w:p>
        </w:tc>
        <w:tc>
          <w:tcPr>
            <w:tcW w:w="0" w:type="auto"/>
            <w:shd w:val="clear" w:color="auto" w:fill="auto"/>
            <w:vAlign w:val="center"/>
          </w:tcPr>
          <w:p w14:paraId="1446F5BB" w14:textId="77777777" w:rsidR="00FE42B5" w:rsidRDefault="00FE42B5">
            <w:pPr>
              <w:rPr>
                <w:rFonts w:ascii="Times New Roman" w:hAnsi="Times New Roman"/>
                <w:sz w:val="20"/>
                <w:szCs w:val="20"/>
              </w:rPr>
            </w:pPr>
          </w:p>
        </w:tc>
      </w:tr>
      <w:tr w:rsidR="00FE42B5" w14:paraId="1446F5BF" w14:textId="77777777">
        <w:trPr>
          <w:tblCellSpacing w:w="0" w:type="dxa"/>
        </w:trPr>
        <w:tc>
          <w:tcPr>
            <w:tcW w:w="0" w:type="auto"/>
            <w:shd w:val="clear" w:color="auto" w:fill="auto"/>
          </w:tcPr>
          <w:p w14:paraId="1446F5BD"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BE"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user behavior or product changes that may reduce traffic to features or products that we successfully monetize;</w:t>
            </w:r>
          </w:p>
        </w:tc>
      </w:tr>
    </w:tbl>
    <w:p w14:paraId="1446F5C0"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C3" w14:textId="77777777">
        <w:trPr>
          <w:tblCellSpacing w:w="0" w:type="dxa"/>
        </w:trPr>
        <w:tc>
          <w:tcPr>
            <w:tcW w:w="1440" w:type="dxa"/>
            <w:shd w:val="clear" w:color="auto" w:fill="auto"/>
            <w:vAlign w:val="center"/>
          </w:tcPr>
          <w:p w14:paraId="1446F5C1" w14:textId="77777777" w:rsidR="00FE42B5" w:rsidRDefault="00FE42B5">
            <w:pPr>
              <w:rPr>
                <w:rFonts w:ascii="Times New Roman" w:hAnsi="Times New Roman"/>
                <w:sz w:val="20"/>
                <w:szCs w:val="20"/>
              </w:rPr>
            </w:pPr>
          </w:p>
        </w:tc>
        <w:tc>
          <w:tcPr>
            <w:tcW w:w="0" w:type="auto"/>
            <w:shd w:val="clear" w:color="auto" w:fill="auto"/>
            <w:vAlign w:val="center"/>
          </w:tcPr>
          <w:p w14:paraId="1446F5C2" w14:textId="77777777" w:rsidR="00FE42B5" w:rsidRDefault="00FE42B5">
            <w:pPr>
              <w:rPr>
                <w:rFonts w:ascii="Times New Roman" w:hAnsi="Times New Roman"/>
                <w:sz w:val="20"/>
                <w:szCs w:val="20"/>
              </w:rPr>
            </w:pPr>
          </w:p>
        </w:tc>
      </w:tr>
      <w:tr w:rsidR="00FE42B5" w14:paraId="1446F5C6" w14:textId="77777777">
        <w:trPr>
          <w:tblCellSpacing w:w="0" w:type="dxa"/>
        </w:trPr>
        <w:tc>
          <w:tcPr>
            <w:tcW w:w="0" w:type="auto"/>
            <w:shd w:val="clear" w:color="auto" w:fill="auto"/>
          </w:tcPr>
          <w:p w14:paraId="1446F5C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C5"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increases in marketing, sales, and other operating expenses that we will incur to </w:t>
            </w:r>
            <w:r>
              <w:rPr>
                <w:rFonts w:ascii="Times New Roman" w:eastAsia="宋体" w:hAnsi="Times New Roman"/>
                <w:sz w:val="20"/>
                <w:szCs w:val="20"/>
              </w:rPr>
              <w:t>grow and expand our operations and to remain competitive, including costs related to our data centers and technical infrastructure;</w:t>
            </w:r>
          </w:p>
        </w:tc>
      </w:tr>
    </w:tbl>
    <w:p w14:paraId="1446F5C7"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5726"/>
      </w:tblGrid>
      <w:tr w:rsidR="00FE42B5" w14:paraId="1446F5CA" w14:textId="77777777">
        <w:trPr>
          <w:tblCellSpacing w:w="0" w:type="dxa"/>
        </w:trPr>
        <w:tc>
          <w:tcPr>
            <w:tcW w:w="1440" w:type="dxa"/>
            <w:shd w:val="clear" w:color="auto" w:fill="auto"/>
            <w:vAlign w:val="center"/>
          </w:tcPr>
          <w:p w14:paraId="1446F5C8" w14:textId="77777777" w:rsidR="00FE42B5" w:rsidRDefault="00FE42B5">
            <w:pPr>
              <w:rPr>
                <w:rFonts w:ascii="Times New Roman" w:hAnsi="Times New Roman"/>
                <w:sz w:val="20"/>
                <w:szCs w:val="20"/>
              </w:rPr>
            </w:pPr>
          </w:p>
        </w:tc>
        <w:tc>
          <w:tcPr>
            <w:tcW w:w="0" w:type="auto"/>
            <w:shd w:val="clear" w:color="auto" w:fill="auto"/>
            <w:vAlign w:val="center"/>
          </w:tcPr>
          <w:p w14:paraId="1446F5C9" w14:textId="77777777" w:rsidR="00FE42B5" w:rsidRDefault="00FE42B5">
            <w:pPr>
              <w:rPr>
                <w:rFonts w:ascii="Times New Roman" w:hAnsi="Times New Roman"/>
                <w:sz w:val="20"/>
                <w:szCs w:val="20"/>
              </w:rPr>
            </w:pPr>
          </w:p>
        </w:tc>
      </w:tr>
      <w:tr w:rsidR="00FE42B5" w14:paraId="1446F5CD" w14:textId="77777777">
        <w:trPr>
          <w:tblCellSpacing w:w="0" w:type="dxa"/>
        </w:trPr>
        <w:tc>
          <w:tcPr>
            <w:tcW w:w="0" w:type="auto"/>
            <w:shd w:val="clear" w:color="auto" w:fill="auto"/>
          </w:tcPr>
          <w:p w14:paraId="1446F5CB"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CC"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costs related to our privacy, safety, security, and content review efforts;</w:t>
            </w:r>
          </w:p>
        </w:tc>
      </w:tr>
    </w:tbl>
    <w:p w14:paraId="1446F5CE"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D1" w14:textId="77777777">
        <w:trPr>
          <w:tblCellSpacing w:w="0" w:type="dxa"/>
        </w:trPr>
        <w:tc>
          <w:tcPr>
            <w:tcW w:w="1440" w:type="dxa"/>
            <w:shd w:val="clear" w:color="auto" w:fill="auto"/>
            <w:vAlign w:val="center"/>
          </w:tcPr>
          <w:p w14:paraId="1446F5CF" w14:textId="77777777" w:rsidR="00FE42B5" w:rsidRDefault="00FE42B5">
            <w:pPr>
              <w:rPr>
                <w:rFonts w:ascii="Times New Roman" w:hAnsi="Times New Roman"/>
                <w:sz w:val="20"/>
                <w:szCs w:val="20"/>
              </w:rPr>
            </w:pPr>
          </w:p>
        </w:tc>
        <w:tc>
          <w:tcPr>
            <w:tcW w:w="0" w:type="auto"/>
            <w:shd w:val="clear" w:color="auto" w:fill="auto"/>
            <w:vAlign w:val="center"/>
          </w:tcPr>
          <w:p w14:paraId="1446F5D0" w14:textId="77777777" w:rsidR="00FE42B5" w:rsidRDefault="00FE42B5">
            <w:pPr>
              <w:rPr>
                <w:rFonts w:ascii="Times New Roman" w:hAnsi="Times New Roman"/>
                <w:sz w:val="20"/>
                <w:szCs w:val="20"/>
              </w:rPr>
            </w:pPr>
          </w:p>
        </w:tc>
      </w:tr>
      <w:tr w:rsidR="00FE42B5" w14:paraId="1446F5D4" w14:textId="77777777">
        <w:trPr>
          <w:tblCellSpacing w:w="0" w:type="dxa"/>
        </w:trPr>
        <w:tc>
          <w:tcPr>
            <w:tcW w:w="0" w:type="auto"/>
            <w:shd w:val="clear" w:color="auto" w:fill="auto"/>
          </w:tcPr>
          <w:p w14:paraId="1446F5D2"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D3"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costs and expenses related to </w:t>
            </w:r>
            <w:r>
              <w:rPr>
                <w:rFonts w:ascii="Times New Roman" w:eastAsia="宋体" w:hAnsi="Times New Roman"/>
                <w:sz w:val="20"/>
                <w:szCs w:val="20"/>
              </w:rPr>
              <w:t>the development and delivery of our consumer hardware products;</w:t>
            </w:r>
          </w:p>
        </w:tc>
      </w:tr>
    </w:tbl>
    <w:p w14:paraId="1446F5D5"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4844"/>
      </w:tblGrid>
      <w:tr w:rsidR="00FE42B5" w14:paraId="1446F5D8" w14:textId="77777777">
        <w:trPr>
          <w:tblCellSpacing w:w="0" w:type="dxa"/>
        </w:trPr>
        <w:tc>
          <w:tcPr>
            <w:tcW w:w="1440" w:type="dxa"/>
            <w:shd w:val="clear" w:color="auto" w:fill="auto"/>
            <w:vAlign w:val="center"/>
          </w:tcPr>
          <w:p w14:paraId="1446F5D6" w14:textId="77777777" w:rsidR="00FE42B5" w:rsidRDefault="00FE42B5">
            <w:pPr>
              <w:rPr>
                <w:rFonts w:ascii="Times New Roman" w:hAnsi="Times New Roman"/>
                <w:sz w:val="20"/>
                <w:szCs w:val="20"/>
              </w:rPr>
            </w:pPr>
          </w:p>
        </w:tc>
        <w:tc>
          <w:tcPr>
            <w:tcW w:w="0" w:type="auto"/>
            <w:shd w:val="clear" w:color="auto" w:fill="auto"/>
            <w:vAlign w:val="center"/>
          </w:tcPr>
          <w:p w14:paraId="1446F5D7" w14:textId="77777777" w:rsidR="00FE42B5" w:rsidRDefault="00FE42B5">
            <w:pPr>
              <w:rPr>
                <w:rFonts w:ascii="Times New Roman" w:hAnsi="Times New Roman"/>
                <w:sz w:val="20"/>
                <w:szCs w:val="20"/>
              </w:rPr>
            </w:pPr>
          </w:p>
        </w:tc>
      </w:tr>
      <w:tr w:rsidR="00FE42B5" w14:paraId="1446F5DB" w14:textId="77777777">
        <w:trPr>
          <w:tblCellSpacing w:w="0" w:type="dxa"/>
        </w:trPr>
        <w:tc>
          <w:tcPr>
            <w:tcW w:w="0" w:type="auto"/>
            <w:shd w:val="clear" w:color="auto" w:fill="auto"/>
          </w:tcPr>
          <w:p w14:paraId="1446F5D9"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DA"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maintain gross margins and operating margins;</w:t>
            </w:r>
          </w:p>
        </w:tc>
      </w:tr>
    </w:tbl>
    <w:p w14:paraId="1446F5DC"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DF" w14:textId="77777777">
        <w:trPr>
          <w:tblCellSpacing w:w="0" w:type="dxa"/>
        </w:trPr>
        <w:tc>
          <w:tcPr>
            <w:tcW w:w="1440" w:type="dxa"/>
            <w:shd w:val="clear" w:color="auto" w:fill="auto"/>
            <w:vAlign w:val="center"/>
          </w:tcPr>
          <w:p w14:paraId="1446F5DD" w14:textId="77777777" w:rsidR="00FE42B5" w:rsidRDefault="00FE42B5">
            <w:pPr>
              <w:rPr>
                <w:rFonts w:ascii="Times New Roman" w:hAnsi="Times New Roman"/>
                <w:sz w:val="20"/>
                <w:szCs w:val="20"/>
              </w:rPr>
            </w:pPr>
          </w:p>
        </w:tc>
        <w:tc>
          <w:tcPr>
            <w:tcW w:w="0" w:type="auto"/>
            <w:shd w:val="clear" w:color="auto" w:fill="auto"/>
            <w:vAlign w:val="center"/>
          </w:tcPr>
          <w:p w14:paraId="1446F5DE" w14:textId="77777777" w:rsidR="00FE42B5" w:rsidRDefault="00FE42B5">
            <w:pPr>
              <w:rPr>
                <w:rFonts w:ascii="Times New Roman" w:hAnsi="Times New Roman"/>
                <w:sz w:val="20"/>
                <w:szCs w:val="20"/>
              </w:rPr>
            </w:pPr>
          </w:p>
        </w:tc>
      </w:tr>
      <w:tr w:rsidR="00FE42B5" w14:paraId="1446F5E2" w14:textId="77777777">
        <w:trPr>
          <w:tblCellSpacing w:w="0" w:type="dxa"/>
        </w:trPr>
        <w:tc>
          <w:tcPr>
            <w:tcW w:w="0" w:type="auto"/>
            <w:shd w:val="clear" w:color="auto" w:fill="auto"/>
          </w:tcPr>
          <w:p w14:paraId="1446F5E0"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E1"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costs related to acquisitions, including costs associated with amortization and additional investments to </w:t>
            </w:r>
            <w:r>
              <w:rPr>
                <w:rFonts w:ascii="Times New Roman" w:eastAsia="宋体" w:hAnsi="Times New Roman"/>
                <w:sz w:val="20"/>
                <w:szCs w:val="20"/>
              </w:rPr>
              <w:t>develop the acquired technologies;</w:t>
            </w:r>
          </w:p>
        </w:tc>
      </w:tr>
    </w:tbl>
    <w:p w14:paraId="1446F5E3"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5676"/>
      </w:tblGrid>
      <w:tr w:rsidR="00FE42B5" w14:paraId="1446F5E6" w14:textId="77777777">
        <w:trPr>
          <w:tblCellSpacing w:w="0" w:type="dxa"/>
        </w:trPr>
        <w:tc>
          <w:tcPr>
            <w:tcW w:w="1440" w:type="dxa"/>
            <w:shd w:val="clear" w:color="auto" w:fill="auto"/>
            <w:vAlign w:val="center"/>
          </w:tcPr>
          <w:p w14:paraId="1446F5E4" w14:textId="77777777" w:rsidR="00FE42B5" w:rsidRDefault="00FE42B5">
            <w:pPr>
              <w:rPr>
                <w:rFonts w:ascii="Times New Roman" w:hAnsi="Times New Roman"/>
                <w:sz w:val="20"/>
                <w:szCs w:val="20"/>
              </w:rPr>
            </w:pPr>
          </w:p>
        </w:tc>
        <w:tc>
          <w:tcPr>
            <w:tcW w:w="0" w:type="auto"/>
            <w:shd w:val="clear" w:color="auto" w:fill="auto"/>
            <w:vAlign w:val="center"/>
          </w:tcPr>
          <w:p w14:paraId="1446F5E5" w14:textId="77777777" w:rsidR="00FE42B5" w:rsidRDefault="00FE42B5">
            <w:pPr>
              <w:rPr>
                <w:rFonts w:ascii="Times New Roman" w:hAnsi="Times New Roman"/>
                <w:sz w:val="20"/>
                <w:szCs w:val="20"/>
              </w:rPr>
            </w:pPr>
          </w:p>
        </w:tc>
      </w:tr>
      <w:tr w:rsidR="00FE42B5" w14:paraId="1446F5E9" w14:textId="77777777">
        <w:trPr>
          <w:tblCellSpacing w:w="0" w:type="dxa"/>
        </w:trPr>
        <w:tc>
          <w:tcPr>
            <w:tcW w:w="0" w:type="auto"/>
            <w:shd w:val="clear" w:color="auto" w:fill="auto"/>
          </w:tcPr>
          <w:p w14:paraId="1446F5E7"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E8"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charges associated with impairment of any assets on our balance sheet;</w:t>
            </w:r>
          </w:p>
        </w:tc>
      </w:tr>
    </w:tbl>
    <w:p w14:paraId="1446F5EA"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ED" w14:textId="77777777">
        <w:trPr>
          <w:tblCellSpacing w:w="0" w:type="dxa"/>
        </w:trPr>
        <w:tc>
          <w:tcPr>
            <w:tcW w:w="1440" w:type="dxa"/>
            <w:shd w:val="clear" w:color="auto" w:fill="auto"/>
            <w:vAlign w:val="center"/>
          </w:tcPr>
          <w:p w14:paraId="1446F5EB" w14:textId="77777777" w:rsidR="00FE42B5" w:rsidRDefault="00FE42B5">
            <w:pPr>
              <w:rPr>
                <w:rFonts w:ascii="Times New Roman" w:hAnsi="Times New Roman"/>
                <w:sz w:val="20"/>
                <w:szCs w:val="20"/>
              </w:rPr>
            </w:pPr>
          </w:p>
        </w:tc>
        <w:tc>
          <w:tcPr>
            <w:tcW w:w="0" w:type="auto"/>
            <w:shd w:val="clear" w:color="auto" w:fill="auto"/>
            <w:vAlign w:val="center"/>
          </w:tcPr>
          <w:p w14:paraId="1446F5EC" w14:textId="77777777" w:rsidR="00FE42B5" w:rsidRDefault="00FE42B5">
            <w:pPr>
              <w:rPr>
                <w:rFonts w:ascii="Times New Roman" w:hAnsi="Times New Roman"/>
                <w:sz w:val="20"/>
                <w:szCs w:val="20"/>
              </w:rPr>
            </w:pPr>
          </w:p>
        </w:tc>
      </w:tr>
      <w:tr w:rsidR="00FE42B5" w14:paraId="1446F5F0" w14:textId="77777777">
        <w:trPr>
          <w:tblCellSpacing w:w="0" w:type="dxa"/>
        </w:trPr>
        <w:tc>
          <w:tcPr>
            <w:tcW w:w="0" w:type="auto"/>
            <w:shd w:val="clear" w:color="auto" w:fill="auto"/>
          </w:tcPr>
          <w:p w14:paraId="1446F5E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EF"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obtain equipment, components, and labor for our data centers and other technical infrastructure in a timely and </w:t>
            </w:r>
            <w:r>
              <w:rPr>
                <w:rFonts w:ascii="Times New Roman" w:eastAsia="宋体" w:hAnsi="Times New Roman"/>
                <w:sz w:val="20"/>
                <w:szCs w:val="20"/>
              </w:rPr>
              <w:t>cost-effective manner;</w:t>
            </w:r>
          </w:p>
        </w:tc>
      </w:tr>
    </w:tbl>
    <w:p w14:paraId="1446F5F1"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F4" w14:textId="77777777">
        <w:trPr>
          <w:tblCellSpacing w:w="0" w:type="dxa"/>
        </w:trPr>
        <w:tc>
          <w:tcPr>
            <w:tcW w:w="1440" w:type="dxa"/>
            <w:shd w:val="clear" w:color="auto" w:fill="auto"/>
            <w:vAlign w:val="center"/>
          </w:tcPr>
          <w:p w14:paraId="1446F5F2" w14:textId="77777777" w:rsidR="00FE42B5" w:rsidRDefault="00FE42B5">
            <w:pPr>
              <w:rPr>
                <w:rFonts w:ascii="Times New Roman" w:hAnsi="Times New Roman"/>
                <w:sz w:val="20"/>
                <w:szCs w:val="20"/>
              </w:rPr>
            </w:pPr>
          </w:p>
        </w:tc>
        <w:tc>
          <w:tcPr>
            <w:tcW w:w="0" w:type="auto"/>
            <w:shd w:val="clear" w:color="auto" w:fill="auto"/>
            <w:vAlign w:val="center"/>
          </w:tcPr>
          <w:p w14:paraId="1446F5F3" w14:textId="77777777" w:rsidR="00FE42B5" w:rsidRDefault="00FE42B5">
            <w:pPr>
              <w:rPr>
                <w:rFonts w:ascii="Times New Roman" w:hAnsi="Times New Roman"/>
                <w:sz w:val="20"/>
                <w:szCs w:val="20"/>
              </w:rPr>
            </w:pPr>
          </w:p>
        </w:tc>
      </w:tr>
      <w:tr w:rsidR="00FE42B5" w14:paraId="1446F5F7" w14:textId="77777777">
        <w:trPr>
          <w:tblCellSpacing w:w="0" w:type="dxa"/>
        </w:trPr>
        <w:tc>
          <w:tcPr>
            <w:tcW w:w="0" w:type="auto"/>
            <w:shd w:val="clear" w:color="auto" w:fill="auto"/>
          </w:tcPr>
          <w:p w14:paraId="1446F5F5"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F6"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system failures or outages or government blocking, which could prevent us from serving ads for any period of time;</w:t>
            </w:r>
          </w:p>
        </w:tc>
      </w:tr>
    </w:tbl>
    <w:p w14:paraId="1446F5F8"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5FB" w14:textId="77777777">
        <w:trPr>
          <w:tblCellSpacing w:w="0" w:type="dxa"/>
        </w:trPr>
        <w:tc>
          <w:tcPr>
            <w:tcW w:w="1440" w:type="dxa"/>
            <w:shd w:val="clear" w:color="auto" w:fill="auto"/>
            <w:vAlign w:val="center"/>
          </w:tcPr>
          <w:p w14:paraId="1446F5F9" w14:textId="77777777" w:rsidR="00FE42B5" w:rsidRDefault="00FE42B5">
            <w:pPr>
              <w:rPr>
                <w:rFonts w:ascii="Times New Roman" w:hAnsi="Times New Roman"/>
                <w:sz w:val="20"/>
                <w:szCs w:val="20"/>
              </w:rPr>
            </w:pPr>
          </w:p>
        </w:tc>
        <w:tc>
          <w:tcPr>
            <w:tcW w:w="0" w:type="auto"/>
            <w:shd w:val="clear" w:color="auto" w:fill="auto"/>
            <w:vAlign w:val="center"/>
          </w:tcPr>
          <w:p w14:paraId="1446F5FA" w14:textId="77777777" w:rsidR="00FE42B5" w:rsidRDefault="00FE42B5">
            <w:pPr>
              <w:rPr>
                <w:rFonts w:ascii="Times New Roman" w:hAnsi="Times New Roman"/>
                <w:sz w:val="20"/>
                <w:szCs w:val="20"/>
              </w:rPr>
            </w:pPr>
          </w:p>
        </w:tc>
      </w:tr>
      <w:tr w:rsidR="00FE42B5" w14:paraId="1446F5FE" w14:textId="77777777">
        <w:trPr>
          <w:tblCellSpacing w:w="0" w:type="dxa"/>
        </w:trPr>
        <w:tc>
          <w:tcPr>
            <w:tcW w:w="0" w:type="auto"/>
            <w:shd w:val="clear" w:color="auto" w:fill="auto"/>
          </w:tcPr>
          <w:p w14:paraId="1446F5F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5FD"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breaches of security or privacy, and the costs associated with any such breaches and </w:t>
            </w:r>
            <w:r>
              <w:rPr>
                <w:rFonts w:ascii="Times New Roman" w:eastAsia="宋体" w:hAnsi="Times New Roman"/>
                <w:sz w:val="20"/>
                <w:szCs w:val="20"/>
              </w:rPr>
              <w:t>remediation;</w:t>
            </w:r>
          </w:p>
        </w:tc>
      </w:tr>
    </w:tbl>
    <w:p w14:paraId="1446F5FF"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602" w14:textId="77777777">
        <w:trPr>
          <w:tblCellSpacing w:w="0" w:type="dxa"/>
        </w:trPr>
        <w:tc>
          <w:tcPr>
            <w:tcW w:w="1440" w:type="dxa"/>
            <w:shd w:val="clear" w:color="auto" w:fill="auto"/>
            <w:vAlign w:val="center"/>
          </w:tcPr>
          <w:p w14:paraId="1446F600" w14:textId="77777777" w:rsidR="00FE42B5" w:rsidRDefault="00FE42B5">
            <w:pPr>
              <w:rPr>
                <w:rFonts w:ascii="Times New Roman" w:hAnsi="Times New Roman"/>
                <w:sz w:val="20"/>
                <w:szCs w:val="20"/>
              </w:rPr>
            </w:pPr>
          </w:p>
        </w:tc>
        <w:tc>
          <w:tcPr>
            <w:tcW w:w="0" w:type="auto"/>
            <w:shd w:val="clear" w:color="auto" w:fill="auto"/>
            <w:vAlign w:val="center"/>
          </w:tcPr>
          <w:p w14:paraId="1446F601" w14:textId="77777777" w:rsidR="00FE42B5" w:rsidRDefault="00FE42B5">
            <w:pPr>
              <w:rPr>
                <w:rFonts w:ascii="Times New Roman" w:hAnsi="Times New Roman"/>
                <w:sz w:val="20"/>
                <w:szCs w:val="20"/>
              </w:rPr>
            </w:pPr>
          </w:p>
        </w:tc>
      </w:tr>
      <w:tr w:rsidR="00FE42B5" w14:paraId="1446F605" w14:textId="77777777">
        <w:trPr>
          <w:tblCellSpacing w:w="0" w:type="dxa"/>
        </w:trPr>
        <w:tc>
          <w:tcPr>
            <w:tcW w:w="0" w:type="auto"/>
            <w:shd w:val="clear" w:color="auto" w:fill="auto"/>
          </w:tcPr>
          <w:p w14:paraId="1446F60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0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the manner in which we distribute our products or inaccessibility of our products due to third-party actions;</w:t>
            </w:r>
          </w:p>
        </w:tc>
      </w:tr>
    </w:tbl>
    <w:p w14:paraId="1446F606"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5666"/>
      </w:tblGrid>
      <w:tr w:rsidR="00FE42B5" w14:paraId="1446F609" w14:textId="77777777">
        <w:trPr>
          <w:tblCellSpacing w:w="0" w:type="dxa"/>
        </w:trPr>
        <w:tc>
          <w:tcPr>
            <w:tcW w:w="1440" w:type="dxa"/>
            <w:shd w:val="clear" w:color="auto" w:fill="auto"/>
            <w:vAlign w:val="center"/>
          </w:tcPr>
          <w:p w14:paraId="1446F607" w14:textId="77777777" w:rsidR="00FE42B5" w:rsidRDefault="00FE42B5">
            <w:pPr>
              <w:rPr>
                <w:rFonts w:ascii="Times New Roman" w:hAnsi="Times New Roman"/>
                <w:sz w:val="20"/>
                <w:szCs w:val="20"/>
              </w:rPr>
            </w:pPr>
          </w:p>
        </w:tc>
        <w:tc>
          <w:tcPr>
            <w:tcW w:w="0" w:type="auto"/>
            <w:shd w:val="clear" w:color="auto" w:fill="auto"/>
            <w:vAlign w:val="center"/>
          </w:tcPr>
          <w:p w14:paraId="1446F608" w14:textId="77777777" w:rsidR="00FE42B5" w:rsidRDefault="00FE42B5">
            <w:pPr>
              <w:rPr>
                <w:rFonts w:ascii="Times New Roman" w:hAnsi="Times New Roman"/>
                <w:sz w:val="20"/>
                <w:szCs w:val="20"/>
              </w:rPr>
            </w:pPr>
          </w:p>
        </w:tc>
      </w:tr>
      <w:tr w:rsidR="00FE42B5" w14:paraId="1446F60C" w14:textId="77777777">
        <w:trPr>
          <w:tblCellSpacing w:w="0" w:type="dxa"/>
        </w:trPr>
        <w:tc>
          <w:tcPr>
            <w:tcW w:w="0" w:type="auto"/>
            <w:shd w:val="clear" w:color="auto" w:fill="auto"/>
          </w:tcPr>
          <w:p w14:paraId="1446F60A"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0B"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fees paid to third parties for content or the distribution of our products;</w:t>
            </w:r>
          </w:p>
        </w:tc>
      </w:tr>
    </w:tbl>
    <w:p w14:paraId="1446F60D"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4222"/>
      </w:tblGrid>
      <w:tr w:rsidR="00FE42B5" w14:paraId="1446F610" w14:textId="77777777">
        <w:trPr>
          <w:tblCellSpacing w:w="0" w:type="dxa"/>
        </w:trPr>
        <w:tc>
          <w:tcPr>
            <w:tcW w:w="1440" w:type="dxa"/>
            <w:shd w:val="clear" w:color="auto" w:fill="auto"/>
            <w:vAlign w:val="center"/>
          </w:tcPr>
          <w:p w14:paraId="1446F60E" w14:textId="77777777" w:rsidR="00FE42B5" w:rsidRDefault="00FE42B5">
            <w:pPr>
              <w:rPr>
                <w:rFonts w:ascii="Times New Roman" w:hAnsi="Times New Roman"/>
                <w:sz w:val="20"/>
                <w:szCs w:val="20"/>
              </w:rPr>
            </w:pPr>
          </w:p>
        </w:tc>
        <w:tc>
          <w:tcPr>
            <w:tcW w:w="0" w:type="auto"/>
            <w:shd w:val="clear" w:color="auto" w:fill="auto"/>
            <w:vAlign w:val="center"/>
          </w:tcPr>
          <w:p w14:paraId="1446F60F" w14:textId="77777777" w:rsidR="00FE42B5" w:rsidRDefault="00FE42B5">
            <w:pPr>
              <w:rPr>
                <w:rFonts w:ascii="Times New Roman" w:hAnsi="Times New Roman"/>
                <w:sz w:val="20"/>
                <w:szCs w:val="20"/>
              </w:rPr>
            </w:pPr>
          </w:p>
        </w:tc>
      </w:tr>
      <w:tr w:rsidR="00FE42B5" w14:paraId="1446F613" w14:textId="77777777">
        <w:trPr>
          <w:tblCellSpacing w:w="0" w:type="dxa"/>
        </w:trPr>
        <w:tc>
          <w:tcPr>
            <w:tcW w:w="0" w:type="auto"/>
            <w:shd w:val="clear" w:color="auto" w:fill="auto"/>
          </w:tcPr>
          <w:p w14:paraId="1446F611"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12"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refunds or other </w:t>
            </w:r>
            <w:r>
              <w:rPr>
                <w:rFonts w:ascii="Times New Roman" w:eastAsia="宋体" w:hAnsi="Times New Roman"/>
                <w:sz w:val="20"/>
                <w:szCs w:val="20"/>
              </w:rPr>
              <w:t>concessions provided to advertisers;</w:t>
            </w:r>
          </w:p>
        </w:tc>
      </w:tr>
    </w:tbl>
    <w:p w14:paraId="1446F614"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5943"/>
      </w:tblGrid>
      <w:tr w:rsidR="00FE42B5" w14:paraId="1446F617" w14:textId="77777777">
        <w:trPr>
          <w:tblCellSpacing w:w="0" w:type="dxa"/>
        </w:trPr>
        <w:tc>
          <w:tcPr>
            <w:tcW w:w="1440" w:type="dxa"/>
            <w:shd w:val="clear" w:color="auto" w:fill="auto"/>
            <w:vAlign w:val="center"/>
          </w:tcPr>
          <w:p w14:paraId="1446F615" w14:textId="77777777" w:rsidR="00FE42B5" w:rsidRDefault="00FE42B5">
            <w:pPr>
              <w:rPr>
                <w:rFonts w:ascii="Times New Roman" w:hAnsi="Times New Roman"/>
                <w:sz w:val="20"/>
                <w:szCs w:val="20"/>
              </w:rPr>
            </w:pPr>
          </w:p>
        </w:tc>
        <w:tc>
          <w:tcPr>
            <w:tcW w:w="0" w:type="auto"/>
            <w:shd w:val="clear" w:color="auto" w:fill="auto"/>
            <w:vAlign w:val="center"/>
          </w:tcPr>
          <w:p w14:paraId="1446F616" w14:textId="77777777" w:rsidR="00FE42B5" w:rsidRDefault="00FE42B5">
            <w:pPr>
              <w:rPr>
                <w:rFonts w:ascii="Times New Roman" w:hAnsi="Times New Roman"/>
                <w:sz w:val="20"/>
                <w:szCs w:val="20"/>
              </w:rPr>
            </w:pPr>
          </w:p>
        </w:tc>
      </w:tr>
      <w:tr w:rsidR="00FE42B5" w14:paraId="1446F61A" w14:textId="77777777">
        <w:trPr>
          <w:tblCellSpacing w:w="0" w:type="dxa"/>
        </w:trPr>
        <w:tc>
          <w:tcPr>
            <w:tcW w:w="0" w:type="auto"/>
            <w:shd w:val="clear" w:color="auto" w:fill="auto"/>
          </w:tcPr>
          <w:p w14:paraId="1446F618"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19"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share-based compensation expense, including acquisition-related expense;</w:t>
            </w:r>
          </w:p>
        </w:tc>
      </w:tr>
    </w:tbl>
    <w:p w14:paraId="1446F61B"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5882"/>
      </w:tblGrid>
      <w:tr w:rsidR="00FE42B5" w14:paraId="1446F61E" w14:textId="77777777">
        <w:trPr>
          <w:tblCellSpacing w:w="0" w:type="dxa"/>
        </w:trPr>
        <w:tc>
          <w:tcPr>
            <w:tcW w:w="1440" w:type="dxa"/>
            <w:shd w:val="clear" w:color="auto" w:fill="auto"/>
            <w:vAlign w:val="center"/>
          </w:tcPr>
          <w:p w14:paraId="1446F61C" w14:textId="77777777" w:rsidR="00FE42B5" w:rsidRDefault="00FE42B5">
            <w:pPr>
              <w:rPr>
                <w:rFonts w:ascii="Times New Roman" w:hAnsi="Times New Roman"/>
                <w:sz w:val="20"/>
                <w:szCs w:val="20"/>
              </w:rPr>
            </w:pPr>
          </w:p>
        </w:tc>
        <w:tc>
          <w:tcPr>
            <w:tcW w:w="0" w:type="auto"/>
            <w:shd w:val="clear" w:color="auto" w:fill="auto"/>
            <w:vAlign w:val="center"/>
          </w:tcPr>
          <w:p w14:paraId="1446F61D" w14:textId="77777777" w:rsidR="00FE42B5" w:rsidRDefault="00FE42B5">
            <w:pPr>
              <w:rPr>
                <w:rFonts w:ascii="Times New Roman" w:hAnsi="Times New Roman"/>
                <w:sz w:val="20"/>
                <w:szCs w:val="20"/>
              </w:rPr>
            </w:pPr>
          </w:p>
        </w:tc>
      </w:tr>
      <w:tr w:rsidR="00FE42B5" w14:paraId="1446F621" w14:textId="77777777">
        <w:trPr>
          <w:tblCellSpacing w:w="0" w:type="dxa"/>
        </w:trPr>
        <w:tc>
          <w:tcPr>
            <w:tcW w:w="0" w:type="auto"/>
            <w:shd w:val="clear" w:color="auto" w:fill="auto"/>
          </w:tcPr>
          <w:p w14:paraId="1446F61F"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20"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adverse litigation judgments, settlements, or other litigation-related costs;</w:t>
            </w:r>
          </w:p>
        </w:tc>
      </w:tr>
    </w:tbl>
    <w:p w14:paraId="1446F622"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625" w14:textId="77777777">
        <w:trPr>
          <w:tblCellSpacing w:w="0" w:type="dxa"/>
        </w:trPr>
        <w:tc>
          <w:tcPr>
            <w:tcW w:w="1440" w:type="dxa"/>
            <w:shd w:val="clear" w:color="auto" w:fill="auto"/>
            <w:vAlign w:val="center"/>
          </w:tcPr>
          <w:p w14:paraId="1446F623" w14:textId="77777777" w:rsidR="00FE42B5" w:rsidRDefault="00FE42B5">
            <w:pPr>
              <w:rPr>
                <w:rFonts w:ascii="Times New Roman" w:hAnsi="Times New Roman"/>
                <w:sz w:val="20"/>
                <w:szCs w:val="20"/>
              </w:rPr>
            </w:pPr>
          </w:p>
        </w:tc>
        <w:tc>
          <w:tcPr>
            <w:tcW w:w="0" w:type="auto"/>
            <w:shd w:val="clear" w:color="auto" w:fill="auto"/>
            <w:vAlign w:val="center"/>
          </w:tcPr>
          <w:p w14:paraId="1446F624" w14:textId="77777777" w:rsidR="00FE42B5" w:rsidRDefault="00FE42B5">
            <w:pPr>
              <w:rPr>
                <w:rFonts w:ascii="Times New Roman" w:hAnsi="Times New Roman"/>
                <w:sz w:val="20"/>
                <w:szCs w:val="20"/>
              </w:rPr>
            </w:pPr>
          </w:p>
        </w:tc>
      </w:tr>
      <w:tr w:rsidR="00FE42B5" w14:paraId="1446F628" w14:textId="77777777">
        <w:trPr>
          <w:tblCellSpacing w:w="0" w:type="dxa"/>
        </w:trPr>
        <w:tc>
          <w:tcPr>
            <w:tcW w:w="0" w:type="auto"/>
            <w:shd w:val="clear" w:color="auto" w:fill="auto"/>
          </w:tcPr>
          <w:p w14:paraId="1446F626"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27"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the legislative or </w:t>
            </w:r>
            <w:r>
              <w:rPr>
                <w:rFonts w:ascii="Times New Roman" w:eastAsia="宋体" w:hAnsi="Times New Roman"/>
                <w:sz w:val="20"/>
                <w:szCs w:val="20"/>
              </w:rPr>
              <w:t>regulatory environment, including with respect to privacy and data protection, or actions by governments or regulators, including fines, orders, or consent decrees;</w:t>
            </w:r>
          </w:p>
        </w:tc>
      </w:tr>
    </w:tbl>
    <w:p w14:paraId="1446F629"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62C" w14:textId="77777777">
        <w:trPr>
          <w:tblCellSpacing w:w="0" w:type="dxa"/>
        </w:trPr>
        <w:tc>
          <w:tcPr>
            <w:tcW w:w="1440" w:type="dxa"/>
            <w:shd w:val="clear" w:color="auto" w:fill="auto"/>
            <w:vAlign w:val="center"/>
          </w:tcPr>
          <w:p w14:paraId="1446F62A" w14:textId="77777777" w:rsidR="00FE42B5" w:rsidRDefault="00FE42B5">
            <w:pPr>
              <w:rPr>
                <w:rFonts w:ascii="Times New Roman" w:hAnsi="Times New Roman"/>
                <w:sz w:val="20"/>
                <w:szCs w:val="20"/>
              </w:rPr>
            </w:pPr>
          </w:p>
        </w:tc>
        <w:tc>
          <w:tcPr>
            <w:tcW w:w="0" w:type="auto"/>
            <w:shd w:val="clear" w:color="auto" w:fill="auto"/>
            <w:vAlign w:val="center"/>
          </w:tcPr>
          <w:p w14:paraId="1446F62B" w14:textId="77777777" w:rsidR="00FE42B5" w:rsidRDefault="00FE42B5">
            <w:pPr>
              <w:rPr>
                <w:rFonts w:ascii="Times New Roman" w:hAnsi="Times New Roman"/>
                <w:sz w:val="20"/>
                <w:szCs w:val="20"/>
              </w:rPr>
            </w:pPr>
          </w:p>
        </w:tc>
      </w:tr>
      <w:tr w:rsidR="00FE42B5" w14:paraId="1446F62F" w14:textId="77777777">
        <w:trPr>
          <w:tblCellSpacing w:w="0" w:type="dxa"/>
        </w:trPr>
        <w:tc>
          <w:tcPr>
            <w:tcW w:w="0" w:type="auto"/>
            <w:shd w:val="clear" w:color="auto" w:fill="auto"/>
          </w:tcPr>
          <w:p w14:paraId="1446F62D"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2E"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overall tax rate for our business, which may be affected by the mix of income we earn in the U.S. and in </w:t>
            </w:r>
          </w:p>
        </w:tc>
      </w:tr>
    </w:tbl>
    <w:p w14:paraId="1446F630" w14:textId="77777777" w:rsidR="00FE42B5" w:rsidRDefault="00FE42B5">
      <w:pPr>
        <w:rPr>
          <w:rFonts w:ascii="Times New Roman" w:hAnsi="Times New Roman"/>
          <w:sz w:val="20"/>
          <w:szCs w:val="20"/>
        </w:rPr>
      </w:pPr>
    </w:p>
    <w:p w14:paraId="1446F631"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61</w:t>
      </w:r>
    </w:p>
    <w:p w14:paraId="1446F632" w14:textId="77777777" w:rsidR="00FE42B5" w:rsidRDefault="009213DC">
      <w:r>
        <w:rPr>
          <w:rFonts w:ascii="Times New Roman" w:hAnsi="Times New Roman"/>
          <w:sz w:val="20"/>
          <w:szCs w:val="20"/>
        </w:rPr>
        <w:pict w14:anchorId="1446FB05">
          <v:rect id="_x0000_i1085" style="width:415.3pt;height:1.5pt" o:hralign="center" o:hrstd="t" o:hr="t" fillcolor="#a0a0a0" stroked="f"/>
        </w:pict>
      </w:r>
    </w:p>
    <w:p w14:paraId="1446F633" w14:textId="77777777" w:rsidR="00FE42B5" w:rsidRDefault="009213DC">
      <w:pPr>
        <w:spacing w:line="288" w:lineRule="auto"/>
        <w:rPr>
          <w:rFonts w:ascii="Times New Roman" w:hAnsi="Times New Roman"/>
          <w:sz w:val="20"/>
          <w:szCs w:val="20"/>
        </w:rPr>
      </w:pPr>
      <w:hyperlink r:id="rId101" w:anchor="sBB4BED1571A45A16AF3DC2E3B69C901C" w:history="1">
        <w:r>
          <w:rPr>
            <w:rStyle w:val="a5"/>
            <w:rFonts w:ascii="Times New Roman" w:eastAsia="宋体" w:hAnsi="Times New Roman"/>
            <w:sz w:val="20"/>
            <w:szCs w:val="20"/>
          </w:rPr>
          <w:t>Table of Contents</w:t>
        </w:r>
      </w:hyperlink>
    </w:p>
    <w:p w14:paraId="1446F634" w14:textId="77777777" w:rsidR="00FE42B5" w:rsidRDefault="00FE42B5">
      <w:pPr>
        <w:rPr>
          <w:rFonts w:ascii="Times New Roman" w:hAnsi="Times New Roman"/>
          <w:sz w:val="20"/>
          <w:szCs w:val="20"/>
        </w:rPr>
      </w:pPr>
    </w:p>
    <w:p w14:paraId="1446F635"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jurisdictions with comparatively lower tax rates, the effects of share-based compens</w:t>
      </w:r>
      <w:r>
        <w:rPr>
          <w:rFonts w:ascii="Times New Roman" w:eastAsia="宋体" w:hAnsi="Times New Roman"/>
          <w:sz w:val="20"/>
          <w:szCs w:val="20"/>
        </w:rPr>
        <w:t>ation, the effects of integrating intellectual property from acquisitions, and the effects of changes in our business;</w:t>
      </w: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638" w14:textId="77777777">
        <w:trPr>
          <w:tblCellSpacing w:w="0" w:type="dxa"/>
        </w:trPr>
        <w:tc>
          <w:tcPr>
            <w:tcW w:w="1440" w:type="dxa"/>
            <w:shd w:val="clear" w:color="auto" w:fill="auto"/>
            <w:vAlign w:val="center"/>
          </w:tcPr>
          <w:p w14:paraId="1446F636" w14:textId="77777777" w:rsidR="00FE42B5" w:rsidRDefault="00FE42B5">
            <w:pPr>
              <w:rPr>
                <w:rFonts w:ascii="Times New Roman" w:hAnsi="Times New Roman"/>
                <w:sz w:val="20"/>
                <w:szCs w:val="20"/>
              </w:rPr>
            </w:pPr>
          </w:p>
        </w:tc>
        <w:tc>
          <w:tcPr>
            <w:tcW w:w="0" w:type="auto"/>
            <w:shd w:val="clear" w:color="auto" w:fill="auto"/>
            <w:vAlign w:val="center"/>
          </w:tcPr>
          <w:p w14:paraId="1446F637" w14:textId="77777777" w:rsidR="00FE42B5" w:rsidRDefault="00FE42B5">
            <w:pPr>
              <w:rPr>
                <w:rFonts w:ascii="Times New Roman" w:hAnsi="Times New Roman"/>
                <w:sz w:val="20"/>
                <w:szCs w:val="20"/>
              </w:rPr>
            </w:pPr>
          </w:p>
        </w:tc>
      </w:tr>
      <w:tr w:rsidR="00FE42B5" w14:paraId="1446F63B" w14:textId="77777777">
        <w:trPr>
          <w:tblCellSpacing w:w="0" w:type="dxa"/>
        </w:trPr>
        <w:tc>
          <w:tcPr>
            <w:tcW w:w="0" w:type="auto"/>
            <w:shd w:val="clear" w:color="auto" w:fill="auto"/>
          </w:tcPr>
          <w:p w14:paraId="1446F639"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3A"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impact of changes in tax laws or judicial or regulatory interpretations of tax laws, which are recorded in the period such laws </w:t>
            </w:r>
            <w:r>
              <w:rPr>
                <w:rFonts w:ascii="Times New Roman" w:eastAsia="宋体" w:hAnsi="Times New Roman"/>
                <w:sz w:val="20"/>
                <w:szCs w:val="20"/>
              </w:rPr>
              <w:t>are enacted or interpretations are issued, and may significantly affect the effective tax rate of that period;</w:t>
            </w:r>
          </w:p>
        </w:tc>
      </w:tr>
    </w:tbl>
    <w:p w14:paraId="1446F63C"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63F" w14:textId="77777777">
        <w:trPr>
          <w:tblCellSpacing w:w="0" w:type="dxa"/>
        </w:trPr>
        <w:tc>
          <w:tcPr>
            <w:tcW w:w="1440" w:type="dxa"/>
            <w:shd w:val="clear" w:color="auto" w:fill="auto"/>
            <w:vAlign w:val="center"/>
          </w:tcPr>
          <w:p w14:paraId="1446F63D" w14:textId="77777777" w:rsidR="00FE42B5" w:rsidRDefault="00FE42B5">
            <w:pPr>
              <w:rPr>
                <w:rFonts w:ascii="Times New Roman" w:hAnsi="Times New Roman"/>
                <w:sz w:val="20"/>
                <w:szCs w:val="20"/>
              </w:rPr>
            </w:pPr>
          </w:p>
        </w:tc>
        <w:tc>
          <w:tcPr>
            <w:tcW w:w="0" w:type="auto"/>
            <w:shd w:val="clear" w:color="auto" w:fill="auto"/>
            <w:vAlign w:val="center"/>
          </w:tcPr>
          <w:p w14:paraId="1446F63E" w14:textId="77777777" w:rsidR="00FE42B5" w:rsidRDefault="00FE42B5">
            <w:pPr>
              <w:rPr>
                <w:rFonts w:ascii="Times New Roman" w:hAnsi="Times New Roman"/>
                <w:sz w:val="20"/>
                <w:szCs w:val="20"/>
              </w:rPr>
            </w:pPr>
          </w:p>
        </w:tc>
      </w:tr>
      <w:tr w:rsidR="00FE42B5" w14:paraId="1446F642" w14:textId="77777777">
        <w:trPr>
          <w:tblCellSpacing w:w="0" w:type="dxa"/>
        </w:trPr>
        <w:tc>
          <w:tcPr>
            <w:tcW w:w="0" w:type="auto"/>
            <w:shd w:val="clear" w:color="auto" w:fill="auto"/>
          </w:tcPr>
          <w:p w14:paraId="1446F640"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41"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tax obligations that may arise from resolutions of tax examinations, including the examination we are currently under by the </w:t>
            </w:r>
            <w:r>
              <w:rPr>
                <w:rFonts w:ascii="Times New Roman" w:eastAsia="宋体" w:hAnsi="Times New Roman"/>
                <w:sz w:val="20"/>
                <w:szCs w:val="20"/>
              </w:rPr>
              <w:t>Internal Revenue Service (IRS), that materially differ from the amounts we have anticipated;</w:t>
            </w:r>
          </w:p>
        </w:tc>
      </w:tr>
    </w:tbl>
    <w:p w14:paraId="1446F643"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646" w14:textId="77777777">
        <w:trPr>
          <w:tblCellSpacing w:w="0" w:type="dxa"/>
        </w:trPr>
        <w:tc>
          <w:tcPr>
            <w:tcW w:w="1440" w:type="dxa"/>
            <w:shd w:val="clear" w:color="auto" w:fill="auto"/>
            <w:vAlign w:val="center"/>
          </w:tcPr>
          <w:p w14:paraId="1446F644" w14:textId="77777777" w:rsidR="00FE42B5" w:rsidRDefault="00FE42B5">
            <w:pPr>
              <w:rPr>
                <w:rFonts w:ascii="Times New Roman" w:hAnsi="Times New Roman"/>
                <w:sz w:val="20"/>
                <w:szCs w:val="20"/>
              </w:rPr>
            </w:pPr>
          </w:p>
        </w:tc>
        <w:tc>
          <w:tcPr>
            <w:tcW w:w="0" w:type="auto"/>
            <w:shd w:val="clear" w:color="auto" w:fill="auto"/>
            <w:vAlign w:val="center"/>
          </w:tcPr>
          <w:p w14:paraId="1446F645" w14:textId="77777777" w:rsidR="00FE42B5" w:rsidRDefault="00FE42B5">
            <w:pPr>
              <w:rPr>
                <w:rFonts w:ascii="Times New Roman" w:hAnsi="Times New Roman"/>
                <w:sz w:val="20"/>
                <w:szCs w:val="20"/>
              </w:rPr>
            </w:pPr>
          </w:p>
        </w:tc>
      </w:tr>
      <w:tr w:rsidR="00FE42B5" w14:paraId="1446F649" w14:textId="77777777">
        <w:trPr>
          <w:tblCellSpacing w:w="0" w:type="dxa"/>
        </w:trPr>
        <w:tc>
          <w:tcPr>
            <w:tcW w:w="0" w:type="auto"/>
            <w:shd w:val="clear" w:color="auto" w:fill="auto"/>
          </w:tcPr>
          <w:p w14:paraId="1446F647"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48"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fluctuations in currency exchange rates and changes in the proportion of our revenue and expenses denominated in foreign currencies;</w:t>
            </w:r>
          </w:p>
        </w:tc>
      </w:tr>
    </w:tbl>
    <w:p w14:paraId="1446F64A"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3910"/>
      </w:tblGrid>
      <w:tr w:rsidR="00FE42B5" w14:paraId="1446F64D" w14:textId="77777777">
        <w:trPr>
          <w:tblCellSpacing w:w="0" w:type="dxa"/>
        </w:trPr>
        <w:tc>
          <w:tcPr>
            <w:tcW w:w="1440" w:type="dxa"/>
            <w:shd w:val="clear" w:color="auto" w:fill="auto"/>
            <w:vAlign w:val="center"/>
          </w:tcPr>
          <w:p w14:paraId="1446F64B" w14:textId="77777777" w:rsidR="00FE42B5" w:rsidRDefault="00FE42B5">
            <w:pPr>
              <w:rPr>
                <w:rFonts w:ascii="Times New Roman" w:hAnsi="Times New Roman"/>
                <w:sz w:val="20"/>
                <w:szCs w:val="20"/>
              </w:rPr>
            </w:pPr>
          </w:p>
        </w:tc>
        <w:tc>
          <w:tcPr>
            <w:tcW w:w="0" w:type="auto"/>
            <w:shd w:val="clear" w:color="auto" w:fill="auto"/>
            <w:vAlign w:val="center"/>
          </w:tcPr>
          <w:p w14:paraId="1446F64C" w14:textId="77777777" w:rsidR="00FE42B5" w:rsidRDefault="00FE42B5">
            <w:pPr>
              <w:rPr>
                <w:rFonts w:ascii="Times New Roman" w:hAnsi="Times New Roman"/>
                <w:sz w:val="20"/>
                <w:szCs w:val="20"/>
              </w:rPr>
            </w:pPr>
          </w:p>
        </w:tc>
      </w:tr>
      <w:tr w:rsidR="00FE42B5" w14:paraId="1446F650" w14:textId="77777777">
        <w:trPr>
          <w:tblCellSpacing w:w="0" w:type="dxa"/>
        </w:trPr>
        <w:tc>
          <w:tcPr>
            <w:tcW w:w="0" w:type="auto"/>
            <w:shd w:val="clear" w:color="auto" w:fill="auto"/>
          </w:tcPr>
          <w:p w14:paraId="1446F64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4F"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trading </w:t>
            </w:r>
            <w:r>
              <w:rPr>
                <w:rFonts w:ascii="Times New Roman" w:eastAsia="宋体" w:hAnsi="Times New Roman"/>
                <w:sz w:val="20"/>
                <w:szCs w:val="20"/>
              </w:rPr>
              <w:t>activity in our share repurchase program;</w:t>
            </w:r>
          </w:p>
        </w:tc>
      </w:tr>
    </w:tbl>
    <w:p w14:paraId="1446F651"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566"/>
      </w:tblGrid>
      <w:tr w:rsidR="00FE42B5" w14:paraId="1446F654" w14:textId="77777777">
        <w:trPr>
          <w:tblCellSpacing w:w="0" w:type="dxa"/>
        </w:trPr>
        <w:tc>
          <w:tcPr>
            <w:tcW w:w="1440" w:type="dxa"/>
            <w:shd w:val="clear" w:color="auto" w:fill="auto"/>
            <w:vAlign w:val="center"/>
          </w:tcPr>
          <w:p w14:paraId="1446F652" w14:textId="77777777" w:rsidR="00FE42B5" w:rsidRDefault="00FE42B5">
            <w:pPr>
              <w:rPr>
                <w:rFonts w:ascii="Times New Roman" w:hAnsi="Times New Roman"/>
                <w:sz w:val="20"/>
                <w:szCs w:val="20"/>
              </w:rPr>
            </w:pPr>
          </w:p>
        </w:tc>
        <w:tc>
          <w:tcPr>
            <w:tcW w:w="0" w:type="auto"/>
            <w:shd w:val="clear" w:color="auto" w:fill="auto"/>
            <w:vAlign w:val="center"/>
          </w:tcPr>
          <w:p w14:paraId="1446F653" w14:textId="77777777" w:rsidR="00FE42B5" w:rsidRDefault="00FE42B5">
            <w:pPr>
              <w:rPr>
                <w:rFonts w:ascii="Times New Roman" w:hAnsi="Times New Roman"/>
                <w:sz w:val="20"/>
                <w:szCs w:val="20"/>
              </w:rPr>
            </w:pPr>
          </w:p>
        </w:tc>
      </w:tr>
      <w:tr w:rsidR="00FE42B5" w14:paraId="1446F657" w14:textId="77777777">
        <w:trPr>
          <w:tblCellSpacing w:w="0" w:type="dxa"/>
        </w:trPr>
        <w:tc>
          <w:tcPr>
            <w:tcW w:w="0" w:type="auto"/>
            <w:shd w:val="clear" w:color="auto" w:fill="auto"/>
          </w:tcPr>
          <w:p w14:paraId="1446F655"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56"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fluctuations in the market values of our portfolio investments and in interest rates;</w:t>
            </w:r>
          </w:p>
        </w:tc>
      </w:tr>
    </w:tbl>
    <w:p w14:paraId="1446F658"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4960"/>
      </w:tblGrid>
      <w:tr w:rsidR="00FE42B5" w14:paraId="1446F65B" w14:textId="77777777">
        <w:trPr>
          <w:tblCellSpacing w:w="0" w:type="dxa"/>
        </w:trPr>
        <w:tc>
          <w:tcPr>
            <w:tcW w:w="1440" w:type="dxa"/>
            <w:shd w:val="clear" w:color="auto" w:fill="auto"/>
            <w:vAlign w:val="center"/>
          </w:tcPr>
          <w:p w14:paraId="1446F659" w14:textId="77777777" w:rsidR="00FE42B5" w:rsidRDefault="00FE42B5">
            <w:pPr>
              <w:rPr>
                <w:rFonts w:ascii="Times New Roman" w:hAnsi="Times New Roman"/>
                <w:sz w:val="20"/>
                <w:szCs w:val="20"/>
              </w:rPr>
            </w:pPr>
          </w:p>
        </w:tc>
        <w:tc>
          <w:tcPr>
            <w:tcW w:w="0" w:type="auto"/>
            <w:shd w:val="clear" w:color="auto" w:fill="auto"/>
            <w:vAlign w:val="center"/>
          </w:tcPr>
          <w:p w14:paraId="1446F65A" w14:textId="77777777" w:rsidR="00FE42B5" w:rsidRDefault="00FE42B5">
            <w:pPr>
              <w:rPr>
                <w:rFonts w:ascii="Times New Roman" w:hAnsi="Times New Roman"/>
                <w:sz w:val="20"/>
                <w:szCs w:val="20"/>
              </w:rPr>
            </w:pPr>
          </w:p>
        </w:tc>
      </w:tr>
      <w:tr w:rsidR="00FE42B5" w14:paraId="1446F65E" w14:textId="77777777">
        <w:trPr>
          <w:tblCellSpacing w:w="0" w:type="dxa"/>
        </w:trPr>
        <w:tc>
          <w:tcPr>
            <w:tcW w:w="0" w:type="auto"/>
            <w:shd w:val="clear" w:color="auto" w:fill="auto"/>
          </w:tcPr>
          <w:p w14:paraId="1446F65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5D"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U.S. generally accepted accounting principles; and</w:t>
            </w:r>
          </w:p>
        </w:tc>
      </w:tr>
    </w:tbl>
    <w:p w14:paraId="1446F65F"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662" w14:textId="77777777">
        <w:trPr>
          <w:tblCellSpacing w:w="0" w:type="dxa"/>
        </w:trPr>
        <w:tc>
          <w:tcPr>
            <w:tcW w:w="1440" w:type="dxa"/>
            <w:shd w:val="clear" w:color="auto" w:fill="auto"/>
            <w:vAlign w:val="center"/>
          </w:tcPr>
          <w:p w14:paraId="1446F660" w14:textId="77777777" w:rsidR="00FE42B5" w:rsidRDefault="00FE42B5">
            <w:pPr>
              <w:rPr>
                <w:rFonts w:ascii="Times New Roman" w:hAnsi="Times New Roman"/>
                <w:sz w:val="20"/>
                <w:szCs w:val="20"/>
              </w:rPr>
            </w:pPr>
          </w:p>
        </w:tc>
        <w:tc>
          <w:tcPr>
            <w:tcW w:w="0" w:type="auto"/>
            <w:shd w:val="clear" w:color="auto" w:fill="auto"/>
            <w:vAlign w:val="center"/>
          </w:tcPr>
          <w:p w14:paraId="1446F661" w14:textId="77777777" w:rsidR="00FE42B5" w:rsidRDefault="00FE42B5">
            <w:pPr>
              <w:rPr>
                <w:rFonts w:ascii="Times New Roman" w:hAnsi="Times New Roman"/>
                <w:sz w:val="20"/>
                <w:szCs w:val="20"/>
              </w:rPr>
            </w:pPr>
          </w:p>
        </w:tc>
      </w:tr>
      <w:tr w:rsidR="00FE42B5" w14:paraId="1446F665" w14:textId="77777777">
        <w:trPr>
          <w:tblCellSpacing w:w="0" w:type="dxa"/>
        </w:trPr>
        <w:tc>
          <w:tcPr>
            <w:tcW w:w="0" w:type="auto"/>
            <w:shd w:val="clear" w:color="auto" w:fill="auto"/>
          </w:tcPr>
          <w:p w14:paraId="1446F66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66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regional or global business or macroeconomic conditions, including as a result of the COVID-19 pandemic, which may impact the other factors described above. </w:t>
            </w:r>
          </w:p>
        </w:tc>
      </w:tr>
    </w:tbl>
    <w:p w14:paraId="1446F666"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We expect our rates of growth to be volatile in the near term as a result of the </w:t>
      </w:r>
      <w:r>
        <w:rPr>
          <w:rFonts w:ascii="Times New Roman" w:eastAsia="宋体" w:hAnsi="Times New Roman"/>
          <w:b/>
          <w:bCs/>
          <w:i/>
          <w:iCs/>
          <w:sz w:val="20"/>
          <w:szCs w:val="20"/>
        </w:rPr>
        <w:t>COVID-19 pandemic and to decline over time in the future.</w:t>
      </w:r>
    </w:p>
    <w:p w14:paraId="1446F667" w14:textId="77777777" w:rsidR="00FE42B5" w:rsidRDefault="00FE42B5">
      <w:pPr>
        <w:spacing w:line="288" w:lineRule="auto"/>
        <w:ind w:firstLine="720"/>
        <w:jc w:val="both"/>
        <w:rPr>
          <w:rFonts w:ascii="Times New Roman" w:hAnsi="Times New Roman"/>
          <w:sz w:val="20"/>
          <w:szCs w:val="20"/>
        </w:rPr>
      </w:pPr>
    </w:p>
    <w:p w14:paraId="1446F66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expect our user and revenue growth rates to be volatile in the near term as a result of the COVID-19 pandemic, although we are unable to predict the duration or degree of such volatility with an</w:t>
      </w:r>
      <w:r>
        <w:rPr>
          <w:rFonts w:ascii="Times New Roman" w:eastAsia="宋体" w:hAnsi="Times New Roman"/>
          <w:sz w:val="20"/>
          <w:szCs w:val="20"/>
        </w:rPr>
        <w:t>y certainty. In the long term, we expect that our user growth rate will generally decline over time as the size of our active user base increases, and it is possible that the size of our active user base may fluctuate or decline in one or more markets, par</w:t>
      </w:r>
      <w:r>
        <w:rPr>
          <w:rFonts w:ascii="Times New Roman" w:eastAsia="宋体" w:hAnsi="Times New Roman"/>
          <w:sz w:val="20"/>
          <w:szCs w:val="20"/>
        </w:rPr>
        <w:t>ticularly as we achieve greater market penetration. We also expect our revenue growth rate will continue to decline over time as our revenue increases to higher levels. As our growth rates experience volatility or decline, investors' perceptions of our bus</w:t>
      </w:r>
      <w:r>
        <w:rPr>
          <w:rFonts w:ascii="Times New Roman" w:eastAsia="宋体" w:hAnsi="Times New Roman"/>
          <w:sz w:val="20"/>
          <w:szCs w:val="20"/>
        </w:rPr>
        <w:t>iness may be adversely affected and the trading price of our Class A common stock could decline.</w:t>
      </w:r>
    </w:p>
    <w:p w14:paraId="1446F669" w14:textId="77777777" w:rsidR="00FE42B5" w:rsidRDefault="00FE42B5">
      <w:pPr>
        <w:spacing w:line="288" w:lineRule="auto"/>
        <w:jc w:val="both"/>
        <w:rPr>
          <w:rFonts w:ascii="Times New Roman" w:hAnsi="Times New Roman"/>
          <w:sz w:val="20"/>
          <w:szCs w:val="20"/>
        </w:rPr>
      </w:pPr>
    </w:p>
    <w:p w14:paraId="1446F66A"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Our costs are continuing to grow, and some of our investments have the effect of reducing our operating margin and profitability. If our investments are not s</w:t>
      </w:r>
      <w:r>
        <w:rPr>
          <w:rFonts w:ascii="Times New Roman" w:eastAsia="宋体" w:hAnsi="Times New Roman"/>
          <w:b/>
          <w:bCs/>
          <w:i/>
          <w:iCs/>
          <w:sz w:val="20"/>
          <w:szCs w:val="20"/>
        </w:rPr>
        <w:t>uccessful, our business and financial performance could be harmed.</w:t>
      </w:r>
    </w:p>
    <w:p w14:paraId="1446F66B" w14:textId="77777777" w:rsidR="00FE42B5" w:rsidRDefault="00FE42B5">
      <w:pPr>
        <w:spacing w:line="288" w:lineRule="auto"/>
        <w:jc w:val="both"/>
        <w:rPr>
          <w:rFonts w:ascii="Times New Roman" w:hAnsi="Times New Roman"/>
          <w:sz w:val="20"/>
          <w:szCs w:val="20"/>
        </w:rPr>
      </w:pPr>
    </w:p>
    <w:p w14:paraId="1446F66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Operating our business is costly, and we expect our expenses to continue to increase in the future as we broaden our user base, as users increase the amount and types of content they consu</w:t>
      </w:r>
      <w:r>
        <w:rPr>
          <w:rFonts w:ascii="Times New Roman" w:eastAsia="宋体" w:hAnsi="Times New Roman"/>
          <w:sz w:val="20"/>
          <w:szCs w:val="20"/>
        </w:rPr>
        <w:t xml:space="preserve">me and the data they share with us, for example with respect to video, as we develop and implement new products, as we market new and existing products and promote our brands, as we continue to expand our technical infrastructure, as we continue to invest </w:t>
      </w:r>
      <w:r>
        <w:rPr>
          <w:rFonts w:ascii="Times New Roman" w:eastAsia="宋体" w:hAnsi="Times New Roman"/>
          <w:sz w:val="20"/>
          <w:szCs w:val="20"/>
        </w:rPr>
        <w:t>in new and unproven technologies, and as we continue to hire additional employees and contractors to support our expanding operations, including our efforts to focus on privacy, safety, security, and content review. In addition, from time to time we are su</w:t>
      </w:r>
      <w:r>
        <w:rPr>
          <w:rFonts w:ascii="Times New Roman" w:eastAsia="宋体" w:hAnsi="Times New Roman"/>
          <w:sz w:val="20"/>
          <w:szCs w:val="20"/>
        </w:rPr>
        <w:t>bject to settlements, judgments, fines, or other monetary penalties in connection with legal and regulatory developments that may be material to our business. We are also continuing to increase our investments in new platforms and technologies. Some of the</w:t>
      </w:r>
      <w:r>
        <w:rPr>
          <w:rFonts w:ascii="Times New Roman" w:eastAsia="宋体" w:hAnsi="Times New Roman"/>
          <w:sz w:val="20"/>
          <w:szCs w:val="20"/>
        </w:rPr>
        <w:t>se investments, particularly our significant investments in virtual and augmented reality, have generated only limited revenue and reduced our operating margin and profitability. If our investments are not successful, our ability to grow revenue will be ha</w:t>
      </w:r>
      <w:r>
        <w:rPr>
          <w:rFonts w:ascii="Times New Roman" w:eastAsia="宋体" w:hAnsi="Times New Roman"/>
          <w:sz w:val="20"/>
          <w:szCs w:val="20"/>
        </w:rPr>
        <w:t>rmed, which could adversely affect our business and financial performance.</w:t>
      </w:r>
    </w:p>
    <w:p w14:paraId="1446F66D" w14:textId="77777777" w:rsidR="00FE42B5" w:rsidRDefault="00FE42B5">
      <w:pPr>
        <w:spacing w:line="288" w:lineRule="auto"/>
        <w:ind w:firstLine="720"/>
        <w:jc w:val="both"/>
        <w:rPr>
          <w:rFonts w:ascii="Times New Roman" w:hAnsi="Times New Roman"/>
          <w:sz w:val="20"/>
          <w:szCs w:val="20"/>
        </w:rPr>
      </w:pPr>
    </w:p>
    <w:p w14:paraId="1446F66E" w14:textId="77777777" w:rsidR="00FE42B5" w:rsidRDefault="00FE42B5">
      <w:pPr>
        <w:rPr>
          <w:rFonts w:ascii="Times New Roman" w:hAnsi="Times New Roman"/>
          <w:sz w:val="20"/>
          <w:szCs w:val="20"/>
        </w:rPr>
      </w:pPr>
    </w:p>
    <w:p w14:paraId="1446F66F"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62</w:t>
      </w:r>
    </w:p>
    <w:p w14:paraId="1446F670" w14:textId="77777777" w:rsidR="00FE42B5" w:rsidRDefault="009213DC">
      <w:r>
        <w:rPr>
          <w:rFonts w:ascii="Times New Roman" w:hAnsi="Times New Roman"/>
          <w:sz w:val="20"/>
          <w:szCs w:val="20"/>
        </w:rPr>
        <w:pict w14:anchorId="1446FB06">
          <v:rect id="_x0000_i1086" style="width:415.3pt;height:1.5pt" o:hralign="center" o:hrstd="t" o:hr="t" fillcolor="#a0a0a0" stroked="f"/>
        </w:pict>
      </w:r>
    </w:p>
    <w:p w14:paraId="1446F671" w14:textId="77777777" w:rsidR="00FE42B5" w:rsidRDefault="009213DC">
      <w:pPr>
        <w:spacing w:line="288" w:lineRule="auto"/>
        <w:rPr>
          <w:rFonts w:ascii="Times New Roman" w:hAnsi="Times New Roman"/>
          <w:sz w:val="20"/>
          <w:szCs w:val="20"/>
        </w:rPr>
      </w:pPr>
      <w:hyperlink r:id="rId102" w:anchor="sBB4BED1571A45A16AF3DC2E3B69C901C" w:history="1">
        <w:r>
          <w:rPr>
            <w:rStyle w:val="a5"/>
            <w:rFonts w:ascii="Times New Roman" w:eastAsia="宋体" w:hAnsi="Times New Roman"/>
            <w:sz w:val="20"/>
            <w:szCs w:val="20"/>
          </w:rPr>
          <w:t>Table of Contents</w:t>
        </w:r>
      </w:hyperlink>
    </w:p>
    <w:p w14:paraId="1446F672" w14:textId="77777777" w:rsidR="00FE42B5" w:rsidRDefault="00FE42B5">
      <w:pPr>
        <w:rPr>
          <w:rFonts w:ascii="Times New Roman" w:hAnsi="Times New Roman"/>
          <w:sz w:val="20"/>
          <w:szCs w:val="20"/>
        </w:rPr>
      </w:pPr>
    </w:p>
    <w:p w14:paraId="1446F673"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Gi</w:t>
      </w:r>
      <w:r>
        <w:rPr>
          <w:rFonts w:ascii="Times New Roman" w:eastAsia="宋体" w:hAnsi="Times New Roman"/>
          <w:b/>
          <w:bCs/>
          <w:i/>
          <w:iCs/>
          <w:sz w:val="20"/>
          <w:szCs w:val="20"/>
        </w:rPr>
        <w:t>ven our levels of share-based compensation, our tax rate may vary significantly depending on our stock price.</w:t>
      </w:r>
    </w:p>
    <w:p w14:paraId="1446F674" w14:textId="77777777" w:rsidR="00FE42B5" w:rsidRDefault="00FE42B5">
      <w:pPr>
        <w:spacing w:line="288" w:lineRule="auto"/>
        <w:ind w:firstLine="720"/>
        <w:jc w:val="both"/>
        <w:rPr>
          <w:rFonts w:ascii="Times New Roman" w:hAnsi="Times New Roman"/>
          <w:sz w:val="20"/>
          <w:szCs w:val="20"/>
        </w:rPr>
      </w:pPr>
    </w:p>
    <w:p w14:paraId="1446F675"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tax effects of the accounting for share-based compensation may significantly impact our effective tax rate from period to period. In periods </w:t>
      </w:r>
      <w:r>
        <w:rPr>
          <w:rFonts w:ascii="Times New Roman" w:eastAsia="宋体" w:hAnsi="Times New Roman"/>
          <w:sz w:val="20"/>
          <w:szCs w:val="20"/>
        </w:rPr>
        <w:t>in which our stock price is higher than the grant price of the share-based compensation vesting in that period, we will recognize excess tax benefits that will decrease our effective tax rate. For example, in the three months ended March 31, 2020, excess t</w:t>
      </w:r>
      <w:r>
        <w:rPr>
          <w:rFonts w:ascii="Times New Roman" w:eastAsia="宋体" w:hAnsi="Times New Roman"/>
          <w:sz w:val="20"/>
          <w:szCs w:val="20"/>
        </w:rPr>
        <w:t>ax benefits recognized from share-based compensation decreased our provision for income taxes by $86 million and our effective tax rate by one percentage point as compared to the tax rate without such benefits. In future periods in which our stock price is</w:t>
      </w:r>
      <w:r>
        <w:rPr>
          <w:rFonts w:ascii="Times New Roman" w:eastAsia="宋体" w:hAnsi="Times New Roman"/>
          <w:sz w:val="20"/>
          <w:szCs w:val="20"/>
        </w:rPr>
        <w:t xml:space="preserve"> lower than the grant price of the share-based compensation vesting in that period, our effective tax rate may increase. The amount and value of share-based compensation issued relative to our earnings in a particular period will also affect the magnitude </w:t>
      </w:r>
      <w:r>
        <w:rPr>
          <w:rFonts w:ascii="Times New Roman" w:eastAsia="宋体" w:hAnsi="Times New Roman"/>
          <w:sz w:val="20"/>
          <w:szCs w:val="20"/>
        </w:rPr>
        <w:t xml:space="preserve">of the impact of share-based compensation on our effective tax rate. These tax effects are dependent on our stock price, which we do not control, and a decline in our stock price could significantly increase our effective tax rate and adversely affect our </w:t>
      </w:r>
      <w:r>
        <w:rPr>
          <w:rFonts w:ascii="Times New Roman" w:eastAsia="宋体" w:hAnsi="Times New Roman"/>
          <w:sz w:val="20"/>
          <w:szCs w:val="20"/>
        </w:rPr>
        <w:t>financial results.</w:t>
      </w:r>
    </w:p>
    <w:p w14:paraId="1446F676"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Our business is subject to complex and evolving U.S. and foreign laws and regulations regarding privacy, data protection, content, competition, consumer protection, and other matters. Many of these laws and regulations are subject to cha</w:t>
      </w:r>
      <w:r>
        <w:rPr>
          <w:rFonts w:ascii="Times New Roman" w:eastAsia="宋体" w:hAnsi="Times New Roman"/>
          <w:b/>
          <w:bCs/>
          <w:i/>
          <w:iCs/>
          <w:sz w:val="20"/>
          <w:szCs w:val="20"/>
        </w:rPr>
        <w:t>nge and uncertain interpretation, and could result in claims, changes to our business practices, monetary penalties, increased cost of operations, or declines in user growth or engagement, or otherwise harm our business.</w:t>
      </w:r>
    </w:p>
    <w:p w14:paraId="1446F67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are subject to a variety of laws</w:t>
      </w:r>
      <w:r>
        <w:rPr>
          <w:rFonts w:ascii="Times New Roman" w:eastAsia="宋体" w:hAnsi="Times New Roman"/>
          <w:sz w:val="20"/>
          <w:szCs w:val="20"/>
        </w:rPr>
        <w:t xml:space="preserve"> and regulations in the United States and abroad that involve matters central to our business, including privacy, data protection and personal information, rights of publicity, content, intellectual property, advertising, marketing, distribution, data secu</w:t>
      </w:r>
      <w:r>
        <w:rPr>
          <w:rFonts w:ascii="Times New Roman" w:eastAsia="宋体" w:hAnsi="Times New Roman"/>
          <w:sz w:val="20"/>
          <w:szCs w:val="20"/>
        </w:rPr>
        <w:t xml:space="preserve">rity, data retention and deletion, data localization and storage, data disclosure, electronic contracts and other communications, competition, protection of minors, consumer protection, telecommunications, product liability, e-commerce, taxation, economic </w:t>
      </w:r>
      <w:r>
        <w:rPr>
          <w:rFonts w:ascii="Times New Roman" w:eastAsia="宋体" w:hAnsi="Times New Roman"/>
          <w:sz w:val="20"/>
          <w:szCs w:val="20"/>
        </w:rPr>
        <w:t xml:space="preserve">or other trade prohibitions or sanctions, anti-corruption law compliance, securities law compliance, and online payment services. The introduction of new products, expansion of our activities in certain jurisdictions, or other actions that we may take may </w:t>
      </w:r>
      <w:r>
        <w:rPr>
          <w:rFonts w:ascii="Times New Roman" w:eastAsia="宋体" w:hAnsi="Times New Roman"/>
          <w:sz w:val="20"/>
          <w:szCs w:val="20"/>
        </w:rPr>
        <w:t>subject us to additional laws, regulations, or other government scrutiny. In addition, foreign data protection, privacy, content, competition, and other laws and regulations can impose different obligations or be more restrictive than those in the United S</w:t>
      </w:r>
      <w:r>
        <w:rPr>
          <w:rFonts w:ascii="Times New Roman" w:eastAsia="宋体" w:hAnsi="Times New Roman"/>
          <w:sz w:val="20"/>
          <w:szCs w:val="20"/>
        </w:rPr>
        <w:t>tates.</w:t>
      </w:r>
    </w:p>
    <w:p w14:paraId="1446F67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These U.S. federal and state and foreign laws and regulations, which in some cases can be enforced by private parties in addition to government entities, are constantly evolving and can be subject to significant change. As a result, the </w:t>
      </w:r>
      <w:r>
        <w:rPr>
          <w:rFonts w:ascii="Times New Roman" w:eastAsia="宋体" w:hAnsi="Times New Roman"/>
          <w:sz w:val="20"/>
          <w:szCs w:val="20"/>
        </w:rPr>
        <w:t>application, interpretation, and enforcement of these laws and regulations are often uncertain, particularly in the new and rapidly evolving industry in which we operate, and may be interpreted and applied inconsistently from country to country and inconsi</w:t>
      </w:r>
      <w:r>
        <w:rPr>
          <w:rFonts w:ascii="Times New Roman" w:eastAsia="宋体" w:hAnsi="Times New Roman"/>
          <w:sz w:val="20"/>
          <w:szCs w:val="20"/>
        </w:rPr>
        <w:t>stently with our current policies and practices. For example, regulatory or legislative actions affecting the manner in which we display content to our users or obtain consent to various practices could adversely affect user growth and engagement. Such act</w:t>
      </w:r>
      <w:r>
        <w:rPr>
          <w:rFonts w:ascii="Times New Roman" w:eastAsia="宋体" w:hAnsi="Times New Roman"/>
          <w:sz w:val="20"/>
          <w:szCs w:val="20"/>
        </w:rPr>
        <w:t>ions could affect the manner in which we provide our services or adversely affect our financial results.</w:t>
      </w:r>
    </w:p>
    <w:p w14:paraId="1446F67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subject to laws and regulations that dictate whether, how, and under what circumstances we can transfer, process and/or receive certain dat</w:t>
      </w:r>
      <w:r>
        <w:rPr>
          <w:rFonts w:ascii="Times New Roman" w:eastAsia="宋体" w:hAnsi="Times New Roman"/>
          <w:sz w:val="20"/>
          <w:szCs w:val="20"/>
        </w:rPr>
        <w:t>a that is critical to our operations, including data shared between countries or regions in which we operate and data shared among our products and services. For example, in 2016, the European Union and United States agreed to a transfer framework for data</w:t>
      </w:r>
      <w:r>
        <w:rPr>
          <w:rFonts w:ascii="Times New Roman" w:eastAsia="宋体" w:hAnsi="Times New Roman"/>
          <w:sz w:val="20"/>
          <w:szCs w:val="20"/>
        </w:rPr>
        <w:t xml:space="preserve"> transferred from the European Union to the United States, called the Privacy Shield, but this framework is subject to an annual review that could result in changes to our obligations and also is subject to challenge by regulators and private parties, incl</w:t>
      </w:r>
      <w:r>
        <w:rPr>
          <w:rFonts w:ascii="Times New Roman" w:eastAsia="宋体" w:hAnsi="Times New Roman"/>
          <w:sz w:val="20"/>
          <w:szCs w:val="20"/>
        </w:rPr>
        <w:t>uding a pending legal challenge by a private party. In addition, the other bases upon which Facebook relies to legitimize the transfer of such data, such as Standard Contractual Clauses (SCCs), have been subjected to regulatory and judicial scrutiny. For e</w:t>
      </w:r>
      <w:r>
        <w:rPr>
          <w:rFonts w:ascii="Times New Roman" w:eastAsia="宋体" w:hAnsi="Times New Roman"/>
          <w:sz w:val="20"/>
          <w:szCs w:val="20"/>
        </w:rPr>
        <w:t xml:space="preserve">xample, the Court of Justice of the European Union is currently considering the validity of SCCs as a basis to transfer user data from the European Union to the United States following a challenge brought by the Irish Data Protection Commissioner. We have </w:t>
      </w:r>
      <w:r>
        <w:rPr>
          <w:rFonts w:ascii="Times New Roman" w:eastAsia="宋体" w:hAnsi="Times New Roman"/>
          <w:sz w:val="20"/>
          <w:szCs w:val="20"/>
        </w:rPr>
        <w:t>also been managing investigations and lawsuits in Europe, India, and other jurisdictions regarding the August 2016 update to WhatsApp's terms of service and privacy policy and its sharing of certain data with other Facebook products and services, including</w:t>
      </w:r>
      <w:r>
        <w:rPr>
          <w:rFonts w:ascii="Times New Roman" w:eastAsia="宋体" w:hAnsi="Times New Roman"/>
          <w:sz w:val="20"/>
          <w:szCs w:val="20"/>
        </w:rPr>
        <w:t xml:space="preserve"> a lawsuit currently pending before the Supreme Court of India. If one or more of the legal bases for transferring data from Europe to the United States is invalidated or the transfer frameworks are amended, if we are unable to transfer data between and am</w:t>
      </w:r>
      <w:r>
        <w:rPr>
          <w:rFonts w:ascii="Times New Roman" w:eastAsia="宋体" w:hAnsi="Times New Roman"/>
          <w:sz w:val="20"/>
          <w:szCs w:val="20"/>
        </w:rPr>
        <w:t>ong countries and regions in which we operate, or if we are restricted from sharing data among our products and services, it could affect the manner in which we provide our services or our ability to target ads, which could adversely affect our financial r</w:t>
      </w:r>
      <w:r>
        <w:rPr>
          <w:rFonts w:ascii="Times New Roman" w:eastAsia="宋体" w:hAnsi="Times New Roman"/>
          <w:sz w:val="20"/>
          <w:szCs w:val="20"/>
        </w:rPr>
        <w:t>esults.</w:t>
      </w:r>
    </w:p>
    <w:p w14:paraId="1446F67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Proposed or new legislation and regulations could also significantly affect our business. For example, the European General Data Protection Regulation (GDPR) took effect in May 2018 and applies to all of our products and services used by people in </w:t>
      </w:r>
      <w:r>
        <w:rPr>
          <w:rFonts w:ascii="Times New Roman" w:eastAsia="宋体" w:hAnsi="Times New Roman"/>
          <w:sz w:val="20"/>
          <w:szCs w:val="20"/>
        </w:rPr>
        <w:t xml:space="preserve">Europe. The GDPR includes operational requirements for companies that receive or process personal data of residents of the European Union that are different from those previously in place in the European Union. As a result, we implemented </w:t>
      </w:r>
    </w:p>
    <w:p w14:paraId="1446F67B" w14:textId="77777777" w:rsidR="00FE42B5" w:rsidRDefault="00FE42B5">
      <w:pPr>
        <w:rPr>
          <w:rFonts w:ascii="Times New Roman" w:hAnsi="Times New Roman"/>
          <w:sz w:val="20"/>
          <w:szCs w:val="20"/>
        </w:rPr>
      </w:pPr>
    </w:p>
    <w:p w14:paraId="1446F67C"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63</w:t>
      </w:r>
    </w:p>
    <w:p w14:paraId="1446F67D" w14:textId="77777777" w:rsidR="00FE42B5" w:rsidRDefault="009213DC">
      <w:r>
        <w:rPr>
          <w:rFonts w:ascii="Times New Roman" w:hAnsi="Times New Roman"/>
          <w:sz w:val="20"/>
          <w:szCs w:val="20"/>
        </w:rPr>
        <w:pict w14:anchorId="1446FB07">
          <v:rect id="_x0000_i1087" style="width:415.3pt;height:1.5pt" o:hralign="center" o:hrstd="t" o:hr="t" fillcolor="#a0a0a0" stroked="f"/>
        </w:pict>
      </w:r>
    </w:p>
    <w:p w14:paraId="1446F67E" w14:textId="77777777" w:rsidR="00FE42B5" w:rsidRDefault="009213DC">
      <w:pPr>
        <w:spacing w:line="288" w:lineRule="auto"/>
        <w:rPr>
          <w:rFonts w:ascii="Times New Roman" w:hAnsi="Times New Roman"/>
          <w:sz w:val="20"/>
          <w:szCs w:val="20"/>
        </w:rPr>
      </w:pPr>
      <w:hyperlink r:id="rId103" w:anchor="sBB4BED1571A45A16AF3DC2E3B69C901C" w:history="1">
        <w:r>
          <w:rPr>
            <w:rStyle w:val="a5"/>
            <w:rFonts w:ascii="Times New Roman" w:eastAsia="宋体" w:hAnsi="Times New Roman"/>
            <w:sz w:val="20"/>
            <w:szCs w:val="20"/>
          </w:rPr>
          <w:t>Table of Contents</w:t>
        </w:r>
      </w:hyperlink>
    </w:p>
    <w:p w14:paraId="1446F67F" w14:textId="77777777" w:rsidR="00FE42B5" w:rsidRDefault="00FE42B5">
      <w:pPr>
        <w:rPr>
          <w:rFonts w:ascii="Times New Roman" w:hAnsi="Times New Roman"/>
          <w:sz w:val="20"/>
          <w:szCs w:val="20"/>
        </w:rPr>
      </w:pPr>
    </w:p>
    <w:p w14:paraId="1446F680"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 xml:space="preserve">measures to change our service for minors under the age of 16 for certain countries in Europe </w:t>
      </w:r>
      <w:r>
        <w:rPr>
          <w:rFonts w:ascii="Times New Roman" w:eastAsia="宋体" w:hAnsi="Times New Roman"/>
          <w:sz w:val="20"/>
          <w:szCs w:val="20"/>
        </w:rPr>
        <w:t>that maintain the minimum age of 16 under the GDPR. We also obtain consent and/or offer new controls to existing and new users in Europe before processing data for certain aspects of our service. In addition, the GDPR requires submission of personal data b</w:t>
      </w:r>
      <w:r>
        <w:rPr>
          <w:rFonts w:ascii="Times New Roman" w:eastAsia="宋体" w:hAnsi="Times New Roman"/>
          <w:sz w:val="20"/>
          <w:szCs w:val="20"/>
        </w:rPr>
        <w:t>reach notifications to our designated European privacy regulator, the Irish Data Protection Commission, and includes significant penalties for non-compliance with the notification obligation as well as other requirements of the regulation. Similarly, the B</w:t>
      </w:r>
      <w:r>
        <w:rPr>
          <w:rFonts w:ascii="Times New Roman" w:eastAsia="宋体" w:hAnsi="Times New Roman"/>
          <w:sz w:val="20"/>
          <w:szCs w:val="20"/>
        </w:rPr>
        <w:t>razilian General Data Protection Law imposes data privacy-related requirements on products and services offered to users in Brazil and is scheduled to go in effect in August 2020, although the deadline to comply may be extended to a later date. The Califor</w:t>
      </w:r>
      <w:r>
        <w:rPr>
          <w:rFonts w:ascii="Times New Roman" w:eastAsia="宋体" w:hAnsi="Times New Roman"/>
          <w:sz w:val="20"/>
          <w:szCs w:val="20"/>
        </w:rPr>
        <w:t>nia Consumer Privacy Act (CCPA), which took effect in January 2020, also establishes certain transparency rules and creates new data privacy rights for users, including more ability to control how their data is shared with third parties. These laws and reg</w:t>
      </w:r>
      <w:r>
        <w:rPr>
          <w:rFonts w:ascii="Times New Roman" w:eastAsia="宋体" w:hAnsi="Times New Roman"/>
          <w:sz w:val="20"/>
          <w:szCs w:val="20"/>
        </w:rPr>
        <w:t xml:space="preserve">ulations are evolving and subject to interpretation, and resulting limitations on our advertising services, or reductions of advertising by marketers, have to some extent adversely affected, and will continue to adversely affect, our advertising business. </w:t>
      </w:r>
      <w:r>
        <w:rPr>
          <w:rFonts w:ascii="Times New Roman" w:eastAsia="宋体" w:hAnsi="Times New Roman"/>
          <w:sz w:val="20"/>
          <w:szCs w:val="20"/>
        </w:rPr>
        <w:t>Similarly, there are a number of legislative proposals in the European Union, the United States, at both the federal and state level, as well as other jurisdictions that could impose new obligations or limitations in areas affecting our business. In additi</w:t>
      </w:r>
      <w:r>
        <w:rPr>
          <w:rFonts w:ascii="Times New Roman" w:eastAsia="宋体" w:hAnsi="Times New Roman"/>
          <w:sz w:val="20"/>
          <w:szCs w:val="20"/>
        </w:rPr>
        <w:t>on, some countries are considering or have passed legislation implementing data protection requirements or requiring local storage and processing of data or similar requirements that could increase the cost and complexity of delivering our services.</w:t>
      </w:r>
    </w:p>
    <w:p w14:paraId="1446F68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These </w:t>
      </w:r>
      <w:r>
        <w:rPr>
          <w:rFonts w:ascii="Times New Roman" w:eastAsia="宋体" w:hAnsi="Times New Roman"/>
          <w:sz w:val="20"/>
          <w:szCs w:val="20"/>
        </w:rPr>
        <w:t>laws and regulations, as well as any associated claims, inquiries, or investigations or any other government actions, have in the past led to, and may in the future lead to, unfavorable outcomes including increased compliance costs, delays or impediments i</w:t>
      </w:r>
      <w:r>
        <w:rPr>
          <w:rFonts w:ascii="Times New Roman" w:eastAsia="宋体" w:hAnsi="Times New Roman"/>
          <w:sz w:val="20"/>
          <w:szCs w:val="20"/>
        </w:rPr>
        <w:t>n the development of new products, negative publicity and reputational harm, increased operating costs, diversion of management time and attention, and remedies that harm our business, including fines or demands or orders that we modify or cease existing b</w:t>
      </w:r>
      <w:r>
        <w:rPr>
          <w:rFonts w:ascii="Times New Roman" w:eastAsia="宋体" w:hAnsi="Times New Roman"/>
          <w:sz w:val="20"/>
          <w:szCs w:val="20"/>
        </w:rPr>
        <w:t>usiness practices.</w:t>
      </w:r>
    </w:p>
    <w:p w14:paraId="1446F682"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have been subject to regulatory and other government investigations, enforcement actions, and settlements, and we expect to continue to be subject to such proceedings and other inquiries in the future, which could cause us to incur su</w:t>
      </w:r>
      <w:r>
        <w:rPr>
          <w:rFonts w:ascii="Times New Roman" w:eastAsia="宋体" w:hAnsi="Times New Roman"/>
          <w:b/>
          <w:bCs/>
          <w:i/>
          <w:iCs/>
          <w:sz w:val="20"/>
          <w:szCs w:val="20"/>
        </w:rPr>
        <w:t xml:space="preserve">bstantial costs or require us to change our business practices in a manner materially adverse to our business. </w:t>
      </w:r>
    </w:p>
    <w:p w14:paraId="1446F68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we receive formal and informal inquiries from government authorities and regulators regarding our compliance with laws and re</w:t>
      </w:r>
      <w:r>
        <w:rPr>
          <w:rFonts w:ascii="Times New Roman" w:eastAsia="宋体" w:hAnsi="Times New Roman"/>
          <w:sz w:val="20"/>
          <w:szCs w:val="20"/>
        </w:rPr>
        <w:t>gulations, many of which are evolving and subject to interpretation. We are and expect to continue to be the subject of investigations, inquiries, data requests, requests for information, actions, and audits in the United States, Europe, and around the wor</w:t>
      </w:r>
      <w:r>
        <w:rPr>
          <w:rFonts w:ascii="Times New Roman" w:eastAsia="宋体" w:hAnsi="Times New Roman"/>
          <w:sz w:val="20"/>
          <w:szCs w:val="20"/>
        </w:rPr>
        <w:t>ld, particularly in the areas of privacy, data protection, law enforcement, consumer protection, and competition, as we continue to grow and expand our operations. In addition, we are currently, and may in the future be, subject to regulatory orders or con</w:t>
      </w:r>
      <w:r>
        <w:rPr>
          <w:rFonts w:ascii="Times New Roman" w:eastAsia="宋体" w:hAnsi="Times New Roman"/>
          <w:sz w:val="20"/>
          <w:szCs w:val="20"/>
        </w:rPr>
        <w:t>sent decrees. For example, data protection, competition, and consumer protection authorities in the European Union have initiated actions, investigations, or administrative orders seeking to restrict the ways in which we collect and use information, or imp</w:t>
      </w:r>
      <w:r>
        <w:rPr>
          <w:rFonts w:ascii="Times New Roman" w:eastAsia="宋体" w:hAnsi="Times New Roman"/>
          <w:sz w:val="20"/>
          <w:szCs w:val="20"/>
        </w:rPr>
        <w:t>ose sanctions, and other authorities may do the same. In addition, beginning in March 2018, we became subject to FTC, state attorneys general, and other government inquiries in the United States, Europe, and other jurisdictions in connection with our platf</w:t>
      </w:r>
      <w:r>
        <w:rPr>
          <w:rFonts w:ascii="Times New Roman" w:eastAsia="宋体" w:hAnsi="Times New Roman"/>
          <w:sz w:val="20"/>
          <w:szCs w:val="20"/>
        </w:rPr>
        <w:t>orm and user data practices as well as the misuse of certain data by a developer that shared such data with third parties in violation of our terms and policies. In July 2019, we entered into a settlement and modified consent order to resolve the FTC inqui</w:t>
      </w:r>
      <w:r>
        <w:rPr>
          <w:rFonts w:ascii="Times New Roman" w:eastAsia="宋体" w:hAnsi="Times New Roman"/>
          <w:sz w:val="20"/>
          <w:szCs w:val="20"/>
        </w:rPr>
        <w:t>ry, which was approved by the federal court and took effect in April 2020. Among other matters, our settlement with the FTC requires us to pay a penalty of $5.0 billion and to significantly enhance our practices and processes for privacy compliance and ove</w:t>
      </w:r>
      <w:r>
        <w:rPr>
          <w:rFonts w:ascii="Times New Roman" w:eastAsia="宋体" w:hAnsi="Times New Roman"/>
          <w:sz w:val="20"/>
          <w:szCs w:val="20"/>
        </w:rPr>
        <w:t>rsight. Beginning in September 2018, we also became subject to Irish Data Protection Commission (IDPC) and other government inquiries in connection with a third-party cyber-attack that exploited a vulnerability in Facebook's code to steal user access token</w:t>
      </w:r>
      <w:r>
        <w:rPr>
          <w:rFonts w:ascii="Times New Roman" w:eastAsia="宋体" w:hAnsi="Times New Roman"/>
          <w:sz w:val="20"/>
          <w:szCs w:val="20"/>
        </w:rPr>
        <w:t>s and access certain profile information from user accounts on Facebook. From time to time we also notify the IDPC, our designated European privacy regulator under the GDPR, of certain other personal data breaches and privacy issues, and are subject to inq</w:t>
      </w:r>
      <w:r>
        <w:rPr>
          <w:rFonts w:ascii="Times New Roman" w:eastAsia="宋体" w:hAnsi="Times New Roman"/>
          <w:sz w:val="20"/>
          <w:szCs w:val="20"/>
        </w:rPr>
        <w:t xml:space="preserve">uiries and investigations regarding various aspects of our regulatory compliance. </w:t>
      </w:r>
    </w:p>
    <w:p w14:paraId="1446F68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competition authorities in the United States, Europe, and other jurisdictions have initiated formal and informal inquiries and investigations into many </w:t>
      </w:r>
      <w:r>
        <w:rPr>
          <w:rFonts w:ascii="Times New Roman" w:eastAsia="宋体" w:hAnsi="Times New Roman"/>
          <w:sz w:val="20"/>
          <w:szCs w:val="20"/>
        </w:rPr>
        <w:t>aspects of our business, including with respect to users and advertisers, as well as our industry. For example, in June 2019 we were informed by the FTC that it had opened an antitrust investigation of our company. In addition, beginning in the third quart</w:t>
      </w:r>
      <w:r>
        <w:rPr>
          <w:rFonts w:ascii="Times New Roman" w:eastAsia="宋体" w:hAnsi="Times New Roman"/>
          <w:sz w:val="20"/>
          <w:szCs w:val="20"/>
        </w:rPr>
        <w:t>er of 2019, we became the subject of antitrust inquiries and investigations by the U.S. Department of Justice, the U.S. House of Representatives, and state attorneys general. These inquiries and investigations concern, among other things, our business prac</w:t>
      </w:r>
      <w:r>
        <w:rPr>
          <w:rFonts w:ascii="Times New Roman" w:eastAsia="宋体" w:hAnsi="Times New Roman"/>
          <w:sz w:val="20"/>
          <w:szCs w:val="20"/>
        </w:rPr>
        <w:t>tices in the areas of social networking or social media services, digital advertising, and/or mobile or online applications, as well as past acquisitions.</w:t>
      </w:r>
    </w:p>
    <w:p w14:paraId="1446F685" w14:textId="77777777" w:rsidR="00FE42B5" w:rsidRDefault="00FE42B5">
      <w:pPr>
        <w:spacing w:line="288" w:lineRule="auto"/>
        <w:ind w:firstLine="720"/>
        <w:jc w:val="both"/>
        <w:rPr>
          <w:rFonts w:ascii="Times New Roman" w:hAnsi="Times New Roman"/>
          <w:sz w:val="20"/>
          <w:szCs w:val="20"/>
        </w:rPr>
      </w:pPr>
    </w:p>
    <w:p w14:paraId="1446F68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Orders issued by, or inquiries or enforcement actions initiated by, government or regulatory authori</w:t>
      </w:r>
      <w:r>
        <w:rPr>
          <w:rFonts w:ascii="Times New Roman" w:eastAsia="宋体" w:hAnsi="Times New Roman"/>
          <w:sz w:val="20"/>
          <w:szCs w:val="20"/>
        </w:rPr>
        <w:t>ties could cause us to incur substantial costs, expose us to unanticipated civil and criminal liability or penalties (including substantial monetary remedies), interrupt or require us to change our business practices in a manner materially adverse to our b</w:t>
      </w:r>
      <w:r>
        <w:rPr>
          <w:rFonts w:ascii="Times New Roman" w:eastAsia="宋体" w:hAnsi="Times New Roman"/>
          <w:sz w:val="20"/>
          <w:szCs w:val="20"/>
        </w:rPr>
        <w:t xml:space="preserve">usiness, result in </w:t>
      </w:r>
    </w:p>
    <w:p w14:paraId="1446F687" w14:textId="77777777" w:rsidR="00FE42B5" w:rsidRDefault="00FE42B5">
      <w:pPr>
        <w:rPr>
          <w:rFonts w:ascii="Times New Roman" w:hAnsi="Times New Roman"/>
          <w:sz w:val="20"/>
          <w:szCs w:val="20"/>
        </w:rPr>
      </w:pPr>
    </w:p>
    <w:p w14:paraId="1446F688"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64</w:t>
      </w:r>
    </w:p>
    <w:p w14:paraId="1446F689" w14:textId="77777777" w:rsidR="00FE42B5" w:rsidRDefault="009213DC">
      <w:r>
        <w:rPr>
          <w:rFonts w:ascii="Times New Roman" w:hAnsi="Times New Roman"/>
          <w:sz w:val="20"/>
          <w:szCs w:val="20"/>
        </w:rPr>
        <w:pict w14:anchorId="1446FB08">
          <v:rect id="_x0000_i1088" style="width:415.3pt;height:1.5pt" o:hralign="center" o:hrstd="t" o:hr="t" fillcolor="#a0a0a0" stroked="f"/>
        </w:pict>
      </w:r>
    </w:p>
    <w:p w14:paraId="1446F68A" w14:textId="77777777" w:rsidR="00FE42B5" w:rsidRDefault="009213DC">
      <w:pPr>
        <w:spacing w:line="288" w:lineRule="auto"/>
        <w:rPr>
          <w:rFonts w:ascii="Times New Roman" w:hAnsi="Times New Roman"/>
          <w:sz w:val="20"/>
          <w:szCs w:val="20"/>
        </w:rPr>
      </w:pPr>
      <w:hyperlink r:id="rId104" w:anchor="sBB4BED1571A45A16AF3DC2E3B69C901C" w:history="1">
        <w:r>
          <w:rPr>
            <w:rStyle w:val="a5"/>
            <w:rFonts w:ascii="Times New Roman" w:eastAsia="宋体" w:hAnsi="Times New Roman"/>
            <w:sz w:val="20"/>
            <w:szCs w:val="20"/>
          </w:rPr>
          <w:t>Table of Contents</w:t>
        </w:r>
      </w:hyperlink>
    </w:p>
    <w:p w14:paraId="1446F68B" w14:textId="77777777" w:rsidR="00FE42B5" w:rsidRDefault="00FE42B5">
      <w:pPr>
        <w:rPr>
          <w:rFonts w:ascii="Times New Roman" w:hAnsi="Times New Roman"/>
          <w:sz w:val="20"/>
          <w:szCs w:val="20"/>
        </w:rPr>
      </w:pPr>
    </w:p>
    <w:p w14:paraId="1446F68C"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negative publicity and reputational harm, divert resources</w:t>
      </w:r>
      <w:r>
        <w:rPr>
          <w:rFonts w:ascii="Times New Roman" w:eastAsia="宋体" w:hAnsi="Times New Roman"/>
          <w:sz w:val="20"/>
          <w:szCs w:val="20"/>
        </w:rPr>
        <w:t xml:space="preserve"> and the attention of management from our business, or subject us to other remedies that adversely affect our business.</w:t>
      </w:r>
    </w:p>
    <w:p w14:paraId="1446F68D" w14:textId="77777777" w:rsidR="00FE42B5" w:rsidRDefault="00FE42B5">
      <w:pPr>
        <w:spacing w:line="288" w:lineRule="auto"/>
        <w:jc w:val="both"/>
        <w:rPr>
          <w:rFonts w:ascii="Times New Roman" w:hAnsi="Times New Roman"/>
          <w:sz w:val="20"/>
          <w:szCs w:val="20"/>
        </w:rPr>
      </w:pPr>
    </w:p>
    <w:p w14:paraId="1446F68E"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Compliance with our FTC consent order, the GDPR, the CCPA, and other regulatory and legislative privacy requirements will require signi</w:t>
      </w:r>
      <w:r>
        <w:rPr>
          <w:rFonts w:ascii="Times New Roman" w:eastAsia="宋体" w:hAnsi="Times New Roman"/>
          <w:b/>
          <w:bCs/>
          <w:i/>
          <w:iCs/>
          <w:sz w:val="20"/>
          <w:szCs w:val="20"/>
        </w:rPr>
        <w:t>ficant operational resources and modifications to our business practices, and any compliance failures may have a material adverse effect on our business, reputation, and financial results.</w:t>
      </w:r>
    </w:p>
    <w:p w14:paraId="1446F68F" w14:textId="77777777" w:rsidR="00FE42B5" w:rsidRDefault="00FE42B5">
      <w:pPr>
        <w:spacing w:line="288" w:lineRule="auto"/>
        <w:ind w:firstLine="720"/>
        <w:jc w:val="both"/>
        <w:rPr>
          <w:rFonts w:ascii="Times New Roman" w:hAnsi="Times New Roman"/>
          <w:sz w:val="20"/>
          <w:szCs w:val="20"/>
        </w:rPr>
      </w:pPr>
    </w:p>
    <w:p w14:paraId="1446F69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are engaged in ongoing privacy compliance and oversight efforts</w:t>
      </w:r>
      <w:r>
        <w:rPr>
          <w:rFonts w:ascii="Times New Roman" w:eastAsia="宋体" w:hAnsi="Times New Roman"/>
          <w:sz w:val="20"/>
          <w:szCs w:val="20"/>
        </w:rPr>
        <w:t>, including as a result of our modified consent order with the FTC, as well as our efforts to comply with the GDPR and other regulatory and legislative requirements around the world, including the CCPA. In particular, we have agreed with the FTC to impleme</w:t>
      </w:r>
      <w:r>
        <w:rPr>
          <w:rFonts w:ascii="Times New Roman" w:eastAsia="宋体" w:hAnsi="Times New Roman"/>
          <w:sz w:val="20"/>
          <w:szCs w:val="20"/>
        </w:rPr>
        <w:t>nt a comprehensive expansion of our privacy program, including substantial management and board of directors oversight, stringent operational requirements and reporting obligations, and a process to regularly certify our compliance with the privacy program</w:t>
      </w:r>
      <w:r>
        <w:rPr>
          <w:rFonts w:ascii="Times New Roman" w:eastAsia="宋体" w:hAnsi="Times New Roman"/>
          <w:sz w:val="20"/>
          <w:szCs w:val="20"/>
        </w:rPr>
        <w:t xml:space="preserve"> to the FTC, which will be challenging and costly to implement. We expect that these enhancements will result in both improved privacy compliance and oversight and the discovery of additional privacy issues, at least in the near-term, and we expect to cont</w:t>
      </w:r>
      <w:r>
        <w:rPr>
          <w:rFonts w:ascii="Times New Roman" w:eastAsia="宋体" w:hAnsi="Times New Roman"/>
          <w:sz w:val="20"/>
          <w:szCs w:val="20"/>
        </w:rPr>
        <w:t>inue to notify the FTC of such issues from time to time in accordance with our reporting obligations under the consent order. These compliance and oversight efforts will increase demand on our systems and resources, and will require significant investments</w:t>
      </w:r>
      <w:r>
        <w:rPr>
          <w:rFonts w:ascii="Times New Roman" w:eastAsia="宋体" w:hAnsi="Times New Roman"/>
          <w:sz w:val="20"/>
          <w:szCs w:val="20"/>
        </w:rPr>
        <w:t>, including investments in compliance processes, personnel, and technical infrastructure. In the near-term, we are reallocating resources internally to assist with these efforts, and this has had, and will continue to have, an adverse impact on our other b</w:t>
      </w:r>
      <w:r>
        <w:rPr>
          <w:rFonts w:ascii="Times New Roman" w:eastAsia="宋体" w:hAnsi="Times New Roman"/>
          <w:sz w:val="20"/>
          <w:szCs w:val="20"/>
        </w:rPr>
        <w:t xml:space="preserve">usiness initiatives. In addition, these efforts will require substantial modifications to our business practices and make some practices such as product and ads development more difficult, time-consuming, and costly. As a result, we believe our ability to </w:t>
      </w:r>
      <w:r>
        <w:rPr>
          <w:rFonts w:ascii="Times New Roman" w:eastAsia="宋体" w:hAnsi="Times New Roman"/>
          <w:sz w:val="20"/>
          <w:szCs w:val="20"/>
        </w:rPr>
        <w:t xml:space="preserve">develop and launch new features, products, and services in a timely manner will be adversely affected. We also expect that our privacy compliance and oversight efforts will require significant time and attention from our management and board of directors. </w:t>
      </w:r>
      <w:r>
        <w:rPr>
          <w:rFonts w:ascii="Times New Roman" w:eastAsia="宋体" w:hAnsi="Times New Roman"/>
          <w:sz w:val="20"/>
          <w:szCs w:val="20"/>
        </w:rPr>
        <w:t>In addition, regulatory and legislative privacy requirements are constantly evolving and can be subject to significant change and uncertain interpretation. If we are unable to successfully implement and comply with the mandates of the FTC consent order, GD</w:t>
      </w:r>
      <w:r>
        <w:rPr>
          <w:rFonts w:ascii="Times New Roman" w:eastAsia="宋体" w:hAnsi="Times New Roman"/>
          <w:sz w:val="20"/>
          <w:szCs w:val="20"/>
        </w:rPr>
        <w:t>PR, CCPA, or other regulatory or legislative requirements, or if we are found to be in violation of the consent order or other requirements, we may be subject to regulatory or governmental investigations or lawsuits, which may result in significant monetar</w:t>
      </w:r>
      <w:r>
        <w:rPr>
          <w:rFonts w:ascii="Times New Roman" w:eastAsia="宋体" w:hAnsi="Times New Roman"/>
          <w:sz w:val="20"/>
          <w:szCs w:val="20"/>
        </w:rPr>
        <w:t>y fines, judgments, or other penalties, and we may also be required to make additional changes to our business practices. Any of these events could have a material adverse effect on our business, reputation, and financial results.</w:t>
      </w:r>
    </w:p>
    <w:p w14:paraId="1446F691" w14:textId="77777777" w:rsidR="00FE42B5" w:rsidRDefault="00FE42B5">
      <w:pPr>
        <w:spacing w:line="288" w:lineRule="auto"/>
        <w:ind w:firstLine="720"/>
        <w:jc w:val="both"/>
        <w:rPr>
          <w:rFonts w:ascii="Times New Roman" w:hAnsi="Times New Roman"/>
          <w:sz w:val="20"/>
          <w:szCs w:val="20"/>
        </w:rPr>
      </w:pPr>
    </w:p>
    <w:p w14:paraId="1446F692"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If we are unable to </w:t>
      </w:r>
      <w:r>
        <w:rPr>
          <w:rFonts w:ascii="Times New Roman" w:eastAsia="宋体" w:hAnsi="Times New Roman"/>
          <w:b/>
          <w:bCs/>
          <w:i/>
          <w:iCs/>
          <w:sz w:val="20"/>
          <w:szCs w:val="20"/>
        </w:rPr>
        <w:t>protect our intellectual property, the value of our brands and other intangible assets may be diminished, and our business may be adversely affected.</w:t>
      </w:r>
    </w:p>
    <w:p w14:paraId="1446F69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rely and expect to continue to rely on a combination of confidentiality, assignment, and license agreem</w:t>
      </w:r>
      <w:r>
        <w:rPr>
          <w:rFonts w:ascii="Times New Roman" w:eastAsia="宋体" w:hAnsi="Times New Roman"/>
          <w:sz w:val="20"/>
          <w:szCs w:val="20"/>
        </w:rPr>
        <w:t>ents with our employees, consultants, and third parties with whom we have relationships, as well as trademark, copyright, patent, trade secret, and domain name protection laws, to protect our proprietary rights. In the United States and internationally, we</w:t>
      </w:r>
      <w:r>
        <w:rPr>
          <w:rFonts w:ascii="Times New Roman" w:eastAsia="宋体" w:hAnsi="Times New Roman"/>
          <w:sz w:val="20"/>
          <w:szCs w:val="20"/>
        </w:rPr>
        <w:t xml:space="preserve"> have filed various applications for protection of certain aspects of our intellectual property, and we currently hold a significant number of registered trademarks and issued patents in multiple jurisdictions and have acquired patents and patent applicati</w:t>
      </w:r>
      <w:r>
        <w:rPr>
          <w:rFonts w:ascii="Times New Roman" w:eastAsia="宋体" w:hAnsi="Times New Roman"/>
          <w:sz w:val="20"/>
          <w:szCs w:val="20"/>
        </w:rPr>
        <w:t>ons from third parties. Third parties may knowingly or unknowingly infringe our proprietary rights, third parties may challenge proprietary rights held by us, and pending and future trademark and patent applications may not be approved. In addition, effect</w:t>
      </w:r>
      <w:r>
        <w:rPr>
          <w:rFonts w:ascii="Times New Roman" w:eastAsia="宋体" w:hAnsi="Times New Roman"/>
          <w:sz w:val="20"/>
          <w:szCs w:val="20"/>
        </w:rPr>
        <w:t>ive intellectual property protection may not be available in every country in which we operate or intend to operate our business. In any or all of these cases, we may be required to expend significant time and expense in order to prevent infringement or to</w:t>
      </w:r>
      <w:r>
        <w:rPr>
          <w:rFonts w:ascii="Times New Roman" w:eastAsia="宋体" w:hAnsi="Times New Roman"/>
          <w:sz w:val="20"/>
          <w:szCs w:val="20"/>
        </w:rPr>
        <w:t xml:space="preserve"> enforce our rights. Although we have generally taken measures to protect our proprietary rights, there can be no assurance that others will not offer products or concepts that are substantially similar to ours and compete with our business. In addition, w</w:t>
      </w:r>
      <w:r>
        <w:rPr>
          <w:rFonts w:ascii="Times New Roman" w:eastAsia="宋体" w:hAnsi="Times New Roman"/>
          <w:sz w:val="20"/>
          <w:szCs w:val="20"/>
        </w:rPr>
        <w:t>e regularly contribute software source code under open source licenses and have made other technology we developed available under other open licenses, and we include open source software in our products. For example, we have contributed certain specificat</w:t>
      </w:r>
      <w:r>
        <w:rPr>
          <w:rFonts w:ascii="Times New Roman" w:eastAsia="宋体" w:hAnsi="Times New Roman"/>
          <w:sz w:val="20"/>
          <w:szCs w:val="20"/>
        </w:rPr>
        <w:t>ions and designs related to our data center equipment to the Open Compute Project Foundation, a non-profit entity that shares and develops such information with the technology community, under the Open Web Foundation License. As a result of our open source</w:t>
      </w:r>
      <w:r>
        <w:rPr>
          <w:rFonts w:ascii="Times New Roman" w:eastAsia="宋体" w:hAnsi="Times New Roman"/>
          <w:sz w:val="20"/>
          <w:szCs w:val="20"/>
        </w:rPr>
        <w:t xml:space="preserve"> contributions and the use of open source in our products, we may license or be required to license or disclose code and/or innovations that turn out to be material to our business and may also be exposed to increased litigation risk. If the protection of </w:t>
      </w:r>
      <w:r>
        <w:rPr>
          <w:rFonts w:ascii="Times New Roman" w:eastAsia="宋体" w:hAnsi="Times New Roman"/>
          <w:sz w:val="20"/>
          <w:szCs w:val="20"/>
        </w:rPr>
        <w:t>our proprietary rights is inadequate to prevent unauthorized use or appropriation by third parties, the value of our brands and other intangible assets may be diminished and competitors may be able to more effectively mimic our products, services, and meth</w:t>
      </w:r>
      <w:r>
        <w:rPr>
          <w:rFonts w:ascii="Times New Roman" w:eastAsia="宋体" w:hAnsi="Times New Roman"/>
          <w:sz w:val="20"/>
          <w:szCs w:val="20"/>
        </w:rPr>
        <w:t>ods of operations. Any of these events could have an adverse effect on our business and financial results.</w:t>
      </w:r>
    </w:p>
    <w:p w14:paraId="1446F694" w14:textId="77777777" w:rsidR="00FE42B5" w:rsidRDefault="00FE42B5">
      <w:pPr>
        <w:rPr>
          <w:rFonts w:ascii="Times New Roman" w:hAnsi="Times New Roman"/>
          <w:sz w:val="20"/>
          <w:szCs w:val="20"/>
        </w:rPr>
      </w:pPr>
    </w:p>
    <w:p w14:paraId="1446F695"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65</w:t>
      </w:r>
    </w:p>
    <w:p w14:paraId="1446F696" w14:textId="77777777" w:rsidR="00FE42B5" w:rsidRDefault="009213DC">
      <w:r>
        <w:rPr>
          <w:rFonts w:ascii="Times New Roman" w:hAnsi="Times New Roman"/>
          <w:sz w:val="20"/>
          <w:szCs w:val="20"/>
        </w:rPr>
        <w:pict w14:anchorId="1446FB09">
          <v:rect id="_x0000_i1089" style="width:415.3pt;height:1.5pt" o:hralign="center" o:hrstd="t" o:hr="t" fillcolor="#a0a0a0" stroked="f"/>
        </w:pict>
      </w:r>
    </w:p>
    <w:p w14:paraId="1446F697" w14:textId="77777777" w:rsidR="00FE42B5" w:rsidRDefault="009213DC">
      <w:pPr>
        <w:spacing w:line="288" w:lineRule="auto"/>
        <w:rPr>
          <w:rFonts w:ascii="Times New Roman" w:hAnsi="Times New Roman"/>
          <w:sz w:val="20"/>
          <w:szCs w:val="20"/>
        </w:rPr>
      </w:pPr>
      <w:hyperlink r:id="rId105" w:anchor="sBB4BED1571A45A16AF3DC2E3B69C901C" w:history="1">
        <w:r>
          <w:rPr>
            <w:rStyle w:val="a5"/>
            <w:rFonts w:ascii="Times New Roman" w:eastAsia="宋体" w:hAnsi="Times New Roman"/>
            <w:sz w:val="20"/>
            <w:szCs w:val="20"/>
          </w:rPr>
          <w:t>Table of Contents</w:t>
        </w:r>
      </w:hyperlink>
    </w:p>
    <w:p w14:paraId="1446F698" w14:textId="77777777" w:rsidR="00FE42B5" w:rsidRDefault="00FE42B5">
      <w:pPr>
        <w:rPr>
          <w:rFonts w:ascii="Times New Roman" w:hAnsi="Times New Roman"/>
          <w:sz w:val="20"/>
          <w:szCs w:val="20"/>
        </w:rPr>
      </w:pPr>
    </w:p>
    <w:p w14:paraId="1446F699"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are currently, and expect to be in the future, party to patent lawsuits and other intellectual property rights claims that are expensive and time consuming and, if resolved adversely, could have a significant impact on our b</w:t>
      </w:r>
      <w:r>
        <w:rPr>
          <w:rFonts w:ascii="Times New Roman" w:eastAsia="宋体" w:hAnsi="Times New Roman"/>
          <w:b/>
          <w:bCs/>
          <w:i/>
          <w:iCs/>
          <w:sz w:val="20"/>
          <w:szCs w:val="20"/>
        </w:rPr>
        <w:t>usiness, financial condition, or results of operations.</w:t>
      </w:r>
    </w:p>
    <w:p w14:paraId="1446F69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Companies in the Internet, technology, and media industries own large numbers of patents, copyrights, trademarks, and trade secrets, and frequently enter into litigation based on allegations of infrin</w:t>
      </w:r>
      <w:r>
        <w:rPr>
          <w:rFonts w:ascii="Times New Roman" w:eastAsia="宋体" w:hAnsi="Times New Roman"/>
          <w:sz w:val="20"/>
          <w:szCs w:val="20"/>
        </w:rPr>
        <w:t>gement, misappropriation, or other violations of intellectual property or other rights. In addition, various "non-practicing entities" that own patents and other intellectual property rights often attempt to aggressively assert their rights in order to ext</w:t>
      </w:r>
      <w:r>
        <w:rPr>
          <w:rFonts w:ascii="Times New Roman" w:eastAsia="宋体" w:hAnsi="Times New Roman"/>
          <w:sz w:val="20"/>
          <w:szCs w:val="20"/>
        </w:rPr>
        <w:t>ract value from technology companies. Furthermore, from time to time we may introduce or acquire new products, including in areas where we historically have not competed, which could increase our exposure to patent and other intellectual property claims fr</w:t>
      </w:r>
      <w:r>
        <w:rPr>
          <w:rFonts w:ascii="Times New Roman" w:eastAsia="宋体" w:hAnsi="Times New Roman"/>
          <w:sz w:val="20"/>
          <w:szCs w:val="20"/>
        </w:rPr>
        <w:t>om competitors and non-practicing entities.</w:t>
      </w:r>
    </w:p>
    <w:p w14:paraId="1446F69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we receive notice from patent holders and other parties alleging that certain of our products and services, or user content, infringe their intellectual property rights. We presently are involv</w:t>
      </w:r>
      <w:r>
        <w:rPr>
          <w:rFonts w:ascii="Times New Roman" w:eastAsia="宋体" w:hAnsi="Times New Roman"/>
          <w:sz w:val="20"/>
          <w:szCs w:val="20"/>
        </w:rPr>
        <w:t>ed in a number of intellectual property lawsuits, and as we face increasing competition and gain an increasingly high profile, we expect the number of patent and other intellectual property claims against us to grow. Defending patent and other intellectual</w:t>
      </w:r>
      <w:r>
        <w:rPr>
          <w:rFonts w:ascii="Times New Roman" w:eastAsia="宋体" w:hAnsi="Times New Roman"/>
          <w:sz w:val="20"/>
          <w:szCs w:val="20"/>
        </w:rPr>
        <w:t xml:space="preserve"> property litigation is costly and can impose a significant burden on management and employees, and there can be no assurances that favorable final outcomes will be obtained in all cases. In addition, plaintiffs may seek, and we may become subject to, prel</w:t>
      </w:r>
      <w:r>
        <w:rPr>
          <w:rFonts w:ascii="Times New Roman" w:eastAsia="宋体" w:hAnsi="Times New Roman"/>
          <w:sz w:val="20"/>
          <w:szCs w:val="20"/>
        </w:rPr>
        <w:t>iminary or provisional rulings in the course of any such litigation, including potential preliminary injunctions requiring us to cease some or all of our operations. We may decide to settle such lawsuits and disputes on terms that are unfavorable to us. Si</w:t>
      </w:r>
      <w:r>
        <w:rPr>
          <w:rFonts w:ascii="Times New Roman" w:eastAsia="宋体" w:hAnsi="Times New Roman"/>
          <w:sz w:val="20"/>
          <w:szCs w:val="20"/>
        </w:rPr>
        <w:t>milarly, if any litigation to which we are a party is resolved adversely, we may be subject to an unfavorable judgment that may not be reversed upon appeal. The terms of such a settlement or judgment may require us to cease some or all of our operations or</w:t>
      </w:r>
      <w:r>
        <w:rPr>
          <w:rFonts w:ascii="Times New Roman" w:eastAsia="宋体" w:hAnsi="Times New Roman"/>
          <w:sz w:val="20"/>
          <w:szCs w:val="20"/>
        </w:rPr>
        <w:t xml:space="preserve"> pay substantial amounts to the other party. In addition, we may have to seek a license to continue practices found to be in violation of a third party's rights, which may not be available on reasonable terms, or at all, and may significantly increase our </w:t>
      </w:r>
      <w:r>
        <w:rPr>
          <w:rFonts w:ascii="Times New Roman" w:eastAsia="宋体" w:hAnsi="Times New Roman"/>
          <w:sz w:val="20"/>
          <w:szCs w:val="20"/>
        </w:rPr>
        <w:t>operating costs and expenses. As a result, we may also be required to develop alternative non-infringing technology or practices or discontinue the practices. The development of alternative non-infringing technology or practices could require significant e</w:t>
      </w:r>
      <w:r>
        <w:rPr>
          <w:rFonts w:ascii="Times New Roman" w:eastAsia="宋体" w:hAnsi="Times New Roman"/>
          <w:sz w:val="20"/>
          <w:szCs w:val="20"/>
        </w:rPr>
        <w:t>ffort and expense, could result in less effective technology or practices or otherwise negatively affect the user experience, or may not be feasible. We have experienced unfavorable outcomes in such disputes and litigation in the past, and our business, fi</w:t>
      </w:r>
      <w:r>
        <w:rPr>
          <w:rFonts w:ascii="Times New Roman" w:eastAsia="宋体" w:hAnsi="Times New Roman"/>
          <w:sz w:val="20"/>
          <w:szCs w:val="20"/>
        </w:rPr>
        <w:t>nancial condition, and results of operations could be adversely affected as a result of an unfavorable resolution of the disputes and litigation referred to above.</w:t>
      </w:r>
    </w:p>
    <w:p w14:paraId="1446F69C"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are involved in numerous class action lawsuits and other litigation matters that are expe</w:t>
      </w:r>
      <w:r>
        <w:rPr>
          <w:rFonts w:ascii="Times New Roman" w:eastAsia="宋体" w:hAnsi="Times New Roman"/>
          <w:b/>
          <w:bCs/>
          <w:i/>
          <w:iCs/>
          <w:sz w:val="20"/>
          <w:szCs w:val="20"/>
        </w:rPr>
        <w:t>nsive and time consuming, and, if resolved adversely, could harm our business, financial condition, or results of operations.</w:t>
      </w:r>
    </w:p>
    <w:p w14:paraId="1446F69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to intellectual property claims, we are also involved in numerous other lawsuits, including putative class action laws</w:t>
      </w:r>
      <w:r>
        <w:rPr>
          <w:rFonts w:ascii="Times New Roman" w:eastAsia="宋体" w:hAnsi="Times New Roman"/>
          <w:sz w:val="20"/>
          <w:szCs w:val="20"/>
        </w:rPr>
        <w:t>uits, many of which claim statutory damages and/or seek significant changes to our business operations, and we anticipate that we will continue to be a target for numerous lawsuits in the future. Because of the scale of our user base, the plaintiffs in cla</w:t>
      </w:r>
      <w:r>
        <w:rPr>
          <w:rFonts w:ascii="Times New Roman" w:eastAsia="宋体" w:hAnsi="Times New Roman"/>
          <w:sz w:val="20"/>
          <w:szCs w:val="20"/>
        </w:rPr>
        <w:t>ss action cases filed against us typically claim enormous monetary damages even if the alleged per-user harm is small or non-existent. In addition, we have in the past, and may in the future, be subject to additional class action lawsuits based on advertis</w:t>
      </w:r>
      <w:r>
        <w:rPr>
          <w:rFonts w:ascii="Times New Roman" w:eastAsia="宋体" w:hAnsi="Times New Roman"/>
          <w:sz w:val="20"/>
          <w:szCs w:val="20"/>
        </w:rPr>
        <w:t>er claims, antitrust claims, employment claims, product performance or other claims related to the use of consumer hardware and software, as well as virtual reality technology and products, which are new and unproven. For example, we are currently the subj</w:t>
      </w:r>
      <w:r>
        <w:rPr>
          <w:rFonts w:ascii="Times New Roman" w:eastAsia="宋体" w:hAnsi="Times New Roman"/>
          <w:sz w:val="20"/>
          <w:szCs w:val="20"/>
        </w:rPr>
        <w:t xml:space="preserve">ect of multiple putative class action suits in connection with our platform and user data practices and the misuse of certain data by a developer that shared such data with third parties in violation of our terms and policies, as well as the disclosure of </w:t>
      </w:r>
      <w:r>
        <w:rPr>
          <w:rFonts w:ascii="Times New Roman" w:eastAsia="宋体" w:hAnsi="Times New Roman"/>
          <w:sz w:val="20"/>
          <w:szCs w:val="20"/>
        </w:rPr>
        <w:t>our earnings results for the second quarter of 2018. We also recently agreed to settlements in principle to resolve certain lawsuits in connection with the "tag suggestions" facial recognition feature on Facebook and a third-party cyber-attack that exploit</w:t>
      </w:r>
      <w:r>
        <w:rPr>
          <w:rFonts w:ascii="Times New Roman" w:eastAsia="宋体" w:hAnsi="Times New Roman"/>
          <w:sz w:val="20"/>
          <w:szCs w:val="20"/>
        </w:rPr>
        <w:t>ed a vulnerability in Facebook's code to steal user access tokens and access certain profile information from user accounts on Facebook. We believe the remaining lawsuits are without merit and are vigorously defending them. However, the results of such law</w:t>
      </w:r>
      <w:r>
        <w:rPr>
          <w:rFonts w:ascii="Times New Roman" w:eastAsia="宋体" w:hAnsi="Times New Roman"/>
          <w:sz w:val="20"/>
          <w:szCs w:val="20"/>
        </w:rPr>
        <w:t>suits and claims cannot be predicted with certainty, and any negative outcome from any such lawsuits could result in payments of substantial monetary damages or fines, or undesirable changes to our products or business practices, and accordingly our busine</w:t>
      </w:r>
      <w:r>
        <w:rPr>
          <w:rFonts w:ascii="Times New Roman" w:eastAsia="宋体" w:hAnsi="Times New Roman"/>
          <w:sz w:val="20"/>
          <w:szCs w:val="20"/>
        </w:rPr>
        <w:t>ss, financial condition, or results of operations could be materially and adversely affected.</w:t>
      </w:r>
    </w:p>
    <w:p w14:paraId="1446F69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There can be no assurances that a favorable final outcome will be obtained in all our cases, and defending any lawsuit is costly and can impose a significant burd</w:t>
      </w:r>
      <w:r>
        <w:rPr>
          <w:rFonts w:ascii="Times New Roman" w:eastAsia="宋体" w:hAnsi="Times New Roman"/>
          <w:sz w:val="20"/>
          <w:szCs w:val="20"/>
        </w:rPr>
        <w:t>en on management and employees. Any litigation to which we are a party may result in an onerous or unfavorable judgment that may not be reversed upon appeal or in payments of substantial monetary damages or fines, or we may decide to settle lawsuits on sim</w:t>
      </w:r>
      <w:r>
        <w:rPr>
          <w:rFonts w:ascii="Times New Roman" w:eastAsia="宋体" w:hAnsi="Times New Roman"/>
          <w:sz w:val="20"/>
          <w:szCs w:val="20"/>
        </w:rPr>
        <w:t>ilarly unfavorable terms, which has occurred in the past and which could adversely affect our business, financial conditions, or results of operations.</w:t>
      </w:r>
    </w:p>
    <w:p w14:paraId="1446F69F" w14:textId="77777777" w:rsidR="00FE42B5" w:rsidRDefault="00FE42B5">
      <w:pPr>
        <w:rPr>
          <w:rFonts w:ascii="Times New Roman" w:hAnsi="Times New Roman"/>
          <w:sz w:val="20"/>
          <w:szCs w:val="20"/>
        </w:rPr>
      </w:pPr>
    </w:p>
    <w:p w14:paraId="1446F6A0"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66</w:t>
      </w:r>
    </w:p>
    <w:p w14:paraId="1446F6A1" w14:textId="77777777" w:rsidR="00FE42B5" w:rsidRDefault="009213DC">
      <w:r>
        <w:rPr>
          <w:rFonts w:ascii="Times New Roman" w:hAnsi="Times New Roman"/>
          <w:sz w:val="20"/>
          <w:szCs w:val="20"/>
        </w:rPr>
        <w:pict w14:anchorId="1446FB0A">
          <v:rect id="_x0000_i1090" style="width:415.3pt;height:1.5pt" o:hralign="center" o:hrstd="t" o:hr="t" fillcolor="#a0a0a0" stroked="f"/>
        </w:pict>
      </w:r>
    </w:p>
    <w:p w14:paraId="1446F6A2" w14:textId="77777777" w:rsidR="00FE42B5" w:rsidRDefault="009213DC">
      <w:pPr>
        <w:spacing w:line="288" w:lineRule="auto"/>
        <w:rPr>
          <w:rFonts w:ascii="Times New Roman" w:hAnsi="Times New Roman"/>
          <w:sz w:val="20"/>
          <w:szCs w:val="20"/>
        </w:rPr>
      </w:pPr>
      <w:hyperlink r:id="rId106" w:anchor="sBB4BED1571A45A16AF3DC2E3B69C901C" w:history="1">
        <w:r>
          <w:rPr>
            <w:rStyle w:val="a5"/>
            <w:rFonts w:ascii="Times New Roman" w:eastAsia="宋体" w:hAnsi="Times New Roman"/>
            <w:sz w:val="20"/>
            <w:szCs w:val="20"/>
          </w:rPr>
          <w:t>Table of Contents</w:t>
        </w:r>
      </w:hyperlink>
    </w:p>
    <w:p w14:paraId="1446F6A3" w14:textId="77777777" w:rsidR="00FE42B5" w:rsidRDefault="00FE42B5">
      <w:pPr>
        <w:rPr>
          <w:rFonts w:ascii="Times New Roman" w:hAnsi="Times New Roman"/>
          <w:sz w:val="20"/>
          <w:szCs w:val="20"/>
        </w:rPr>
      </w:pPr>
    </w:p>
    <w:p w14:paraId="1446F6A4"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may incur liability as a result of information retrieved from or transmitted over the Internet or published using our products or as a result of claims related to our products, an</w:t>
      </w:r>
      <w:r>
        <w:rPr>
          <w:rFonts w:ascii="Times New Roman" w:eastAsia="宋体" w:hAnsi="Times New Roman"/>
          <w:b/>
          <w:bCs/>
          <w:i/>
          <w:iCs/>
          <w:sz w:val="20"/>
          <w:szCs w:val="20"/>
        </w:rPr>
        <w:t>d legislation regulating content on our platform may require us to change our products or business practices.</w:t>
      </w:r>
    </w:p>
    <w:p w14:paraId="1446F6A5"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have faced, currently face, and will continue to face claims relating to information or content that is published or made available on our prod</w:t>
      </w:r>
      <w:r>
        <w:rPr>
          <w:rFonts w:ascii="Times New Roman" w:eastAsia="宋体" w:hAnsi="Times New Roman"/>
          <w:sz w:val="20"/>
          <w:szCs w:val="20"/>
        </w:rPr>
        <w:t>ucts, including our policies and enforcement actions with respect to such information or content. In particular, the nature of our business exposes us to claims related to defamation, dissemination of misinformation or news hoaxes, discrimination, harassme</w:t>
      </w:r>
      <w:r>
        <w:rPr>
          <w:rFonts w:ascii="Times New Roman" w:eastAsia="宋体" w:hAnsi="Times New Roman"/>
          <w:sz w:val="20"/>
          <w:szCs w:val="20"/>
        </w:rPr>
        <w:t xml:space="preserve">nt, intellectual property rights, rights of publicity and privacy, personal injury torts, laws regulating hate speech or other types of content, and breach of contract, among others. This risk is enhanced in certain jurisdictions outside the United States </w:t>
      </w:r>
      <w:r>
        <w:rPr>
          <w:rFonts w:ascii="Times New Roman" w:eastAsia="宋体" w:hAnsi="Times New Roman"/>
          <w:sz w:val="20"/>
          <w:szCs w:val="20"/>
        </w:rPr>
        <w:t>where our protection from liability for third-party actions may be unclear or where we may be less protected under local laws than we are in the United States. For example, in April 2019, the European Union passed a directive expanding online platform liab</w:t>
      </w:r>
      <w:r>
        <w:rPr>
          <w:rFonts w:ascii="Times New Roman" w:eastAsia="宋体" w:hAnsi="Times New Roman"/>
          <w:sz w:val="20"/>
          <w:szCs w:val="20"/>
        </w:rPr>
        <w:t>ility for copyright infringement and regulating certain uses of news content online, which member states must implement by June 2021. In addition, the European Union revised the European Audiovisual Media Service Directive, which must be implemented by mem</w:t>
      </w:r>
      <w:r>
        <w:rPr>
          <w:rFonts w:ascii="Times New Roman" w:eastAsia="宋体" w:hAnsi="Times New Roman"/>
          <w:sz w:val="20"/>
          <w:szCs w:val="20"/>
        </w:rPr>
        <w:t>ber states by September 2020, to apply to online video-sharing platforms. In the United States, there have been various Congressional efforts to restrict the scope of the protections available to online platforms under Section 230 of the Communications Dec</w:t>
      </w:r>
      <w:r>
        <w:rPr>
          <w:rFonts w:ascii="Times New Roman" w:eastAsia="宋体" w:hAnsi="Times New Roman"/>
          <w:sz w:val="20"/>
          <w:szCs w:val="20"/>
        </w:rPr>
        <w:t>ency Act, as well as to impose new obligations on online platforms with respect to counterfeit goods, and our current protections from liability for third-party content in the United States could decrease or change. We could incur significant costs investi</w:t>
      </w:r>
      <w:r>
        <w:rPr>
          <w:rFonts w:ascii="Times New Roman" w:eastAsia="宋体" w:hAnsi="Times New Roman"/>
          <w:sz w:val="20"/>
          <w:szCs w:val="20"/>
        </w:rPr>
        <w:t xml:space="preserve">gating and defending such claims and, if we are found liable, significant damages. We could also face fines or orders restricting or blocking our services in particular geographies as a result of content hosted on our services. For example, legislation in </w:t>
      </w:r>
      <w:r>
        <w:rPr>
          <w:rFonts w:ascii="Times New Roman" w:eastAsia="宋体" w:hAnsi="Times New Roman"/>
          <w:sz w:val="20"/>
          <w:szCs w:val="20"/>
        </w:rPr>
        <w:t>Germany has in the past, and may in the future, result in the imposition of fines for failure to comply with certain content removal, law enforcement cooperation, and disclosure obligations. Other countries, including Australia, France, Ireland, Singapore,</w:t>
      </w:r>
      <w:r>
        <w:rPr>
          <w:rFonts w:ascii="Times New Roman" w:eastAsia="宋体" w:hAnsi="Times New Roman"/>
          <w:sz w:val="20"/>
          <w:szCs w:val="20"/>
        </w:rPr>
        <w:t xml:space="preserve"> and the United Kingdom, are considering or have implemented similar legislation imposing penalties for failure to remove certain types of content or follow certain processes. Such legislation also has in the past, and may in the future, require us to chan</w:t>
      </w:r>
      <w:r>
        <w:rPr>
          <w:rFonts w:ascii="Times New Roman" w:eastAsia="宋体" w:hAnsi="Times New Roman"/>
          <w:sz w:val="20"/>
          <w:szCs w:val="20"/>
        </w:rPr>
        <w:t>ge our products or business practices, increase our compliance costs, or otherwise impact our operations or our ability to provide services in certain geographies. For example, the European Copyright Directive requires certain online services to obtain aut</w:t>
      </w:r>
      <w:r>
        <w:rPr>
          <w:rFonts w:ascii="Times New Roman" w:eastAsia="宋体" w:hAnsi="Times New Roman"/>
          <w:sz w:val="20"/>
          <w:szCs w:val="20"/>
        </w:rPr>
        <w:t>horizations for copyrighted content or to implement measures to prevent the availability of that content, which may require us to make substantial investments in compliance processes. If any of the foregoing events occur, our business and financial results</w:t>
      </w:r>
      <w:r>
        <w:rPr>
          <w:rFonts w:ascii="Times New Roman" w:eastAsia="宋体" w:hAnsi="Times New Roman"/>
          <w:sz w:val="20"/>
          <w:szCs w:val="20"/>
        </w:rPr>
        <w:t xml:space="preserve"> could be adversely affected.</w:t>
      </w:r>
    </w:p>
    <w:p w14:paraId="1446F6A6"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Our CEO has control over key decision making as a result of his control of a majority of the voting power of our outstanding capital stock.</w:t>
      </w:r>
    </w:p>
    <w:p w14:paraId="1446F6A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Mark Zuckerberg, our founder, Chairman, and CEO, is able to exercise voting rights wit</w:t>
      </w:r>
      <w:r>
        <w:rPr>
          <w:rFonts w:ascii="Times New Roman" w:eastAsia="宋体" w:hAnsi="Times New Roman"/>
          <w:sz w:val="20"/>
          <w:szCs w:val="20"/>
        </w:rPr>
        <w:t>h respect to a majority of the voting power of our outstanding capital stock and therefore has the ability to control the outcome of matters submitted to our stockholders for approval, including the election of directors and any merger, consolidation, or s</w:t>
      </w:r>
      <w:r>
        <w:rPr>
          <w:rFonts w:ascii="Times New Roman" w:eastAsia="宋体" w:hAnsi="Times New Roman"/>
          <w:sz w:val="20"/>
          <w:szCs w:val="20"/>
        </w:rPr>
        <w:t>ale of all or substantially all of our assets. This concentrated control could delay, defer, or prevent a change of control, merger, consolidation, or sale of all or substantially all of our assets that our other stockholders support, or conversely this co</w:t>
      </w:r>
      <w:r>
        <w:rPr>
          <w:rFonts w:ascii="Times New Roman" w:eastAsia="宋体" w:hAnsi="Times New Roman"/>
          <w:sz w:val="20"/>
          <w:szCs w:val="20"/>
        </w:rPr>
        <w:t>ncentrated control could result in the consummation of such a transaction that our other stockholders do not support. This concentrated control could also discourage a potential investor from acquiring our Class A common stock, which has limited voting pow</w:t>
      </w:r>
      <w:r>
        <w:rPr>
          <w:rFonts w:ascii="Times New Roman" w:eastAsia="宋体" w:hAnsi="Times New Roman"/>
          <w:sz w:val="20"/>
          <w:szCs w:val="20"/>
        </w:rPr>
        <w:t>er relative to the Class B common stock, and might harm the trading price of our Class A common stock. In addition, Mr. Zuckerberg has the ability to control the management and major strategic investments of our company as a result of his position as our C</w:t>
      </w:r>
      <w:r>
        <w:rPr>
          <w:rFonts w:ascii="Times New Roman" w:eastAsia="宋体" w:hAnsi="Times New Roman"/>
          <w:sz w:val="20"/>
          <w:szCs w:val="20"/>
        </w:rPr>
        <w:t>EO and his ability to control the election or replacement of our directors. In the event of his death, the shares of our capital stock that Mr. Zuckerberg owns will be transferred to the persons or entities that he has designated. As a board member and off</w:t>
      </w:r>
      <w:r>
        <w:rPr>
          <w:rFonts w:ascii="Times New Roman" w:eastAsia="宋体" w:hAnsi="Times New Roman"/>
          <w:sz w:val="20"/>
          <w:szCs w:val="20"/>
        </w:rPr>
        <w:t>icer, Mr. Zuckerberg owes a fiduciary duty to our stockholders and must act in good faith in a manner he reasonably believes to be in the best interests of our stockholders. As a stockholder, even a controlling stockholder, Mr. Zuckerberg is entitled to vo</w:t>
      </w:r>
      <w:r>
        <w:rPr>
          <w:rFonts w:ascii="Times New Roman" w:eastAsia="宋体" w:hAnsi="Times New Roman"/>
          <w:sz w:val="20"/>
          <w:szCs w:val="20"/>
        </w:rPr>
        <w:t>te his shares, and shares over which he has voting control as governed by a voting agreement, in his own interests, which may not always be in the interests of our stockholders generally.</w:t>
      </w:r>
    </w:p>
    <w:p w14:paraId="1446F6A8"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plan to continue to make acquisitions, which could harm our finan</w:t>
      </w:r>
      <w:r>
        <w:rPr>
          <w:rFonts w:ascii="Times New Roman" w:eastAsia="宋体" w:hAnsi="Times New Roman"/>
          <w:b/>
          <w:bCs/>
          <w:i/>
          <w:iCs/>
          <w:sz w:val="20"/>
          <w:szCs w:val="20"/>
        </w:rPr>
        <w:t>cial condition or results of operations and may adversely affect the price of our common stock.</w:t>
      </w:r>
    </w:p>
    <w:p w14:paraId="1446F6A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As part of our business strategy, we have made and intend to continue to make acquisitions to add specialized employees and complementary companies, products, o</w:t>
      </w:r>
      <w:r>
        <w:rPr>
          <w:rFonts w:ascii="Times New Roman" w:eastAsia="宋体" w:hAnsi="Times New Roman"/>
          <w:sz w:val="20"/>
          <w:szCs w:val="20"/>
        </w:rPr>
        <w:t>r technologies. We may not be able to find suitable acquisition candidates, and we may not be able to complete acquisitions on favorable terms, if at all. In some cases, the costs of such acquisitions may be substantial, and there is no assurance that we w</w:t>
      </w:r>
      <w:r>
        <w:rPr>
          <w:rFonts w:ascii="Times New Roman" w:eastAsia="宋体" w:hAnsi="Times New Roman"/>
          <w:sz w:val="20"/>
          <w:szCs w:val="20"/>
        </w:rPr>
        <w:t>ill receive a favorable return on investment for our acquisitions.</w:t>
      </w:r>
    </w:p>
    <w:p w14:paraId="1446F6A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may pay substantial amounts of cash or incur debt to pay for acquisitions, which could adversely affect our liquidity. </w:t>
      </w:r>
    </w:p>
    <w:p w14:paraId="1446F6AB" w14:textId="77777777" w:rsidR="00FE42B5" w:rsidRDefault="00FE42B5">
      <w:pPr>
        <w:rPr>
          <w:rFonts w:ascii="Times New Roman" w:hAnsi="Times New Roman"/>
          <w:sz w:val="20"/>
          <w:szCs w:val="20"/>
        </w:rPr>
      </w:pPr>
    </w:p>
    <w:p w14:paraId="1446F6AC"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67</w:t>
      </w:r>
    </w:p>
    <w:p w14:paraId="1446F6AD" w14:textId="77777777" w:rsidR="00FE42B5" w:rsidRDefault="009213DC">
      <w:r>
        <w:rPr>
          <w:rFonts w:ascii="Times New Roman" w:hAnsi="Times New Roman"/>
          <w:sz w:val="20"/>
          <w:szCs w:val="20"/>
        </w:rPr>
        <w:pict w14:anchorId="1446FB0B">
          <v:rect id="_x0000_i1091" style="width:415.3pt;height:1.5pt" o:hralign="center" o:hrstd="t" o:hr="t" fillcolor="#a0a0a0" stroked="f"/>
        </w:pict>
      </w:r>
    </w:p>
    <w:p w14:paraId="1446F6AE" w14:textId="77777777" w:rsidR="00FE42B5" w:rsidRDefault="009213DC">
      <w:pPr>
        <w:spacing w:line="288" w:lineRule="auto"/>
        <w:rPr>
          <w:rFonts w:ascii="Times New Roman" w:hAnsi="Times New Roman"/>
          <w:sz w:val="20"/>
          <w:szCs w:val="20"/>
        </w:rPr>
      </w:pPr>
      <w:hyperlink r:id="rId107" w:anchor="sBB4BED1571A45A16AF3DC2E3B69C901C" w:history="1">
        <w:r>
          <w:rPr>
            <w:rStyle w:val="a5"/>
            <w:rFonts w:ascii="Times New Roman" w:eastAsia="宋体" w:hAnsi="Times New Roman"/>
            <w:sz w:val="20"/>
            <w:szCs w:val="20"/>
          </w:rPr>
          <w:t>Table of Contents</w:t>
        </w:r>
      </w:hyperlink>
    </w:p>
    <w:p w14:paraId="1446F6AF" w14:textId="77777777" w:rsidR="00FE42B5" w:rsidRDefault="00FE42B5">
      <w:pPr>
        <w:rPr>
          <w:rFonts w:ascii="Times New Roman" w:hAnsi="Times New Roman"/>
          <w:sz w:val="20"/>
          <w:szCs w:val="20"/>
        </w:rPr>
      </w:pPr>
    </w:p>
    <w:p w14:paraId="1446F6B0"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 xml:space="preserve">The incurrence of indebtedness would also result in increased fixed obligations and </w:t>
      </w:r>
      <w:r>
        <w:rPr>
          <w:rFonts w:ascii="Times New Roman" w:eastAsia="宋体" w:hAnsi="Times New Roman"/>
          <w:sz w:val="20"/>
          <w:szCs w:val="20"/>
        </w:rPr>
        <w:t>increased interest expense, and could also include covenants or other restrictions that would impede our ability to manage our operations. We may also issue equity securities to pay for acquisitions and we regularly grant RSUs to retain the employees of ac</w:t>
      </w:r>
      <w:r>
        <w:rPr>
          <w:rFonts w:ascii="Times New Roman" w:eastAsia="宋体" w:hAnsi="Times New Roman"/>
          <w:sz w:val="20"/>
          <w:szCs w:val="20"/>
        </w:rPr>
        <w:t>quired companies, which could increase our expenses, adversely affect our financial results, and result in dilution to our stockholders. In addition, any acquisitions we announce could be viewed negatively by users, marketers, developers, or investors, whi</w:t>
      </w:r>
      <w:r>
        <w:rPr>
          <w:rFonts w:ascii="Times New Roman" w:eastAsia="宋体" w:hAnsi="Times New Roman"/>
          <w:sz w:val="20"/>
          <w:szCs w:val="20"/>
        </w:rPr>
        <w:t>ch may adversely affect our business or the price of our Class A common stock.</w:t>
      </w:r>
    </w:p>
    <w:p w14:paraId="1446F6B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may also discover liabilities or deficiencies associated with the companies or assets we acquire that were not identified in advance, which may result in significant unantici</w:t>
      </w:r>
      <w:r>
        <w:rPr>
          <w:rFonts w:ascii="Times New Roman" w:eastAsia="宋体" w:hAnsi="Times New Roman"/>
          <w:sz w:val="20"/>
          <w:szCs w:val="20"/>
        </w:rPr>
        <w:t>pated costs. The effectiveness of our due diligence review and our ability to evaluate the results of such due diligence are dependent upon the accuracy and completeness of statements and disclosures made or actions taken by the companies we acquire or the</w:t>
      </w:r>
      <w:r>
        <w:rPr>
          <w:rFonts w:ascii="Times New Roman" w:eastAsia="宋体" w:hAnsi="Times New Roman"/>
          <w:sz w:val="20"/>
          <w:szCs w:val="20"/>
        </w:rPr>
        <w:t>ir representatives, as well as the limited amount of time in which acquisitions are executed. In addition, we may fail to accurately forecast the financial impact of an acquisition transaction, including tax and accounting charges. Acquisitions may also re</w:t>
      </w:r>
      <w:r>
        <w:rPr>
          <w:rFonts w:ascii="Times New Roman" w:eastAsia="宋体" w:hAnsi="Times New Roman"/>
          <w:sz w:val="20"/>
          <w:szCs w:val="20"/>
        </w:rPr>
        <w:t>sult in our recording of significant additional expenses to our results of operations and recording of substantial finite-lived intangible assets on our balance sheet upon closing. Any of these factors may adversely affect our financial condition or result</w:t>
      </w:r>
      <w:r>
        <w:rPr>
          <w:rFonts w:ascii="Times New Roman" w:eastAsia="宋体" w:hAnsi="Times New Roman"/>
          <w:sz w:val="20"/>
          <w:szCs w:val="20"/>
        </w:rPr>
        <w:t>s of operations.</w:t>
      </w:r>
    </w:p>
    <w:p w14:paraId="1446F6B2"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may not be able to successfully integrate our acquisitions, and we may incur significant costs to integrate and support the companies we acquire.</w:t>
      </w:r>
    </w:p>
    <w:p w14:paraId="1446F6B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integration of acquisitions requires significant time and resources, and we may not ma</w:t>
      </w:r>
      <w:r>
        <w:rPr>
          <w:rFonts w:ascii="Times New Roman" w:eastAsia="宋体" w:hAnsi="Times New Roman"/>
          <w:sz w:val="20"/>
          <w:szCs w:val="20"/>
        </w:rPr>
        <w:t xml:space="preserve">nage these processes successfully. Our ability to successfully integrate complex acquisitions is unproven, particularly with respect to companies that have significant operations or that develop products where we do not have prior experience. For example, </w:t>
      </w:r>
      <w:r>
        <w:rPr>
          <w:rFonts w:ascii="Times New Roman" w:eastAsia="宋体" w:hAnsi="Times New Roman"/>
          <w:sz w:val="20"/>
          <w:szCs w:val="20"/>
        </w:rPr>
        <w:t>the technology and products we acquired from Oculus were relatively new to Facebook at the time of the acquisition, and we did not have significant experience with, or structure in place to support, such technology and products prior to the acquisition. We</w:t>
      </w:r>
      <w:r>
        <w:rPr>
          <w:rFonts w:ascii="Times New Roman" w:eastAsia="宋体" w:hAnsi="Times New Roman"/>
          <w:sz w:val="20"/>
          <w:szCs w:val="20"/>
        </w:rPr>
        <w:t xml:space="preserve"> continue to make substantial investments of resources to support our acquisitions, which will result in significant ongoing operating expenses and may divert resources and management attention from other areas of our business. We cannot assure you that th</w:t>
      </w:r>
      <w:r>
        <w:rPr>
          <w:rFonts w:ascii="Times New Roman" w:eastAsia="宋体" w:hAnsi="Times New Roman"/>
          <w:sz w:val="20"/>
          <w:szCs w:val="20"/>
        </w:rPr>
        <w:t>ese investments will be successful. If we fail to successfully integrate the companies we acquire, we may not realize the benefits expected from the transaction and our business may be harmed.</w:t>
      </w:r>
    </w:p>
    <w:p w14:paraId="1446F6B4"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If our goodwill or finite-lived intangible assets become impair</w:t>
      </w:r>
      <w:r>
        <w:rPr>
          <w:rFonts w:ascii="Times New Roman" w:eastAsia="宋体" w:hAnsi="Times New Roman"/>
          <w:b/>
          <w:bCs/>
          <w:i/>
          <w:iCs/>
          <w:sz w:val="20"/>
          <w:szCs w:val="20"/>
        </w:rPr>
        <w:t>ed, we may be required to record a significant charge to earnings. </w:t>
      </w:r>
    </w:p>
    <w:p w14:paraId="1446F6B5"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review our finite-lived intangible assets for impairment when events or changes in circumstances indicate the carrying value may not be recoverable, such as a decline in stock price and</w:t>
      </w:r>
      <w:r>
        <w:rPr>
          <w:rFonts w:ascii="Times New Roman" w:eastAsia="宋体" w:hAnsi="Times New Roman"/>
          <w:sz w:val="20"/>
          <w:szCs w:val="20"/>
        </w:rPr>
        <w:t xml:space="preserve"> market capitalization. We test goodwill for impairment at least annually. If such goodwill or finite-lived intangible assets are deemed to be impaired, an impairment loss equal to the amount by which the carrying amount exceeds the fair value of the asset</w:t>
      </w:r>
      <w:r>
        <w:rPr>
          <w:rFonts w:ascii="Times New Roman" w:eastAsia="宋体" w:hAnsi="Times New Roman"/>
          <w:sz w:val="20"/>
          <w:szCs w:val="20"/>
        </w:rPr>
        <w:t>s would be recognized. We may be required to record a significant charge in our financial statements during the period in which any impairment of our goodwill or finite-lived intangible assets is determined, which would negatively affect our results of ope</w:t>
      </w:r>
      <w:r>
        <w:rPr>
          <w:rFonts w:ascii="Times New Roman" w:eastAsia="宋体" w:hAnsi="Times New Roman"/>
          <w:sz w:val="20"/>
          <w:szCs w:val="20"/>
        </w:rPr>
        <w:t>rations.</w:t>
      </w:r>
    </w:p>
    <w:p w14:paraId="1446F6B6"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Our business is dependent on our ability to maintain and scale our technical infrastructure, and any significant disruption in our service, including as a result of the COVID-19 pandemic, could damage our reputation, result in a potential loss of </w:t>
      </w:r>
      <w:r>
        <w:rPr>
          <w:rFonts w:ascii="Times New Roman" w:eastAsia="宋体" w:hAnsi="Times New Roman"/>
          <w:b/>
          <w:bCs/>
          <w:i/>
          <w:iCs/>
          <w:sz w:val="20"/>
          <w:szCs w:val="20"/>
        </w:rPr>
        <w:t>users and engagement, and adversely affect our financial results.</w:t>
      </w:r>
    </w:p>
    <w:p w14:paraId="1446F6B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reputation and ability to attract, retain, and serve our users is dependent upon the reliable performance of our products and our underlying technical infrastructure. We have in the past</w:t>
      </w:r>
      <w:r>
        <w:rPr>
          <w:rFonts w:ascii="Times New Roman" w:eastAsia="宋体" w:hAnsi="Times New Roman"/>
          <w:sz w:val="20"/>
          <w:szCs w:val="20"/>
        </w:rPr>
        <w:t xml:space="preserve"> experienced, and may in the future experience, interruptions in the availability or performance of our products from time to time. Our systems may not be adequately designed or may not operate with the reliability and redundancy necessary to avoid perform</w:t>
      </w:r>
      <w:r>
        <w:rPr>
          <w:rFonts w:ascii="Times New Roman" w:eastAsia="宋体" w:hAnsi="Times New Roman"/>
          <w:sz w:val="20"/>
          <w:szCs w:val="20"/>
        </w:rPr>
        <w:t>ance delays or outages that could be harmful to our business. If our products are unavailable when users attempt to access them, or if they do not load as quickly as expected, users may not use our products as often in the future, or at all, and our abilit</w:t>
      </w:r>
      <w:r>
        <w:rPr>
          <w:rFonts w:ascii="Times New Roman" w:eastAsia="宋体" w:hAnsi="Times New Roman"/>
          <w:sz w:val="20"/>
          <w:szCs w:val="20"/>
        </w:rPr>
        <w:t>y to serve ads may be disrupted, any of which could adversely affect our business and financial performance. As the amount and types of information shared on Facebook and our other products continue to grow and evolve, as the usage patterns of our global c</w:t>
      </w:r>
      <w:r>
        <w:rPr>
          <w:rFonts w:ascii="Times New Roman" w:eastAsia="宋体" w:hAnsi="Times New Roman"/>
          <w:sz w:val="20"/>
          <w:szCs w:val="20"/>
        </w:rPr>
        <w:t>ommunity continue to evolve, and as our internal operational demands continue to grow, we will need an increasing amount of technical infrastructure, including network capacity and computing power, to continue to satisfy our needs. It is possible that we m</w:t>
      </w:r>
      <w:r>
        <w:rPr>
          <w:rFonts w:ascii="Times New Roman" w:eastAsia="宋体" w:hAnsi="Times New Roman"/>
          <w:sz w:val="20"/>
          <w:szCs w:val="20"/>
        </w:rPr>
        <w:t>ay fail to continue to effectively scale and grow our technical infrastructure to accommodate these increased demands, which may adversely affect our user engagement and advertising revenue growth. In addition, our business may be subject to interruptions,</w:t>
      </w:r>
      <w:r>
        <w:rPr>
          <w:rFonts w:ascii="Times New Roman" w:eastAsia="宋体" w:hAnsi="Times New Roman"/>
          <w:sz w:val="20"/>
          <w:szCs w:val="20"/>
        </w:rPr>
        <w:t xml:space="preserve"> delays, or failures resulting from earthquakes, adverse weather conditions, other natural disasters, power loss, terrorism, geopolitical conflict, other physical security threats, cyber-attacks, or other catastrophic events. If such an event were to occur</w:t>
      </w:r>
      <w:r>
        <w:rPr>
          <w:rFonts w:ascii="Times New Roman" w:eastAsia="宋体" w:hAnsi="Times New Roman"/>
          <w:sz w:val="20"/>
          <w:szCs w:val="20"/>
        </w:rPr>
        <w:t xml:space="preserve">, users may be subject to service disruptions or outages and we may not be able to recover our technical infrastructure and user data in a timely manner to restart </w:t>
      </w:r>
    </w:p>
    <w:p w14:paraId="1446F6B8" w14:textId="77777777" w:rsidR="00FE42B5" w:rsidRDefault="00FE42B5">
      <w:pPr>
        <w:rPr>
          <w:rFonts w:ascii="Times New Roman" w:hAnsi="Times New Roman"/>
          <w:sz w:val="20"/>
          <w:szCs w:val="20"/>
        </w:rPr>
      </w:pPr>
    </w:p>
    <w:p w14:paraId="1446F6B9"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68</w:t>
      </w:r>
    </w:p>
    <w:p w14:paraId="1446F6BA" w14:textId="77777777" w:rsidR="00FE42B5" w:rsidRDefault="009213DC">
      <w:r>
        <w:rPr>
          <w:rFonts w:ascii="Times New Roman" w:hAnsi="Times New Roman"/>
          <w:sz w:val="20"/>
          <w:szCs w:val="20"/>
        </w:rPr>
        <w:pict w14:anchorId="1446FB0C">
          <v:rect id="_x0000_i1092" style="width:415.3pt;height:1.5pt" o:hralign="center" o:hrstd="t" o:hr="t" fillcolor="#a0a0a0" stroked="f"/>
        </w:pict>
      </w:r>
    </w:p>
    <w:p w14:paraId="1446F6BB" w14:textId="77777777" w:rsidR="00FE42B5" w:rsidRDefault="009213DC">
      <w:pPr>
        <w:spacing w:line="288" w:lineRule="auto"/>
        <w:rPr>
          <w:rFonts w:ascii="Times New Roman" w:hAnsi="Times New Roman"/>
          <w:sz w:val="20"/>
          <w:szCs w:val="20"/>
        </w:rPr>
      </w:pPr>
      <w:hyperlink r:id="rId108" w:anchor="sBB4BED1571A45A16AF3DC2E3B69C901C" w:history="1">
        <w:r>
          <w:rPr>
            <w:rStyle w:val="a5"/>
            <w:rFonts w:ascii="Times New Roman" w:eastAsia="宋体" w:hAnsi="Times New Roman"/>
            <w:sz w:val="20"/>
            <w:szCs w:val="20"/>
          </w:rPr>
          <w:t>Table of Contents</w:t>
        </w:r>
      </w:hyperlink>
    </w:p>
    <w:p w14:paraId="1446F6BC" w14:textId="77777777" w:rsidR="00FE42B5" w:rsidRDefault="00FE42B5">
      <w:pPr>
        <w:rPr>
          <w:rFonts w:ascii="Times New Roman" w:hAnsi="Times New Roman"/>
          <w:sz w:val="20"/>
          <w:szCs w:val="20"/>
        </w:rPr>
      </w:pPr>
    </w:p>
    <w:p w14:paraId="1446F6BD"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or provide our services, which may adversely affect our financial results.</w:t>
      </w:r>
    </w:p>
    <w:p w14:paraId="1446F6B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For example, the significant and rapid increase in the use of our products that we experienced</w:t>
      </w:r>
      <w:r>
        <w:rPr>
          <w:rFonts w:ascii="Times New Roman" w:eastAsia="宋体" w:hAnsi="Times New Roman"/>
          <w:sz w:val="20"/>
          <w:szCs w:val="20"/>
        </w:rPr>
        <w:t xml:space="preserve"> as a result of the COVID-19 pandemic has increased demands on our technical infrastructure. Additional product development efforts during this time may put additional pressure on our technical infrastructure. We may not be able to accommodate these demand</w:t>
      </w:r>
      <w:r>
        <w:rPr>
          <w:rFonts w:ascii="Times New Roman" w:eastAsia="宋体" w:hAnsi="Times New Roman"/>
          <w:sz w:val="20"/>
          <w:szCs w:val="20"/>
        </w:rPr>
        <w:t>s, including as a result of our reduced data center operations and personnel working remotely during the pandemic.</w:t>
      </w:r>
    </w:p>
    <w:p w14:paraId="1446F6B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 substantial portion of our network infrastructure is provided by third parties. Any disruption or failure in the services we receive from t</w:t>
      </w:r>
      <w:r>
        <w:rPr>
          <w:rFonts w:ascii="Times New Roman" w:eastAsia="宋体" w:hAnsi="Times New Roman"/>
          <w:sz w:val="20"/>
          <w:szCs w:val="20"/>
        </w:rPr>
        <w:t>hese providers could harm our ability to handle existing or increased traffic and could significantly harm our business. Any financial or other difficulties these providers face may adversely affect our business, and we exercise little control over these p</w:t>
      </w:r>
      <w:r>
        <w:rPr>
          <w:rFonts w:ascii="Times New Roman" w:eastAsia="宋体" w:hAnsi="Times New Roman"/>
          <w:sz w:val="20"/>
          <w:szCs w:val="20"/>
        </w:rPr>
        <w:t>roviders, which increases our vulnerability to problems with the services they provide. The effects of the COVID-19 pandemic have increased the risk of supply shortages or other disruptions in logistics or the supply chain for our technical infrastructure.</w:t>
      </w:r>
      <w:r>
        <w:rPr>
          <w:rFonts w:ascii="Times New Roman" w:eastAsia="宋体" w:hAnsi="Times New Roman"/>
          <w:sz w:val="20"/>
          <w:szCs w:val="20"/>
        </w:rPr>
        <w:t xml:space="preserve"> As a result, we may not be able to procure sufficient equipment or services from third parties to satisfy our needs, or we may be required to procure such services or equipment on unfavorable terms. </w:t>
      </w:r>
    </w:p>
    <w:p w14:paraId="1446F6C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Any of these developments may result in interruptions i</w:t>
      </w:r>
      <w:r>
        <w:rPr>
          <w:rFonts w:ascii="Times New Roman" w:eastAsia="宋体" w:hAnsi="Times New Roman"/>
          <w:sz w:val="20"/>
          <w:szCs w:val="20"/>
        </w:rPr>
        <w:t xml:space="preserve">n the availability or performance of our products, require unfavorable changes to existing products, delay the introduction of future products, or otherwise adversely affect our business and financial results. </w:t>
      </w:r>
    </w:p>
    <w:p w14:paraId="1446F6C1"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could experience unforeseen difficulties i</w:t>
      </w:r>
      <w:r>
        <w:rPr>
          <w:rFonts w:ascii="Times New Roman" w:eastAsia="宋体" w:hAnsi="Times New Roman"/>
          <w:b/>
          <w:bCs/>
          <w:i/>
          <w:iCs/>
          <w:sz w:val="20"/>
          <w:szCs w:val="20"/>
        </w:rPr>
        <w:t>n building and operating key portions of our technical infrastructure.</w:t>
      </w:r>
    </w:p>
    <w:p w14:paraId="1446F6C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have designed and built our own data centers and key portions of our technical infrastructure through which we serve our products, and we plan to continue to significantly expand the</w:t>
      </w:r>
      <w:r>
        <w:rPr>
          <w:rFonts w:ascii="Times New Roman" w:eastAsia="宋体" w:hAnsi="Times New Roman"/>
          <w:sz w:val="20"/>
          <w:szCs w:val="20"/>
        </w:rPr>
        <w:t xml:space="preserve"> size of our infrastructure primarily through data centers and other projects. The infrastructure expansion we are undertaking is complex and involves projects in multiple locations, and we have had to suspend certain of these projects as a result of the C</w:t>
      </w:r>
      <w:r>
        <w:rPr>
          <w:rFonts w:ascii="Times New Roman" w:eastAsia="宋体" w:hAnsi="Times New Roman"/>
          <w:sz w:val="20"/>
          <w:szCs w:val="20"/>
        </w:rPr>
        <w:t>OVID-19 pandemic. Additional unanticipated delays or disruptions in the completion of these projects, including due to any shortage of labor necessary in building portions of such projects, or availability of components, challenges in obtaining required go</w:t>
      </w:r>
      <w:r>
        <w:rPr>
          <w:rFonts w:ascii="Times New Roman" w:eastAsia="宋体" w:hAnsi="Times New Roman"/>
          <w:sz w:val="20"/>
          <w:szCs w:val="20"/>
        </w:rPr>
        <w:t>vernment or regulatory approvals, or other geopolitical challenges or actions by governments, whether as a result of the pandemic or otherwise, may lead to increased project costs, operational inefficiencies, or interruptions in the delivery or degradation</w:t>
      </w:r>
      <w:r>
        <w:rPr>
          <w:rFonts w:ascii="Times New Roman" w:eastAsia="宋体" w:hAnsi="Times New Roman"/>
          <w:sz w:val="20"/>
          <w:szCs w:val="20"/>
        </w:rPr>
        <w:t xml:space="preserve"> of the quality or reliability of our products. In addition, there may be issues related to this infrastructure that are not identified during the testing phases of design and implementation, which may only become evident after we have started to fully uti</w:t>
      </w:r>
      <w:r>
        <w:rPr>
          <w:rFonts w:ascii="Times New Roman" w:eastAsia="宋体" w:hAnsi="Times New Roman"/>
          <w:sz w:val="20"/>
          <w:szCs w:val="20"/>
        </w:rPr>
        <w:t>lize the underlying equipment, that could further degrade the user experience or increase our costs. Any of these events could adversely affect our business, reputation, or financial results.</w:t>
      </w:r>
    </w:p>
    <w:p w14:paraId="1446F6C3"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Our products and internal systems rely on software and </w:t>
      </w:r>
      <w:r>
        <w:rPr>
          <w:rFonts w:ascii="Times New Roman" w:eastAsia="宋体" w:hAnsi="Times New Roman"/>
          <w:b/>
          <w:bCs/>
          <w:i/>
          <w:iCs/>
          <w:sz w:val="20"/>
          <w:szCs w:val="20"/>
        </w:rPr>
        <w:t>hardware that is highly technical, and any errors, bugs, or vulnerabilities in these systems, or failures to address or mitigate technical limitations in our systems, could adversely affect our business.</w:t>
      </w:r>
    </w:p>
    <w:p w14:paraId="1446F6C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products and internal systems rely on software a</w:t>
      </w:r>
      <w:r>
        <w:rPr>
          <w:rFonts w:ascii="Times New Roman" w:eastAsia="宋体" w:hAnsi="Times New Roman"/>
          <w:sz w:val="20"/>
          <w:szCs w:val="20"/>
        </w:rPr>
        <w:t>nd hardware, including software and hardware developed or maintained internally and/or by third parties, that is highly technical and complex. In addition, our products and internal systems depend on the ability of such software and hardware to store, retr</w:t>
      </w:r>
      <w:r>
        <w:rPr>
          <w:rFonts w:ascii="Times New Roman" w:eastAsia="宋体" w:hAnsi="Times New Roman"/>
          <w:sz w:val="20"/>
          <w:szCs w:val="20"/>
        </w:rPr>
        <w:t xml:space="preserve">ieve, process, and manage immense amounts of data. The software and hardware on which we rely has contained, and will in the future contain, errors, bugs, or vulnerabilities, and our systems are subject to certain technical limitations that may compromise </w:t>
      </w:r>
      <w:r>
        <w:rPr>
          <w:rFonts w:ascii="Times New Roman" w:eastAsia="宋体" w:hAnsi="Times New Roman"/>
          <w:sz w:val="20"/>
          <w:szCs w:val="20"/>
        </w:rPr>
        <w:t>our ability to meet our objectives. Some errors, bugs, or vulnerabilities inherently may be difficult to detect and may only be discovered after the code has been released for external or internal use. For example, in September 2018, we announced our disco</w:t>
      </w:r>
      <w:r>
        <w:rPr>
          <w:rFonts w:ascii="Times New Roman" w:eastAsia="宋体" w:hAnsi="Times New Roman"/>
          <w:sz w:val="20"/>
          <w:szCs w:val="20"/>
        </w:rPr>
        <w:t xml:space="preserve">very of a third-party cyber-attack that exploited a vulnerability in Facebook's code to steal user access tokens and access certain profile information from user accounts on Facebook. Errors, bugs, vulnerabilities, design defects, or technical limitations </w:t>
      </w:r>
      <w:r>
        <w:rPr>
          <w:rFonts w:ascii="Times New Roman" w:eastAsia="宋体" w:hAnsi="Times New Roman"/>
          <w:sz w:val="20"/>
          <w:szCs w:val="20"/>
        </w:rPr>
        <w:t>within the software and hardware on which we rely have in the past led to, and may in the future lead to, outcomes including a negative experience for users and marketers who use our products, compromised ability of our products to perform in a manner cons</w:t>
      </w:r>
      <w:r>
        <w:rPr>
          <w:rFonts w:ascii="Times New Roman" w:eastAsia="宋体" w:hAnsi="Times New Roman"/>
          <w:sz w:val="20"/>
          <w:szCs w:val="20"/>
        </w:rPr>
        <w:t xml:space="preserve">istent with our terms, contracts, or policies, delayed product introductions or enhancements, targeting, measurement, or billing errors, compromised ability to protect the data of our users and/or our intellectual property, or reductions in our ability to </w:t>
      </w:r>
      <w:r>
        <w:rPr>
          <w:rFonts w:ascii="Times New Roman" w:eastAsia="宋体" w:hAnsi="Times New Roman"/>
          <w:sz w:val="20"/>
          <w:szCs w:val="20"/>
        </w:rPr>
        <w:t>provide some or all of our services. For example, we make commitments to our users as to how their data will be used within and across our products, and our systems are subject to errors, bugs and technical limitations that may prevent us from fulfilling t</w:t>
      </w:r>
      <w:r>
        <w:rPr>
          <w:rFonts w:ascii="Times New Roman" w:eastAsia="宋体" w:hAnsi="Times New Roman"/>
          <w:sz w:val="20"/>
          <w:szCs w:val="20"/>
        </w:rPr>
        <w:t>hese commitments reliably. In addition, any errors, bugs, vulnerabilities, or defects in our systems or the software and hardware on which we rely, failures to properly address or mitigate the technical limitations in our systems, or associated degradation</w:t>
      </w:r>
      <w:r>
        <w:rPr>
          <w:rFonts w:ascii="Times New Roman" w:eastAsia="宋体" w:hAnsi="Times New Roman"/>
          <w:sz w:val="20"/>
          <w:szCs w:val="20"/>
        </w:rPr>
        <w:t>s or interruptions of service or failures to fulfill our commitments to our users, have in the past led to, and may in the future lead to, outcomes including damage to our reputation, loss of users, loss of marketers, loss of revenue, regulatory inquiries,</w:t>
      </w:r>
      <w:r>
        <w:rPr>
          <w:rFonts w:ascii="Times New Roman" w:eastAsia="宋体" w:hAnsi="Times New Roman"/>
          <w:sz w:val="20"/>
          <w:szCs w:val="20"/>
        </w:rPr>
        <w:t xml:space="preserve"> litigation, or liability for fines, damages, or other remedies, any of which could adversely affect our business and financial results.</w:t>
      </w:r>
    </w:p>
    <w:p w14:paraId="1446F6C5" w14:textId="77777777" w:rsidR="00FE42B5" w:rsidRDefault="00FE42B5">
      <w:pPr>
        <w:rPr>
          <w:rFonts w:ascii="Times New Roman" w:hAnsi="Times New Roman"/>
          <w:sz w:val="20"/>
          <w:szCs w:val="20"/>
        </w:rPr>
      </w:pPr>
    </w:p>
    <w:p w14:paraId="1446F6C6"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69</w:t>
      </w:r>
    </w:p>
    <w:p w14:paraId="1446F6C7" w14:textId="77777777" w:rsidR="00FE42B5" w:rsidRDefault="009213DC">
      <w:r>
        <w:rPr>
          <w:rFonts w:ascii="Times New Roman" w:hAnsi="Times New Roman"/>
          <w:sz w:val="20"/>
          <w:szCs w:val="20"/>
        </w:rPr>
        <w:pict w14:anchorId="1446FB0D">
          <v:rect id="_x0000_i1093" style="width:415.3pt;height:1.5pt" o:hralign="center" o:hrstd="t" o:hr="t" fillcolor="#a0a0a0" stroked="f"/>
        </w:pict>
      </w:r>
    </w:p>
    <w:p w14:paraId="1446F6C8" w14:textId="77777777" w:rsidR="00FE42B5" w:rsidRDefault="009213DC">
      <w:pPr>
        <w:spacing w:line="288" w:lineRule="auto"/>
        <w:rPr>
          <w:rFonts w:ascii="Times New Roman" w:hAnsi="Times New Roman"/>
          <w:sz w:val="20"/>
          <w:szCs w:val="20"/>
        </w:rPr>
      </w:pPr>
      <w:hyperlink r:id="rId109" w:anchor="sBB4BED1571A45A16AF3DC2E3B69C901C" w:history="1">
        <w:r>
          <w:rPr>
            <w:rStyle w:val="a5"/>
            <w:rFonts w:ascii="Times New Roman" w:eastAsia="宋体" w:hAnsi="Times New Roman"/>
            <w:sz w:val="20"/>
            <w:szCs w:val="20"/>
          </w:rPr>
          <w:t>Table of Contents</w:t>
        </w:r>
      </w:hyperlink>
    </w:p>
    <w:p w14:paraId="1446F6C9" w14:textId="77777777" w:rsidR="00FE42B5" w:rsidRDefault="00FE42B5">
      <w:pPr>
        <w:rPr>
          <w:rFonts w:ascii="Times New Roman" w:hAnsi="Times New Roman"/>
          <w:sz w:val="20"/>
          <w:szCs w:val="20"/>
        </w:rPr>
      </w:pPr>
    </w:p>
    <w:p w14:paraId="1446F6CA"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Technologies have been developed that can block the display of our ads, which could adversely affect our financial results.</w:t>
      </w:r>
    </w:p>
    <w:p w14:paraId="1446F6CB" w14:textId="77777777" w:rsidR="00FE42B5" w:rsidRDefault="00FE42B5">
      <w:pPr>
        <w:spacing w:line="288" w:lineRule="auto"/>
        <w:ind w:firstLine="720"/>
        <w:jc w:val="both"/>
        <w:rPr>
          <w:rFonts w:ascii="Times New Roman" w:hAnsi="Times New Roman"/>
          <w:sz w:val="20"/>
          <w:szCs w:val="20"/>
        </w:rPr>
      </w:pPr>
    </w:p>
    <w:p w14:paraId="1446F6C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Technologies have been developed, and will likely continue to be develop</w:t>
      </w:r>
      <w:r>
        <w:rPr>
          <w:rFonts w:ascii="Times New Roman" w:eastAsia="宋体" w:hAnsi="Times New Roman"/>
          <w:sz w:val="20"/>
          <w:szCs w:val="20"/>
        </w:rPr>
        <w:t>ed, that can block the display of our ads or block our ad measurement tools, particularly for advertising displayed on personal computers. We generate substantially all of our revenue from advertising, including revenue resulting from the display of ads on</w:t>
      </w:r>
      <w:r>
        <w:rPr>
          <w:rFonts w:ascii="Times New Roman" w:eastAsia="宋体" w:hAnsi="Times New Roman"/>
          <w:sz w:val="20"/>
          <w:szCs w:val="20"/>
        </w:rPr>
        <w:t xml:space="preserve"> personal computers. Revenue generated from the display of ads on personal computers has been impacted by these technologies from time to time. As a result, these technologies have had an adverse effect on our financial results and, if such technologies co</w:t>
      </w:r>
      <w:r>
        <w:rPr>
          <w:rFonts w:ascii="Times New Roman" w:eastAsia="宋体" w:hAnsi="Times New Roman"/>
          <w:sz w:val="20"/>
          <w:szCs w:val="20"/>
        </w:rPr>
        <w:t>ntinue to proliferate, in particular with respect to mobile platforms, our future financial results may be harmed.</w:t>
      </w:r>
    </w:p>
    <w:p w14:paraId="1446F6CD" w14:textId="77777777" w:rsidR="00FE42B5" w:rsidRDefault="00FE42B5">
      <w:pPr>
        <w:spacing w:line="288" w:lineRule="auto"/>
        <w:jc w:val="both"/>
        <w:rPr>
          <w:rFonts w:ascii="Times New Roman" w:hAnsi="Times New Roman"/>
          <w:sz w:val="20"/>
          <w:szCs w:val="20"/>
        </w:rPr>
      </w:pPr>
    </w:p>
    <w:p w14:paraId="1446F6CE"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Real or perceived inaccuracies in our community and other metrics may harm our reputation and negatively affect our business.</w:t>
      </w:r>
    </w:p>
    <w:p w14:paraId="1446F6CF" w14:textId="77777777" w:rsidR="00FE42B5" w:rsidRDefault="00FE42B5">
      <w:pPr>
        <w:spacing w:line="288" w:lineRule="auto"/>
        <w:ind w:firstLine="720"/>
        <w:jc w:val="both"/>
        <w:rPr>
          <w:rFonts w:ascii="Times New Roman" w:hAnsi="Times New Roman"/>
          <w:sz w:val="20"/>
          <w:szCs w:val="20"/>
        </w:rPr>
      </w:pPr>
    </w:p>
    <w:p w14:paraId="1446F6D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f</w:t>
      </w:r>
      <w:r>
        <w:rPr>
          <w:rFonts w:ascii="Times New Roman" w:eastAsia="宋体" w:hAnsi="Times New Roman"/>
          <w:sz w:val="20"/>
          <w:szCs w:val="20"/>
        </w:rPr>
        <w:t>or our key metrics, which include our Facebook metrics (DAUs, MAUs, and average revenue per user (ARPU)) and Family metrics (DAP, MAP, and average revenue per person (ARPP)), are calculated using internal company data based on the activity of user accounts</w:t>
      </w:r>
      <w:r>
        <w:rPr>
          <w:rFonts w:ascii="Times New Roman" w:eastAsia="宋体" w:hAnsi="Times New Roman"/>
          <w:sz w:val="20"/>
          <w:szCs w:val="20"/>
        </w:rPr>
        <w:t xml:space="preserve">. While these numbers are based on what we believe to be reasonable estimates of our user base for the applicable period of measurement, there are inherent challenges in measuring usage of our products across large online and mobile populations around the </w:t>
      </w:r>
      <w:r>
        <w:rPr>
          <w:rFonts w:ascii="Times New Roman" w:eastAsia="宋体" w:hAnsi="Times New Roman"/>
          <w:sz w:val="20"/>
          <w:szCs w:val="20"/>
        </w:rPr>
        <w:t>world. The methodologies used to measure these metrics require significant judgment and are also susceptible to algorithm or other technical errors. In addition, we are continually seeking to improve our estimates of our user base, and such estimates may c</w:t>
      </w:r>
      <w:r>
        <w:rPr>
          <w:rFonts w:ascii="Times New Roman" w:eastAsia="宋体" w:hAnsi="Times New Roman"/>
          <w:sz w:val="20"/>
          <w:szCs w:val="20"/>
        </w:rPr>
        <w:t>hange due to improvements or changes in our methodology. We regularly review our processes for calculating these metrics, and from time to time we discover inaccuracies in our metrics or make adjustments to improve their accuracy, which can result in adjus</w:t>
      </w:r>
      <w:r>
        <w:rPr>
          <w:rFonts w:ascii="Times New Roman" w:eastAsia="宋体" w:hAnsi="Times New Roman"/>
          <w:sz w:val="20"/>
          <w:szCs w:val="20"/>
        </w:rPr>
        <w:t xml:space="preserve">tments to our historical metrics. Our ability to recalculate our historical metrics may be impacted by data limitations or other factors that require us to apply different methodologies for such adjustments. We generally do not intend to update previously </w:t>
      </w:r>
      <w:r>
        <w:rPr>
          <w:rFonts w:ascii="Times New Roman" w:eastAsia="宋体" w:hAnsi="Times New Roman"/>
          <w:sz w:val="20"/>
          <w:szCs w:val="20"/>
        </w:rPr>
        <w:t>disclosed Family metrics for any such inaccuracies or adjustments that are within the error margins disclosed below.</w:t>
      </w:r>
    </w:p>
    <w:p w14:paraId="1446F6D1" w14:textId="77777777" w:rsidR="00FE42B5" w:rsidRDefault="00FE42B5">
      <w:pPr>
        <w:spacing w:line="288" w:lineRule="auto"/>
        <w:ind w:firstLine="720"/>
        <w:jc w:val="both"/>
        <w:rPr>
          <w:rFonts w:ascii="Times New Roman" w:hAnsi="Times New Roman"/>
          <w:sz w:val="20"/>
          <w:szCs w:val="20"/>
        </w:rPr>
      </w:pPr>
    </w:p>
    <w:p w14:paraId="1446F6D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our Facebook metrics and Family metrics estimates will differ from estimates published by third parties due to </w:t>
      </w:r>
      <w:r>
        <w:rPr>
          <w:rFonts w:ascii="Times New Roman" w:eastAsia="宋体" w:hAnsi="Times New Roman"/>
          <w:sz w:val="20"/>
          <w:szCs w:val="20"/>
        </w:rPr>
        <w:t>differences in methodology.</w:t>
      </w:r>
    </w:p>
    <w:p w14:paraId="1446F6D3" w14:textId="77777777" w:rsidR="00FE42B5" w:rsidRDefault="00FE42B5">
      <w:pPr>
        <w:spacing w:line="288" w:lineRule="auto"/>
        <w:ind w:firstLine="720"/>
        <w:jc w:val="both"/>
        <w:rPr>
          <w:rFonts w:ascii="Times New Roman" w:hAnsi="Times New Roman"/>
          <w:sz w:val="20"/>
          <w:szCs w:val="20"/>
        </w:rPr>
      </w:pPr>
    </w:p>
    <w:p w14:paraId="1446F6D4"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 our Facebook metrics to estimate the number of "duplicate" and "false" accounts among our MAUs. A duplicate account is one that a user maintains in addition to his or her principal account. We divide "fals</w:t>
      </w:r>
      <w:r>
        <w:rPr>
          <w:rFonts w:ascii="Times New Roman" w:eastAsia="宋体" w:hAnsi="Times New Roman"/>
          <w:sz w:val="20"/>
          <w:szCs w:val="20"/>
        </w:rPr>
        <w:t>e" accounts into two categories: (1) user-misclassified accounts, where users have created personal profiles for a business, organization, or non-human entity such as a pet (such entities are permitted on Facebook using a Page rather than a personal profil</w:t>
      </w:r>
      <w:r>
        <w:rPr>
          <w:rFonts w:ascii="Times New Roman" w:eastAsia="宋体" w:hAnsi="Times New Roman"/>
          <w:sz w:val="20"/>
          <w:szCs w:val="20"/>
        </w:rPr>
        <w:t xml:space="preserve">e under our terms of service); and (2) violating accounts, which represent user profiles that we believe are intended to be used for purposes that violate our terms of service, such as bots and spam. The estimates of duplicate and false accounts are based </w:t>
      </w:r>
      <w:r>
        <w:rPr>
          <w:rFonts w:ascii="Times New Roman" w:eastAsia="宋体" w:hAnsi="Times New Roman"/>
          <w:sz w:val="20"/>
          <w:szCs w:val="20"/>
        </w:rPr>
        <w:t>on an internal review of a limited sample of accounts, and we apply significant judgment in making this determination. For example, to identify duplicate accounts we use data signals such as identical IP addresses and similar user names, and to identify fa</w:t>
      </w:r>
      <w:r>
        <w:rPr>
          <w:rFonts w:ascii="Times New Roman" w:eastAsia="宋体" w:hAnsi="Times New Roman"/>
          <w:sz w:val="20"/>
          <w:szCs w:val="20"/>
        </w:rPr>
        <w:t>lse accounts we look for names that appear to be fake or other behavior that appears inauthentic to the reviewers. Any loss of access to data signals we use in this process, whether as a result of our own product decisions, actions by third-party browser o</w:t>
      </w:r>
      <w:r>
        <w:rPr>
          <w:rFonts w:ascii="Times New Roman" w:eastAsia="宋体" w:hAnsi="Times New Roman"/>
          <w:sz w:val="20"/>
          <w:szCs w:val="20"/>
        </w:rPr>
        <w:t>r mobile platforms, regulatory or legislative requirements, limitations while our personnel work remotely during the COVID-19 pandemic, or other factors, also may impact the stability or accuracy of our estimates of duplicate and false accounts. Our estima</w:t>
      </w:r>
      <w:r>
        <w:rPr>
          <w:rFonts w:ascii="Times New Roman" w:eastAsia="宋体" w:hAnsi="Times New Roman"/>
          <w:sz w:val="20"/>
          <w:szCs w:val="20"/>
        </w:rPr>
        <w:t>tes also may change as our methodologies evolve, including through the application of new data signals or technologies or product changes that may allow us to identify previously undetected duplicate or false accounts and may improve our ability to evaluat</w:t>
      </w:r>
      <w:r>
        <w:rPr>
          <w:rFonts w:ascii="Times New Roman" w:eastAsia="宋体" w:hAnsi="Times New Roman"/>
          <w:sz w:val="20"/>
          <w:szCs w:val="20"/>
        </w:rPr>
        <w:t>e a broader population of our users. Duplicate and false accounts are very difficult to measure at our scale, and it is possible that the actual number of duplicate and false accounts may vary significantly from our estimates.</w:t>
      </w:r>
    </w:p>
    <w:p w14:paraId="1446F6D5" w14:textId="77777777" w:rsidR="00FE42B5" w:rsidRDefault="00FE42B5">
      <w:pPr>
        <w:spacing w:line="288" w:lineRule="auto"/>
        <w:ind w:firstLine="720"/>
        <w:jc w:val="both"/>
        <w:rPr>
          <w:rFonts w:ascii="Times New Roman" w:hAnsi="Times New Roman"/>
          <w:sz w:val="20"/>
          <w:szCs w:val="20"/>
        </w:rPr>
      </w:pPr>
    </w:p>
    <w:p w14:paraId="1446F6D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the fourth quarter of 201</w:t>
      </w:r>
      <w:r>
        <w:rPr>
          <w:rFonts w:ascii="Times New Roman" w:eastAsia="宋体" w:hAnsi="Times New Roman"/>
          <w:sz w:val="20"/>
          <w:szCs w:val="20"/>
        </w:rPr>
        <w:t>9, we estimated that duplicate accounts may have represented approximately 11% of our worldwide MAUs. We believe the percentage of duplicate accounts is meaningfully higher in developing markets such as the Philippines and Vietnam, as compared to more deve</w:t>
      </w:r>
      <w:r>
        <w:rPr>
          <w:rFonts w:ascii="Times New Roman" w:eastAsia="宋体" w:hAnsi="Times New Roman"/>
          <w:sz w:val="20"/>
          <w:szCs w:val="20"/>
        </w:rPr>
        <w:t xml:space="preserve">loped markets. In the fourth quarter of 2019, we estimated that false accounts may have represented approximately 5% of our worldwide MAUs. Our estimation of false accounts can vary as a result of episodic spikes in the creation of such accounts, which we </w:t>
      </w:r>
      <w:r>
        <w:rPr>
          <w:rFonts w:ascii="Times New Roman" w:eastAsia="宋体" w:hAnsi="Times New Roman"/>
          <w:sz w:val="20"/>
          <w:szCs w:val="20"/>
        </w:rPr>
        <w:t>have seen originate more frequently in specific countries such as Indonesia and Vietnam. From time to time, we disable certain user accounts, make product changes, or take other actions to reduce the number of duplicate or false accounts among our users, w</w:t>
      </w:r>
      <w:r>
        <w:rPr>
          <w:rFonts w:ascii="Times New Roman" w:eastAsia="宋体" w:hAnsi="Times New Roman"/>
          <w:sz w:val="20"/>
          <w:szCs w:val="20"/>
        </w:rPr>
        <w:t>hich may also reduce our DAU and MAU estimates in a particular period. We intend to disclose our estimates of the number of duplicate and false accounts among our MAUs on an annual basis.</w:t>
      </w:r>
    </w:p>
    <w:p w14:paraId="1446F6D7" w14:textId="77777777" w:rsidR="00FE42B5" w:rsidRDefault="00FE42B5">
      <w:pPr>
        <w:spacing w:line="288" w:lineRule="auto"/>
        <w:ind w:firstLine="720"/>
        <w:jc w:val="both"/>
        <w:rPr>
          <w:rFonts w:ascii="Times New Roman" w:hAnsi="Times New Roman"/>
          <w:sz w:val="20"/>
          <w:szCs w:val="20"/>
        </w:rPr>
      </w:pPr>
    </w:p>
    <w:p w14:paraId="1446F6D8" w14:textId="77777777" w:rsidR="00FE42B5" w:rsidRDefault="00FE42B5">
      <w:pPr>
        <w:rPr>
          <w:rFonts w:ascii="Times New Roman" w:hAnsi="Times New Roman"/>
          <w:sz w:val="20"/>
          <w:szCs w:val="20"/>
        </w:rPr>
      </w:pPr>
    </w:p>
    <w:p w14:paraId="1446F6D9"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70</w:t>
      </w:r>
    </w:p>
    <w:p w14:paraId="1446F6DA" w14:textId="77777777" w:rsidR="00FE42B5" w:rsidRDefault="009213DC">
      <w:r>
        <w:rPr>
          <w:rFonts w:ascii="Times New Roman" w:hAnsi="Times New Roman"/>
          <w:sz w:val="20"/>
          <w:szCs w:val="20"/>
        </w:rPr>
        <w:pict w14:anchorId="1446FB0E">
          <v:rect id="_x0000_i1094" style="width:415.3pt;height:1.5pt" o:hralign="center" o:hrstd="t" o:hr="t" fillcolor="#a0a0a0" stroked="f"/>
        </w:pict>
      </w:r>
    </w:p>
    <w:p w14:paraId="1446F6DB" w14:textId="77777777" w:rsidR="00FE42B5" w:rsidRDefault="009213DC">
      <w:pPr>
        <w:spacing w:line="288" w:lineRule="auto"/>
        <w:rPr>
          <w:rFonts w:ascii="Times New Roman" w:hAnsi="Times New Roman"/>
          <w:sz w:val="20"/>
          <w:szCs w:val="20"/>
        </w:rPr>
      </w:pPr>
      <w:hyperlink r:id="rId110" w:anchor="sBB4BED1571A45A16AF3DC2E3B69C901C" w:history="1">
        <w:r>
          <w:rPr>
            <w:rStyle w:val="a5"/>
            <w:rFonts w:ascii="Times New Roman" w:eastAsia="宋体" w:hAnsi="Times New Roman"/>
            <w:sz w:val="20"/>
            <w:szCs w:val="20"/>
          </w:rPr>
          <w:t>Table of Contents</w:t>
        </w:r>
      </w:hyperlink>
    </w:p>
    <w:p w14:paraId="1446F6DC" w14:textId="77777777" w:rsidR="00FE42B5" w:rsidRDefault="00FE42B5">
      <w:pPr>
        <w:rPr>
          <w:rFonts w:ascii="Times New Roman" w:hAnsi="Times New Roman"/>
          <w:sz w:val="20"/>
          <w:szCs w:val="20"/>
        </w:rPr>
      </w:pPr>
    </w:p>
    <w:p w14:paraId="1446F6D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Many people in our community have user accounts on more than one of our products, and some people have multiple user accounts within an </w:t>
      </w:r>
      <w:r>
        <w:rPr>
          <w:rFonts w:ascii="Times New Roman" w:eastAsia="宋体" w:hAnsi="Times New Roman"/>
          <w:sz w:val="20"/>
          <w:szCs w:val="20"/>
        </w:rPr>
        <w:t>individual product. Accordingly, for our Family metrics, we do not seek to count the total number of user accounts across our products because we believe that would not reflect the actual size of our community. Rather, our Family metrics represent our esti</w:t>
      </w:r>
      <w:r>
        <w:rPr>
          <w:rFonts w:ascii="Times New Roman" w:eastAsia="宋体" w:hAnsi="Times New Roman"/>
          <w:sz w:val="20"/>
          <w:szCs w:val="20"/>
        </w:rPr>
        <w:t>mates of the number of unique people using at least one of Facebook, Instagram, Messenger, and WhatsApp. We do not require people to use a common identifier or link their accounts to use multiple products in our Family, and therefore must seek to attribute</w:t>
      </w:r>
      <w:r>
        <w:rPr>
          <w:rFonts w:ascii="Times New Roman" w:eastAsia="宋体" w:hAnsi="Times New Roman"/>
          <w:sz w:val="20"/>
          <w:szCs w:val="20"/>
        </w:rPr>
        <w:t xml:space="preserve"> multiple user accounts within and across products to individual people. To calculate these metrics, we rely upon complex techniques, algorithms and machine learning models that seek to count the individual people behind user accounts, including by matchin</w:t>
      </w:r>
      <w:r>
        <w:rPr>
          <w:rFonts w:ascii="Times New Roman" w:eastAsia="宋体" w:hAnsi="Times New Roman"/>
          <w:sz w:val="20"/>
          <w:szCs w:val="20"/>
        </w:rPr>
        <w:t>g multiple user accounts within an individual product and across multiple products when we believe they are attributable to a single person, and counting such group of accounts as one person. These techniques and models require significant judgment, are su</w:t>
      </w:r>
      <w:r>
        <w:rPr>
          <w:rFonts w:ascii="Times New Roman" w:eastAsia="宋体" w:hAnsi="Times New Roman"/>
          <w:sz w:val="20"/>
          <w:szCs w:val="20"/>
        </w:rPr>
        <w:t>bject to data and other limitations discussed below, and inherently are subject to statistical variances and uncertainties. We estimate the potential error in our Family metrics primarily based on user survey data, which itself is subject to error as well.</w:t>
      </w:r>
      <w:r>
        <w:rPr>
          <w:rFonts w:ascii="Times New Roman" w:eastAsia="宋体" w:hAnsi="Times New Roman"/>
          <w:sz w:val="20"/>
          <w:szCs w:val="20"/>
        </w:rPr>
        <w:t xml:space="preserve"> While we expect the error margin for our Family metrics to vary from period to period, we estimate that such margin generally will be approximately 3% of our worldwide MAP. At our scale, it is very difficult to attribute multiple user accounts within and </w:t>
      </w:r>
      <w:r>
        <w:rPr>
          <w:rFonts w:ascii="Times New Roman" w:eastAsia="宋体" w:hAnsi="Times New Roman"/>
          <w:sz w:val="20"/>
          <w:szCs w:val="20"/>
        </w:rPr>
        <w:t>across products to individual people, and it is possible that the actual numbers of unique people using our products may vary significantly from our estimates, potentially beyond our estimated error margins. As a result, it is also possible that our Family</w:t>
      </w:r>
      <w:r>
        <w:rPr>
          <w:rFonts w:ascii="Times New Roman" w:eastAsia="宋体" w:hAnsi="Times New Roman"/>
          <w:sz w:val="20"/>
          <w:szCs w:val="20"/>
        </w:rPr>
        <w:t xml:space="preserve"> metrics may indicate changes or trends in user numbers that do not match actual changes or trends.</w:t>
      </w:r>
    </w:p>
    <w:p w14:paraId="1446F6DE" w14:textId="77777777" w:rsidR="00FE42B5" w:rsidRDefault="00FE42B5">
      <w:pPr>
        <w:spacing w:line="288" w:lineRule="auto"/>
        <w:ind w:firstLine="720"/>
        <w:jc w:val="both"/>
        <w:rPr>
          <w:rFonts w:ascii="Times New Roman" w:hAnsi="Times New Roman"/>
          <w:sz w:val="20"/>
          <w:szCs w:val="20"/>
        </w:rPr>
      </w:pPr>
    </w:p>
    <w:p w14:paraId="1446F6D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To calculate our estimates of Family DAP and MAP, we currently use a series of machine learning models that are developed based on internal reviews of limi</w:t>
      </w:r>
      <w:r>
        <w:rPr>
          <w:rFonts w:ascii="Times New Roman" w:eastAsia="宋体" w:hAnsi="Times New Roman"/>
          <w:sz w:val="20"/>
          <w:szCs w:val="20"/>
        </w:rPr>
        <w:t>ted samples of user accounts and calibrated against user survey data. We apply significant judgment in designing these models and calculating these estimates. For example, to match user accounts within individual products and across multiple products, we u</w:t>
      </w:r>
      <w:r>
        <w:rPr>
          <w:rFonts w:ascii="Times New Roman" w:eastAsia="宋体" w:hAnsi="Times New Roman"/>
          <w:sz w:val="20"/>
          <w:szCs w:val="20"/>
        </w:rPr>
        <w:t>se data signals such as similar device information, IP addresses, and user names. We also calibrate our models against data from periodic user surveys of varying sizes and frequency across our products, which are inherently subject to error. In addition, o</w:t>
      </w:r>
      <w:r>
        <w:rPr>
          <w:rFonts w:ascii="Times New Roman" w:eastAsia="宋体" w:hAnsi="Times New Roman"/>
          <w:sz w:val="20"/>
          <w:szCs w:val="20"/>
        </w:rPr>
        <w:t>ur data limitations may affect our understanding of certain details of our business and increase the risk of error for our Family metrics estimates. Our techniques and models rely on a variety of data signals from different products, and we rely on more li</w:t>
      </w:r>
      <w:r>
        <w:rPr>
          <w:rFonts w:ascii="Times New Roman" w:eastAsia="宋体" w:hAnsi="Times New Roman"/>
          <w:sz w:val="20"/>
          <w:szCs w:val="20"/>
        </w:rPr>
        <w:t>mited data signals for some products compared to others. For example, as a result of limited visibility into encrypted products, we have fewer data signals from WhatsApp user accounts and primarily rely on phone numbers and device information to match What</w:t>
      </w:r>
      <w:r>
        <w:rPr>
          <w:rFonts w:ascii="Times New Roman" w:eastAsia="宋体" w:hAnsi="Times New Roman"/>
          <w:sz w:val="20"/>
          <w:szCs w:val="20"/>
        </w:rPr>
        <w:t>sApp user accounts with accounts on our other products. Similarly, although Messenger Kids users are included in our Family metrics, we do not seek to match their accounts with accounts on our other applications for purposes of calculating DAP and MAP. Any</w:t>
      </w:r>
      <w:r>
        <w:rPr>
          <w:rFonts w:ascii="Times New Roman" w:eastAsia="宋体" w:hAnsi="Times New Roman"/>
          <w:sz w:val="20"/>
          <w:szCs w:val="20"/>
        </w:rPr>
        <w:t xml:space="preserve"> loss of access to data signals we use in our process for calculating Family metrics, whether as a result of our own product decisions, actions by third-party browser or mobile platforms, regulatory or legislative requirements, limitations while our person</w:t>
      </w:r>
      <w:r>
        <w:rPr>
          <w:rFonts w:ascii="Times New Roman" w:eastAsia="宋体" w:hAnsi="Times New Roman"/>
          <w:sz w:val="20"/>
          <w:szCs w:val="20"/>
        </w:rPr>
        <w:t>nel work remotely during the COVID-19 pandemic, or other factors, also may impact the stability or accuracy of our reported Family metrics. Our estimates of Family metrics also may change as our methodologies evolve, including through the application of ne</w:t>
      </w:r>
      <w:r>
        <w:rPr>
          <w:rFonts w:ascii="Times New Roman" w:eastAsia="宋体" w:hAnsi="Times New Roman"/>
          <w:sz w:val="20"/>
          <w:szCs w:val="20"/>
        </w:rPr>
        <w:t>w data signals or technologies, product changes, or other improvements in our user surveys, algorithms, or machine learning that may improve our ability to match accounts within and across our products or otherwise evaluate the broad population of our user</w:t>
      </w:r>
      <w:r>
        <w:rPr>
          <w:rFonts w:ascii="Times New Roman" w:eastAsia="宋体" w:hAnsi="Times New Roman"/>
          <w:sz w:val="20"/>
          <w:szCs w:val="20"/>
        </w:rPr>
        <w:t>s. In addition, such evolution may allow us to identify previously undetected violating accounts (as defined below).</w:t>
      </w:r>
    </w:p>
    <w:p w14:paraId="1446F6E0" w14:textId="77777777" w:rsidR="00FE42B5" w:rsidRDefault="00FE42B5">
      <w:pPr>
        <w:spacing w:line="288" w:lineRule="auto"/>
        <w:ind w:firstLine="720"/>
        <w:jc w:val="both"/>
        <w:rPr>
          <w:rFonts w:ascii="Times New Roman" w:hAnsi="Times New Roman"/>
          <w:sz w:val="20"/>
          <w:szCs w:val="20"/>
        </w:rPr>
      </w:pPr>
    </w:p>
    <w:p w14:paraId="1446F6E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 our Family metrics to estimate the percentage of our MAP consisting solely of "violating" accounts. We define "viola</w:t>
      </w:r>
      <w:r>
        <w:rPr>
          <w:rFonts w:ascii="Times New Roman" w:eastAsia="宋体" w:hAnsi="Times New Roman"/>
          <w:sz w:val="20"/>
          <w:szCs w:val="20"/>
        </w:rPr>
        <w:t>ting" accounts as accounts which we believe are intended to be used for purposes that violate our terms of service, including bots and spam. In the fourth quarter of 2019, we estimated that approximately 3% of our worldwide MAP consisted solely of violatin</w:t>
      </w:r>
      <w:r>
        <w:rPr>
          <w:rFonts w:ascii="Times New Roman" w:eastAsia="宋体" w:hAnsi="Times New Roman"/>
          <w:sz w:val="20"/>
          <w:szCs w:val="20"/>
        </w:rPr>
        <w:t>g accounts. Such estimation is based on an internal review of a limited sample of accounts, and we apply significant judgment in making this determination. For example, we look for account information and behaviors associated with Facebook and Instagram ac</w:t>
      </w:r>
      <w:r>
        <w:rPr>
          <w:rFonts w:ascii="Times New Roman" w:eastAsia="宋体" w:hAnsi="Times New Roman"/>
          <w:sz w:val="20"/>
          <w:szCs w:val="20"/>
        </w:rPr>
        <w:t>counts that appear to be inauthentic to the reviewers, but we have limited visibility into WhatsApp user activity due to encryption. In addition, if we believe an individual person has one or more violating accounts, we do not include such person in our vi</w:t>
      </w:r>
      <w:r>
        <w:rPr>
          <w:rFonts w:ascii="Times New Roman" w:eastAsia="宋体" w:hAnsi="Times New Roman"/>
          <w:sz w:val="20"/>
          <w:szCs w:val="20"/>
        </w:rPr>
        <w:t>olating accounts estimation as long as we believe they have one account that does not constitute a violating account. From time to time, we disable certain user accounts, make product changes, or take other actions to reduce the number of violating account</w:t>
      </w:r>
      <w:r>
        <w:rPr>
          <w:rFonts w:ascii="Times New Roman" w:eastAsia="宋体" w:hAnsi="Times New Roman"/>
          <w:sz w:val="20"/>
          <w:szCs w:val="20"/>
        </w:rPr>
        <w:t>s among our users, which may also reduce our DAP and MAP estimates in a particular period. We intend to disclose our estimates of the percentage of our MAP consisting solely of violating accounts on an annual basis. Violating accounts are very difficult to</w:t>
      </w:r>
      <w:r>
        <w:rPr>
          <w:rFonts w:ascii="Times New Roman" w:eastAsia="宋体" w:hAnsi="Times New Roman"/>
          <w:sz w:val="20"/>
          <w:szCs w:val="20"/>
        </w:rPr>
        <w:t xml:space="preserve"> measure at our scale, and it is possible that the actual number of violating accounts may vary significantly from our estimates.</w:t>
      </w:r>
    </w:p>
    <w:p w14:paraId="1446F6E2" w14:textId="77777777" w:rsidR="00FE42B5" w:rsidRDefault="00FE42B5">
      <w:pPr>
        <w:spacing w:line="288" w:lineRule="auto"/>
        <w:ind w:firstLine="720"/>
        <w:jc w:val="both"/>
        <w:rPr>
          <w:rFonts w:ascii="Times New Roman" w:hAnsi="Times New Roman"/>
          <w:sz w:val="20"/>
          <w:szCs w:val="20"/>
        </w:rPr>
      </w:pPr>
    </w:p>
    <w:p w14:paraId="1446F6E3"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Other data limitations also may affect our understanding of certain details of our business. For example, while user-provided</w:t>
      </w:r>
      <w:r>
        <w:rPr>
          <w:rFonts w:ascii="Times New Roman" w:eastAsia="宋体" w:hAnsi="Times New Roman"/>
          <w:sz w:val="20"/>
          <w:szCs w:val="20"/>
        </w:rPr>
        <w:t xml:space="preserve"> data indicates a decline in usage among younger users, this age data is unreliable because a disproportionate number of our younger users register with an inaccurate age. Accordingly, our understanding of usage by age group may not be complete.</w:t>
      </w:r>
    </w:p>
    <w:p w14:paraId="1446F6E4" w14:textId="77777777" w:rsidR="00FE42B5" w:rsidRDefault="00FE42B5">
      <w:pPr>
        <w:rPr>
          <w:rFonts w:ascii="Times New Roman" w:hAnsi="Times New Roman"/>
          <w:sz w:val="20"/>
          <w:szCs w:val="20"/>
        </w:rPr>
      </w:pPr>
    </w:p>
    <w:p w14:paraId="1446F6E5"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71</w:t>
      </w:r>
    </w:p>
    <w:p w14:paraId="1446F6E6" w14:textId="77777777" w:rsidR="00FE42B5" w:rsidRDefault="009213DC">
      <w:r>
        <w:rPr>
          <w:rFonts w:ascii="Times New Roman" w:hAnsi="Times New Roman"/>
          <w:sz w:val="20"/>
          <w:szCs w:val="20"/>
        </w:rPr>
        <w:pict w14:anchorId="1446FB0F">
          <v:rect id="_x0000_i1095" style="width:415.3pt;height:1.5pt" o:hralign="center" o:hrstd="t" o:hr="t" fillcolor="#a0a0a0" stroked="f"/>
        </w:pict>
      </w:r>
    </w:p>
    <w:p w14:paraId="1446F6E7" w14:textId="77777777" w:rsidR="00FE42B5" w:rsidRDefault="009213DC">
      <w:pPr>
        <w:spacing w:line="288" w:lineRule="auto"/>
        <w:rPr>
          <w:rFonts w:ascii="Times New Roman" w:hAnsi="Times New Roman"/>
          <w:sz w:val="20"/>
          <w:szCs w:val="20"/>
        </w:rPr>
      </w:pPr>
      <w:hyperlink r:id="rId111" w:anchor="sBB4BED1571A45A16AF3DC2E3B69C901C" w:history="1">
        <w:r>
          <w:rPr>
            <w:rStyle w:val="a5"/>
            <w:rFonts w:ascii="Times New Roman" w:eastAsia="宋体" w:hAnsi="Times New Roman"/>
            <w:sz w:val="20"/>
            <w:szCs w:val="20"/>
          </w:rPr>
          <w:t>Table of Contents</w:t>
        </w:r>
      </w:hyperlink>
    </w:p>
    <w:p w14:paraId="1446F6E8" w14:textId="77777777" w:rsidR="00FE42B5" w:rsidRDefault="00FE42B5">
      <w:pPr>
        <w:rPr>
          <w:rFonts w:ascii="Times New Roman" w:hAnsi="Times New Roman"/>
          <w:sz w:val="20"/>
          <w:szCs w:val="20"/>
        </w:rPr>
      </w:pPr>
    </w:p>
    <w:p w14:paraId="1446F6E9" w14:textId="77777777" w:rsidR="00FE42B5" w:rsidRDefault="00FE42B5">
      <w:pPr>
        <w:spacing w:line="288" w:lineRule="auto"/>
        <w:ind w:firstLine="720"/>
        <w:jc w:val="both"/>
        <w:rPr>
          <w:rFonts w:ascii="Times New Roman" w:hAnsi="Times New Roman"/>
          <w:sz w:val="20"/>
          <w:szCs w:val="20"/>
        </w:rPr>
      </w:pPr>
    </w:p>
    <w:p w14:paraId="1446F6E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our data regarding the geographic location of our users is estimated based</w:t>
      </w:r>
      <w:r>
        <w:rPr>
          <w:rFonts w:ascii="Times New Roman" w:eastAsia="宋体" w:hAnsi="Times New Roman"/>
          <w:sz w:val="20"/>
          <w:szCs w:val="20"/>
        </w:rPr>
        <w:t xml:space="preserve"> on a number of factors, such as the user's IP address and self-disclosed location. These factors may not always accurately reflect the user's actual location. For example, a user may appear to be accessing Facebook from the location of the proxy server th</w:t>
      </w:r>
      <w:r>
        <w:rPr>
          <w:rFonts w:ascii="Times New Roman" w:eastAsia="宋体" w:hAnsi="Times New Roman"/>
          <w:sz w:val="20"/>
          <w:szCs w:val="20"/>
        </w:rPr>
        <w:t>at the user connects to rather than from the user's actual location. The methodologies used to measure our metrics are also susceptible to algorithm or other technical errors, and our estimates for revenue by user location and revenue by user device are al</w:t>
      </w:r>
      <w:r>
        <w:rPr>
          <w:rFonts w:ascii="Times New Roman" w:eastAsia="宋体" w:hAnsi="Times New Roman"/>
          <w:sz w:val="20"/>
          <w:szCs w:val="20"/>
        </w:rPr>
        <w:t>so affected by these factors.</w:t>
      </w:r>
    </w:p>
    <w:p w14:paraId="1446F6EB" w14:textId="77777777" w:rsidR="00FE42B5" w:rsidRDefault="00FE42B5">
      <w:pPr>
        <w:spacing w:line="288" w:lineRule="auto"/>
        <w:ind w:firstLine="720"/>
        <w:jc w:val="both"/>
        <w:rPr>
          <w:rFonts w:ascii="Times New Roman" w:hAnsi="Times New Roman"/>
          <w:sz w:val="20"/>
          <w:szCs w:val="20"/>
        </w:rPr>
      </w:pPr>
    </w:p>
    <w:p w14:paraId="1446F6E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from time to time we provide, or rely on, certain other metrics, including those relating to the reach and effectiveness of our ads. All of our metrics are subject to software bugs, inconsistencies in our systems</w:t>
      </w:r>
      <w:r>
        <w:rPr>
          <w:rFonts w:ascii="Times New Roman" w:eastAsia="宋体" w:hAnsi="Times New Roman"/>
          <w:sz w:val="20"/>
          <w:szCs w:val="20"/>
        </w:rPr>
        <w:t xml:space="preserve">, and human error. If marketers, developers, or investors do not perceive our metrics to be accurate, or if we discover material inaccuracies in our metrics, we may be subject to liability, our reputation may be harmed, and marketers and developers may be </w:t>
      </w:r>
      <w:r>
        <w:rPr>
          <w:rFonts w:ascii="Times New Roman" w:eastAsia="宋体" w:hAnsi="Times New Roman"/>
          <w:sz w:val="20"/>
          <w:szCs w:val="20"/>
        </w:rPr>
        <w:t>less willing to allocate their budgets or resources to Facebook or our other products, which could negatively affect our business and financial results.</w:t>
      </w:r>
    </w:p>
    <w:p w14:paraId="1446F6ED" w14:textId="77777777" w:rsidR="00FE42B5" w:rsidRDefault="00FE42B5">
      <w:pPr>
        <w:spacing w:line="288" w:lineRule="auto"/>
        <w:ind w:firstLine="720"/>
        <w:jc w:val="both"/>
        <w:rPr>
          <w:rFonts w:ascii="Times New Roman" w:hAnsi="Times New Roman"/>
          <w:sz w:val="20"/>
          <w:szCs w:val="20"/>
        </w:rPr>
      </w:pPr>
    </w:p>
    <w:p w14:paraId="1446F6EE"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cannot assure you that we will effectively manage our growth.</w:t>
      </w:r>
    </w:p>
    <w:p w14:paraId="1446F6E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employee headcount and the scope </w:t>
      </w:r>
      <w:r>
        <w:rPr>
          <w:rFonts w:ascii="Times New Roman" w:eastAsia="宋体" w:hAnsi="Times New Roman"/>
          <w:sz w:val="20"/>
          <w:szCs w:val="20"/>
        </w:rPr>
        <w:t>and complexity of our business have increased significantly, with the number of employees increasing to 48,268 as of March 31, 2020 from 37,773 as of March 31, 2019, and we expect headcount growth to continue for the foreseeable future. In addition, we pla</w:t>
      </w:r>
      <w:r>
        <w:rPr>
          <w:rFonts w:ascii="Times New Roman" w:eastAsia="宋体" w:hAnsi="Times New Roman"/>
          <w:sz w:val="20"/>
          <w:szCs w:val="20"/>
        </w:rPr>
        <w:t>n to continue to hire a number of employees and contractors in order to address various privacy, safety, security, and content review initiatives. The growth and expansion of our business and products create significant challenges for our management, opera</w:t>
      </w:r>
      <w:r>
        <w:rPr>
          <w:rFonts w:ascii="Times New Roman" w:eastAsia="宋体" w:hAnsi="Times New Roman"/>
          <w:sz w:val="20"/>
          <w:szCs w:val="20"/>
        </w:rPr>
        <w:t>tional, and financial resources, including managing multiple relationships with users, marketers, developers, and other third parties. Additionally, the vast majority of our personnel are currently working remotely as a result of the COVID-19 pandemic, whi</w:t>
      </w:r>
      <w:r>
        <w:rPr>
          <w:rFonts w:ascii="Times New Roman" w:eastAsia="宋体" w:hAnsi="Times New Roman"/>
          <w:sz w:val="20"/>
          <w:szCs w:val="20"/>
        </w:rPr>
        <w:t xml:space="preserve">ch limits their ability to perform certain job functions and may negatively impact productivity. As our operations and the number of our third-party relationships continue to grow, our information technology systems or our internal controls and procedures </w:t>
      </w:r>
      <w:r>
        <w:rPr>
          <w:rFonts w:ascii="Times New Roman" w:eastAsia="宋体" w:hAnsi="Times New Roman"/>
          <w:sz w:val="20"/>
          <w:szCs w:val="20"/>
        </w:rPr>
        <w:t>may not be adequate to support such growth. In addition, some members of our management do not have significant experience managing a large global business operation, so our management may not be able to manage such growth effectively. To effectively manag</w:t>
      </w:r>
      <w:r>
        <w:rPr>
          <w:rFonts w:ascii="Times New Roman" w:eastAsia="宋体" w:hAnsi="Times New Roman"/>
          <w:sz w:val="20"/>
          <w:szCs w:val="20"/>
        </w:rPr>
        <w:t xml:space="preserve">e our growth, we must adapt to a remote work environment and continue to improve our operational, financial, and management processes and systems and to effectively expand, train, and manage our personnel. As our organization continues to grow, and we are </w:t>
      </w:r>
      <w:r>
        <w:rPr>
          <w:rFonts w:ascii="Times New Roman" w:eastAsia="宋体" w:hAnsi="Times New Roman"/>
          <w:sz w:val="20"/>
          <w:szCs w:val="20"/>
        </w:rPr>
        <w:t>required to implement more complex organizational management structures, we may find it increasingly difficult to maintain the benefits of our corporate culture, including our ability to quickly develop and launch new and innovative products. This could ne</w:t>
      </w:r>
      <w:r>
        <w:rPr>
          <w:rFonts w:ascii="Times New Roman" w:eastAsia="宋体" w:hAnsi="Times New Roman"/>
          <w:sz w:val="20"/>
          <w:szCs w:val="20"/>
        </w:rPr>
        <w:t>gatively affect our business performance.</w:t>
      </w:r>
    </w:p>
    <w:p w14:paraId="1446F6F0"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The loss of one or more of our key personnel, or our failure to attract and retain other highly qualified personnel in the future, could harm our business.</w:t>
      </w:r>
    </w:p>
    <w:p w14:paraId="1446F6F1"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currently depend on the continued services and performa</w:t>
      </w:r>
      <w:r>
        <w:rPr>
          <w:rFonts w:ascii="Times New Roman" w:eastAsia="宋体" w:hAnsi="Times New Roman"/>
          <w:sz w:val="20"/>
          <w:szCs w:val="20"/>
        </w:rPr>
        <w:t>nce of our key personnel, including Mark Zuckerberg and Sheryl K. Sandberg. Although we have entered into employment agreements with Mr. Zuckerberg and Ms. Sandberg, the agreements have no specific duration and constitute at-will employment. In addition, m</w:t>
      </w:r>
      <w:r>
        <w:rPr>
          <w:rFonts w:ascii="Times New Roman" w:eastAsia="宋体" w:hAnsi="Times New Roman"/>
          <w:sz w:val="20"/>
          <w:szCs w:val="20"/>
        </w:rPr>
        <w:t>any of our key technologies and systems are custom-made for our business by our personnel. The loss of key personnel, including members of management as well as key engineering, product development, marketing, and sales personnel, could disrupt our operati</w:t>
      </w:r>
      <w:r>
        <w:rPr>
          <w:rFonts w:ascii="Times New Roman" w:eastAsia="宋体" w:hAnsi="Times New Roman"/>
          <w:sz w:val="20"/>
          <w:szCs w:val="20"/>
        </w:rPr>
        <w:t>ons and have an adverse effect on our business.</w:t>
      </w:r>
    </w:p>
    <w:p w14:paraId="1446F6F2"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As we continue to grow, we cannot guarantee we will continue to attract and retain the personnel we need to maintain our competitive position. In particular, we intend to continue to hire a significant number</w:t>
      </w:r>
      <w:r>
        <w:rPr>
          <w:rFonts w:ascii="Times New Roman" w:eastAsia="宋体" w:hAnsi="Times New Roman"/>
          <w:sz w:val="20"/>
          <w:szCs w:val="20"/>
        </w:rPr>
        <w:t xml:space="preserve"> of technical personnel in the foreseeable future, and we expect to continue to face significant challenges in hiring such personnel, particularly in the San Francisco Bay Area, where our headquarters are located, whether as a result of competition with ot</w:t>
      </w:r>
      <w:r>
        <w:rPr>
          <w:rFonts w:ascii="Times New Roman" w:eastAsia="宋体" w:hAnsi="Times New Roman"/>
          <w:sz w:val="20"/>
          <w:szCs w:val="20"/>
        </w:rPr>
        <w:t>her companies, challenges due to the high cost of living, facilities and infrastructure constraints, or other factors. As we continue to mature, the incentives to attract, retain, and motivate employees provided by our equity awards or by future arrangemen</w:t>
      </w:r>
      <w:r>
        <w:rPr>
          <w:rFonts w:ascii="Times New Roman" w:eastAsia="宋体" w:hAnsi="Times New Roman"/>
          <w:sz w:val="20"/>
          <w:szCs w:val="20"/>
        </w:rPr>
        <w:t>ts may not be as effective as in the past, and if we issue significant equity to attract additional employees or to retain our existing employees, we would incur substantial additional share-based compensation expense and the ownership of our existing stoc</w:t>
      </w:r>
      <w:r>
        <w:rPr>
          <w:rFonts w:ascii="Times New Roman" w:eastAsia="宋体" w:hAnsi="Times New Roman"/>
          <w:sz w:val="20"/>
          <w:szCs w:val="20"/>
        </w:rPr>
        <w:t>kholders would be further diluted. Our ability to attract, retain, and motivate employees may also be adversely affected by stock price volatility. As a result of these factors, it may be difficult for us to continue to retain and motivate our employees. I</w:t>
      </w:r>
      <w:r>
        <w:rPr>
          <w:rFonts w:ascii="Times New Roman" w:eastAsia="宋体" w:hAnsi="Times New Roman"/>
          <w:sz w:val="20"/>
          <w:szCs w:val="20"/>
        </w:rPr>
        <w:t>f we do not succeed in attracting, hiring, and integrating excellent personnel, or retaining and motivating existing personnel, we may be unable to grow effectively.</w:t>
      </w:r>
    </w:p>
    <w:p w14:paraId="1446F6F3" w14:textId="77777777" w:rsidR="00FE42B5" w:rsidRDefault="00FE42B5">
      <w:pPr>
        <w:rPr>
          <w:rFonts w:ascii="Times New Roman" w:hAnsi="Times New Roman"/>
          <w:sz w:val="20"/>
          <w:szCs w:val="20"/>
        </w:rPr>
      </w:pPr>
    </w:p>
    <w:p w14:paraId="1446F6F4"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72</w:t>
      </w:r>
    </w:p>
    <w:p w14:paraId="1446F6F5" w14:textId="77777777" w:rsidR="00FE42B5" w:rsidRDefault="009213DC">
      <w:r>
        <w:rPr>
          <w:rFonts w:ascii="Times New Roman" w:hAnsi="Times New Roman"/>
          <w:sz w:val="20"/>
          <w:szCs w:val="20"/>
        </w:rPr>
        <w:pict w14:anchorId="1446FB10">
          <v:rect id="_x0000_i1096" style="width:415.3pt;height:1.5pt" o:hralign="center" o:hrstd="t" o:hr="t" fillcolor="#a0a0a0" stroked="f"/>
        </w:pict>
      </w:r>
    </w:p>
    <w:p w14:paraId="1446F6F6" w14:textId="77777777" w:rsidR="00FE42B5" w:rsidRDefault="009213DC">
      <w:pPr>
        <w:spacing w:line="288" w:lineRule="auto"/>
        <w:rPr>
          <w:rFonts w:ascii="Times New Roman" w:hAnsi="Times New Roman"/>
          <w:sz w:val="20"/>
          <w:szCs w:val="20"/>
        </w:rPr>
      </w:pPr>
      <w:hyperlink r:id="rId112" w:anchor="sBB4BED1571A45A16AF3DC2E3B69C901C" w:history="1">
        <w:r>
          <w:rPr>
            <w:rStyle w:val="a5"/>
            <w:rFonts w:ascii="Times New Roman" w:eastAsia="宋体" w:hAnsi="Times New Roman"/>
            <w:sz w:val="20"/>
            <w:szCs w:val="20"/>
          </w:rPr>
          <w:t>Table of Contents</w:t>
        </w:r>
      </w:hyperlink>
    </w:p>
    <w:p w14:paraId="1446F6F7" w14:textId="77777777" w:rsidR="00FE42B5" w:rsidRDefault="00FE42B5">
      <w:pPr>
        <w:rPr>
          <w:rFonts w:ascii="Times New Roman" w:hAnsi="Times New Roman"/>
          <w:sz w:val="20"/>
          <w:szCs w:val="20"/>
        </w:rPr>
      </w:pPr>
    </w:p>
    <w:p w14:paraId="1446F6F8"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may not be able to continue to successfully maintain or grow usage of and engagem</w:t>
      </w:r>
      <w:r>
        <w:rPr>
          <w:rFonts w:ascii="Times New Roman" w:eastAsia="宋体" w:hAnsi="Times New Roman"/>
          <w:b/>
          <w:bCs/>
          <w:i/>
          <w:iCs/>
          <w:sz w:val="20"/>
          <w:szCs w:val="20"/>
        </w:rPr>
        <w:t>ent with mobile and web applications that integrate with Facebook and our other products.</w:t>
      </w:r>
    </w:p>
    <w:p w14:paraId="1446F6F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have made and are continuing to make investments to enable developers to build, grow, and monetize mobile and web applications that integrate with Facebook and our</w:t>
      </w:r>
      <w:r>
        <w:rPr>
          <w:rFonts w:ascii="Times New Roman" w:eastAsia="宋体" w:hAnsi="Times New Roman"/>
          <w:sz w:val="20"/>
          <w:szCs w:val="20"/>
        </w:rPr>
        <w:t xml:space="preserve"> other products. Such existing and prospective developers may not be successful in building, growing, or monetizing mobile and/or web applications that create and maintain user engagement. Additionally, developers may choose to build on other platforms, in</w:t>
      </w:r>
      <w:r>
        <w:rPr>
          <w:rFonts w:ascii="Times New Roman" w:eastAsia="宋体" w:hAnsi="Times New Roman"/>
          <w:sz w:val="20"/>
          <w:szCs w:val="20"/>
        </w:rPr>
        <w:t>cluding mobile platforms controlled by third parties, rather than building products that integrate with Facebook and our other products. We are continuously seeking to balance the distribution objectives of our developers with our desire to provide an opti</w:t>
      </w:r>
      <w:r>
        <w:rPr>
          <w:rFonts w:ascii="Times New Roman" w:eastAsia="宋体" w:hAnsi="Times New Roman"/>
          <w:sz w:val="20"/>
          <w:szCs w:val="20"/>
        </w:rPr>
        <w:t>mal user experience, and we may not be successful in achieving a balance that continues to attract and retain such developers. For example, from time to time, we have taken actions to reduce the volume of communications from these developers to users on Fa</w:t>
      </w:r>
      <w:r>
        <w:rPr>
          <w:rFonts w:ascii="Times New Roman" w:eastAsia="宋体" w:hAnsi="Times New Roman"/>
          <w:sz w:val="20"/>
          <w:szCs w:val="20"/>
        </w:rPr>
        <w:t xml:space="preserve">cebook and our other products with the objective of enhancing the user experience, and such actions have reduced distribution from, user engagement with, and our monetization opportunities from, mobile and web applications integrated with our products. In </w:t>
      </w:r>
      <w:r>
        <w:rPr>
          <w:rFonts w:ascii="Times New Roman" w:eastAsia="宋体" w:hAnsi="Times New Roman"/>
          <w:sz w:val="20"/>
          <w:szCs w:val="20"/>
        </w:rPr>
        <w:t xml:space="preserve">addition, as part of our efforts related to privacy, safety, and security, we are conducting investigations and audits of a large number of platform applications, and we also have announced several product changes that restrict developer access to certain </w:t>
      </w:r>
      <w:r>
        <w:rPr>
          <w:rFonts w:ascii="Times New Roman" w:eastAsia="宋体" w:hAnsi="Times New Roman"/>
          <w:sz w:val="20"/>
          <w:szCs w:val="20"/>
        </w:rPr>
        <w:t>user data. In some instances, these actions, as well as other actions to enforce our policies applicable to developers, have adversely affected, or will adversely affect, our relationships with developers. If we are not successful in our efforts to maintai</w:t>
      </w:r>
      <w:r>
        <w:rPr>
          <w:rFonts w:ascii="Times New Roman" w:eastAsia="宋体" w:hAnsi="Times New Roman"/>
          <w:sz w:val="20"/>
          <w:szCs w:val="20"/>
        </w:rPr>
        <w:t>n or grow the number of developers that choose to build products that integrate with Facebook and our other products or if we are unable to continue to build and maintain good relations with such developers, our user growth and user engagement and our fina</w:t>
      </w:r>
      <w:r>
        <w:rPr>
          <w:rFonts w:ascii="Times New Roman" w:eastAsia="宋体" w:hAnsi="Times New Roman"/>
          <w:sz w:val="20"/>
          <w:szCs w:val="20"/>
        </w:rPr>
        <w:t>ncial results may be adversely affected.</w:t>
      </w:r>
    </w:p>
    <w:p w14:paraId="1446F6FA"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Payment transactions may subject us to additional regulatory requirements and other risks that could be costly and difficult to comply with or that could harm our business.</w:t>
      </w:r>
    </w:p>
    <w:p w14:paraId="1446F6F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users can purchase virtual and digital</w:t>
      </w:r>
      <w:r>
        <w:rPr>
          <w:rFonts w:ascii="Times New Roman" w:eastAsia="宋体" w:hAnsi="Times New Roman"/>
          <w:sz w:val="20"/>
          <w:szCs w:val="20"/>
        </w:rPr>
        <w:t xml:space="preserve"> goods from developers that offer applications using our Payments infrastructure on the Facebook website. In addition, certain of our users can use our Payments infrastructure, including on Messenger, for other activities, such as sending money to other us</w:t>
      </w:r>
      <w:r>
        <w:rPr>
          <w:rFonts w:ascii="Times New Roman" w:eastAsia="宋体" w:hAnsi="Times New Roman"/>
          <w:sz w:val="20"/>
          <w:szCs w:val="20"/>
        </w:rPr>
        <w:t>ers and making donations to certain charitable organizations. We are subject to a variety of laws and regulations in the United States, Europe, and elsewhere, including those governing anti-money laundering and counter-terrorist financing, money transmissi</w:t>
      </w:r>
      <w:r>
        <w:rPr>
          <w:rFonts w:ascii="Times New Roman" w:eastAsia="宋体" w:hAnsi="Times New Roman"/>
          <w:sz w:val="20"/>
          <w:szCs w:val="20"/>
        </w:rPr>
        <w:t xml:space="preserve">on, gift cards and other prepaid access instruments, electronic funds transfer, charitable fundraising, and import and export restrictions. Depending on how our Payments product evolves, we may also be subject to other laws and regulations including those </w:t>
      </w:r>
      <w:r>
        <w:rPr>
          <w:rFonts w:ascii="Times New Roman" w:eastAsia="宋体" w:hAnsi="Times New Roman"/>
          <w:sz w:val="20"/>
          <w:szCs w:val="20"/>
        </w:rPr>
        <w:t>governing gambling, banking, and lending. In some jurisdictions, the application or interpretation of these laws and regulations is not clear. To increase flexibility in how our use of Payments may evolve and to mitigate regulatory uncertainty, we have rec</w:t>
      </w:r>
      <w:r>
        <w:rPr>
          <w:rFonts w:ascii="Times New Roman" w:eastAsia="宋体" w:hAnsi="Times New Roman"/>
          <w:sz w:val="20"/>
          <w:szCs w:val="20"/>
        </w:rPr>
        <w:t>eived certain money transmitter licenses in the United States and an Electronic Money (E-Money) license that allows us to conduct certain regulated payment activities in the participating member countries of the European Economic Area, which will generally</w:t>
      </w:r>
      <w:r>
        <w:rPr>
          <w:rFonts w:ascii="Times New Roman" w:eastAsia="宋体" w:hAnsi="Times New Roman"/>
          <w:sz w:val="20"/>
          <w:szCs w:val="20"/>
        </w:rPr>
        <w:t xml:space="preserve"> require us to demonstrate compliance with many domestic and foreign laws in these areas. Our efforts to comply with these laws and regulations could be costly and result in diversion of management time and effort and may still not guarantee compliance. In</w:t>
      </w:r>
      <w:r>
        <w:rPr>
          <w:rFonts w:ascii="Times New Roman" w:eastAsia="宋体" w:hAnsi="Times New Roman"/>
          <w:sz w:val="20"/>
          <w:szCs w:val="20"/>
        </w:rPr>
        <w:t xml:space="preserve"> the event that we are found to be in violation of any such legal or regulatory requirements, we may be subject to monetary fines or other penalties such as a cease and desist order, or we may be required to make product changes, any of which could have an</w:t>
      </w:r>
      <w:r>
        <w:rPr>
          <w:rFonts w:ascii="Times New Roman" w:eastAsia="宋体" w:hAnsi="Times New Roman"/>
          <w:sz w:val="20"/>
          <w:szCs w:val="20"/>
        </w:rPr>
        <w:t xml:space="preserve"> adverse effect on our business and financial results.</w:t>
      </w:r>
    </w:p>
    <w:p w14:paraId="1446F6F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we may be subject to a variety of additional risks as a result of Payments transactions, including: increased costs and diversion of management time and effort and other resources to deal </w:t>
      </w:r>
      <w:r>
        <w:rPr>
          <w:rFonts w:ascii="Times New Roman" w:eastAsia="宋体" w:hAnsi="Times New Roman"/>
          <w:sz w:val="20"/>
          <w:szCs w:val="20"/>
        </w:rPr>
        <w:t>with bad transactions or customer disputes; potential fraudulent or otherwise illegal activity by users, developers, employees, or third parties; restrictions on the investment of consumer funds used to transact Payments; and additional disclosure and repo</w:t>
      </w:r>
      <w:r>
        <w:rPr>
          <w:rFonts w:ascii="Times New Roman" w:eastAsia="宋体" w:hAnsi="Times New Roman"/>
          <w:sz w:val="20"/>
          <w:szCs w:val="20"/>
        </w:rPr>
        <w:t>rting requirements. We also intend to launch certain payments functionality on WhatsApp and have announced plans to develop digital payments products and services, which may subject us to many of the foregoing risks and additional licensing requirements.</w:t>
      </w:r>
    </w:p>
    <w:p w14:paraId="1446F6FD"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O</w:t>
      </w:r>
      <w:r>
        <w:rPr>
          <w:rFonts w:ascii="Times New Roman" w:eastAsia="宋体" w:hAnsi="Times New Roman"/>
          <w:b/>
          <w:bCs/>
          <w:i/>
          <w:iCs/>
          <w:sz w:val="20"/>
          <w:szCs w:val="20"/>
        </w:rPr>
        <w:t>ur participation in the Libra Association will subject us to significant regulatory scrutiny and other risks that could adversely affect our business, reputation, or financial results.</w:t>
      </w:r>
    </w:p>
    <w:p w14:paraId="1446F6F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June 2019, we announced our participation in the Libra Association, which will oversee a proposed digital payments system powered by blockchain technology, and our plans for Calibra, a digital wallet for Libra which we expect to launch in Messenger, Wha</w:t>
      </w:r>
      <w:r>
        <w:rPr>
          <w:rFonts w:ascii="Times New Roman" w:eastAsia="宋体" w:hAnsi="Times New Roman"/>
          <w:sz w:val="20"/>
          <w:szCs w:val="20"/>
        </w:rPr>
        <w:t xml:space="preserve">tsApp, and as a standalone application. </w:t>
      </w:r>
    </w:p>
    <w:p w14:paraId="1446F6F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Libra is based on relatively new and unproven technology, and the laws and regulations surrounding blockchain-based payments are uncertain and evolving. Libra has drawn significant scrutiny from governments and regu</w:t>
      </w:r>
      <w:r>
        <w:rPr>
          <w:rFonts w:ascii="Times New Roman" w:eastAsia="宋体" w:hAnsi="Times New Roman"/>
          <w:sz w:val="20"/>
          <w:szCs w:val="20"/>
        </w:rPr>
        <w:t xml:space="preserve">lators in multiple jurisdictions and we expect that scrutiny to continue. As a primary sponsor of the initiative, we are participating in responses to </w:t>
      </w:r>
    </w:p>
    <w:p w14:paraId="1446F700" w14:textId="77777777" w:rsidR="00FE42B5" w:rsidRDefault="00FE42B5">
      <w:pPr>
        <w:rPr>
          <w:rFonts w:ascii="Times New Roman" w:hAnsi="Times New Roman"/>
          <w:sz w:val="20"/>
          <w:szCs w:val="20"/>
        </w:rPr>
      </w:pPr>
    </w:p>
    <w:p w14:paraId="1446F701"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73</w:t>
      </w:r>
    </w:p>
    <w:p w14:paraId="1446F702" w14:textId="77777777" w:rsidR="00FE42B5" w:rsidRDefault="009213DC">
      <w:r>
        <w:rPr>
          <w:rFonts w:ascii="Times New Roman" w:hAnsi="Times New Roman"/>
          <w:sz w:val="20"/>
          <w:szCs w:val="20"/>
        </w:rPr>
        <w:pict w14:anchorId="1446FB11">
          <v:rect id="_x0000_i1097" style="width:415.3pt;height:1.5pt" o:hralign="center" o:hrstd="t" o:hr="t" fillcolor="#a0a0a0" stroked="f"/>
        </w:pict>
      </w:r>
    </w:p>
    <w:p w14:paraId="1446F703" w14:textId="77777777" w:rsidR="00FE42B5" w:rsidRDefault="009213DC">
      <w:pPr>
        <w:spacing w:line="288" w:lineRule="auto"/>
        <w:rPr>
          <w:rFonts w:ascii="Times New Roman" w:hAnsi="Times New Roman"/>
          <w:sz w:val="20"/>
          <w:szCs w:val="20"/>
        </w:rPr>
      </w:pPr>
      <w:hyperlink r:id="rId113" w:anchor="sBB4BED1571A45A16AF3DC2E3B69C901C" w:history="1">
        <w:r>
          <w:rPr>
            <w:rStyle w:val="a5"/>
            <w:rFonts w:ascii="Times New Roman" w:eastAsia="宋体" w:hAnsi="Times New Roman"/>
            <w:sz w:val="20"/>
            <w:szCs w:val="20"/>
          </w:rPr>
          <w:t>Table of Contents</w:t>
        </w:r>
      </w:hyperlink>
    </w:p>
    <w:p w14:paraId="1446F704" w14:textId="77777777" w:rsidR="00FE42B5" w:rsidRDefault="00FE42B5">
      <w:pPr>
        <w:rPr>
          <w:rFonts w:ascii="Times New Roman" w:hAnsi="Times New Roman"/>
          <w:sz w:val="20"/>
          <w:szCs w:val="20"/>
        </w:rPr>
      </w:pPr>
    </w:p>
    <w:p w14:paraId="1446F705"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inquiries from governments and regulators, and adverse government or regulatory actions or negative publicity resulting from such participation may adversely affect our reputation an</w:t>
      </w:r>
      <w:r>
        <w:rPr>
          <w:rFonts w:ascii="Times New Roman" w:eastAsia="宋体" w:hAnsi="Times New Roman"/>
          <w:sz w:val="20"/>
          <w:szCs w:val="20"/>
        </w:rPr>
        <w:t>d harm our business.</w:t>
      </w:r>
    </w:p>
    <w:p w14:paraId="1446F70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As this initiative evolves, we may be subject to a variety of laws and regulations in the United States and international jurisdictions, including those governing payments, financial services, anti-money laundering, counter-terrorism f</w:t>
      </w:r>
      <w:r>
        <w:rPr>
          <w:rFonts w:ascii="Times New Roman" w:eastAsia="宋体" w:hAnsi="Times New Roman"/>
          <w:sz w:val="20"/>
          <w:szCs w:val="20"/>
        </w:rPr>
        <w:t>inancing, economic sanctions, data protection, tax, and competition. In many jurisdictions, the application or interpretation of these laws and regulations is not clear, particularly with respect to evolving laws and regulations that are applied to blockch</w:t>
      </w:r>
      <w:r>
        <w:rPr>
          <w:rFonts w:ascii="Times New Roman" w:eastAsia="宋体" w:hAnsi="Times New Roman"/>
          <w:sz w:val="20"/>
          <w:szCs w:val="20"/>
        </w:rPr>
        <w:t>ain and digital payments. These laws and regulations, as well as any associated inquiries or investigations, may delay or impede the launch of the Libra currency as well as the development of our products and services, increase our operating costs, require</w:t>
      </w:r>
      <w:r>
        <w:rPr>
          <w:rFonts w:ascii="Times New Roman" w:eastAsia="宋体" w:hAnsi="Times New Roman"/>
          <w:sz w:val="20"/>
          <w:szCs w:val="20"/>
        </w:rPr>
        <w:t xml:space="preserve"> significant management time and attention, or otherwise harm our business.</w:t>
      </w:r>
    </w:p>
    <w:p w14:paraId="1446F70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market acceptance of such currency is subject to significant uncertainty. As such, there can be no assurance that Libra or our associated products and services will be</w:t>
      </w:r>
      <w:r>
        <w:rPr>
          <w:rFonts w:ascii="Times New Roman" w:eastAsia="宋体" w:hAnsi="Times New Roman"/>
          <w:sz w:val="20"/>
          <w:szCs w:val="20"/>
        </w:rPr>
        <w:t xml:space="preserve"> made available in a timely manner, or at all. We do not have significant prior experience with blockchain-based payments technology, which may adversely affect our ability to successfully develop and market these products and services. We will also incur </w:t>
      </w:r>
      <w:r>
        <w:rPr>
          <w:rFonts w:ascii="Times New Roman" w:eastAsia="宋体" w:hAnsi="Times New Roman"/>
          <w:sz w:val="20"/>
          <w:szCs w:val="20"/>
        </w:rPr>
        <w:t>increased costs in connection with our participation in the Libra Association and the development and marketing of associated products and services, and our investments may not be successful. Any of these events could adversely affect our business, reputat</w:t>
      </w:r>
      <w:r>
        <w:rPr>
          <w:rFonts w:ascii="Times New Roman" w:eastAsia="宋体" w:hAnsi="Times New Roman"/>
          <w:sz w:val="20"/>
          <w:szCs w:val="20"/>
        </w:rPr>
        <w:t>ion, or financial results.</w:t>
      </w:r>
    </w:p>
    <w:p w14:paraId="1446F708"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have significant international operations and plan to continue expanding our operations abroad where we have more limited operating experience, and this may subject us to increased business and economic risks that could affect</w:t>
      </w:r>
      <w:r>
        <w:rPr>
          <w:rFonts w:ascii="Times New Roman" w:eastAsia="宋体" w:hAnsi="Times New Roman"/>
          <w:b/>
          <w:bCs/>
          <w:i/>
          <w:iCs/>
          <w:sz w:val="20"/>
          <w:szCs w:val="20"/>
        </w:rPr>
        <w:t xml:space="preserve"> our financial results.</w:t>
      </w:r>
    </w:p>
    <w:p w14:paraId="1446F70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have significant international operations and plan to continue the international expansion of our business operations and the translation of our products. We currently make Facebook available in more than 100 different languages,</w:t>
      </w:r>
      <w:r>
        <w:rPr>
          <w:rFonts w:ascii="Times New Roman" w:eastAsia="宋体" w:hAnsi="Times New Roman"/>
          <w:sz w:val="20"/>
          <w:szCs w:val="20"/>
        </w:rPr>
        <w:t xml:space="preserve"> and we have offices or data centers in more than 30 different countries. We may enter new international markets where we have limited or no experience in marketing, selling, and deploying our products. Our products are generally available globally, but so</w:t>
      </w:r>
      <w:r>
        <w:rPr>
          <w:rFonts w:ascii="Times New Roman" w:eastAsia="宋体" w:hAnsi="Times New Roman"/>
          <w:sz w:val="20"/>
          <w:szCs w:val="20"/>
        </w:rPr>
        <w:t>me or all of our products or functionality may not be available in certain markets due to legal and regulatory complexities. For example, Facebook and certain of our other products are not generally available in China. We also outsource certain operational</w:t>
      </w:r>
      <w:r>
        <w:rPr>
          <w:rFonts w:ascii="Times New Roman" w:eastAsia="宋体" w:hAnsi="Times New Roman"/>
          <w:sz w:val="20"/>
          <w:szCs w:val="20"/>
        </w:rPr>
        <w:t xml:space="preserve"> functions to third-party vendors globally. If we fail to deploy, manage, or oversee our international operations successfully, our business may suffer. In addition, we are subject to a variety of risks inherent in doing business internationally, including</w:t>
      </w:r>
      <w:r>
        <w:rPr>
          <w:rFonts w:ascii="Times New Roman" w:eastAsia="宋体" w:hAnsi="Times New Roman"/>
          <w:sz w:val="20"/>
          <w:szCs w:val="20"/>
        </w:rPr>
        <w:t>:</w:t>
      </w:r>
    </w:p>
    <w:tbl>
      <w:tblPr>
        <w:tblW w:w="0" w:type="auto"/>
        <w:tblCellSpacing w:w="0" w:type="dxa"/>
        <w:tblCellMar>
          <w:left w:w="0" w:type="dxa"/>
          <w:right w:w="0" w:type="dxa"/>
        </w:tblCellMar>
        <w:tblLook w:val="04A0" w:firstRow="1" w:lastRow="0" w:firstColumn="1" w:lastColumn="0" w:noHBand="0" w:noVBand="1"/>
      </w:tblPr>
      <w:tblGrid>
        <w:gridCol w:w="1440"/>
        <w:gridCol w:w="3222"/>
      </w:tblGrid>
      <w:tr w:rsidR="00FE42B5" w14:paraId="1446F70C" w14:textId="77777777">
        <w:trPr>
          <w:tblCellSpacing w:w="0" w:type="dxa"/>
        </w:trPr>
        <w:tc>
          <w:tcPr>
            <w:tcW w:w="1440" w:type="dxa"/>
            <w:shd w:val="clear" w:color="auto" w:fill="auto"/>
            <w:vAlign w:val="center"/>
          </w:tcPr>
          <w:p w14:paraId="1446F70A" w14:textId="77777777" w:rsidR="00FE42B5" w:rsidRDefault="00FE42B5">
            <w:pPr>
              <w:rPr>
                <w:rFonts w:ascii="Times New Roman" w:hAnsi="Times New Roman"/>
                <w:sz w:val="20"/>
                <w:szCs w:val="20"/>
              </w:rPr>
            </w:pPr>
          </w:p>
        </w:tc>
        <w:tc>
          <w:tcPr>
            <w:tcW w:w="0" w:type="auto"/>
            <w:shd w:val="clear" w:color="auto" w:fill="auto"/>
            <w:vAlign w:val="center"/>
          </w:tcPr>
          <w:p w14:paraId="1446F70B" w14:textId="77777777" w:rsidR="00FE42B5" w:rsidRDefault="00FE42B5">
            <w:pPr>
              <w:rPr>
                <w:rFonts w:ascii="Times New Roman" w:hAnsi="Times New Roman"/>
                <w:sz w:val="20"/>
                <w:szCs w:val="20"/>
              </w:rPr>
            </w:pPr>
          </w:p>
        </w:tc>
      </w:tr>
      <w:tr w:rsidR="00FE42B5" w14:paraId="1446F70F" w14:textId="77777777">
        <w:trPr>
          <w:tblCellSpacing w:w="0" w:type="dxa"/>
        </w:trPr>
        <w:tc>
          <w:tcPr>
            <w:tcW w:w="0" w:type="auto"/>
            <w:shd w:val="clear" w:color="auto" w:fill="auto"/>
          </w:tcPr>
          <w:p w14:paraId="1446F70D"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0E"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political, social, or economic instability;</w:t>
            </w:r>
          </w:p>
        </w:tc>
      </w:tr>
    </w:tbl>
    <w:p w14:paraId="1446F710"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13" w14:textId="77777777">
        <w:trPr>
          <w:tblCellSpacing w:w="0" w:type="dxa"/>
        </w:trPr>
        <w:tc>
          <w:tcPr>
            <w:tcW w:w="1440" w:type="dxa"/>
            <w:shd w:val="clear" w:color="auto" w:fill="auto"/>
            <w:vAlign w:val="center"/>
          </w:tcPr>
          <w:p w14:paraId="1446F711" w14:textId="77777777" w:rsidR="00FE42B5" w:rsidRDefault="00FE42B5">
            <w:pPr>
              <w:rPr>
                <w:rFonts w:ascii="Times New Roman" w:hAnsi="Times New Roman"/>
                <w:sz w:val="20"/>
                <w:szCs w:val="20"/>
              </w:rPr>
            </w:pPr>
          </w:p>
        </w:tc>
        <w:tc>
          <w:tcPr>
            <w:tcW w:w="0" w:type="auto"/>
            <w:shd w:val="clear" w:color="auto" w:fill="auto"/>
            <w:vAlign w:val="center"/>
          </w:tcPr>
          <w:p w14:paraId="1446F712" w14:textId="77777777" w:rsidR="00FE42B5" w:rsidRDefault="00FE42B5">
            <w:pPr>
              <w:rPr>
                <w:rFonts w:ascii="Times New Roman" w:hAnsi="Times New Roman"/>
                <w:sz w:val="20"/>
                <w:szCs w:val="20"/>
              </w:rPr>
            </w:pPr>
          </w:p>
        </w:tc>
      </w:tr>
      <w:tr w:rsidR="00FE42B5" w14:paraId="1446F716" w14:textId="77777777">
        <w:trPr>
          <w:tblCellSpacing w:w="0" w:type="dxa"/>
        </w:trPr>
        <w:tc>
          <w:tcPr>
            <w:tcW w:w="0" w:type="auto"/>
            <w:shd w:val="clear" w:color="auto" w:fill="auto"/>
          </w:tcPr>
          <w:p w14:paraId="1446F71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15"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risks related to legal, regulatory, and other government scrutiny applicable to U.S. companies with sales and operations in foreign jurisdictions, including with respect to privacy, tax, law </w:t>
            </w:r>
            <w:r>
              <w:rPr>
                <w:rFonts w:ascii="Times New Roman" w:eastAsia="宋体" w:hAnsi="Times New Roman"/>
                <w:sz w:val="20"/>
                <w:szCs w:val="20"/>
              </w:rPr>
              <w:t>enforcement, content, trade compliance, competition, consumer protection, intellectual property, and terrestrial infrastructure matters;</w:t>
            </w:r>
          </w:p>
        </w:tc>
      </w:tr>
    </w:tbl>
    <w:p w14:paraId="1446F717"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1A" w14:textId="77777777">
        <w:trPr>
          <w:tblCellSpacing w:w="0" w:type="dxa"/>
        </w:trPr>
        <w:tc>
          <w:tcPr>
            <w:tcW w:w="1440" w:type="dxa"/>
            <w:shd w:val="clear" w:color="auto" w:fill="auto"/>
            <w:vAlign w:val="center"/>
          </w:tcPr>
          <w:p w14:paraId="1446F718" w14:textId="77777777" w:rsidR="00FE42B5" w:rsidRDefault="00FE42B5">
            <w:pPr>
              <w:rPr>
                <w:rFonts w:ascii="Times New Roman" w:hAnsi="Times New Roman"/>
                <w:sz w:val="20"/>
                <w:szCs w:val="20"/>
              </w:rPr>
            </w:pPr>
          </w:p>
        </w:tc>
        <w:tc>
          <w:tcPr>
            <w:tcW w:w="0" w:type="auto"/>
            <w:shd w:val="clear" w:color="auto" w:fill="auto"/>
            <w:vAlign w:val="center"/>
          </w:tcPr>
          <w:p w14:paraId="1446F719" w14:textId="77777777" w:rsidR="00FE42B5" w:rsidRDefault="00FE42B5">
            <w:pPr>
              <w:rPr>
                <w:rFonts w:ascii="Times New Roman" w:hAnsi="Times New Roman"/>
                <w:sz w:val="20"/>
                <w:szCs w:val="20"/>
              </w:rPr>
            </w:pPr>
          </w:p>
        </w:tc>
      </w:tr>
      <w:tr w:rsidR="00FE42B5" w14:paraId="1446F71D" w14:textId="77777777">
        <w:trPr>
          <w:tblCellSpacing w:w="0" w:type="dxa"/>
        </w:trPr>
        <w:tc>
          <w:tcPr>
            <w:tcW w:w="0" w:type="auto"/>
            <w:shd w:val="clear" w:color="auto" w:fill="auto"/>
          </w:tcPr>
          <w:p w14:paraId="1446F71B"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1C"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potential damage to our brand and reputation due to compliance with local laws, including potential censorship o</w:t>
            </w:r>
            <w:r>
              <w:rPr>
                <w:rFonts w:ascii="Times New Roman" w:eastAsia="宋体" w:hAnsi="Times New Roman"/>
                <w:sz w:val="20"/>
                <w:szCs w:val="20"/>
              </w:rPr>
              <w:t>r requirements to provide user information to local authorities;</w:t>
            </w:r>
          </w:p>
        </w:tc>
      </w:tr>
    </w:tbl>
    <w:p w14:paraId="1446F71E"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21" w14:textId="77777777">
        <w:trPr>
          <w:tblCellSpacing w:w="0" w:type="dxa"/>
        </w:trPr>
        <w:tc>
          <w:tcPr>
            <w:tcW w:w="1440" w:type="dxa"/>
            <w:shd w:val="clear" w:color="auto" w:fill="auto"/>
            <w:vAlign w:val="center"/>
          </w:tcPr>
          <w:p w14:paraId="1446F71F" w14:textId="77777777" w:rsidR="00FE42B5" w:rsidRDefault="00FE42B5">
            <w:pPr>
              <w:rPr>
                <w:rFonts w:ascii="Times New Roman" w:hAnsi="Times New Roman"/>
                <w:sz w:val="20"/>
                <w:szCs w:val="20"/>
              </w:rPr>
            </w:pPr>
          </w:p>
        </w:tc>
        <w:tc>
          <w:tcPr>
            <w:tcW w:w="0" w:type="auto"/>
            <w:shd w:val="clear" w:color="auto" w:fill="auto"/>
            <w:vAlign w:val="center"/>
          </w:tcPr>
          <w:p w14:paraId="1446F720" w14:textId="77777777" w:rsidR="00FE42B5" w:rsidRDefault="00FE42B5">
            <w:pPr>
              <w:rPr>
                <w:rFonts w:ascii="Times New Roman" w:hAnsi="Times New Roman"/>
                <w:sz w:val="20"/>
                <w:szCs w:val="20"/>
              </w:rPr>
            </w:pPr>
          </w:p>
        </w:tc>
      </w:tr>
      <w:tr w:rsidR="00FE42B5" w14:paraId="1446F724" w14:textId="77777777">
        <w:trPr>
          <w:tblCellSpacing w:w="0" w:type="dxa"/>
        </w:trPr>
        <w:tc>
          <w:tcPr>
            <w:tcW w:w="0" w:type="auto"/>
            <w:shd w:val="clear" w:color="auto" w:fill="auto"/>
          </w:tcPr>
          <w:p w14:paraId="1446F722"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23"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enhanced difficulty in reviewing content on our platform and enforcing our community standards across different languages and countries;</w:t>
            </w:r>
          </w:p>
        </w:tc>
      </w:tr>
    </w:tbl>
    <w:p w14:paraId="1446F725"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348"/>
      </w:tblGrid>
      <w:tr w:rsidR="00FE42B5" w14:paraId="1446F728" w14:textId="77777777">
        <w:trPr>
          <w:tblCellSpacing w:w="0" w:type="dxa"/>
        </w:trPr>
        <w:tc>
          <w:tcPr>
            <w:tcW w:w="1440" w:type="dxa"/>
            <w:shd w:val="clear" w:color="auto" w:fill="auto"/>
            <w:vAlign w:val="center"/>
          </w:tcPr>
          <w:p w14:paraId="1446F726" w14:textId="77777777" w:rsidR="00FE42B5" w:rsidRDefault="00FE42B5">
            <w:pPr>
              <w:rPr>
                <w:rFonts w:ascii="Times New Roman" w:hAnsi="Times New Roman"/>
                <w:sz w:val="20"/>
                <w:szCs w:val="20"/>
              </w:rPr>
            </w:pPr>
          </w:p>
        </w:tc>
        <w:tc>
          <w:tcPr>
            <w:tcW w:w="0" w:type="auto"/>
            <w:shd w:val="clear" w:color="auto" w:fill="auto"/>
            <w:vAlign w:val="center"/>
          </w:tcPr>
          <w:p w14:paraId="1446F727" w14:textId="77777777" w:rsidR="00FE42B5" w:rsidRDefault="00FE42B5">
            <w:pPr>
              <w:rPr>
                <w:rFonts w:ascii="Times New Roman" w:hAnsi="Times New Roman"/>
                <w:sz w:val="20"/>
                <w:szCs w:val="20"/>
              </w:rPr>
            </w:pPr>
          </w:p>
        </w:tc>
      </w:tr>
      <w:tr w:rsidR="00FE42B5" w14:paraId="1446F72B" w14:textId="77777777">
        <w:trPr>
          <w:tblCellSpacing w:w="0" w:type="dxa"/>
        </w:trPr>
        <w:tc>
          <w:tcPr>
            <w:tcW w:w="0" w:type="auto"/>
            <w:shd w:val="clear" w:color="auto" w:fill="auto"/>
          </w:tcPr>
          <w:p w14:paraId="1446F729"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2A"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fluctuations in currency </w:t>
            </w:r>
            <w:r>
              <w:rPr>
                <w:rFonts w:ascii="Times New Roman" w:eastAsia="宋体" w:hAnsi="Times New Roman"/>
                <w:sz w:val="20"/>
                <w:szCs w:val="20"/>
              </w:rPr>
              <w:t>exchange rates and compliance with currency controls;</w:t>
            </w:r>
          </w:p>
        </w:tc>
      </w:tr>
    </w:tbl>
    <w:p w14:paraId="1446F72C"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2F" w14:textId="77777777">
        <w:trPr>
          <w:tblCellSpacing w:w="0" w:type="dxa"/>
        </w:trPr>
        <w:tc>
          <w:tcPr>
            <w:tcW w:w="1440" w:type="dxa"/>
            <w:shd w:val="clear" w:color="auto" w:fill="auto"/>
            <w:vAlign w:val="center"/>
          </w:tcPr>
          <w:p w14:paraId="1446F72D" w14:textId="77777777" w:rsidR="00FE42B5" w:rsidRDefault="00FE42B5">
            <w:pPr>
              <w:rPr>
                <w:rFonts w:ascii="Times New Roman" w:hAnsi="Times New Roman"/>
                <w:sz w:val="20"/>
                <w:szCs w:val="20"/>
              </w:rPr>
            </w:pPr>
          </w:p>
        </w:tc>
        <w:tc>
          <w:tcPr>
            <w:tcW w:w="0" w:type="auto"/>
            <w:shd w:val="clear" w:color="auto" w:fill="auto"/>
            <w:vAlign w:val="center"/>
          </w:tcPr>
          <w:p w14:paraId="1446F72E" w14:textId="77777777" w:rsidR="00FE42B5" w:rsidRDefault="00FE42B5">
            <w:pPr>
              <w:rPr>
                <w:rFonts w:ascii="Times New Roman" w:hAnsi="Times New Roman"/>
                <w:sz w:val="20"/>
                <w:szCs w:val="20"/>
              </w:rPr>
            </w:pPr>
          </w:p>
        </w:tc>
      </w:tr>
      <w:tr w:rsidR="00FE42B5" w14:paraId="1446F732" w14:textId="77777777">
        <w:trPr>
          <w:tblCellSpacing w:w="0" w:type="dxa"/>
        </w:trPr>
        <w:tc>
          <w:tcPr>
            <w:tcW w:w="0" w:type="auto"/>
            <w:shd w:val="clear" w:color="auto" w:fill="auto"/>
          </w:tcPr>
          <w:p w14:paraId="1446F730"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31"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foreign exchange controls and tax and other regulations and orders that might prevent us from repatriating cash earned in countries outside the United States or otherwise limit our ability to </w:t>
            </w:r>
            <w:r>
              <w:rPr>
                <w:rFonts w:ascii="Times New Roman" w:eastAsia="宋体" w:hAnsi="Times New Roman"/>
                <w:sz w:val="20"/>
                <w:szCs w:val="20"/>
              </w:rPr>
              <w:t>move cash freely, and impede our ability to invest such cash efficiently;</w:t>
            </w:r>
          </w:p>
        </w:tc>
      </w:tr>
    </w:tbl>
    <w:p w14:paraId="1446F733"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3705"/>
      </w:tblGrid>
      <w:tr w:rsidR="00FE42B5" w14:paraId="1446F736" w14:textId="77777777">
        <w:trPr>
          <w:tblCellSpacing w:w="0" w:type="dxa"/>
        </w:trPr>
        <w:tc>
          <w:tcPr>
            <w:tcW w:w="1440" w:type="dxa"/>
            <w:shd w:val="clear" w:color="auto" w:fill="auto"/>
            <w:vAlign w:val="center"/>
          </w:tcPr>
          <w:p w14:paraId="1446F734" w14:textId="77777777" w:rsidR="00FE42B5" w:rsidRDefault="00FE42B5">
            <w:pPr>
              <w:rPr>
                <w:rFonts w:ascii="Times New Roman" w:hAnsi="Times New Roman"/>
                <w:sz w:val="20"/>
                <w:szCs w:val="20"/>
              </w:rPr>
            </w:pPr>
          </w:p>
        </w:tc>
        <w:tc>
          <w:tcPr>
            <w:tcW w:w="0" w:type="auto"/>
            <w:shd w:val="clear" w:color="auto" w:fill="auto"/>
            <w:vAlign w:val="center"/>
          </w:tcPr>
          <w:p w14:paraId="1446F735" w14:textId="77777777" w:rsidR="00FE42B5" w:rsidRDefault="00FE42B5">
            <w:pPr>
              <w:rPr>
                <w:rFonts w:ascii="Times New Roman" w:hAnsi="Times New Roman"/>
                <w:sz w:val="20"/>
                <w:szCs w:val="20"/>
              </w:rPr>
            </w:pPr>
          </w:p>
        </w:tc>
      </w:tr>
      <w:tr w:rsidR="00FE42B5" w14:paraId="1446F739" w14:textId="77777777">
        <w:trPr>
          <w:tblCellSpacing w:w="0" w:type="dxa"/>
        </w:trPr>
        <w:tc>
          <w:tcPr>
            <w:tcW w:w="0" w:type="auto"/>
            <w:shd w:val="clear" w:color="auto" w:fill="auto"/>
          </w:tcPr>
          <w:p w14:paraId="1446F737"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38"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higher levels of credit risk and payment fraud;</w:t>
            </w:r>
          </w:p>
        </w:tc>
      </w:tr>
    </w:tbl>
    <w:p w14:paraId="1446F73A"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4832"/>
      </w:tblGrid>
      <w:tr w:rsidR="00FE42B5" w14:paraId="1446F73D" w14:textId="77777777">
        <w:trPr>
          <w:tblCellSpacing w:w="0" w:type="dxa"/>
        </w:trPr>
        <w:tc>
          <w:tcPr>
            <w:tcW w:w="1440" w:type="dxa"/>
            <w:shd w:val="clear" w:color="auto" w:fill="auto"/>
            <w:vAlign w:val="center"/>
          </w:tcPr>
          <w:p w14:paraId="1446F73B" w14:textId="77777777" w:rsidR="00FE42B5" w:rsidRDefault="00FE42B5">
            <w:pPr>
              <w:rPr>
                <w:rFonts w:ascii="Times New Roman" w:hAnsi="Times New Roman"/>
                <w:sz w:val="20"/>
                <w:szCs w:val="20"/>
              </w:rPr>
            </w:pPr>
          </w:p>
        </w:tc>
        <w:tc>
          <w:tcPr>
            <w:tcW w:w="0" w:type="auto"/>
            <w:shd w:val="clear" w:color="auto" w:fill="auto"/>
            <w:vAlign w:val="center"/>
          </w:tcPr>
          <w:p w14:paraId="1446F73C" w14:textId="77777777" w:rsidR="00FE42B5" w:rsidRDefault="00FE42B5">
            <w:pPr>
              <w:rPr>
                <w:rFonts w:ascii="Times New Roman" w:hAnsi="Times New Roman"/>
                <w:sz w:val="20"/>
                <w:szCs w:val="20"/>
              </w:rPr>
            </w:pPr>
          </w:p>
        </w:tc>
      </w:tr>
      <w:tr w:rsidR="00FE42B5" w14:paraId="1446F740" w14:textId="77777777">
        <w:trPr>
          <w:tblCellSpacing w:w="0" w:type="dxa"/>
        </w:trPr>
        <w:tc>
          <w:tcPr>
            <w:tcW w:w="0" w:type="auto"/>
            <w:shd w:val="clear" w:color="auto" w:fill="auto"/>
          </w:tcPr>
          <w:p w14:paraId="1446F73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3F"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enhanced difficulties of integrating any foreign acquisitions;</w:t>
            </w:r>
          </w:p>
        </w:tc>
      </w:tr>
    </w:tbl>
    <w:p w14:paraId="1446F741"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44" w14:textId="77777777">
        <w:trPr>
          <w:tblCellSpacing w:w="0" w:type="dxa"/>
        </w:trPr>
        <w:tc>
          <w:tcPr>
            <w:tcW w:w="1440" w:type="dxa"/>
            <w:shd w:val="clear" w:color="auto" w:fill="auto"/>
            <w:vAlign w:val="center"/>
          </w:tcPr>
          <w:p w14:paraId="1446F742" w14:textId="77777777" w:rsidR="00FE42B5" w:rsidRDefault="00FE42B5">
            <w:pPr>
              <w:rPr>
                <w:rFonts w:ascii="Times New Roman" w:hAnsi="Times New Roman"/>
                <w:sz w:val="20"/>
                <w:szCs w:val="20"/>
              </w:rPr>
            </w:pPr>
          </w:p>
        </w:tc>
        <w:tc>
          <w:tcPr>
            <w:tcW w:w="0" w:type="auto"/>
            <w:shd w:val="clear" w:color="auto" w:fill="auto"/>
            <w:vAlign w:val="center"/>
          </w:tcPr>
          <w:p w14:paraId="1446F743" w14:textId="77777777" w:rsidR="00FE42B5" w:rsidRDefault="00FE42B5">
            <w:pPr>
              <w:rPr>
                <w:rFonts w:ascii="Times New Roman" w:hAnsi="Times New Roman"/>
                <w:sz w:val="20"/>
                <w:szCs w:val="20"/>
              </w:rPr>
            </w:pPr>
          </w:p>
        </w:tc>
      </w:tr>
      <w:tr w:rsidR="00FE42B5" w14:paraId="1446F747" w14:textId="77777777">
        <w:trPr>
          <w:tblCellSpacing w:w="0" w:type="dxa"/>
        </w:trPr>
        <w:tc>
          <w:tcPr>
            <w:tcW w:w="0" w:type="auto"/>
            <w:shd w:val="clear" w:color="auto" w:fill="auto"/>
          </w:tcPr>
          <w:p w14:paraId="1446F745"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46"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burdens of complying with a variety of </w:t>
            </w:r>
            <w:r>
              <w:rPr>
                <w:rFonts w:ascii="Times New Roman" w:eastAsia="宋体" w:hAnsi="Times New Roman"/>
                <w:sz w:val="20"/>
                <w:szCs w:val="20"/>
              </w:rPr>
              <w:t>foreign laws, including laws related to taxation, content removal, data localization, and regulatory oversight;</w:t>
            </w:r>
          </w:p>
        </w:tc>
      </w:tr>
    </w:tbl>
    <w:p w14:paraId="1446F748"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5465"/>
      </w:tblGrid>
      <w:tr w:rsidR="00FE42B5" w14:paraId="1446F74B" w14:textId="77777777">
        <w:trPr>
          <w:tblCellSpacing w:w="0" w:type="dxa"/>
        </w:trPr>
        <w:tc>
          <w:tcPr>
            <w:tcW w:w="1440" w:type="dxa"/>
            <w:shd w:val="clear" w:color="auto" w:fill="auto"/>
            <w:vAlign w:val="center"/>
          </w:tcPr>
          <w:p w14:paraId="1446F749" w14:textId="77777777" w:rsidR="00FE42B5" w:rsidRDefault="00FE42B5">
            <w:pPr>
              <w:rPr>
                <w:rFonts w:ascii="Times New Roman" w:hAnsi="Times New Roman"/>
                <w:sz w:val="20"/>
                <w:szCs w:val="20"/>
              </w:rPr>
            </w:pPr>
          </w:p>
        </w:tc>
        <w:tc>
          <w:tcPr>
            <w:tcW w:w="0" w:type="auto"/>
            <w:shd w:val="clear" w:color="auto" w:fill="auto"/>
            <w:vAlign w:val="center"/>
          </w:tcPr>
          <w:p w14:paraId="1446F74A" w14:textId="77777777" w:rsidR="00FE42B5" w:rsidRDefault="00FE42B5">
            <w:pPr>
              <w:rPr>
                <w:rFonts w:ascii="Times New Roman" w:hAnsi="Times New Roman"/>
                <w:sz w:val="20"/>
                <w:szCs w:val="20"/>
              </w:rPr>
            </w:pPr>
          </w:p>
        </w:tc>
      </w:tr>
      <w:tr w:rsidR="00FE42B5" w14:paraId="1446F74E" w14:textId="77777777">
        <w:trPr>
          <w:tblCellSpacing w:w="0" w:type="dxa"/>
        </w:trPr>
        <w:tc>
          <w:tcPr>
            <w:tcW w:w="0" w:type="auto"/>
            <w:shd w:val="clear" w:color="auto" w:fill="auto"/>
          </w:tcPr>
          <w:p w14:paraId="1446F74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4D"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reduced protection for intellectual property rights in some countries;</w:t>
            </w:r>
          </w:p>
        </w:tc>
      </w:tr>
    </w:tbl>
    <w:p w14:paraId="1446F74F"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52" w14:textId="77777777">
        <w:trPr>
          <w:tblCellSpacing w:w="0" w:type="dxa"/>
        </w:trPr>
        <w:tc>
          <w:tcPr>
            <w:tcW w:w="1440" w:type="dxa"/>
            <w:shd w:val="clear" w:color="auto" w:fill="auto"/>
            <w:vAlign w:val="center"/>
          </w:tcPr>
          <w:p w14:paraId="1446F750" w14:textId="77777777" w:rsidR="00FE42B5" w:rsidRDefault="00FE42B5">
            <w:pPr>
              <w:rPr>
                <w:rFonts w:ascii="Times New Roman" w:hAnsi="Times New Roman"/>
                <w:sz w:val="20"/>
                <w:szCs w:val="20"/>
              </w:rPr>
            </w:pPr>
          </w:p>
        </w:tc>
        <w:tc>
          <w:tcPr>
            <w:tcW w:w="0" w:type="auto"/>
            <w:shd w:val="clear" w:color="auto" w:fill="auto"/>
            <w:vAlign w:val="center"/>
          </w:tcPr>
          <w:p w14:paraId="1446F751" w14:textId="77777777" w:rsidR="00FE42B5" w:rsidRDefault="00FE42B5">
            <w:pPr>
              <w:rPr>
                <w:rFonts w:ascii="Times New Roman" w:hAnsi="Times New Roman"/>
                <w:sz w:val="20"/>
                <w:szCs w:val="20"/>
              </w:rPr>
            </w:pPr>
          </w:p>
        </w:tc>
      </w:tr>
      <w:tr w:rsidR="00FE42B5" w14:paraId="1446F755" w14:textId="77777777">
        <w:trPr>
          <w:tblCellSpacing w:w="0" w:type="dxa"/>
        </w:trPr>
        <w:tc>
          <w:tcPr>
            <w:tcW w:w="0" w:type="auto"/>
            <w:shd w:val="clear" w:color="auto" w:fill="auto"/>
          </w:tcPr>
          <w:p w14:paraId="1446F75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5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difficulties in staffing, managing, and overseeing global operations and the increased travel, infrastructure, and </w:t>
            </w:r>
          </w:p>
        </w:tc>
      </w:tr>
    </w:tbl>
    <w:p w14:paraId="1446F756" w14:textId="77777777" w:rsidR="00FE42B5" w:rsidRDefault="00FE42B5">
      <w:pPr>
        <w:rPr>
          <w:rFonts w:ascii="Times New Roman" w:hAnsi="Times New Roman"/>
          <w:sz w:val="20"/>
          <w:szCs w:val="20"/>
        </w:rPr>
      </w:pPr>
    </w:p>
    <w:p w14:paraId="1446F757"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74</w:t>
      </w:r>
    </w:p>
    <w:p w14:paraId="1446F758" w14:textId="77777777" w:rsidR="00FE42B5" w:rsidRDefault="009213DC">
      <w:r>
        <w:rPr>
          <w:rFonts w:ascii="Times New Roman" w:hAnsi="Times New Roman"/>
          <w:sz w:val="20"/>
          <w:szCs w:val="20"/>
        </w:rPr>
        <w:pict w14:anchorId="1446FB12">
          <v:rect id="_x0000_i1098" style="width:415.3pt;height:1.5pt" o:hralign="center" o:hrstd="t" o:hr="t" fillcolor="#a0a0a0" stroked="f"/>
        </w:pict>
      </w:r>
    </w:p>
    <w:p w14:paraId="1446F759" w14:textId="77777777" w:rsidR="00FE42B5" w:rsidRDefault="009213DC">
      <w:pPr>
        <w:spacing w:line="288" w:lineRule="auto"/>
        <w:rPr>
          <w:rFonts w:ascii="Times New Roman" w:hAnsi="Times New Roman"/>
          <w:sz w:val="20"/>
          <w:szCs w:val="20"/>
        </w:rPr>
      </w:pPr>
      <w:hyperlink r:id="rId114" w:anchor="sBB4BED1571A45A16AF3DC2E3B69C901C" w:history="1">
        <w:r>
          <w:rPr>
            <w:rStyle w:val="a5"/>
            <w:rFonts w:ascii="Times New Roman" w:eastAsia="宋体" w:hAnsi="Times New Roman"/>
            <w:sz w:val="20"/>
            <w:szCs w:val="20"/>
          </w:rPr>
          <w:t>Table of Contents</w:t>
        </w:r>
      </w:hyperlink>
    </w:p>
    <w:p w14:paraId="1446F75A" w14:textId="77777777" w:rsidR="00FE42B5" w:rsidRDefault="00FE42B5">
      <w:pPr>
        <w:rPr>
          <w:rFonts w:ascii="Times New Roman" w:hAnsi="Times New Roman"/>
          <w:sz w:val="20"/>
          <w:szCs w:val="20"/>
        </w:rPr>
      </w:pPr>
    </w:p>
    <w:p w14:paraId="1446F75B"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legal compliance costs associated with multiple international locations;</w:t>
      </w: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5E" w14:textId="77777777">
        <w:trPr>
          <w:tblCellSpacing w:w="0" w:type="dxa"/>
        </w:trPr>
        <w:tc>
          <w:tcPr>
            <w:tcW w:w="1440" w:type="dxa"/>
            <w:shd w:val="clear" w:color="auto" w:fill="auto"/>
            <w:vAlign w:val="center"/>
          </w:tcPr>
          <w:p w14:paraId="1446F75C" w14:textId="77777777" w:rsidR="00FE42B5" w:rsidRDefault="00FE42B5">
            <w:pPr>
              <w:rPr>
                <w:rFonts w:ascii="Times New Roman" w:hAnsi="Times New Roman"/>
                <w:sz w:val="20"/>
                <w:szCs w:val="20"/>
              </w:rPr>
            </w:pPr>
          </w:p>
        </w:tc>
        <w:tc>
          <w:tcPr>
            <w:tcW w:w="0" w:type="auto"/>
            <w:shd w:val="clear" w:color="auto" w:fill="auto"/>
            <w:vAlign w:val="center"/>
          </w:tcPr>
          <w:p w14:paraId="1446F75D" w14:textId="77777777" w:rsidR="00FE42B5" w:rsidRDefault="00FE42B5">
            <w:pPr>
              <w:rPr>
                <w:rFonts w:ascii="Times New Roman" w:hAnsi="Times New Roman"/>
                <w:sz w:val="20"/>
                <w:szCs w:val="20"/>
              </w:rPr>
            </w:pPr>
          </w:p>
        </w:tc>
      </w:tr>
      <w:tr w:rsidR="00FE42B5" w14:paraId="1446F761" w14:textId="77777777">
        <w:trPr>
          <w:tblCellSpacing w:w="0" w:type="dxa"/>
        </w:trPr>
        <w:tc>
          <w:tcPr>
            <w:tcW w:w="0" w:type="auto"/>
            <w:shd w:val="clear" w:color="auto" w:fill="auto"/>
          </w:tcPr>
          <w:p w14:paraId="1446F75F"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60"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compliance with statutory equity requirements and management of tax consequences; and</w:t>
            </w:r>
          </w:p>
        </w:tc>
      </w:tr>
    </w:tbl>
    <w:p w14:paraId="1446F762"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65" w14:textId="77777777">
        <w:trPr>
          <w:tblCellSpacing w:w="0" w:type="dxa"/>
        </w:trPr>
        <w:tc>
          <w:tcPr>
            <w:tcW w:w="1440" w:type="dxa"/>
            <w:shd w:val="clear" w:color="auto" w:fill="auto"/>
            <w:vAlign w:val="center"/>
          </w:tcPr>
          <w:p w14:paraId="1446F763" w14:textId="77777777" w:rsidR="00FE42B5" w:rsidRDefault="00FE42B5">
            <w:pPr>
              <w:rPr>
                <w:rFonts w:ascii="Times New Roman" w:hAnsi="Times New Roman"/>
                <w:sz w:val="20"/>
                <w:szCs w:val="20"/>
              </w:rPr>
            </w:pPr>
          </w:p>
        </w:tc>
        <w:tc>
          <w:tcPr>
            <w:tcW w:w="0" w:type="auto"/>
            <w:shd w:val="clear" w:color="auto" w:fill="auto"/>
            <w:vAlign w:val="center"/>
          </w:tcPr>
          <w:p w14:paraId="1446F764" w14:textId="77777777" w:rsidR="00FE42B5" w:rsidRDefault="00FE42B5">
            <w:pPr>
              <w:rPr>
                <w:rFonts w:ascii="Times New Roman" w:hAnsi="Times New Roman"/>
                <w:sz w:val="20"/>
                <w:szCs w:val="20"/>
              </w:rPr>
            </w:pPr>
          </w:p>
        </w:tc>
      </w:tr>
      <w:tr w:rsidR="00FE42B5" w14:paraId="1446F768" w14:textId="77777777">
        <w:trPr>
          <w:tblCellSpacing w:w="0" w:type="dxa"/>
        </w:trPr>
        <w:tc>
          <w:tcPr>
            <w:tcW w:w="0" w:type="auto"/>
            <w:shd w:val="clear" w:color="auto" w:fill="auto"/>
          </w:tcPr>
          <w:p w14:paraId="1446F766"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67"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geopolitical events affecting us, our </w:t>
            </w:r>
            <w:r>
              <w:rPr>
                <w:rFonts w:ascii="Times New Roman" w:eastAsia="宋体" w:hAnsi="Times New Roman"/>
                <w:sz w:val="20"/>
                <w:szCs w:val="20"/>
              </w:rPr>
              <w:t>marketers or our industry, including trade disputes and pandemics.</w:t>
            </w:r>
          </w:p>
        </w:tc>
      </w:tr>
    </w:tbl>
    <w:p w14:paraId="1446F76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we must manage the potential conflicts between locally accepted business practices in any given jurisdiction and our obligations to comply with laws and regulations, including</w:t>
      </w:r>
      <w:r>
        <w:rPr>
          <w:rFonts w:ascii="Times New Roman" w:eastAsia="宋体" w:hAnsi="Times New Roman"/>
          <w:sz w:val="20"/>
          <w:szCs w:val="20"/>
        </w:rPr>
        <w:t xml:space="preserve"> anti-corruption laws or regulations applicable to us, such as the U.S. Foreign Corrupt Practices Act, regulations established by the U.S. Office of Foreign Assets Control and the U.K. Bribery Act 2010. Government agencies and authorities have a broad rang</w:t>
      </w:r>
      <w:r>
        <w:rPr>
          <w:rFonts w:ascii="Times New Roman" w:eastAsia="宋体" w:hAnsi="Times New Roman"/>
          <w:sz w:val="20"/>
          <w:szCs w:val="20"/>
        </w:rPr>
        <w:t>e of civil and criminal penalties they may seek to impose against companies for violations of export controls, anti-corruption laws or regulations, and other laws, rules, sanctions, embargoes, and regulations.</w:t>
      </w:r>
    </w:p>
    <w:p w14:paraId="1446F76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If we are unable to expand internationally and</w:t>
      </w:r>
      <w:r>
        <w:rPr>
          <w:rFonts w:ascii="Times New Roman" w:eastAsia="宋体" w:hAnsi="Times New Roman"/>
          <w:sz w:val="20"/>
          <w:szCs w:val="20"/>
        </w:rPr>
        <w:t xml:space="preserve"> manage the complexity of our global operations successfully, our financial results could be adversely affected.</w:t>
      </w:r>
    </w:p>
    <w:p w14:paraId="1446F76B"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face design, manufacturing, and supply chain risks that, if not properly managed, could adversely impact our financial results.</w:t>
      </w:r>
    </w:p>
    <w:p w14:paraId="1446F76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face a nu</w:t>
      </w:r>
      <w:r>
        <w:rPr>
          <w:rFonts w:ascii="Times New Roman" w:eastAsia="宋体" w:hAnsi="Times New Roman"/>
          <w:sz w:val="20"/>
          <w:szCs w:val="20"/>
        </w:rPr>
        <w:t>mber of risks related to design, manufacturing, and supply chain management with respect to our consumer hardware products. For example, the consumer hardware products we sell may have quality issues resulting from the design or manufacture of the products</w:t>
      </w:r>
      <w:r>
        <w:rPr>
          <w:rFonts w:ascii="Times New Roman" w:eastAsia="宋体" w:hAnsi="Times New Roman"/>
          <w:sz w:val="20"/>
          <w:szCs w:val="20"/>
        </w:rPr>
        <w:t xml:space="preserve">, or from the software used in the products. Sometimes, these issues may be caused by components we purchase from other manufacturers or suppliers. If the quality of our consumer hardware products does not meet our customers' expectations or such products </w:t>
      </w:r>
      <w:r>
        <w:rPr>
          <w:rFonts w:ascii="Times New Roman" w:eastAsia="宋体" w:hAnsi="Times New Roman"/>
          <w:sz w:val="20"/>
          <w:szCs w:val="20"/>
        </w:rPr>
        <w:t>are found to be defective, then our brand and financial results could be adversely affected.</w:t>
      </w:r>
    </w:p>
    <w:p w14:paraId="1446F76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rely on third parties to manufacture and manage the logistics of transporting and distributing our consumer hardware products, which subjects us to a number of </w:t>
      </w:r>
      <w:r>
        <w:rPr>
          <w:rFonts w:ascii="Times New Roman" w:eastAsia="宋体" w:hAnsi="Times New Roman"/>
          <w:sz w:val="20"/>
          <w:szCs w:val="20"/>
        </w:rPr>
        <w:t xml:space="preserve">risks that have been exacerbated as a result of the COVID-19 pandemic. We may experience supply shortages or other disruptions in logistics or the supply chain that could result in shipping delays and negatively impact our operations, product development, </w:t>
      </w:r>
      <w:r>
        <w:rPr>
          <w:rFonts w:ascii="Times New Roman" w:eastAsia="宋体" w:hAnsi="Times New Roman"/>
          <w:sz w:val="20"/>
          <w:szCs w:val="20"/>
        </w:rPr>
        <w:t>and sales. We could be negatively affected if we are not able to engage third parties with the necessary capabilities or capacity on reasonable terms, or if those we engage with fail to meet their obligations (whether due to financial difficulties, manufac</w:t>
      </w:r>
      <w:r>
        <w:rPr>
          <w:rFonts w:ascii="Times New Roman" w:eastAsia="宋体" w:hAnsi="Times New Roman"/>
          <w:sz w:val="20"/>
          <w:szCs w:val="20"/>
        </w:rPr>
        <w:t>turing constraints, or other reasons), or make adverse changes in the pricing or other material terms of such arrangements with them. The manufacturing, distribution, and sale of our consumer hardware products also may be negatively impacted by macroeconom</w:t>
      </w:r>
      <w:r>
        <w:rPr>
          <w:rFonts w:ascii="Times New Roman" w:eastAsia="宋体" w:hAnsi="Times New Roman"/>
          <w:sz w:val="20"/>
          <w:szCs w:val="20"/>
        </w:rPr>
        <w:t>ic conditions, geopolitical challenges, trade disputes, or other actions by governments that subject us to supply shortages, increased costs, or supply chain disruptions.</w:t>
      </w:r>
    </w:p>
    <w:p w14:paraId="1446F76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also require the suppliers and business partners of our consumer hardware products</w:t>
      </w:r>
      <w:r>
        <w:rPr>
          <w:rFonts w:ascii="Times New Roman" w:eastAsia="宋体" w:hAnsi="Times New Roman"/>
          <w:sz w:val="20"/>
          <w:szCs w:val="20"/>
        </w:rPr>
        <w:t xml:space="preserve"> to comply with laws and certain company policies regarding sourcing practices and standards on labor, health and safety, the environment, and business ethics, but we do not control them or their practices and standards. If any of them violates laws, fails</w:t>
      </w:r>
      <w:r>
        <w:rPr>
          <w:rFonts w:ascii="Times New Roman" w:eastAsia="宋体" w:hAnsi="Times New Roman"/>
          <w:sz w:val="20"/>
          <w:szCs w:val="20"/>
        </w:rPr>
        <w:t xml:space="preserve"> to implement changes in accordance with newly enacted laws, or implements practices or standards regarded as unethical, corrupt, or non-compliant, we could experience supply chain disruptions, government action or fines, canceled orders, or damage to our </w:t>
      </w:r>
      <w:r>
        <w:rPr>
          <w:rFonts w:ascii="Times New Roman" w:eastAsia="宋体" w:hAnsi="Times New Roman"/>
          <w:sz w:val="20"/>
          <w:szCs w:val="20"/>
        </w:rPr>
        <w:t>reputation.</w:t>
      </w:r>
    </w:p>
    <w:p w14:paraId="1446F76F" w14:textId="77777777" w:rsidR="00FE42B5" w:rsidRDefault="009213DC">
      <w:pPr>
        <w:spacing w:line="288" w:lineRule="auto"/>
        <w:rPr>
          <w:rFonts w:ascii="Times New Roman" w:hAnsi="Times New Roman"/>
          <w:sz w:val="20"/>
          <w:szCs w:val="20"/>
        </w:rPr>
      </w:pPr>
      <w:r>
        <w:rPr>
          <w:rFonts w:ascii="Times New Roman" w:eastAsia="宋体" w:hAnsi="Times New Roman"/>
          <w:b/>
          <w:bCs/>
          <w:i/>
          <w:iCs/>
          <w:sz w:val="20"/>
          <w:szCs w:val="20"/>
        </w:rPr>
        <w:t>We face inventory risk with respect to our consumer hardware products.</w:t>
      </w:r>
    </w:p>
    <w:p w14:paraId="1446F770"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are exposed to inventory risks with respect to our consumer hardware products as a result of rapid changes in product cycles and pricing, unsafe or defective merchandise,</w:t>
      </w:r>
      <w:r>
        <w:rPr>
          <w:rFonts w:ascii="Times New Roman" w:eastAsia="宋体" w:hAnsi="Times New Roman"/>
          <w:sz w:val="20"/>
          <w:szCs w:val="20"/>
        </w:rPr>
        <w:t xml:space="preserve"> changes in consumer demand and consumer spending patterns, changes in consumer tastes with respect to our consumer hardware products, and other factors. The demand for our products can also change significantly between the time inventory or components are</w:t>
      </w:r>
      <w:r>
        <w:rPr>
          <w:rFonts w:ascii="Times New Roman" w:eastAsia="宋体" w:hAnsi="Times New Roman"/>
          <w:sz w:val="20"/>
          <w:szCs w:val="20"/>
        </w:rPr>
        <w:t xml:space="preserve"> ordered and the date of sale. While we endeavor to accurately predict these trends and avoid overstocking or understocking consumer hardware products we may sell, from time to time we have experienced difficulties in accurately predicting and meeting the </w:t>
      </w:r>
      <w:r>
        <w:rPr>
          <w:rFonts w:ascii="Times New Roman" w:eastAsia="宋体" w:hAnsi="Times New Roman"/>
          <w:sz w:val="20"/>
          <w:szCs w:val="20"/>
        </w:rPr>
        <w:t>consumer demand for our products. In addition, when we begin selling or manufacturing a new consumer hardware product or enter new international markets, it may be difficult to establish vendor relationships, determine appropriate product or component sele</w:t>
      </w:r>
      <w:r>
        <w:rPr>
          <w:rFonts w:ascii="Times New Roman" w:eastAsia="宋体" w:hAnsi="Times New Roman"/>
          <w:sz w:val="20"/>
          <w:szCs w:val="20"/>
        </w:rPr>
        <w:t>ction, and accurately forecast demand. The acquisition of certain types of inventory or components may require significant lead-time and prepayment and they may not be returnable. Any one of the foregoing factors may adversely affect our operating results.</w:t>
      </w:r>
    </w:p>
    <w:p w14:paraId="1446F771" w14:textId="77777777" w:rsidR="00FE42B5" w:rsidRDefault="00FE42B5">
      <w:pPr>
        <w:rPr>
          <w:rFonts w:ascii="Times New Roman" w:hAnsi="Times New Roman"/>
          <w:sz w:val="20"/>
          <w:szCs w:val="20"/>
        </w:rPr>
      </w:pPr>
    </w:p>
    <w:p w14:paraId="1446F772"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75</w:t>
      </w:r>
    </w:p>
    <w:p w14:paraId="1446F773" w14:textId="77777777" w:rsidR="00FE42B5" w:rsidRDefault="009213DC">
      <w:r>
        <w:rPr>
          <w:rFonts w:ascii="Times New Roman" w:hAnsi="Times New Roman"/>
          <w:sz w:val="20"/>
          <w:szCs w:val="20"/>
        </w:rPr>
        <w:pict w14:anchorId="1446FB13">
          <v:rect id="_x0000_i1099" style="width:415.3pt;height:1.5pt" o:hralign="center" o:hrstd="t" o:hr="t" fillcolor="#a0a0a0" stroked="f"/>
        </w:pict>
      </w:r>
    </w:p>
    <w:p w14:paraId="1446F774" w14:textId="77777777" w:rsidR="00FE42B5" w:rsidRDefault="009213DC">
      <w:pPr>
        <w:spacing w:line="288" w:lineRule="auto"/>
        <w:rPr>
          <w:rFonts w:ascii="Times New Roman" w:hAnsi="Times New Roman"/>
          <w:sz w:val="20"/>
          <w:szCs w:val="20"/>
        </w:rPr>
      </w:pPr>
      <w:hyperlink r:id="rId115" w:anchor="sBB4BED1571A45A16AF3DC2E3B69C901C" w:history="1">
        <w:r>
          <w:rPr>
            <w:rStyle w:val="a5"/>
            <w:rFonts w:ascii="Times New Roman" w:eastAsia="宋体" w:hAnsi="Times New Roman"/>
            <w:sz w:val="20"/>
            <w:szCs w:val="20"/>
          </w:rPr>
          <w:t>Table of Contents</w:t>
        </w:r>
      </w:hyperlink>
    </w:p>
    <w:p w14:paraId="1446F775" w14:textId="77777777" w:rsidR="00FE42B5" w:rsidRDefault="00FE42B5">
      <w:pPr>
        <w:rPr>
          <w:rFonts w:ascii="Times New Roman" w:hAnsi="Times New Roman"/>
          <w:sz w:val="20"/>
          <w:szCs w:val="20"/>
        </w:rPr>
      </w:pPr>
    </w:p>
    <w:p w14:paraId="1446F776"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may have exposure to greater than anticipated tax liabilities.</w:t>
      </w:r>
    </w:p>
    <w:p w14:paraId="1446F777"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tax obl</w:t>
      </w:r>
      <w:r>
        <w:rPr>
          <w:rFonts w:ascii="Times New Roman" w:eastAsia="宋体" w:hAnsi="Times New Roman"/>
          <w:sz w:val="20"/>
          <w:szCs w:val="20"/>
        </w:rPr>
        <w:t>igations, including income and non-income taxes, are based in part on our corporate operating structure and intercompany arrangements, including the manner in which we operate our business, develop, value, manage, protect, and use our intellectual property</w:t>
      </w:r>
      <w:r>
        <w:rPr>
          <w:rFonts w:ascii="Times New Roman" w:eastAsia="宋体" w:hAnsi="Times New Roman"/>
          <w:sz w:val="20"/>
          <w:szCs w:val="20"/>
        </w:rPr>
        <w:t>, and the valuations of our intercompany transactions. The tax laws applicable to our business, including the laws of the United States and other jurisdictions, are subject to interpretation and certain jurisdictions are aggressively interpreting their law</w:t>
      </w:r>
      <w:r>
        <w:rPr>
          <w:rFonts w:ascii="Times New Roman" w:eastAsia="宋体" w:hAnsi="Times New Roman"/>
          <w:sz w:val="20"/>
          <w:szCs w:val="20"/>
        </w:rPr>
        <w:t>s in new ways in an effort to raise additional tax revenue from companies such as Facebook. We are subject to regular review and audit by U.S. federal, state, and foreign tax authorities. Tax authorities may disagree with certain positions we have taken, i</w:t>
      </w:r>
      <w:r>
        <w:rPr>
          <w:rFonts w:ascii="Times New Roman" w:eastAsia="宋体" w:hAnsi="Times New Roman"/>
          <w:sz w:val="20"/>
          <w:szCs w:val="20"/>
        </w:rPr>
        <w:t>ncluding our methodologies for valuing developed technology or intercompany arrangements, and any adverse outcome of such a review or audit could increase our worldwide effective tax rate, increase the amount of non-income taxes imposed on our business, an</w:t>
      </w:r>
      <w:r>
        <w:rPr>
          <w:rFonts w:ascii="Times New Roman" w:eastAsia="宋体" w:hAnsi="Times New Roman"/>
          <w:sz w:val="20"/>
          <w:szCs w:val="20"/>
        </w:rPr>
        <w:t>d harm our financial position, results of operations, and cash flows. For example, in 2016 and 2018, the IRS issued formal assessments relating to transfer pricing with our foreign subsidiaries in conjunction with the examination of the 2010 through 2013 t</w:t>
      </w:r>
      <w:r>
        <w:rPr>
          <w:rFonts w:ascii="Times New Roman" w:eastAsia="宋体" w:hAnsi="Times New Roman"/>
          <w:sz w:val="20"/>
          <w:szCs w:val="20"/>
        </w:rPr>
        <w:t>ax years. Although we disagree with the IRS's position and are litigating this issue, the ultimate resolution is uncertain and, if resolved in a manner unfavorable to us, may adversely affect our financial results.</w:t>
      </w:r>
    </w:p>
    <w:p w14:paraId="1446F77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determination of our </w:t>
      </w:r>
      <w:r>
        <w:rPr>
          <w:rFonts w:ascii="Times New Roman" w:eastAsia="宋体" w:hAnsi="Times New Roman"/>
          <w:sz w:val="20"/>
          <w:szCs w:val="20"/>
        </w:rPr>
        <w:t>worldwide provision for income taxes and other tax liabilities requires significant judgment by management, and there are many transactions where the ultimate tax determination is uncertain. Our provision for income taxes is determined by the manner in whi</w:t>
      </w:r>
      <w:r>
        <w:rPr>
          <w:rFonts w:ascii="Times New Roman" w:eastAsia="宋体" w:hAnsi="Times New Roman"/>
          <w:sz w:val="20"/>
          <w:szCs w:val="20"/>
        </w:rPr>
        <w:t xml:space="preserve">ch we operate our business, and any changes to such operations or laws applicable to such operations may affect our effective tax rate. Although we believe that our provision for income taxes and estimates of our non-income tax liabilities are reasonable, </w:t>
      </w:r>
      <w:r>
        <w:rPr>
          <w:rFonts w:ascii="Times New Roman" w:eastAsia="宋体" w:hAnsi="Times New Roman"/>
          <w:sz w:val="20"/>
          <w:szCs w:val="20"/>
        </w:rPr>
        <w:t>the ultimate settlement may differ from the amounts recorded in our financial statements and may materially affect our financial results in the period or periods for which such determination is made. </w:t>
      </w:r>
    </w:p>
    <w:p w14:paraId="1446F77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future income tax rates could be volatile and diffi</w:t>
      </w:r>
      <w:r>
        <w:rPr>
          <w:rFonts w:ascii="Times New Roman" w:eastAsia="宋体" w:hAnsi="Times New Roman"/>
          <w:sz w:val="20"/>
          <w:szCs w:val="20"/>
        </w:rPr>
        <w:t>cult to predict due to changes in jurisdictional profit split, changes in the amount and recognition of deferred tax assets and liabilities, or by changes in tax laws, regulations, or accounting principles.</w:t>
      </w:r>
    </w:p>
    <w:p w14:paraId="1446F77A"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Changes in tax laws or tax rulings could material</w:t>
      </w:r>
      <w:r>
        <w:rPr>
          <w:rFonts w:ascii="Times New Roman" w:eastAsia="宋体" w:hAnsi="Times New Roman"/>
          <w:b/>
          <w:bCs/>
          <w:i/>
          <w:iCs/>
          <w:sz w:val="20"/>
          <w:szCs w:val="20"/>
        </w:rPr>
        <w:t>ly affect our financial position, results of operations, and cash flows.</w:t>
      </w:r>
    </w:p>
    <w:p w14:paraId="1446F77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tax regimes we are subject to or operate under, including income and non-income taxes, are unsettled and may be subject to significant change. Changes in tax laws or tax rulings, </w:t>
      </w:r>
      <w:r>
        <w:rPr>
          <w:rFonts w:ascii="Times New Roman" w:eastAsia="宋体" w:hAnsi="Times New Roman"/>
          <w:sz w:val="20"/>
          <w:szCs w:val="20"/>
        </w:rPr>
        <w:t>or changes in interpretations of existing laws, could materially affect our financial position, results of operations, and cash flows. For example, the 2017 Tax Cuts and Jobs Act (Tax Act) enacted in December 2017 had a significant impact on our tax obliga</w:t>
      </w:r>
      <w:r>
        <w:rPr>
          <w:rFonts w:ascii="Times New Roman" w:eastAsia="宋体" w:hAnsi="Times New Roman"/>
          <w:sz w:val="20"/>
          <w:szCs w:val="20"/>
        </w:rPr>
        <w:t>tions and effective tax rate for the fourth quarter of 2017, and the issuance of additional regulatory or accounting guidance related to the Tax Act could materially affect our tax obligations and effective tax rate in the period issued. In addition, a thr</w:t>
      </w:r>
      <w:r>
        <w:rPr>
          <w:rFonts w:ascii="Times New Roman" w:eastAsia="宋体" w:hAnsi="Times New Roman"/>
          <w:sz w:val="20"/>
          <w:szCs w:val="20"/>
        </w:rPr>
        <w:t xml:space="preserve">ee-judge panel from the Ninth Circuit Court of Appeals issued a decision in </w:t>
      </w:r>
      <w:r>
        <w:rPr>
          <w:rFonts w:ascii="Times New Roman" w:eastAsia="宋体" w:hAnsi="Times New Roman"/>
          <w:i/>
          <w:iCs/>
          <w:sz w:val="20"/>
          <w:szCs w:val="20"/>
        </w:rPr>
        <w:t>Altera Corp. v. Commissioner</w:t>
      </w:r>
      <w:r>
        <w:rPr>
          <w:rFonts w:ascii="Times New Roman" w:eastAsia="宋体" w:hAnsi="Times New Roman"/>
          <w:sz w:val="20"/>
          <w:szCs w:val="20"/>
        </w:rPr>
        <w:t xml:space="preserve"> regarding the treatment of share-based compensation expense in a cost sharing arrangement, which had a material effect on our tax obligations and effec</w:t>
      </w:r>
      <w:r>
        <w:rPr>
          <w:rFonts w:ascii="Times New Roman" w:eastAsia="宋体" w:hAnsi="Times New Roman"/>
          <w:sz w:val="20"/>
          <w:szCs w:val="20"/>
        </w:rPr>
        <w:t>tive tax rate for the second quarter of 2019. As the taxpayer has requested a hearing before the Supreme Court of the United States, the final outcome of the case is uncertain and could have a material effect on our tax obligations and effective tax rate i</w:t>
      </w:r>
      <w:r>
        <w:rPr>
          <w:rFonts w:ascii="Times New Roman" w:eastAsia="宋体" w:hAnsi="Times New Roman"/>
          <w:sz w:val="20"/>
          <w:szCs w:val="20"/>
        </w:rPr>
        <w:t>n future quarters. In addition, many countries in Europe, as well as a number of other countries and organizations, have recently proposed or recommended changes to existing tax laws or have enacted new laws that could significantly increase our tax obliga</w:t>
      </w:r>
      <w:r>
        <w:rPr>
          <w:rFonts w:ascii="Times New Roman" w:eastAsia="宋体" w:hAnsi="Times New Roman"/>
          <w:sz w:val="20"/>
          <w:szCs w:val="20"/>
        </w:rPr>
        <w:t>tions in many countries where we do business or require us to change the manner in which we operate our business.</w:t>
      </w:r>
    </w:p>
    <w:p w14:paraId="1446F77C"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Organization for Economic Cooperation and Development has been working on a Base Erosion and Profit Shifting Project, and issued a </w:t>
      </w:r>
      <w:r>
        <w:rPr>
          <w:rFonts w:ascii="Times New Roman" w:eastAsia="宋体" w:hAnsi="Times New Roman"/>
          <w:sz w:val="20"/>
          <w:szCs w:val="20"/>
        </w:rPr>
        <w:t>report in 2015, an interim report in 2018, and is expected to continue to issue guidelines and proposals that may change various aspects of the existing framework under which our tax obligations are determined in many of the countries in which we do busine</w:t>
      </w:r>
      <w:r>
        <w:rPr>
          <w:rFonts w:ascii="Times New Roman" w:eastAsia="宋体" w:hAnsi="Times New Roman"/>
          <w:sz w:val="20"/>
          <w:szCs w:val="20"/>
        </w:rPr>
        <w:t>ss. Similarly, the European Commission and several countries have issued proposals that would change various aspects of the current tax framework under which we are taxed. These proposals include changes to the existing framework to calculate income tax, a</w:t>
      </w:r>
      <w:r>
        <w:rPr>
          <w:rFonts w:ascii="Times New Roman" w:eastAsia="宋体" w:hAnsi="Times New Roman"/>
          <w:sz w:val="20"/>
          <w:szCs w:val="20"/>
        </w:rPr>
        <w:t>s well as proposals to change or impose new types of non-income taxes, including taxes based on a percentage of revenue. For example, several countries have proposed or enacted taxes applicable to digital services, which includes business activities on soc</w:t>
      </w:r>
      <w:r>
        <w:rPr>
          <w:rFonts w:ascii="Times New Roman" w:eastAsia="宋体" w:hAnsi="Times New Roman"/>
          <w:sz w:val="20"/>
          <w:szCs w:val="20"/>
        </w:rPr>
        <w:t>ial media platforms and online marketplaces, and would likely apply to our business.</w:t>
      </w:r>
    </w:p>
    <w:p w14:paraId="1446F77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The European Commission has conducted investigations in multiple countries focusing on whether local country tax rulings or tax legislation provides preferential tax treat</w:t>
      </w:r>
      <w:r>
        <w:rPr>
          <w:rFonts w:ascii="Times New Roman" w:eastAsia="宋体" w:hAnsi="Times New Roman"/>
          <w:sz w:val="20"/>
          <w:szCs w:val="20"/>
        </w:rPr>
        <w:t xml:space="preserve">ment that violates European Union state aid rules and concluded that certain countries, including Ireland, have provided illegal state aid in certain cases. These investigations may result in changes to the tax treatment of our foreign operations. </w:t>
      </w:r>
    </w:p>
    <w:p w14:paraId="1446F77E"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Due to </w:t>
      </w:r>
      <w:r>
        <w:rPr>
          <w:rFonts w:ascii="Times New Roman" w:eastAsia="宋体" w:hAnsi="Times New Roman"/>
          <w:sz w:val="20"/>
          <w:szCs w:val="20"/>
        </w:rPr>
        <w:t xml:space="preserve">the large and expanding scale of our international business activities, many of these types of changes to the taxation of our activities described above could increase our worldwide effective tax rate, increase the amount of non-income taxes </w:t>
      </w:r>
    </w:p>
    <w:p w14:paraId="1446F77F" w14:textId="77777777" w:rsidR="00FE42B5" w:rsidRDefault="00FE42B5">
      <w:pPr>
        <w:rPr>
          <w:rFonts w:ascii="Times New Roman" w:hAnsi="Times New Roman"/>
          <w:sz w:val="20"/>
          <w:szCs w:val="20"/>
        </w:rPr>
      </w:pPr>
    </w:p>
    <w:p w14:paraId="1446F780"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76</w:t>
      </w:r>
    </w:p>
    <w:p w14:paraId="1446F781" w14:textId="77777777" w:rsidR="00FE42B5" w:rsidRDefault="009213DC">
      <w:r>
        <w:rPr>
          <w:rFonts w:ascii="Times New Roman" w:hAnsi="Times New Roman"/>
          <w:sz w:val="20"/>
          <w:szCs w:val="20"/>
        </w:rPr>
        <w:pict w14:anchorId="1446FB14">
          <v:rect id="_x0000_i1100" style="width:415.3pt;height:1.5pt" o:hralign="center" o:hrstd="t" o:hr="t" fillcolor="#a0a0a0" stroked="f"/>
        </w:pict>
      </w:r>
    </w:p>
    <w:p w14:paraId="1446F782" w14:textId="77777777" w:rsidR="00FE42B5" w:rsidRDefault="009213DC">
      <w:pPr>
        <w:spacing w:line="288" w:lineRule="auto"/>
        <w:rPr>
          <w:rFonts w:ascii="Times New Roman" w:hAnsi="Times New Roman"/>
          <w:sz w:val="20"/>
          <w:szCs w:val="20"/>
        </w:rPr>
      </w:pPr>
      <w:hyperlink r:id="rId116" w:anchor="sBB4BED1571A45A16AF3DC2E3B69C901C" w:history="1">
        <w:r>
          <w:rPr>
            <w:rStyle w:val="a5"/>
            <w:rFonts w:ascii="Times New Roman" w:eastAsia="宋体" w:hAnsi="Times New Roman"/>
            <w:sz w:val="20"/>
            <w:szCs w:val="20"/>
          </w:rPr>
          <w:t>Table of Contents</w:t>
        </w:r>
      </w:hyperlink>
    </w:p>
    <w:p w14:paraId="1446F783" w14:textId="77777777" w:rsidR="00FE42B5" w:rsidRDefault="00FE42B5">
      <w:pPr>
        <w:rPr>
          <w:rFonts w:ascii="Times New Roman" w:hAnsi="Times New Roman"/>
          <w:sz w:val="20"/>
          <w:szCs w:val="20"/>
        </w:rPr>
      </w:pPr>
    </w:p>
    <w:p w14:paraId="1446F784"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imposed on our business, and harm our financial position, results of operations, and cash f</w:t>
      </w:r>
      <w:r>
        <w:rPr>
          <w:rFonts w:ascii="Times New Roman" w:eastAsia="宋体" w:hAnsi="Times New Roman"/>
          <w:sz w:val="20"/>
          <w:szCs w:val="20"/>
        </w:rPr>
        <w:t>lows. Such changes may also apply retroactively to our historical operations and result in taxes greater than the amounts estimated and recorded in our financial statements.</w:t>
      </w:r>
    </w:p>
    <w:p w14:paraId="1446F785"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cannot guarantee that our share repurchase program will be fully consummated or</w:t>
      </w:r>
      <w:r>
        <w:rPr>
          <w:rFonts w:ascii="Times New Roman" w:eastAsia="宋体" w:hAnsi="Times New Roman"/>
          <w:b/>
          <w:bCs/>
          <w:i/>
          <w:iCs/>
          <w:sz w:val="20"/>
          <w:szCs w:val="20"/>
        </w:rPr>
        <w:t xml:space="preserve"> that it will enhance long-term stockholder value. Share repurchases could also increase the volatility of the trading price of our stock and will diminish our cash reserves.</w:t>
      </w:r>
    </w:p>
    <w:p w14:paraId="1446F78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Although our board of directors has authorized a share repurchase program that co</w:t>
      </w:r>
      <w:r>
        <w:rPr>
          <w:rFonts w:ascii="Times New Roman" w:eastAsia="宋体" w:hAnsi="Times New Roman"/>
          <w:sz w:val="20"/>
          <w:szCs w:val="20"/>
        </w:rPr>
        <w:t>mmenced in 2017 and does not have an expiration date, the program does not obligate us to repurchase any specific dollar amount or to acquire any specific number of shares of our Class A common stock. We cannot guarantee that the program will be fully cons</w:t>
      </w:r>
      <w:r>
        <w:rPr>
          <w:rFonts w:ascii="Times New Roman" w:eastAsia="宋体" w:hAnsi="Times New Roman"/>
          <w:sz w:val="20"/>
          <w:szCs w:val="20"/>
        </w:rPr>
        <w:t xml:space="preserve">ummated or that it will enhance long-term stockholder value. The program could affect the trading price of our stock and increase volatility, and any announcement of a termination of this program may result in a decrease in the trading price of our stock. </w:t>
      </w:r>
      <w:r>
        <w:rPr>
          <w:rFonts w:ascii="Times New Roman" w:eastAsia="宋体" w:hAnsi="Times New Roman"/>
          <w:sz w:val="20"/>
          <w:szCs w:val="20"/>
        </w:rPr>
        <w:t>In addition, this program will diminish our cash reserves.</w:t>
      </w:r>
    </w:p>
    <w:p w14:paraId="1446F787"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sz w:val="20"/>
          <w:szCs w:val="20"/>
        </w:rPr>
        <w:t>Risks Related to Ownership of Our Class A Common Stock</w:t>
      </w:r>
    </w:p>
    <w:p w14:paraId="1446F788"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The trading price of our Class A common stock has been and will likely continue to be volatile.</w:t>
      </w:r>
    </w:p>
    <w:p w14:paraId="1446F789"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trading price of our Class A common stock </w:t>
      </w:r>
      <w:r>
        <w:rPr>
          <w:rFonts w:ascii="Times New Roman" w:eastAsia="宋体" w:hAnsi="Times New Roman"/>
          <w:sz w:val="20"/>
          <w:szCs w:val="20"/>
        </w:rPr>
        <w:t xml:space="preserve">has been, and is likely to continue to be, volatile. Since shares of our Class A common stock were sold in our initial public offering in May 2012 at a price of $38.00 per share, our stock price has ranged from $17.55 to $224.20 through March 31, 2020. In </w:t>
      </w:r>
      <w:r>
        <w:rPr>
          <w:rFonts w:ascii="Times New Roman" w:eastAsia="宋体" w:hAnsi="Times New Roman"/>
          <w:sz w:val="20"/>
          <w:szCs w:val="20"/>
        </w:rPr>
        <w:t>addition to the factors discussed in this Quarterly Report on Form 10-Q, the trading price of our Class A common stock may fluctuate significantly in response to numerous factors, many of which are beyond our control, including:</w:t>
      </w:r>
    </w:p>
    <w:tbl>
      <w:tblPr>
        <w:tblW w:w="0" w:type="auto"/>
        <w:tblCellSpacing w:w="0" w:type="dxa"/>
        <w:tblCellMar>
          <w:left w:w="0" w:type="dxa"/>
          <w:right w:w="0" w:type="dxa"/>
        </w:tblCellMar>
        <w:tblLook w:val="04A0" w:firstRow="1" w:lastRow="0" w:firstColumn="1" w:lastColumn="0" w:noHBand="0" w:noVBand="1"/>
      </w:tblPr>
      <w:tblGrid>
        <w:gridCol w:w="1440"/>
        <w:gridCol w:w="6054"/>
      </w:tblGrid>
      <w:tr w:rsidR="00FE42B5" w14:paraId="1446F78C" w14:textId="77777777">
        <w:trPr>
          <w:tblCellSpacing w:w="0" w:type="dxa"/>
        </w:trPr>
        <w:tc>
          <w:tcPr>
            <w:tcW w:w="1440" w:type="dxa"/>
            <w:shd w:val="clear" w:color="auto" w:fill="auto"/>
            <w:vAlign w:val="center"/>
          </w:tcPr>
          <w:p w14:paraId="1446F78A" w14:textId="77777777" w:rsidR="00FE42B5" w:rsidRDefault="00FE42B5">
            <w:pPr>
              <w:rPr>
                <w:rFonts w:ascii="Times New Roman" w:hAnsi="Times New Roman"/>
                <w:sz w:val="20"/>
                <w:szCs w:val="20"/>
              </w:rPr>
            </w:pPr>
          </w:p>
        </w:tc>
        <w:tc>
          <w:tcPr>
            <w:tcW w:w="0" w:type="auto"/>
            <w:shd w:val="clear" w:color="auto" w:fill="auto"/>
            <w:vAlign w:val="center"/>
          </w:tcPr>
          <w:p w14:paraId="1446F78B" w14:textId="77777777" w:rsidR="00FE42B5" w:rsidRDefault="00FE42B5">
            <w:pPr>
              <w:rPr>
                <w:rFonts w:ascii="Times New Roman" w:hAnsi="Times New Roman"/>
                <w:sz w:val="20"/>
                <w:szCs w:val="20"/>
              </w:rPr>
            </w:pPr>
          </w:p>
        </w:tc>
      </w:tr>
      <w:tr w:rsidR="00FE42B5" w14:paraId="1446F78F" w14:textId="77777777">
        <w:trPr>
          <w:tblCellSpacing w:w="0" w:type="dxa"/>
        </w:trPr>
        <w:tc>
          <w:tcPr>
            <w:tcW w:w="0" w:type="auto"/>
            <w:shd w:val="clear" w:color="auto" w:fill="auto"/>
          </w:tcPr>
          <w:p w14:paraId="1446F78D"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8E"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actual or </w:t>
            </w:r>
            <w:r>
              <w:rPr>
                <w:rFonts w:ascii="Times New Roman" w:eastAsia="宋体" w:hAnsi="Times New Roman"/>
                <w:sz w:val="20"/>
                <w:szCs w:val="20"/>
              </w:rPr>
              <w:t>anticipated fluctuations in our revenue and other operating results;</w:t>
            </w:r>
          </w:p>
        </w:tc>
      </w:tr>
    </w:tbl>
    <w:p w14:paraId="1446F790"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93" w14:textId="77777777">
        <w:trPr>
          <w:tblCellSpacing w:w="0" w:type="dxa"/>
        </w:trPr>
        <w:tc>
          <w:tcPr>
            <w:tcW w:w="1440" w:type="dxa"/>
            <w:shd w:val="clear" w:color="auto" w:fill="auto"/>
            <w:vAlign w:val="center"/>
          </w:tcPr>
          <w:p w14:paraId="1446F791" w14:textId="77777777" w:rsidR="00FE42B5" w:rsidRDefault="00FE42B5">
            <w:pPr>
              <w:rPr>
                <w:rFonts w:ascii="Times New Roman" w:hAnsi="Times New Roman"/>
                <w:sz w:val="20"/>
                <w:szCs w:val="20"/>
              </w:rPr>
            </w:pPr>
          </w:p>
        </w:tc>
        <w:tc>
          <w:tcPr>
            <w:tcW w:w="0" w:type="auto"/>
            <w:shd w:val="clear" w:color="auto" w:fill="auto"/>
            <w:vAlign w:val="center"/>
          </w:tcPr>
          <w:p w14:paraId="1446F792" w14:textId="77777777" w:rsidR="00FE42B5" w:rsidRDefault="00FE42B5">
            <w:pPr>
              <w:rPr>
                <w:rFonts w:ascii="Times New Roman" w:hAnsi="Times New Roman"/>
                <w:sz w:val="20"/>
                <w:szCs w:val="20"/>
              </w:rPr>
            </w:pPr>
          </w:p>
        </w:tc>
      </w:tr>
      <w:tr w:rsidR="00FE42B5" w14:paraId="1446F796" w14:textId="77777777">
        <w:trPr>
          <w:tblCellSpacing w:w="0" w:type="dxa"/>
        </w:trPr>
        <w:tc>
          <w:tcPr>
            <w:tcW w:w="0" w:type="auto"/>
            <w:shd w:val="clear" w:color="auto" w:fill="auto"/>
          </w:tcPr>
          <w:p w14:paraId="1446F79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95"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the financial projections we may provide to the public, any changes in these projections or our failure to meet these projections;</w:t>
            </w:r>
          </w:p>
        </w:tc>
      </w:tr>
    </w:tbl>
    <w:p w14:paraId="1446F797"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9A" w14:textId="77777777">
        <w:trPr>
          <w:tblCellSpacing w:w="0" w:type="dxa"/>
        </w:trPr>
        <w:tc>
          <w:tcPr>
            <w:tcW w:w="1440" w:type="dxa"/>
            <w:shd w:val="clear" w:color="auto" w:fill="auto"/>
            <w:vAlign w:val="center"/>
          </w:tcPr>
          <w:p w14:paraId="1446F798" w14:textId="77777777" w:rsidR="00FE42B5" w:rsidRDefault="00FE42B5">
            <w:pPr>
              <w:rPr>
                <w:rFonts w:ascii="Times New Roman" w:hAnsi="Times New Roman"/>
                <w:sz w:val="20"/>
                <w:szCs w:val="20"/>
              </w:rPr>
            </w:pPr>
          </w:p>
        </w:tc>
        <w:tc>
          <w:tcPr>
            <w:tcW w:w="0" w:type="auto"/>
            <w:shd w:val="clear" w:color="auto" w:fill="auto"/>
            <w:vAlign w:val="center"/>
          </w:tcPr>
          <w:p w14:paraId="1446F799" w14:textId="77777777" w:rsidR="00FE42B5" w:rsidRDefault="00FE42B5">
            <w:pPr>
              <w:rPr>
                <w:rFonts w:ascii="Times New Roman" w:hAnsi="Times New Roman"/>
                <w:sz w:val="20"/>
                <w:szCs w:val="20"/>
              </w:rPr>
            </w:pPr>
          </w:p>
        </w:tc>
      </w:tr>
      <w:tr w:rsidR="00FE42B5" w14:paraId="1446F79D" w14:textId="77777777">
        <w:trPr>
          <w:tblCellSpacing w:w="0" w:type="dxa"/>
        </w:trPr>
        <w:tc>
          <w:tcPr>
            <w:tcW w:w="0" w:type="auto"/>
            <w:shd w:val="clear" w:color="auto" w:fill="auto"/>
          </w:tcPr>
          <w:p w14:paraId="1446F79B"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9C"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actions of securities analysts who </w:t>
            </w:r>
            <w:r>
              <w:rPr>
                <w:rFonts w:ascii="Times New Roman" w:eastAsia="宋体" w:hAnsi="Times New Roman"/>
                <w:sz w:val="20"/>
                <w:szCs w:val="20"/>
              </w:rPr>
              <w:t>initiate or maintain coverage of us, changes in financial estimates by any securities analysts who follow our company, or our failure to meet these estimates or the expectations of investors;</w:t>
            </w:r>
          </w:p>
        </w:tc>
      </w:tr>
    </w:tbl>
    <w:p w14:paraId="1446F79E"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A1" w14:textId="77777777">
        <w:trPr>
          <w:tblCellSpacing w:w="0" w:type="dxa"/>
        </w:trPr>
        <w:tc>
          <w:tcPr>
            <w:tcW w:w="1440" w:type="dxa"/>
            <w:shd w:val="clear" w:color="auto" w:fill="auto"/>
            <w:vAlign w:val="center"/>
          </w:tcPr>
          <w:p w14:paraId="1446F79F" w14:textId="77777777" w:rsidR="00FE42B5" w:rsidRDefault="00FE42B5">
            <w:pPr>
              <w:rPr>
                <w:rFonts w:ascii="Times New Roman" w:hAnsi="Times New Roman"/>
                <w:sz w:val="20"/>
                <w:szCs w:val="20"/>
              </w:rPr>
            </w:pPr>
          </w:p>
        </w:tc>
        <w:tc>
          <w:tcPr>
            <w:tcW w:w="0" w:type="auto"/>
            <w:shd w:val="clear" w:color="auto" w:fill="auto"/>
            <w:vAlign w:val="center"/>
          </w:tcPr>
          <w:p w14:paraId="1446F7A0" w14:textId="77777777" w:rsidR="00FE42B5" w:rsidRDefault="00FE42B5">
            <w:pPr>
              <w:rPr>
                <w:rFonts w:ascii="Times New Roman" w:hAnsi="Times New Roman"/>
                <w:sz w:val="20"/>
                <w:szCs w:val="20"/>
              </w:rPr>
            </w:pPr>
          </w:p>
        </w:tc>
      </w:tr>
      <w:tr w:rsidR="00FE42B5" w14:paraId="1446F7A4" w14:textId="77777777">
        <w:trPr>
          <w:tblCellSpacing w:w="0" w:type="dxa"/>
        </w:trPr>
        <w:tc>
          <w:tcPr>
            <w:tcW w:w="0" w:type="auto"/>
            <w:shd w:val="clear" w:color="auto" w:fill="auto"/>
          </w:tcPr>
          <w:p w14:paraId="1446F7A2"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A3"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additional shares of our stock being sold into the </w:t>
            </w:r>
            <w:r>
              <w:rPr>
                <w:rFonts w:ascii="Times New Roman" w:eastAsia="宋体" w:hAnsi="Times New Roman"/>
                <w:sz w:val="20"/>
                <w:szCs w:val="20"/>
              </w:rPr>
              <w:t>market by us, our existing stockholders, or in connection with acquisitions, or the anticipation of such sales;</w:t>
            </w:r>
          </w:p>
        </w:tc>
      </w:tr>
    </w:tbl>
    <w:p w14:paraId="1446F7A5"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A8" w14:textId="77777777">
        <w:trPr>
          <w:tblCellSpacing w:w="0" w:type="dxa"/>
        </w:trPr>
        <w:tc>
          <w:tcPr>
            <w:tcW w:w="1440" w:type="dxa"/>
            <w:shd w:val="clear" w:color="auto" w:fill="auto"/>
            <w:vAlign w:val="center"/>
          </w:tcPr>
          <w:p w14:paraId="1446F7A6" w14:textId="77777777" w:rsidR="00FE42B5" w:rsidRDefault="00FE42B5">
            <w:pPr>
              <w:rPr>
                <w:rFonts w:ascii="Times New Roman" w:hAnsi="Times New Roman"/>
                <w:sz w:val="20"/>
                <w:szCs w:val="20"/>
              </w:rPr>
            </w:pPr>
          </w:p>
        </w:tc>
        <w:tc>
          <w:tcPr>
            <w:tcW w:w="0" w:type="auto"/>
            <w:shd w:val="clear" w:color="auto" w:fill="auto"/>
            <w:vAlign w:val="center"/>
          </w:tcPr>
          <w:p w14:paraId="1446F7A7" w14:textId="77777777" w:rsidR="00FE42B5" w:rsidRDefault="00FE42B5">
            <w:pPr>
              <w:rPr>
                <w:rFonts w:ascii="Times New Roman" w:hAnsi="Times New Roman"/>
                <w:sz w:val="20"/>
                <w:szCs w:val="20"/>
              </w:rPr>
            </w:pPr>
          </w:p>
        </w:tc>
      </w:tr>
      <w:tr w:rsidR="00FE42B5" w14:paraId="1446F7AB" w14:textId="77777777">
        <w:trPr>
          <w:tblCellSpacing w:w="0" w:type="dxa"/>
        </w:trPr>
        <w:tc>
          <w:tcPr>
            <w:tcW w:w="0" w:type="auto"/>
            <w:shd w:val="clear" w:color="auto" w:fill="auto"/>
          </w:tcPr>
          <w:p w14:paraId="1446F7A9"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AA"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investor sentiment with respect to our competitors, our business partners, and our industry in general;</w:t>
            </w:r>
          </w:p>
        </w:tc>
      </w:tr>
    </w:tbl>
    <w:p w14:paraId="1446F7AC"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AF" w14:textId="77777777">
        <w:trPr>
          <w:tblCellSpacing w:w="0" w:type="dxa"/>
        </w:trPr>
        <w:tc>
          <w:tcPr>
            <w:tcW w:w="1440" w:type="dxa"/>
            <w:shd w:val="clear" w:color="auto" w:fill="auto"/>
            <w:vAlign w:val="center"/>
          </w:tcPr>
          <w:p w14:paraId="1446F7AD" w14:textId="77777777" w:rsidR="00FE42B5" w:rsidRDefault="00FE42B5">
            <w:pPr>
              <w:rPr>
                <w:rFonts w:ascii="Times New Roman" w:hAnsi="Times New Roman"/>
                <w:sz w:val="20"/>
                <w:szCs w:val="20"/>
              </w:rPr>
            </w:pPr>
          </w:p>
        </w:tc>
        <w:tc>
          <w:tcPr>
            <w:tcW w:w="0" w:type="auto"/>
            <w:shd w:val="clear" w:color="auto" w:fill="auto"/>
            <w:vAlign w:val="center"/>
          </w:tcPr>
          <w:p w14:paraId="1446F7AE" w14:textId="77777777" w:rsidR="00FE42B5" w:rsidRDefault="00FE42B5">
            <w:pPr>
              <w:rPr>
                <w:rFonts w:ascii="Times New Roman" w:hAnsi="Times New Roman"/>
                <w:sz w:val="20"/>
                <w:szCs w:val="20"/>
              </w:rPr>
            </w:pPr>
          </w:p>
        </w:tc>
      </w:tr>
      <w:tr w:rsidR="00FE42B5" w14:paraId="1446F7B2" w14:textId="77777777">
        <w:trPr>
          <w:tblCellSpacing w:w="0" w:type="dxa"/>
        </w:trPr>
        <w:tc>
          <w:tcPr>
            <w:tcW w:w="0" w:type="auto"/>
            <w:shd w:val="clear" w:color="auto" w:fill="auto"/>
          </w:tcPr>
          <w:p w14:paraId="1446F7B0"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B1"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announcements by us or </w:t>
            </w:r>
            <w:r>
              <w:rPr>
                <w:rFonts w:ascii="Times New Roman" w:eastAsia="宋体" w:hAnsi="Times New Roman"/>
                <w:sz w:val="20"/>
                <w:szCs w:val="20"/>
              </w:rPr>
              <w:t>our competitors of significant products or features, technical innovations, acquisitions, strategic partnerships, joint ventures, or capital commitments;</w:t>
            </w:r>
          </w:p>
        </w:tc>
      </w:tr>
    </w:tbl>
    <w:p w14:paraId="1446F7B3"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B6" w14:textId="77777777">
        <w:trPr>
          <w:tblCellSpacing w:w="0" w:type="dxa"/>
        </w:trPr>
        <w:tc>
          <w:tcPr>
            <w:tcW w:w="1440" w:type="dxa"/>
            <w:shd w:val="clear" w:color="auto" w:fill="auto"/>
            <w:vAlign w:val="center"/>
          </w:tcPr>
          <w:p w14:paraId="1446F7B4" w14:textId="77777777" w:rsidR="00FE42B5" w:rsidRDefault="00FE42B5">
            <w:pPr>
              <w:rPr>
                <w:rFonts w:ascii="Times New Roman" w:hAnsi="Times New Roman"/>
                <w:sz w:val="20"/>
                <w:szCs w:val="20"/>
              </w:rPr>
            </w:pPr>
          </w:p>
        </w:tc>
        <w:tc>
          <w:tcPr>
            <w:tcW w:w="0" w:type="auto"/>
            <w:shd w:val="clear" w:color="auto" w:fill="auto"/>
            <w:vAlign w:val="center"/>
          </w:tcPr>
          <w:p w14:paraId="1446F7B5" w14:textId="77777777" w:rsidR="00FE42B5" w:rsidRDefault="00FE42B5">
            <w:pPr>
              <w:rPr>
                <w:rFonts w:ascii="Times New Roman" w:hAnsi="Times New Roman"/>
                <w:sz w:val="20"/>
                <w:szCs w:val="20"/>
              </w:rPr>
            </w:pPr>
          </w:p>
        </w:tc>
      </w:tr>
      <w:tr w:rsidR="00FE42B5" w14:paraId="1446F7B9" w14:textId="77777777">
        <w:trPr>
          <w:tblCellSpacing w:w="0" w:type="dxa"/>
        </w:trPr>
        <w:tc>
          <w:tcPr>
            <w:tcW w:w="0" w:type="auto"/>
            <w:shd w:val="clear" w:color="auto" w:fill="auto"/>
          </w:tcPr>
          <w:p w14:paraId="1446F7B7"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B8"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announcements by us or estimates by third parties of actual or anticipated changes in the </w:t>
            </w:r>
            <w:r>
              <w:rPr>
                <w:rFonts w:ascii="Times New Roman" w:eastAsia="宋体" w:hAnsi="Times New Roman"/>
                <w:sz w:val="20"/>
                <w:szCs w:val="20"/>
              </w:rPr>
              <w:t>size of our user base, the level of user engagement, or the effectiveness of our ad products;</w:t>
            </w:r>
          </w:p>
        </w:tc>
      </w:tr>
    </w:tbl>
    <w:p w14:paraId="1446F7BA"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BD" w14:textId="77777777">
        <w:trPr>
          <w:tblCellSpacing w:w="0" w:type="dxa"/>
        </w:trPr>
        <w:tc>
          <w:tcPr>
            <w:tcW w:w="1440" w:type="dxa"/>
            <w:shd w:val="clear" w:color="auto" w:fill="auto"/>
            <w:vAlign w:val="center"/>
          </w:tcPr>
          <w:p w14:paraId="1446F7BB" w14:textId="77777777" w:rsidR="00FE42B5" w:rsidRDefault="00FE42B5">
            <w:pPr>
              <w:rPr>
                <w:rFonts w:ascii="Times New Roman" w:hAnsi="Times New Roman"/>
                <w:sz w:val="20"/>
                <w:szCs w:val="20"/>
              </w:rPr>
            </w:pPr>
          </w:p>
        </w:tc>
        <w:tc>
          <w:tcPr>
            <w:tcW w:w="0" w:type="auto"/>
            <w:shd w:val="clear" w:color="auto" w:fill="auto"/>
            <w:vAlign w:val="center"/>
          </w:tcPr>
          <w:p w14:paraId="1446F7BC" w14:textId="77777777" w:rsidR="00FE42B5" w:rsidRDefault="00FE42B5">
            <w:pPr>
              <w:rPr>
                <w:rFonts w:ascii="Times New Roman" w:hAnsi="Times New Roman"/>
                <w:sz w:val="20"/>
                <w:szCs w:val="20"/>
              </w:rPr>
            </w:pPr>
          </w:p>
        </w:tc>
      </w:tr>
      <w:tr w:rsidR="00FE42B5" w14:paraId="1446F7C0" w14:textId="77777777">
        <w:trPr>
          <w:tblCellSpacing w:w="0" w:type="dxa"/>
        </w:trPr>
        <w:tc>
          <w:tcPr>
            <w:tcW w:w="0" w:type="auto"/>
            <w:shd w:val="clear" w:color="auto" w:fill="auto"/>
          </w:tcPr>
          <w:p w14:paraId="1446F7B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BF"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operating performance and stock market valuations of technology companies in our industry, including our developers and competitors;</w:t>
            </w:r>
          </w:p>
        </w:tc>
      </w:tr>
    </w:tbl>
    <w:p w14:paraId="1446F7C1"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C4" w14:textId="77777777">
        <w:trPr>
          <w:tblCellSpacing w:w="0" w:type="dxa"/>
        </w:trPr>
        <w:tc>
          <w:tcPr>
            <w:tcW w:w="1440" w:type="dxa"/>
            <w:shd w:val="clear" w:color="auto" w:fill="auto"/>
            <w:vAlign w:val="center"/>
          </w:tcPr>
          <w:p w14:paraId="1446F7C2" w14:textId="77777777" w:rsidR="00FE42B5" w:rsidRDefault="00FE42B5">
            <w:pPr>
              <w:rPr>
                <w:rFonts w:ascii="Times New Roman" w:hAnsi="Times New Roman"/>
                <w:sz w:val="20"/>
                <w:szCs w:val="20"/>
              </w:rPr>
            </w:pPr>
          </w:p>
        </w:tc>
        <w:tc>
          <w:tcPr>
            <w:tcW w:w="0" w:type="auto"/>
            <w:shd w:val="clear" w:color="auto" w:fill="auto"/>
            <w:vAlign w:val="center"/>
          </w:tcPr>
          <w:p w14:paraId="1446F7C3" w14:textId="77777777" w:rsidR="00FE42B5" w:rsidRDefault="00FE42B5">
            <w:pPr>
              <w:rPr>
                <w:rFonts w:ascii="Times New Roman" w:hAnsi="Times New Roman"/>
                <w:sz w:val="20"/>
                <w:szCs w:val="20"/>
              </w:rPr>
            </w:pPr>
          </w:p>
        </w:tc>
      </w:tr>
      <w:tr w:rsidR="00FE42B5" w14:paraId="1446F7C7" w14:textId="77777777">
        <w:trPr>
          <w:tblCellSpacing w:w="0" w:type="dxa"/>
        </w:trPr>
        <w:tc>
          <w:tcPr>
            <w:tcW w:w="0" w:type="auto"/>
            <w:shd w:val="clear" w:color="auto" w:fill="auto"/>
          </w:tcPr>
          <w:p w14:paraId="1446F7C5"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C6"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price and volume fluctuations in the overall stock market, including as a result of trends in the economy as a whole;</w:t>
            </w:r>
          </w:p>
        </w:tc>
      </w:tr>
    </w:tbl>
    <w:p w14:paraId="1446F7C8"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CB" w14:textId="77777777">
        <w:trPr>
          <w:tblCellSpacing w:w="0" w:type="dxa"/>
        </w:trPr>
        <w:tc>
          <w:tcPr>
            <w:tcW w:w="1440" w:type="dxa"/>
            <w:shd w:val="clear" w:color="auto" w:fill="auto"/>
            <w:vAlign w:val="center"/>
          </w:tcPr>
          <w:p w14:paraId="1446F7C9" w14:textId="77777777" w:rsidR="00FE42B5" w:rsidRDefault="00FE42B5">
            <w:pPr>
              <w:rPr>
                <w:rFonts w:ascii="Times New Roman" w:hAnsi="Times New Roman"/>
                <w:sz w:val="20"/>
                <w:szCs w:val="20"/>
              </w:rPr>
            </w:pPr>
          </w:p>
        </w:tc>
        <w:tc>
          <w:tcPr>
            <w:tcW w:w="0" w:type="auto"/>
            <w:shd w:val="clear" w:color="auto" w:fill="auto"/>
            <w:vAlign w:val="center"/>
          </w:tcPr>
          <w:p w14:paraId="1446F7CA" w14:textId="77777777" w:rsidR="00FE42B5" w:rsidRDefault="00FE42B5">
            <w:pPr>
              <w:rPr>
                <w:rFonts w:ascii="Times New Roman" w:hAnsi="Times New Roman"/>
                <w:sz w:val="20"/>
                <w:szCs w:val="20"/>
              </w:rPr>
            </w:pPr>
          </w:p>
        </w:tc>
      </w:tr>
      <w:tr w:rsidR="00FE42B5" w14:paraId="1446F7CE" w14:textId="77777777">
        <w:trPr>
          <w:tblCellSpacing w:w="0" w:type="dxa"/>
        </w:trPr>
        <w:tc>
          <w:tcPr>
            <w:tcW w:w="0" w:type="auto"/>
            <w:shd w:val="clear" w:color="auto" w:fill="auto"/>
          </w:tcPr>
          <w:p w14:paraId="1446F7C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CD"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the inclusion, exclusion, or deletion of our stock from any trading indices, such as the S&amp;P 500 Index;</w:t>
            </w:r>
          </w:p>
        </w:tc>
      </w:tr>
    </w:tbl>
    <w:p w14:paraId="1446F7CF"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4726"/>
      </w:tblGrid>
      <w:tr w:rsidR="00FE42B5" w14:paraId="1446F7D2" w14:textId="77777777">
        <w:trPr>
          <w:tblCellSpacing w:w="0" w:type="dxa"/>
        </w:trPr>
        <w:tc>
          <w:tcPr>
            <w:tcW w:w="1440" w:type="dxa"/>
            <w:shd w:val="clear" w:color="auto" w:fill="auto"/>
            <w:vAlign w:val="center"/>
          </w:tcPr>
          <w:p w14:paraId="1446F7D0" w14:textId="77777777" w:rsidR="00FE42B5" w:rsidRDefault="00FE42B5">
            <w:pPr>
              <w:rPr>
                <w:rFonts w:ascii="Times New Roman" w:hAnsi="Times New Roman"/>
                <w:sz w:val="20"/>
                <w:szCs w:val="20"/>
              </w:rPr>
            </w:pPr>
          </w:p>
        </w:tc>
        <w:tc>
          <w:tcPr>
            <w:tcW w:w="0" w:type="auto"/>
            <w:shd w:val="clear" w:color="auto" w:fill="auto"/>
            <w:vAlign w:val="center"/>
          </w:tcPr>
          <w:p w14:paraId="1446F7D1" w14:textId="77777777" w:rsidR="00FE42B5" w:rsidRDefault="00FE42B5">
            <w:pPr>
              <w:rPr>
                <w:rFonts w:ascii="Times New Roman" w:hAnsi="Times New Roman"/>
                <w:sz w:val="20"/>
                <w:szCs w:val="20"/>
              </w:rPr>
            </w:pPr>
          </w:p>
        </w:tc>
      </w:tr>
      <w:tr w:rsidR="00FE42B5" w14:paraId="1446F7D5" w14:textId="77777777">
        <w:trPr>
          <w:tblCellSpacing w:w="0" w:type="dxa"/>
        </w:trPr>
        <w:tc>
          <w:tcPr>
            <w:tcW w:w="0" w:type="auto"/>
            <w:shd w:val="clear" w:color="auto" w:fill="auto"/>
          </w:tcPr>
          <w:p w14:paraId="1446F7D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D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media </w:t>
            </w:r>
            <w:r>
              <w:rPr>
                <w:rFonts w:ascii="Times New Roman" w:eastAsia="宋体" w:hAnsi="Times New Roman"/>
                <w:sz w:val="20"/>
                <w:szCs w:val="20"/>
              </w:rPr>
              <w:t>coverage of our business and financial performance;</w:t>
            </w:r>
          </w:p>
        </w:tc>
      </w:tr>
    </w:tbl>
    <w:p w14:paraId="1446F7D6"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105"/>
      </w:tblGrid>
      <w:tr w:rsidR="00FE42B5" w14:paraId="1446F7D9" w14:textId="77777777">
        <w:trPr>
          <w:tblCellSpacing w:w="0" w:type="dxa"/>
        </w:trPr>
        <w:tc>
          <w:tcPr>
            <w:tcW w:w="1440" w:type="dxa"/>
            <w:shd w:val="clear" w:color="auto" w:fill="auto"/>
            <w:vAlign w:val="center"/>
          </w:tcPr>
          <w:p w14:paraId="1446F7D7" w14:textId="77777777" w:rsidR="00FE42B5" w:rsidRDefault="00FE42B5">
            <w:pPr>
              <w:rPr>
                <w:rFonts w:ascii="Times New Roman" w:hAnsi="Times New Roman"/>
                <w:sz w:val="20"/>
                <w:szCs w:val="20"/>
              </w:rPr>
            </w:pPr>
          </w:p>
        </w:tc>
        <w:tc>
          <w:tcPr>
            <w:tcW w:w="0" w:type="auto"/>
            <w:shd w:val="clear" w:color="auto" w:fill="auto"/>
            <w:vAlign w:val="center"/>
          </w:tcPr>
          <w:p w14:paraId="1446F7D8" w14:textId="77777777" w:rsidR="00FE42B5" w:rsidRDefault="00FE42B5">
            <w:pPr>
              <w:rPr>
                <w:rFonts w:ascii="Times New Roman" w:hAnsi="Times New Roman"/>
                <w:sz w:val="20"/>
                <w:szCs w:val="20"/>
              </w:rPr>
            </w:pPr>
          </w:p>
        </w:tc>
      </w:tr>
      <w:tr w:rsidR="00FE42B5" w14:paraId="1446F7DC" w14:textId="77777777">
        <w:trPr>
          <w:tblCellSpacing w:w="0" w:type="dxa"/>
        </w:trPr>
        <w:tc>
          <w:tcPr>
            <w:tcW w:w="0" w:type="auto"/>
            <w:shd w:val="clear" w:color="auto" w:fill="auto"/>
          </w:tcPr>
          <w:p w14:paraId="1446F7DA"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DB"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lawsuits threatened or filed against us, or developments in pending lawsuits;</w:t>
            </w:r>
          </w:p>
        </w:tc>
      </w:tr>
    </w:tbl>
    <w:p w14:paraId="1446F7DD"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E0" w14:textId="77777777">
        <w:trPr>
          <w:tblCellSpacing w:w="0" w:type="dxa"/>
        </w:trPr>
        <w:tc>
          <w:tcPr>
            <w:tcW w:w="1440" w:type="dxa"/>
            <w:shd w:val="clear" w:color="auto" w:fill="auto"/>
            <w:vAlign w:val="center"/>
          </w:tcPr>
          <w:p w14:paraId="1446F7DE" w14:textId="77777777" w:rsidR="00FE42B5" w:rsidRDefault="00FE42B5">
            <w:pPr>
              <w:rPr>
                <w:rFonts w:ascii="Times New Roman" w:hAnsi="Times New Roman"/>
                <w:sz w:val="20"/>
                <w:szCs w:val="20"/>
              </w:rPr>
            </w:pPr>
          </w:p>
        </w:tc>
        <w:tc>
          <w:tcPr>
            <w:tcW w:w="0" w:type="auto"/>
            <w:shd w:val="clear" w:color="auto" w:fill="auto"/>
            <w:vAlign w:val="center"/>
          </w:tcPr>
          <w:p w14:paraId="1446F7DF" w14:textId="77777777" w:rsidR="00FE42B5" w:rsidRDefault="00FE42B5">
            <w:pPr>
              <w:rPr>
                <w:rFonts w:ascii="Times New Roman" w:hAnsi="Times New Roman"/>
                <w:sz w:val="20"/>
                <w:szCs w:val="20"/>
              </w:rPr>
            </w:pPr>
          </w:p>
        </w:tc>
      </w:tr>
      <w:tr w:rsidR="00FE42B5" w14:paraId="1446F7E3" w14:textId="77777777">
        <w:trPr>
          <w:tblCellSpacing w:w="0" w:type="dxa"/>
        </w:trPr>
        <w:tc>
          <w:tcPr>
            <w:tcW w:w="0" w:type="auto"/>
            <w:shd w:val="clear" w:color="auto" w:fill="auto"/>
          </w:tcPr>
          <w:p w14:paraId="1446F7E1"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E2"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developments in anticipated or new legislation or regulatory actions, including interim or final rulings by </w:t>
            </w:r>
            <w:r>
              <w:rPr>
                <w:rFonts w:ascii="Times New Roman" w:eastAsia="宋体" w:hAnsi="Times New Roman"/>
                <w:sz w:val="20"/>
                <w:szCs w:val="20"/>
              </w:rPr>
              <w:t>tax, judicial, or regulatory bodies;</w:t>
            </w:r>
          </w:p>
        </w:tc>
      </w:tr>
    </w:tbl>
    <w:p w14:paraId="1446F7E4"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4249"/>
      </w:tblGrid>
      <w:tr w:rsidR="00FE42B5" w14:paraId="1446F7E7" w14:textId="77777777">
        <w:trPr>
          <w:tblCellSpacing w:w="0" w:type="dxa"/>
        </w:trPr>
        <w:tc>
          <w:tcPr>
            <w:tcW w:w="1440" w:type="dxa"/>
            <w:shd w:val="clear" w:color="auto" w:fill="auto"/>
            <w:vAlign w:val="center"/>
          </w:tcPr>
          <w:p w14:paraId="1446F7E5" w14:textId="77777777" w:rsidR="00FE42B5" w:rsidRDefault="00FE42B5">
            <w:pPr>
              <w:rPr>
                <w:rFonts w:ascii="Times New Roman" w:hAnsi="Times New Roman"/>
                <w:sz w:val="20"/>
                <w:szCs w:val="20"/>
              </w:rPr>
            </w:pPr>
          </w:p>
        </w:tc>
        <w:tc>
          <w:tcPr>
            <w:tcW w:w="0" w:type="auto"/>
            <w:shd w:val="clear" w:color="auto" w:fill="auto"/>
            <w:vAlign w:val="center"/>
          </w:tcPr>
          <w:p w14:paraId="1446F7E6" w14:textId="77777777" w:rsidR="00FE42B5" w:rsidRDefault="00FE42B5">
            <w:pPr>
              <w:rPr>
                <w:rFonts w:ascii="Times New Roman" w:hAnsi="Times New Roman"/>
                <w:sz w:val="20"/>
                <w:szCs w:val="20"/>
              </w:rPr>
            </w:pPr>
          </w:p>
        </w:tc>
      </w:tr>
      <w:tr w:rsidR="00FE42B5" w14:paraId="1446F7EA" w14:textId="77777777">
        <w:trPr>
          <w:tblCellSpacing w:w="0" w:type="dxa"/>
        </w:trPr>
        <w:tc>
          <w:tcPr>
            <w:tcW w:w="0" w:type="auto"/>
            <w:shd w:val="clear" w:color="auto" w:fill="auto"/>
          </w:tcPr>
          <w:p w14:paraId="1446F7E8"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E9"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trading activity in our share repurchase program; and</w:t>
            </w:r>
          </w:p>
        </w:tc>
      </w:tr>
    </w:tbl>
    <w:p w14:paraId="1446F7EB" w14:textId="77777777" w:rsidR="00FE42B5" w:rsidRDefault="00FE42B5">
      <w:pPr>
        <w:rPr>
          <w:rFonts w:ascii="Times New Roman" w:hAnsi="Times New Roman"/>
          <w:sz w:val="20"/>
          <w:szCs w:val="20"/>
        </w:rPr>
      </w:pPr>
    </w:p>
    <w:p w14:paraId="1446F7EC"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77</w:t>
      </w:r>
    </w:p>
    <w:p w14:paraId="1446F7ED" w14:textId="77777777" w:rsidR="00FE42B5" w:rsidRDefault="009213DC">
      <w:r>
        <w:rPr>
          <w:rFonts w:ascii="Times New Roman" w:hAnsi="Times New Roman"/>
          <w:sz w:val="20"/>
          <w:szCs w:val="20"/>
        </w:rPr>
        <w:pict w14:anchorId="1446FB15">
          <v:rect id="_x0000_i1101" style="width:415.3pt;height:1.5pt" o:hralign="center" o:hrstd="t" o:hr="t" fillcolor="#a0a0a0" stroked="f"/>
        </w:pict>
      </w:r>
    </w:p>
    <w:p w14:paraId="1446F7EE" w14:textId="77777777" w:rsidR="00FE42B5" w:rsidRDefault="009213DC">
      <w:pPr>
        <w:spacing w:line="288" w:lineRule="auto"/>
        <w:rPr>
          <w:rFonts w:ascii="Times New Roman" w:hAnsi="Times New Roman"/>
          <w:sz w:val="20"/>
          <w:szCs w:val="20"/>
        </w:rPr>
      </w:pPr>
      <w:hyperlink r:id="rId117" w:anchor="sBB4BED1571A45A16AF3DC2E3B69C901C" w:history="1">
        <w:r>
          <w:rPr>
            <w:rStyle w:val="a5"/>
            <w:rFonts w:ascii="Times New Roman" w:eastAsia="宋体" w:hAnsi="Times New Roman"/>
            <w:sz w:val="20"/>
            <w:szCs w:val="20"/>
          </w:rPr>
          <w:t>Table of Contents</w:t>
        </w:r>
      </w:hyperlink>
    </w:p>
    <w:p w14:paraId="1446F7EF"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7F2" w14:textId="77777777">
        <w:trPr>
          <w:tblCellSpacing w:w="0" w:type="dxa"/>
        </w:trPr>
        <w:tc>
          <w:tcPr>
            <w:tcW w:w="1440" w:type="dxa"/>
            <w:shd w:val="clear" w:color="auto" w:fill="auto"/>
            <w:vAlign w:val="center"/>
          </w:tcPr>
          <w:p w14:paraId="1446F7F0" w14:textId="77777777" w:rsidR="00FE42B5" w:rsidRDefault="00FE42B5">
            <w:pPr>
              <w:rPr>
                <w:rFonts w:ascii="Times New Roman" w:hAnsi="Times New Roman"/>
                <w:sz w:val="20"/>
                <w:szCs w:val="20"/>
              </w:rPr>
            </w:pPr>
          </w:p>
        </w:tc>
        <w:tc>
          <w:tcPr>
            <w:tcW w:w="0" w:type="auto"/>
            <w:shd w:val="clear" w:color="auto" w:fill="auto"/>
            <w:vAlign w:val="center"/>
          </w:tcPr>
          <w:p w14:paraId="1446F7F1" w14:textId="77777777" w:rsidR="00FE42B5" w:rsidRDefault="00FE42B5">
            <w:pPr>
              <w:rPr>
                <w:rFonts w:ascii="Times New Roman" w:hAnsi="Times New Roman"/>
                <w:sz w:val="20"/>
                <w:szCs w:val="20"/>
              </w:rPr>
            </w:pPr>
          </w:p>
        </w:tc>
      </w:tr>
      <w:tr w:rsidR="00FE42B5" w14:paraId="1446F7F5" w14:textId="77777777">
        <w:trPr>
          <w:tblCellSpacing w:w="0" w:type="dxa"/>
        </w:trPr>
        <w:tc>
          <w:tcPr>
            <w:tcW w:w="0" w:type="auto"/>
            <w:shd w:val="clear" w:color="auto" w:fill="auto"/>
          </w:tcPr>
          <w:p w14:paraId="1446F7F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7F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other events or factors, including those resulting from war, incidents of </w:t>
            </w:r>
            <w:r>
              <w:rPr>
                <w:rFonts w:ascii="Times New Roman" w:eastAsia="宋体" w:hAnsi="Times New Roman"/>
                <w:sz w:val="20"/>
                <w:szCs w:val="20"/>
              </w:rPr>
              <w:t>terrorism, pandemics, and other disruptive external events, or responses to these events.</w:t>
            </w:r>
          </w:p>
        </w:tc>
      </w:tr>
    </w:tbl>
    <w:p w14:paraId="1446F7F6"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the stock markets have experienced extreme price and volume fluctuations that have affected and continue to affect the market prices of equity securitie</w:t>
      </w:r>
      <w:r>
        <w:rPr>
          <w:rFonts w:ascii="Times New Roman" w:eastAsia="宋体" w:hAnsi="Times New Roman"/>
          <w:sz w:val="20"/>
          <w:szCs w:val="20"/>
        </w:rPr>
        <w:t>s of many technology companies. Stock prices of many technology companies have fluctuated in a manner unrelated or disproportionate to the operating performance of those companies. We are currently subject to securities litigation in connection with our pl</w:t>
      </w:r>
      <w:r>
        <w:rPr>
          <w:rFonts w:ascii="Times New Roman" w:eastAsia="宋体" w:hAnsi="Times New Roman"/>
          <w:sz w:val="20"/>
          <w:szCs w:val="20"/>
        </w:rPr>
        <w:t>atform and user data practices and the misuse of certain data by a developer that shared such data with third parties in violation of our terms and policies, as well as the disclosure of our earnings results for the second quarter of 2018. We may experienc</w:t>
      </w:r>
      <w:r>
        <w:rPr>
          <w:rFonts w:ascii="Times New Roman" w:eastAsia="宋体" w:hAnsi="Times New Roman"/>
          <w:sz w:val="20"/>
          <w:szCs w:val="20"/>
        </w:rPr>
        <w:t>e more such litigation following future periods of volatility. Any securities litigation could subject us to substantial costs, divert resources and the attention of management from our business, and adversely affect our business.</w:t>
      </w:r>
    </w:p>
    <w:p w14:paraId="1446F7F7"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We do not intend to pay c</w:t>
      </w:r>
      <w:r>
        <w:rPr>
          <w:rFonts w:ascii="Times New Roman" w:eastAsia="宋体" w:hAnsi="Times New Roman"/>
          <w:b/>
          <w:bCs/>
          <w:i/>
          <w:iCs/>
          <w:sz w:val="20"/>
          <w:szCs w:val="20"/>
        </w:rPr>
        <w:t>ash dividends for the foreseeable future.</w:t>
      </w:r>
    </w:p>
    <w:p w14:paraId="1446F7F8"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We have never declared or paid cash dividends on our capital stock. We currently intend to retain any future earnings to finance the operation and expansion of our business and fund our share repurchase program, an</w:t>
      </w:r>
      <w:r>
        <w:rPr>
          <w:rFonts w:ascii="Times New Roman" w:eastAsia="宋体" w:hAnsi="Times New Roman"/>
          <w:sz w:val="20"/>
          <w:szCs w:val="20"/>
        </w:rPr>
        <w:t>d we do not expect to declare or pay any cash dividends in the foreseeable future. As a result, you may only receive a return on your investment in our Class A common stock if the trading price of your shares increases.</w:t>
      </w:r>
    </w:p>
    <w:p w14:paraId="1446F7F9"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The dual class structure of our comm</w:t>
      </w:r>
      <w:r>
        <w:rPr>
          <w:rFonts w:ascii="Times New Roman" w:eastAsia="宋体" w:hAnsi="Times New Roman"/>
          <w:b/>
          <w:bCs/>
          <w:i/>
          <w:iCs/>
          <w:sz w:val="20"/>
          <w:szCs w:val="20"/>
        </w:rPr>
        <w:t>on stock and a voting agreement between certain stockholders have the effect of concentrating voting control with our CEO and certain other holders of our Class B common stock; this will limit or preclude your ability to influence corporate matters.</w:t>
      </w:r>
    </w:p>
    <w:p w14:paraId="1446F7FA"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w:t>
      </w:r>
      <w:r>
        <w:rPr>
          <w:rFonts w:ascii="Times New Roman" w:eastAsia="宋体" w:hAnsi="Times New Roman"/>
          <w:sz w:val="20"/>
          <w:szCs w:val="20"/>
        </w:rPr>
        <w:t>Class B common stock has ten votes per share and our Class A common stock has one vote per share. Stockholders who hold shares of Class B common stock, including certain of our executive officers, employees, and directors and their affiliates, together hol</w:t>
      </w:r>
      <w:r>
        <w:rPr>
          <w:rFonts w:ascii="Times New Roman" w:eastAsia="宋体" w:hAnsi="Times New Roman"/>
          <w:sz w:val="20"/>
          <w:szCs w:val="20"/>
        </w:rPr>
        <w:t>d a substantial majority of the voting power of our outstanding capital stock. Because of the ten-to-one voting ratio between our Class B and Class A common stock, the holders of our Class B common stock collectively control a majority of the combined voti</w:t>
      </w:r>
      <w:r>
        <w:rPr>
          <w:rFonts w:ascii="Times New Roman" w:eastAsia="宋体" w:hAnsi="Times New Roman"/>
          <w:sz w:val="20"/>
          <w:szCs w:val="20"/>
        </w:rPr>
        <w:t>ng power of our common stock and therefore are able to control all matters submitted to our stockholders for approval so long as the shares of Class B common stock represent at least 9.1% of all outstanding shares of our Class A and Class B common stock. T</w:t>
      </w:r>
      <w:r>
        <w:rPr>
          <w:rFonts w:ascii="Times New Roman" w:eastAsia="宋体" w:hAnsi="Times New Roman"/>
          <w:sz w:val="20"/>
          <w:szCs w:val="20"/>
        </w:rPr>
        <w:t>his concentrated control will limit or preclude your ability to influence corporate matters for the foreseeable future.</w:t>
      </w:r>
    </w:p>
    <w:p w14:paraId="1446F7FB"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Transfers by holders of Class B common stock will generally result in those shares converting to Class A common stock, subject to limite</w:t>
      </w:r>
      <w:r>
        <w:rPr>
          <w:rFonts w:ascii="Times New Roman" w:eastAsia="宋体" w:hAnsi="Times New Roman"/>
          <w:sz w:val="20"/>
          <w:szCs w:val="20"/>
        </w:rPr>
        <w:t>d exceptions, such as certain transfers effected for estate planning or charitable purposes. The conversion of Class B common stock to Class A common stock will have the effect, over time, of increasing the relative voting power of those holders of Class B</w:t>
      </w:r>
      <w:r>
        <w:rPr>
          <w:rFonts w:ascii="Times New Roman" w:eastAsia="宋体" w:hAnsi="Times New Roman"/>
          <w:sz w:val="20"/>
          <w:szCs w:val="20"/>
        </w:rPr>
        <w:t xml:space="preserve"> common stock who retain their shares in the long term. If, for example, Mr. Zuckerberg retains a significant portion of his holdings of Class B common stock for an extended period of time, he could, in the future, continue to control a majority of the com</w:t>
      </w:r>
      <w:r>
        <w:rPr>
          <w:rFonts w:ascii="Times New Roman" w:eastAsia="宋体" w:hAnsi="Times New Roman"/>
          <w:sz w:val="20"/>
          <w:szCs w:val="20"/>
        </w:rPr>
        <w:t>bined voting power of our outstanding capital stock.</w:t>
      </w:r>
    </w:p>
    <w:p w14:paraId="1446F7FC"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Our status as a "controlled company" could make our Class A common stock less attractive to some investors or otherwise harm our stock price.</w:t>
      </w:r>
    </w:p>
    <w:p w14:paraId="1446F7FD"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Because we qualify as a "controlled company" under the corpor</w:t>
      </w:r>
      <w:r>
        <w:rPr>
          <w:rFonts w:ascii="Times New Roman" w:eastAsia="宋体" w:hAnsi="Times New Roman"/>
          <w:sz w:val="20"/>
          <w:szCs w:val="20"/>
        </w:rPr>
        <w:t xml:space="preserve">ate governance rules for Nasdaq-listed companies, we are not required to have a majority of our board of directors be independent, nor are we required to have a compensation committee or an independent nominating function. In the future we could elect not </w:t>
      </w:r>
      <w:r>
        <w:rPr>
          <w:rFonts w:ascii="Times New Roman" w:eastAsia="宋体" w:hAnsi="Times New Roman"/>
          <w:sz w:val="20"/>
          <w:szCs w:val="20"/>
        </w:rPr>
        <w:t>to have a majority of our board of directors be independent or not to have a compensation committee or an independent nominating function. Accordingly, should the interests of our controlling stockholder differ from those of other stockholders, the other s</w:t>
      </w:r>
      <w:r>
        <w:rPr>
          <w:rFonts w:ascii="Times New Roman" w:eastAsia="宋体" w:hAnsi="Times New Roman"/>
          <w:sz w:val="20"/>
          <w:szCs w:val="20"/>
        </w:rPr>
        <w:t>tockholders may not have the same protections afforded to stockholders of companies that are subject to all of the corporate governance rules for Nasdaq-listed companies. Our status as a controlled company could make our Class A common stock less attractiv</w:t>
      </w:r>
      <w:r>
        <w:rPr>
          <w:rFonts w:ascii="Times New Roman" w:eastAsia="宋体" w:hAnsi="Times New Roman"/>
          <w:sz w:val="20"/>
          <w:szCs w:val="20"/>
        </w:rPr>
        <w:t>e to some investors or otherwise harm our stock price.</w:t>
      </w:r>
    </w:p>
    <w:p w14:paraId="1446F7FE" w14:textId="77777777" w:rsidR="00FE42B5" w:rsidRDefault="009213DC">
      <w:pPr>
        <w:spacing w:line="288" w:lineRule="auto"/>
        <w:jc w:val="both"/>
        <w:rPr>
          <w:rFonts w:ascii="Times New Roman" w:hAnsi="Times New Roman"/>
          <w:sz w:val="20"/>
          <w:szCs w:val="20"/>
        </w:rPr>
      </w:pPr>
      <w:r>
        <w:rPr>
          <w:rFonts w:ascii="Times New Roman" w:eastAsia="宋体" w:hAnsi="Times New Roman"/>
          <w:b/>
          <w:bCs/>
          <w:i/>
          <w:iCs/>
          <w:sz w:val="20"/>
          <w:szCs w:val="20"/>
        </w:rPr>
        <w:t>Delaware law and provisions in our restated certificate of incorporation and bylaws could make a merger, tender offer, or proxy contest difficult, thereby depressing the trading price of our Class A co</w:t>
      </w:r>
      <w:r>
        <w:rPr>
          <w:rFonts w:ascii="Times New Roman" w:eastAsia="宋体" w:hAnsi="Times New Roman"/>
          <w:b/>
          <w:bCs/>
          <w:i/>
          <w:iCs/>
          <w:sz w:val="20"/>
          <w:szCs w:val="20"/>
        </w:rPr>
        <w:t>mmon stock.</w:t>
      </w:r>
    </w:p>
    <w:p w14:paraId="1446F7FF" w14:textId="77777777" w:rsidR="00FE42B5" w:rsidRDefault="009213DC">
      <w:pPr>
        <w:spacing w:line="288" w:lineRule="auto"/>
        <w:ind w:firstLine="720"/>
        <w:jc w:val="both"/>
        <w:rPr>
          <w:rFonts w:ascii="Times New Roman" w:hAnsi="Times New Roman"/>
          <w:sz w:val="20"/>
          <w:szCs w:val="20"/>
        </w:rPr>
      </w:pPr>
      <w:r>
        <w:rPr>
          <w:rFonts w:ascii="Times New Roman" w:eastAsia="宋体" w:hAnsi="Times New Roman"/>
          <w:sz w:val="20"/>
          <w:szCs w:val="20"/>
        </w:rPr>
        <w:t>Our status as a Delaware corporation and the anti-takeover provisions of the Delaware General Corporation Law may discourage, delay, or prevent a change in control by prohibiting us from engaging in a business combination with an interested sto</w:t>
      </w:r>
      <w:r>
        <w:rPr>
          <w:rFonts w:ascii="Times New Roman" w:eastAsia="宋体" w:hAnsi="Times New Roman"/>
          <w:sz w:val="20"/>
          <w:szCs w:val="20"/>
        </w:rPr>
        <w:t>ckholder for a period of three years after the person becomes an interested stockholder, even if a change of control would be beneficial to our existing stockholders. In addition, our current restated certificate of incorporation and bylaws contain provisi</w:t>
      </w:r>
      <w:r>
        <w:rPr>
          <w:rFonts w:ascii="Times New Roman" w:eastAsia="宋体" w:hAnsi="Times New Roman"/>
          <w:sz w:val="20"/>
          <w:szCs w:val="20"/>
        </w:rPr>
        <w:t xml:space="preserve">ons </w:t>
      </w:r>
    </w:p>
    <w:p w14:paraId="1446F800" w14:textId="77777777" w:rsidR="00FE42B5" w:rsidRDefault="00FE42B5">
      <w:pPr>
        <w:rPr>
          <w:rFonts w:ascii="Times New Roman" w:hAnsi="Times New Roman"/>
          <w:sz w:val="20"/>
          <w:szCs w:val="20"/>
        </w:rPr>
      </w:pPr>
    </w:p>
    <w:p w14:paraId="1446F801"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78</w:t>
      </w:r>
    </w:p>
    <w:p w14:paraId="1446F802" w14:textId="77777777" w:rsidR="00FE42B5" w:rsidRDefault="009213DC">
      <w:r>
        <w:rPr>
          <w:rFonts w:ascii="Times New Roman" w:hAnsi="Times New Roman"/>
          <w:sz w:val="20"/>
          <w:szCs w:val="20"/>
        </w:rPr>
        <w:pict w14:anchorId="1446FB16">
          <v:rect id="_x0000_i1102" style="width:415.3pt;height:1.5pt" o:hralign="center" o:hrstd="t" o:hr="t" fillcolor="#a0a0a0" stroked="f"/>
        </w:pict>
      </w:r>
    </w:p>
    <w:p w14:paraId="1446F803" w14:textId="77777777" w:rsidR="00FE42B5" w:rsidRDefault="009213DC">
      <w:pPr>
        <w:spacing w:line="288" w:lineRule="auto"/>
        <w:rPr>
          <w:rFonts w:ascii="Times New Roman" w:hAnsi="Times New Roman"/>
          <w:sz w:val="20"/>
          <w:szCs w:val="20"/>
        </w:rPr>
      </w:pPr>
      <w:hyperlink r:id="rId118" w:anchor="sBB4BED1571A45A16AF3DC2E3B69C901C" w:history="1">
        <w:r>
          <w:rPr>
            <w:rStyle w:val="a5"/>
            <w:rFonts w:ascii="Times New Roman" w:eastAsia="宋体" w:hAnsi="Times New Roman"/>
            <w:sz w:val="20"/>
            <w:szCs w:val="20"/>
          </w:rPr>
          <w:t>Table of Contents</w:t>
        </w:r>
      </w:hyperlink>
    </w:p>
    <w:p w14:paraId="1446F804" w14:textId="77777777" w:rsidR="00FE42B5" w:rsidRDefault="00FE42B5">
      <w:pPr>
        <w:rPr>
          <w:rFonts w:ascii="Times New Roman" w:hAnsi="Times New Roman"/>
          <w:sz w:val="20"/>
          <w:szCs w:val="20"/>
        </w:rPr>
      </w:pPr>
    </w:p>
    <w:p w14:paraId="1446F805"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that may make the acquisition of our company more difficult, including th</w:t>
      </w:r>
      <w:r>
        <w:rPr>
          <w:rFonts w:ascii="Times New Roman" w:eastAsia="宋体" w:hAnsi="Times New Roman"/>
          <w:sz w:val="20"/>
          <w:szCs w:val="20"/>
        </w:rPr>
        <w:t>e following:</w:t>
      </w: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808" w14:textId="77777777">
        <w:trPr>
          <w:tblCellSpacing w:w="0" w:type="dxa"/>
        </w:trPr>
        <w:tc>
          <w:tcPr>
            <w:tcW w:w="1440" w:type="dxa"/>
            <w:shd w:val="clear" w:color="auto" w:fill="auto"/>
            <w:vAlign w:val="center"/>
          </w:tcPr>
          <w:p w14:paraId="1446F806" w14:textId="77777777" w:rsidR="00FE42B5" w:rsidRDefault="00FE42B5">
            <w:pPr>
              <w:rPr>
                <w:rFonts w:ascii="Times New Roman" w:hAnsi="Times New Roman"/>
                <w:sz w:val="20"/>
                <w:szCs w:val="20"/>
              </w:rPr>
            </w:pPr>
          </w:p>
        </w:tc>
        <w:tc>
          <w:tcPr>
            <w:tcW w:w="0" w:type="auto"/>
            <w:shd w:val="clear" w:color="auto" w:fill="auto"/>
            <w:vAlign w:val="center"/>
          </w:tcPr>
          <w:p w14:paraId="1446F807" w14:textId="77777777" w:rsidR="00FE42B5" w:rsidRDefault="00FE42B5">
            <w:pPr>
              <w:rPr>
                <w:rFonts w:ascii="Times New Roman" w:hAnsi="Times New Roman"/>
                <w:sz w:val="20"/>
                <w:szCs w:val="20"/>
              </w:rPr>
            </w:pPr>
          </w:p>
        </w:tc>
      </w:tr>
      <w:tr w:rsidR="00FE42B5" w14:paraId="1446F80B" w14:textId="77777777">
        <w:trPr>
          <w:tblCellSpacing w:w="0" w:type="dxa"/>
        </w:trPr>
        <w:tc>
          <w:tcPr>
            <w:tcW w:w="0" w:type="auto"/>
            <w:shd w:val="clear" w:color="auto" w:fill="auto"/>
          </w:tcPr>
          <w:p w14:paraId="1446F809"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80A"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until the first date on which the outstanding shares of our Class B common stock represent less than 35% of the combined voting power of our common stock, any transaction that would result in a change in control of our company </w:t>
            </w:r>
            <w:r>
              <w:rPr>
                <w:rFonts w:ascii="Times New Roman" w:eastAsia="宋体" w:hAnsi="Times New Roman"/>
                <w:sz w:val="20"/>
                <w:szCs w:val="20"/>
              </w:rPr>
              <w:t>requires the approval of a majority of our outstanding Class B common stock voting as a separate class;</w:t>
            </w:r>
          </w:p>
        </w:tc>
      </w:tr>
    </w:tbl>
    <w:p w14:paraId="1446F80C"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80F" w14:textId="77777777">
        <w:trPr>
          <w:tblCellSpacing w:w="0" w:type="dxa"/>
        </w:trPr>
        <w:tc>
          <w:tcPr>
            <w:tcW w:w="1440" w:type="dxa"/>
            <w:shd w:val="clear" w:color="auto" w:fill="auto"/>
            <w:vAlign w:val="center"/>
          </w:tcPr>
          <w:p w14:paraId="1446F80D" w14:textId="77777777" w:rsidR="00FE42B5" w:rsidRDefault="00FE42B5">
            <w:pPr>
              <w:rPr>
                <w:rFonts w:ascii="Times New Roman" w:hAnsi="Times New Roman"/>
                <w:sz w:val="20"/>
                <w:szCs w:val="20"/>
              </w:rPr>
            </w:pPr>
          </w:p>
        </w:tc>
        <w:tc>
          <w:tcPr>
            <w:tcW w:w="0" w:type="auto"/>
            <w:shd w:val="clear" w:color="auto" w:fill="auto"/>
            <w:vAlign w:val="center"/>
          </w:tcPr>
          <w:p w14:paraId="1446F80E" w14:textId="77777777" w:rsidR="00FE42B5" w:rsidRDefault="00FE42B5">
            <w:pPr>
              <w:rPr>
                <w:rFonts w:ascii="Times New Roman" w:hAnsi="Times New Roman"/>
                <w:sz w:val="20"/>
                <w:szCs w:val="20"/>
              </w:rPr>
            </w:pPr>
          </w:p>
        </w:tc>
      </w:tr>
      <w:tr w:rsidR="00FE42B5" w14:paraId="1446F812" w14:textId="77777777">
        <w:trPr>
          <w:tblCellSpacing w:w="0" w:type="dxa"/>
        </w:trPr>
        <w:tc>
          <w:tcPr>
            <w:tcW w:w="0" w:type="auto"/>
            <w:shd w:val="clear" w:color="auto" w:fill="auto"/>
          </w:tcPr>
          <w:p w14:paraId="1446F810"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811"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currently have a dual class common stock structure, which provides Mr. Zuckerberg with the ability to control the outcome of matters </w:t>
            </w:r>
            <w:r>
              <w:rPr>
                <w:rFonts w:ascii="Times New Roman" w:eastAsia="宋体" w:hAnsi="Times New Roman"/>
                <w:sz w:val="20"/>
                <w:szCs w:val="20"/>
              </w:rPr>
              <w:t>requiring stockholder approval, even if he owns significantly less than a majority of the shares of our outstanding Class A and Class B common stock;</w:t>
            </w:r>
          </w:p>
        </w:tc>
      </w:tr>
    </w:tbl>
    <w:p w14:paraId="1446F813"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816" w14:textId="77777777">
        <w:trPr>
          <w:tblCellSpacing w:w="0" w:type="dxa"/>
        </w:trPr>
        <w:tc>
          <w:tcPr>
            <w:tcW w:w="1440" w:type="dxa"/>
            <w:shd w:val="clear" w:color="auto" w:fill="auto"/>
            <w:vAlign w:val="center"/>
          </w:tcPr>
          <w:p w14:paraId="1446F814" w14:textId="77777777" w:rsidR="00FE42B5" w:rsidRDefault="00FE42B5">
            <w:pPr>
              <w:rPr>
                <w:rFonts w:ascii="Times New Roman" w:hAnsi="Times New Roman"/>
                <w:sz w:val="20"/>
                <w:szCs w:val="20"/>
              </w:rPr>
            </w:pPr>
          </w:p>
        </w:tc>
        <w:tc>
          <w:tcPr>
            <w:tcW w:w="0" w:type="auto"/>
            <w:shd w:val="clear" w:color="auto" w:fill="auto"/>
            <w:vAlign w:val="center"/>
          </w:tcPr>
          <w:p w14:paraId="1446F815" w14:textId="77777777" w:rsidR="00FE42B5" w:rsidRDefault="00FE42B5">
            <w:pPr>
              <w:rPr>
                <w:rFonts w:ascii="Times New Roman" w:hAnsi="Times New Roman"/>
                <w:sz w:val="20"/>
                <w:szCs w:val="20"/>
              </w:rPr>
            </w:pPr>
          </w:p>
        </w:tc>
      </w:tr>
      <w:tr w:rsidR="00FE42B5" w14:paraId="1446F819" w14:textId="77777777">
        <w:trPr>
          <w:tblCellSpacing w:w="0" w:type="dxa"/>
        </w:trPr>
        <w:tc>
          <w:tcPr>
            <w:tcW w:w="0" w:type="auto"/>
            <w:shd w:val="clear" w:color="auto" w:fill="auto"/>
          </w:tcPr>
          <w:p w14:paraId="1446F817"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818"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when the outstanding shares of our Class B common stock represent less than a majority of the </w:t>
            </w:r>
            <w:r>
              <w:rPr>
                <w:rFonts w:ascii="Times New Roman" w:eastAsia="宋体" w:hAnsi="Times New Roman"/>
                <w:sz w:val="20"/>
                <w:szCs w:val="20"/>
              </w:rPr>
              <w:t>combined voting power of common stock, certain amendments to our restated certificate of incorporation or bylaws will require the approval of two-thirds of the combined vote of our then-outstanding shares of Class A and Class B common stock;</w:t>
            </w:r>
          </w:p>
        </w:tc>
      </w:tr>
    </w:tbl>
    <w:p w14:paraId="1446F81A"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81D" w14:textId="77777777">
        <w:trPr>
          <w:tblCellSpacing w:w="0" w:type="dxa"/>
        </w:trPr>
        <w:tc>
          <w:tcPr>
            <w:tcW w:w="1440" w:type="dxa"/>
            <w:shd w:val="clear" w:color="auto" w:fill="auto"/>
            <w:vAlign w:val="center"/>
          </w:tcPr>
          <w:p w14:paraId="1446F81B" w14:textId="77777777" w:rsidR="00FE42B5" w:rsidRDefault="00FE42B5">
            <w:pPr>
              <w:rPr>
                <w:rFonts w:ascii="Times New Roman" w:hAnsi="Times New Roman"/>
                <w:sz w:val="20"/>
                <w:szCs w:val="20"/>
              </w:rPr>
            </w:pPr>
          </w:p>
        </w:tc>
        <w:tc>
          <w:tcPr>
            <w:tcW w:w="0" w:type="auto"/>
            <w:shd w:val="clear" w:color="auto" w:fill="auto"/>
            <w:vAlign w:val="center"/>
          </w:tcPr>
          <w:p w14:paraId="1446F81C" w14:textId="77777777" w:rsidR="00FE42B5" w:rsidRDefault="00FE42B5">
            <w:pPr>
              <w:rPr>
                <w:rFonts w:ascii="Times New Roman" w:hAnsi="Times New Roman"/>
                <w:sz w:val="20"/>
                <w:szCs w:val="20"/>
              </w:rPr>
            </w:pPr>
          </w:p>
        </w:tc>
      </w:tr>
      <w:tr w:rsidR="00FE42B5" w14:paraId="1446F820" w14:textId="77777777">
        <w:trPr>
          <w:tblCellSpacing w:w="0" w:type="dxa"/>
        </w:trPr>
        <w:tc>
          <w:tcPr>
            <w:tcW w:w="0" w:type="auto"/>
            <w:shd w:val="clear" w:color="auto" w:fill="auto"/>
          </w:tcPr>
          <w:p w14:paraId="1446F81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81F"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when the outstanding shares of our Class B common stock represent less than a majority of the combined voting power of our common stock, vacancies on our board of directors will be able to be filled only by our board of directors and not by stockholders;</w:t>
            </w:r>
          </w:p>
        </w:tc>
      </w:tr>
    </w:tbl>
    <w:p w14:paraId="1446F821"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824" w14:textId="77777777">
        <w:trPr>
          <w:tblCellSpacing w:w="0" w:type="dxa"/>
        </w:trPr>
        <w:tc>
          <w:tcPr>
            <w:tcW w:w="1440" w:type="dxa"/>
            <w:shd w:val="clear" w:color="auto" w:fill="auto"/>
            <w:vAlign w:val="center"/>
          </w:tcPr>
          <w:p w14:paraId="1446F822" w14:textId="77777777" w:rsidR="00FE42B5" w:rsidRDefault="00FE42B5">
            <w:pPr>
              <w:rPr>
                <w:rFonts w:ascii="Times New Roman" w:hAnsi="Times New Roman"/>
                <w:sz w:val="20"/>
                <w:szCs w:val="20"/>
              </w:rPr>
            </w:pPr>
          </w:p>
        </w:tc>
        <w:tc>
          <w:tcPr>
            <w:tcW w:w="0" w:type="auto"/>
            <w:shd w:val="clear" w:color="auto" w:fill="auto"/>
            <w:vAlign w:val="center"/>
          </w:tcPr>
          <w:p w14:paraId="1446F823" w14:textId="77777777" w:rsidR="00FE42B5" w:rsidRDefault="00FE42B5">
            <w:pPr>
              <w:rPr>
                <w:rFonts w:ascii="Times New Roman" w:hAnsi="Times New Roman"/>
                <w:sz w:val="20"/>
                <w:szCs w:val="20"/>
              </w:rPr>
            </w:pPr>
          </w:p>
        </w:tc>
      </w:tr>
      <w:tr w:rsidR="00FE42B5" w14:paraId="1446F827" w14:textId="77777777">
        <w:trPr>
          <w:tblCellSpacing w:w="0" w:type="dxa"/>
        </w:trPr>
        <w:tc>
          <w:tcPr>
            <w:tcW w:w="0" w:type="auto"/>
            <w:shd w:val="clear" w:color="auto" w:fill="auto"/>
          </w:tcPr>
          <w:p w14:paraId="1446F825"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826"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when the outstanding shares of our Class B common stock represent less than a majority of the combined voting power of our common stock, our board of directors will be classified into three classes of directors with staggered three-year terms and dir</w:t>
            </w:r>
            <w:r>
              <w:rPr>
                <w:rFonts w:ascii="Times New Roman" w:eastAsia="宋体" w:hAnsi="Times New Roman"/>
                <w:sz w:val="20"/>
                <w:szCs w:val="20"/>
              </w:rPr>
              <w:t>ectors will only be able to be removed from office for cause;</w:t>
            </w:r>
          </w:p>
        </w:tc>
      </w:tr>
    </w:tbl>
    <w:p w14:paraId="1446F828"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82B" w14:textId="77777777">
        <w:trPr>
          <w:tblCellSpacing w:w="0" w:type="dxa"/>
        </w:trPr>
        <w:tc>
          <w:tcPr>
            <w:tcW w:w="1440" w:type="dxa"/>
            <w:shd w:val="clear" w:color="auto" w:fill="auto"/>
            <w:vAlign w:val="center"/>
          </w:tcPr>
          <w:p w14:paraId="1446F829" w14:textId="77777777" w:rsidR="00FE42B5" w:rsidRDefault="00FE42B5">
            <w:pPr>
              <w:rPr>
                <w:rFonts w:ascii="Times New Roman" w:hAnsi="Times New Roman"/>
                <w:sz w:val="20"/>
                <w:szCs w:val="20"/>
              </w:rPr>
            </w:pPr>
          </w:p>
        </w:tc>
        <w:tc>
          <w:tcPr>
            <w:tcW w:w="0" w:type="auto"/>
            <w:shd w:val="clear" w:color="auto" w:fill="auto"/>
            <w:vAlign w:val="center"/>
          </w:tcPr>
          <w:p w14:paraId="1446F82A" w14:textId="77777777" w:rsidR="00FE42B5" w:rsidRDefault="00FE42B5">
            <w:pPr>
              <w:rPr>
                <w:rFonts w:ascii="Times New Roman" w:hAnsi="Times New Roman"/>
                <w:sz w:val="20"/>
                <w:szCs w:val="20"/>
              </w:rPr>
            </w:pPr>
          </w:p>
        </w:tc>
      </w:tr>
      <w:tr w:rsidR="00FE42B5" w14:paraId="1446F82E" w14:textId="77777777">
        <w:trPr>
          <w:tblCellSpacing w:w="0" w:type="dxa"/>
        </w:trPr>
        <w:tc>
          <w:tcPr>
            <w:tcW w:w="0" w:type="auto"/>
            <w:shd w:val="clear" w:color="auto" w:fill="auto"/>
          </w:tcPr>
          <w:p w14:paraId="1446F82C"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82D"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when the outstanding shares of our Class B common stock represent less than a majority of the combined voting power of our common stock, our stockholders will only be able to take </w:t>
            </w:r>
            <w:r>
              <w:rPr>
                <w:rFonts w:ascii="Times New Roman" w:eastAsia="宋体" w:hAnsi="Times New Roman"/>
                <w:sz w:val="20"/>
                <w:szCs w:val="20"/>
              </w:rPr>
              <w:t>action at a meeting of stockholders and not by written consent;</w:t>
            </w:r>
          </w:p>
        </w:tc>
      </w:tr>
    </w:tbl>
    <w:p w14:paraId="1446F82F"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832" w14:textId="77777777">
        <w:trPr>
          <w:tblCellSpacing w:w="0" w:type="dxa"/>
        </w:trPr>
        <w:tc>
          <w:tcPr>
            <w:tcW w:w="1440" w:type="dxa"/>
            <w:shd w:val="clear" w:color="auto" w:fill="auto"/>
            <w:vAlign w:val="center"/>
          </w:tcPr>
          <w:p w14:paraId="1446F830" w14:textId="77777777" w:rsidR="00FE42B5" w:rsidRDefault="00FE42B5">
            <w:pPr>
              <w:rPr>
                <w:rFonts w:ascii="Times New Roman" w:hAnsi="Times New Roman"/>
                <w:sz w:val="20"/>
                <w:szCs w:val="20"/>
              </w:rPr>
            </w:pPr>
          </w:p>
        </w:tc>
        <w:tc>
          <w:tcPr>
            <w:tcW w:w="0" w:type="auto"/>
            <w:shd w:val="clear" w:color="auto" w:fill="auto"/>
            <w:vAlign w:val="center"/>
          </w:tcPr>
          <w:p w14:paraId="1446F831" w14:textId="77777777" w:rsidR="00FE42B5" w:rsidRDefault="00FE42B5">
            <w:pPr>
              <w:rPr>
                <w:rFonts w:ascii="Times New Roman" w:hAnsi="Times New Roman"/>
                <w:sz w:val="20"/>
                <w:szCs w:val="20"/>
              </w:rPr>
            </w:pPr>
          </w:p>
        </w:tc>
      </w:tr>
      <w:tr w:rsidR="00FE42B5" w14:paraId="1446F835" w14:textId="77777777">
        <w:trPr>
          <w:tblCellSpacing w:w="0" w:type="dxa"/>
        </w:trPr>
        <w:tc>
          <w:tcPr>
            <w:tcW w:w="0" w:type="auto"/>
            <w:shd w:val="clear" w:color="auto" w:fill="auto"/>
          </w:tcPr>
          <w:p w14:paraId="1446F833"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834"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only our chairman, our chief executive officer, our president, or a majority of our board of directors are authorized to call a special meeting of stockholders;</w:t>
            </w:r>
          </w:p>
        </w:tc>
      </w:tr>
    </w:tbl>
    <w:p w14:paraId="1446F836"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839" w14:textId="77777777">
        <w:trPr>
          <w:tblCellSpacing w:w="0" w:type="dxa"/>
        </w:trPr>
        <w:tc>
          <w:tcPr>
            <w:tcW w:w="1440" w:type="dxa"/>
            <w:shd w:val="clear" w:color="auto" w:fill="auto"/>
            <w:vAlign w:val="center"/>
          </w:tcPr>
          <w:p w14:paraId="1446F837" w14:textId="77777777" w:rsidR="00FE42B5" w:rsidRDefault="00FE42B5">
            <w:pPr>
              <w:rPr>
                <w:rFonts w:ascii="Times New Roman" w:hAnsi="Times New Roman"/>
                <w:sz w:val="20"/>
                <w:szCs w:val="20"/>
              </w:rPr>
            </w:pPr>
          </w:p>
        </w:tc>
        <w:tc>
          <w:tcPr>
            <w:tcW w:w="0" w:type="auto"/>
            <w:shd w:val="clear" w:color="auto" w:fill="auto"/>
            <w:vAlign w:val="center"/>
          </w:tcPr>
          <w:p w14:paraId="1446F838" w14:textId="77777777" w:rsidR="00FE42B5" w:rsidRDefault="00FE42B5">
            <w:pPr>
              <w:rPr>
                <w:rFonts w:ascii="Times New Roman" w:hAnsi="Times New Roman"/>
                <w:sz w:val="20"/>
                <w:szCs w:val="20"/>
              </w:rPr>
            </w:pPr>
          </w:p>
        </w:tc>
      </w:tr>
      <w:tr w:rsidR="00FE42B5" w14:paraId="1446F83C" w14:textId="77777777">
        <w:trPr>
          <w:tblCellSpacing w:w="0" w:type="dxa"/>
        </w:trPr>
        <w:tc>
          <w:tcPr>
            <w:tcW w:w="0" w:type="auto"/>
            <w:shd w:val="clear" w:color="auto" w:fill="auto"/>
          </w:tcPr>
          <w:p w14:paraId="1446F83A"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83B"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advance </w:t>
            </w:r>
            <w:r>
              <w:rPr>
                <w:rFonts w:ascii="Times New Roman" w:eastAsia="宋体" w:hAnsi="Times New Roman"/>
                <w:sz w:val="20"/>
                <w:szCs w:val="20"/>
              </w:rPr>
              <w:t>notice procedures apply for stockholders to nominate candidates for election as directors or to bring matters before an annual meeting of stockholders;</w:t>
            </w:r>
          </w:p>
        </w:tc>
      </w:tr>
    </w:tbl>
    <w:p w14:paraId="1446F83D"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E42B5" w14:paraId="1446F840" w14:textId="77777777">
        <w:trPr>
          <w:tblCellSpacing w:w="0" w:type="dxa"/>
        </w:trPr>
        <w:tc>
          <w:tcPr>
            <w:tcW w:w="1440" w:type="dxa"/>
            <w:shd w:val="clear" w:color="auto" w:fill="auto"/>
            <w:vAlign w:val="center"/>
          </w:tcPr>
          <w:p w14:paraId="1446F83E" w14:textId="77777777" w:rsidR="00FE42B5" w:rsidRDefault="00FE42B5">
            <w:pPr>
              <w:rPr>
                <w:rFonts w:ascii="Times New Roman" w:hAnsi="Times New Roman"/>
                <w:sz w:val="20"/>
                <w:szCs w:val="20"/>
              </w:rPr>
            </w:pPr>
          </w:p>
        </w:tc>
        <w:tc>
          <w:tcPr>
            <w:tcW w:w="0" w:type="auto"/>
            <w:shd w:val="clear" w:color="auto" w:fill="auto"/>
            <w:vAlign w:val="center"/>
          </w:tcPr>
          <w:p w14:paraId="1446F83F" w14:textId="77777777" w:rsidR="00FE42B5" w:rsidRDefault="00FE42B5">
            <w:pPr>
              <w:rPr>
                <w:rFonts w:ascii="Times New Roman" w:hAnsi="Times New Roman"/>
                <w:sz w:val="20"/>
                <w:szCs w:val="20"/>
              </w:rPr>
            </w:pPr>
          </w:p>
        </w:tc>
      </w:tr>
      <w:tr w:rsidR="00FE42B5" w14:paraId="1446F843" w14:textId="77777777">
        <w:trPr>
          <w:tblCellSpacing w:w="0" w:type="dxa"/>
        </w:trPr>
        <w:tc>
          <w:tcPr>
            <w:tcW w:w="0" w:type="auto"/>
            <w:shd w:val="clear" w:color="auto" w:fill="auto"/>
          </w:tcPr>
          <w:p w14:paraId="1446F841"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842"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restated certificate of incorporation authorizes undesignated preferred stock, the terms of </w:t>
            </w:r>
            <w:r>
              <w:rPr>
                <w:rFonts w:ascii="Times New Roman" w:eastAsia="宋体" w:hAnsi="Times New Roman"/>
                <w:sz w:val="20"/>
                <w:szCs w:val="20"/>
              </w:rPr>
              <w:t>which may be established, and shares of which may be issued, without stockholder approval; and</w:t>
            </w:r>
          </w:p>
        </w:tc>
      </w:tr>
    </w:tbl>
    <w:p w14:paraId="1446F844"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4877"/>
      </w:tblGrid>
      <w:tr w:rsidR="00FE42B5" w14:paraId="1446F847" w14:textId="77777777">
        <w:trPr>
          <w:tblCellSpacing w:w="0" w:type="dxa"/>
        </w:trPr>
        <w:tc>
          <w:tcPr>
            <w:tcW w:w="1440" w:type="dxa"/>
            <w:shd w:val="clear" w:color="auto" w:fill="auto"/>
            <w:vAlign w:val="center"/>
          </w:tcPr>
          <w:p w14:paraId="1446F845" w14:textId="77777777" w:rsidR="00FE42B5" w:rsidRDefault="00FE42B5">
            <w:pPr>
              <w:rPr>
                <w:rFonts w:ascii="Times New Roman" w:hAnsi="Times New Roman"/>
                <w:sz w:val="20"/>
                <w:szCs w:val="20"/>
              </w:rPr>
            </w:pPr>
          </w:p>
        </w:tc>
        <w:tc>
          <w:tcPr>
            <w:tcW w:w="0" w:type="auto"/>
            <w:shd w:val="clear" w:color="auto" w:fill="auto"/>
            <w:vAlign w:val="center"/>
          </w:tcPr>
          <w:p w14:paraId="1446F846" w14:textId="77777777" w:rsidR="00FE42B5" w:rsidRDefault="00FE42B5">
            <w:pPr>
              <w:rPr>
                <w:rFonts w:ascii="Times New Roman" w:hAnsi="Times New Roman"/>
                <w:sz w:val="20"/>
                <w:szCs w:val="20"/>
              </w:rPr>
            </w:pPr>
          </w:p>
        </w:tc>
      </w:tr>
      <w:tr w:rsidR="00FE42B5" w14:paraId="1446F84A" w14:textId="77777777">
        <w:trPr>
          <w:tblCellSpacing w:w="0" w:type="dxa"/>
        </w:trPr>
        <w:tc>
          <w:tcPr>
            <w:tcW w:w="0" w:type="auto"/>
            <w:shd w:val="clear" w:color="auto" w:fill="auto"/>
          </w:tcPr>
          <w:p w14:paraId="1446F848"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446F849" w14:textId="77777777" w:rsidR="00FE42B5" w:rsidRDefault="009213DC">
            <w:pPr>
              <w:spacing w:line="288" w:lineRule="auto"/>
              <w:jc w:val="both"/>
              <w:textAlignment w:val="top"/>
              <w:rPr>
                <w:rFonts w:ascii="Times New Roman" w:hAnsi="Times New Roman"/>
                <w:sz w:val="20"/>
                <w:szCs w:val="20"/>
              </w:rPr>
            </w:pPr>
            <w:r>
              <w:rPr>
                <w:rFonts w:ascii="Times New Roman" w:eastAsia="宋体" w:hAnsi="Times New Roman"/>
                <w:sz w:val="20"/>
                <w:szCs w:val="20"/>
              </w:rPr>
              <w:t>certain litigation against us can only be brought in Delaware.</w:t>
            </w:r>
          </w:p>
        </w:tc>
      </w:tr>
    </w:tbl>
    <w:p w14:paraId="1446F84B" w14:textId="77777777" w:rsidR="00FE42B5" w:rsidRDefault="00FE42B5">
      <w:pPr>
        <w:spacing w:line="288" w:lineRule="auto"/>
        <w:ind w:firstLine="720"/>
        <w:jc w:val="both"/>
        <w:rPr>
          <w:rFonts w:ascii="Times New Roman" w:hAnsi="Times New Roman"/>
          <w:sz w:val="20"/>
          <w:szCs w:val="20"/>
        </w:rPr>
      </w:pPr>
    </w:p>
    <w:p w14:paraId="1446F84C" w14:textId="77777777" w:rsidR="00FE42B5" w:rsidRDefault="00FE42B5">
      <w:pPr>
        <w:rPr>
          <w:rFonts w:ascii="Times New Roman" w:hAnsi="Times New Roman"/>
          <w:sz w:val="20"/>
          <w:szCs w:val="20"/>
        </w:rPr>
      </w:pPr>
    </w:p>
    <w:p w14:paraId="1446F84D"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79</w:t>
      </w:r>
    </w:p>
    <w:p w14:paraId="1446F84E" w14:textId="77777777" w:rsidR="00FE42B5" w:rsidRDefault="009213DC">
      <w:r>
        <w:rPr>
          <w:rFonts w:ascii="Times New Roman" w:hAnsi="Times New Roman"/>
          <w:sz w:val="20"/>
          <w:szCs w:val="20"/>
        </w:rPr>
        <w:pict w14:anchorId="1446FB17">
          <v:rect id="_x0000_i1103" style="width:415.3pt;height:1.5pt" o:hralign="center" o:hrstd="t" o:hr="t" fillcolor="#a0a0a0" stroked="f"/>
        </w:pict>
      </w:r>
    </w:p>
    <w:p w14:paraId="1446F84F" w14:textId="77777777" w:rsidR="00FE42B5" w:rsidRDefault="009213DC">
      <w:pPr>
        <w:spacing w:line="288" w:lineRule="auto"/>
        <w:rPr>
          <w:rFonts w:ascii="Times New Roman" w:hAnsi="Times New Roman"/>
          <w:sz w:val="20"/>
          <w:szCs w:val="20"/>
        </w:rPr>
      </w:pPr>
      <w:hyperlink r:id="rId119" w:anchor="sBB4BED1571A45A16AF3DC2E3B69C901C" w:history="1">
        <w:r>
          <w:rPr>
            <w:rStyle w:val="a5"/>
            <w:rFonts w:ascii="Times New Roman" w:eastAsia="宋体" w:hAnsi="Times New Roman"/>
            <w:sz w:val="20"/>
            <w:szCs w:val="20"/>
          </w:rPr>
          <w:t>Table of Contents</w:t>
        </w:r>
      </w:hyperlink>
    </w:p>
    <w:p w14:paraId="1446F850"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089"/>
      </w:tblGrid>
      <w:tr w:rsidR="00FE42B5" w14:paraId="1446F853" w14:textId="77777777">
        <w:trPr>
          <w:tblCellSpacing w:w="0" w:type="dxa"/>
        </w:trPr>
        <w:tc>
          <w:tcPr>
            <w:tcW w:w="1080" w:type="dxa"/>
            <w:shd w:val="clear" w:color="auto" w:fill="auto"/>
            <w:vAlign w:val="center"/>
          </w:tcPr>
          <w:p w14:paraId="1446F851" w14:textId="77777777" w:rsidR="00FE42B5" w:rsidRDefault="00FE42B5">
            <w:pPr>
              <w:rPr>
                <w:rFonts w:ascii="Times New Roman" w:hAnsi="Times New Roman"/>
                <w:sz w:val="20"/>
                <w:szCs w:val="20"/>
              </w:rPr>
            </w:pPr>
          </w:p>
        </w:tc>
        <w:tc>
          <w:tcPr>
            <w:tcW w:w="0" w:type="auto"/>
            <w:shd w:val="clear" w:color="auto" w:fill="auto"/>
            <w:vAlign w:val="center"/>
          </w:tcPr>
          <w:p w14:paraId="1446F852" w14:textId="77777777" w:rsidR="00FE42B5" w:rsidRDefault="00FE42B5">
            <w:pPr>
              <w:rPr>
                <w:rFonts w:ascii="Times New Roman" w:hAnsi="Times New Roman"/>
                <w:sz w:val="20"/>
                <w:szCs w:val="20"/>
              </w:rPr>
            </w:pPr>
          </w:p>
        </w:tc>
      </w:tr>
      <w:tr w:rsidR="00FE42B5" w14:paraId="1446F856" w14:textId="77777777">
        <w:trPr>
          <w:tblCellSpacing w:w="0" w:type="dxa"/>
        </w:trPr>
        <w:tc>
          <w:tcPr>
            <w:tcW w:w="0" w:type="auto"/>
            <w:shd w:val="clear" w:color="auto" w:fill="auto"/>
          </w:tcPr>
          <w:p w14:paraId="1446F854"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Item 2.</w:t>
            </w:r>
          </w:p>
        </w:tc>
        <w:tc>
          <w:tcPr>
            <w:tcW w:w="0" w:type="auto"/>
            <w:shd w:val="clear" w:color="auto" w:fill="auto"/>
          </w:tcPr>
          <w:p w14:paraId="1446F855"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Unregistered Sales of Equity Securities and Use of Proceeds </w:t>
            </w:r>
          </w:p>
        </w:tc>
      </w:tr>
    </w:tbl>
    <w:p w14:paraId="1446F857" w14:textId="77777777" w:rsidR="00FE42B5" w:rsidRDefault="009213DC">
      <w:pPr>
        <w:spacing w:line="288" w:lineRule="auto"/>
        <w:ind w:firstLine="720"/>
        <w:rPr>
          <w:rFonts w:ascii="Times New Roman" w:hAnsi="Times New Roman"/>
          <w:sz w:val="20"/>
          <w:szCs w:val="20"/>
        </w:rPr>
      </w:pPr>
      <w:r>
        <w:rPr>
          <w:rFonts w:ascii="Times New Roman" w:eastAsia="宋体" w:hAnsi="Times New Roman"/>
          <w:b/>
          <w:bCs/>
          <w:i/>
          <w:iCs/>
          <w:sz w:val="20"/>
          <w:szCs w:val="20"/>
        </w:rPr>
        <w:t xml:space="preserve">a) Sales of Unregistered Securities </w:t>
      </w:r>
    </w:p>
    <w:p w14:paraId="1446F858" w14:textId="77777777" w:rsidR="00FE42B5" w:rsidRDefault="009213DC">
      <w:pPr>
        <w:spacing w:line="288" w:lineRule="auto"/>
        <w:ind w:firstLine="720"/>
        <w:rPr>
          <w:rFonts w:ascii="Times New Roman" w:hAnsi="Times New Roman"/>
          <w:sz w:val="20"/>
          <w:szCs w:val="20"/>
        </w:rPr>
      </w:pPr>
      <w:r>
        <w:rPr>
          <w:rFonts w:ascii="Times New Roman" w:eastAsia="宋体" w:hAnsi="Times New Roman"/>
          <w:sz w:val="20"/>
          <w:szCs w:val="20"/>
        </w:rPr>
        <w:t>None.</w:t>
      </w:r>
    </w:p>
    <w:p w14:paraId="1446F859" w14:textId="77777777" w:rsidR="00FE42B5" w:rsidRDefault="009213DC">
      <w:pPr>
        <w:spacing w:line="288" w:lineRule="auto"/>
        <w:ind w:firstLine="720"/>
        <w:rPr>
          <w:rFonts w:ascii="Times New Roman" w:hAnsi="Times New Roman"/>
          <w:sz w:val="20"/>
          <w:szCs w:val="20"/>
        </w:rPr>
      </w:pPr>
      <w:r>
        <w:rPr>
          <w:rFonts w:ascii="Times New Roman" w:eastAsia="宋体" w:hAnsi="Times New Roman"/>
          <w:b/>
          <w:bCs/>
          <w:i/>
          <w:iCs/>
          <w:sz w:val="20"/>
          <w:szCs w:val="20"/>
        </w:rPr>
        <w:t>c) Issuer Purchases of Equity Securities</w:t>
      </w:r>
    </w:p>
    <w:p w14:paraId="1446F85A" w14:textId="77777777" w:rsidR="00FE42B5" w:rsidRDefault="009213DC">
      <w:pPr>
        <w:spacing w:line="288" w:lineRule="auto"/>
        <w:ind w:firstLine="720"/>
        <w:rPr>
          <w:rFonts w:ascii="Times New Roman" w:hAnsi="Times New Roman"/>
          <w:sz w:val="20"/>
          <w:szCs w:val="20"/>
        </w:rPr>
      </w:pPr>
      <w:r>
        <w:rPr>
          <w:rFonts w:ascii="Times New Roman" w:eastAsia="宋体" w:hAnsi="Times New Roman"/>
          <w:sz w:val="20"/>
          <w:szCs w:val="20"/>
        </w:rPr>
        <w:t>The following table summarizes the share repurchase activity for the three months ended March 31, 2020:</w:t>
      </w:r>
    </w:p>
    <w:tbl>
      <w:tblPr>
        <w:tblW w:w="5000" w:type="pct"/>
        <w:tblCellMar>
          <w:left w:w="0" w:type="dxa"/>
          <w:right w:w="0" w:type="dxa"/>
        </w:tblCellMar>
        <w:tblLook w:val="04A0" w:firstRow="1" w:lastRow="0" w:firstColumn="1" w:lastColumn="0" w:noHBand="0" w:noVBand="1"/>
      </w:tblPr>
      <w:tblGrid>
        <w:gridCol w:w="2711"/>
        <w:gridCol w:w="1216"/>
        <w:gridCol w:w="57"/>
        <w:gridCol w:w="130"/>
        <w:gridCol w:w="140"/>
        <w:gridCol w:w="1130"/>
        <w:gridCol w:w="54"/>
        <w:gridCol w:w="130"/>
        <w:gridCol w:w="1217"/>
        <w:gridCol w:w="54"/>
        <w:gridCol w:w="130"/>
        <w:gridCol w:w="141"/>
        <w:gridCol w:w="1135"/>
        <w:gridCol w:w="61"/>
      </w:tblGrid>
      <w:tr w:rsidR="00FE42B5" w14:paraId="1446F85C" w14:textId="77777777">
        <w:tc>
          <w:tcPr>
            <w:tcW w:w="0" w:type="auto"/>
            <w:gridSpan w:val="14"/>
            <w:shd w:val="clear" w:color="auto" w:fill="auto"/>
            <w:vAlign w:val="center"/>
          </w:tcPr>
          <w:p w14:paraId="1446F85B" w14:textId="77777777" w:rsidR="00FE42B5" w:rsidRDefault="00FE42B5">
            <w:pPr>
              <w:rPr>
                <w:rFonts w:ascii="Times New Roman" w:hAnsi="Times New Roman"/>
                <w:sz w:val="20"/>
                <w:szCs w:val="20"/>
              </w:rPr>
            </w:pPr>
          </w:p>
        </w:tc>
      </w:tr>
      <w:tr w:rsidR="00FE42B5" w14:paraId="1446F86B" w14:textId="77777777">
        <w:tc>
          <w:tcPr>
            <w:tcW w:w="1650" w:type="pct"/>
            <w:shd w:val="clear" w:color="auto" w:fill="auto"/>
            <w:vAlign w:val="center"/>
          </w:tcPr>
          <w:p w14:paraId="1446F85D" w14:textId="77777777" w:rsidR="00FE42B5" w:rsidRDefault="00FE42B5">
            <w:pPr>
              <w:rPr>
                <w:rFonts w:ascii="Times New Roman" w:hAnsi="Times New Roman"/>
                <w:sz w:val="20"/>
                <w:szCs w:val="20"/>
              </w:rPr>
            </w:pPr>
          </w:p>
        </w:tc>
        <w:tc>
          <w:tcPr>
            <w:tcW w:w="750" w:type="pct"/>
            <w:shd w:val="clear" w:color="auto" w:fill="auto"/>
            <w:vAlign w:val="center"/>
          </w:tcPr>
          <w:p w14:paraId="1446F85E" w14:textId="77777777" w:rsidR="00FE42B5" w:rsidRDefault="00FE42B5">
            <w:pPr>
              <w:rPr>
                <w:rFonts w:ascii="Times New Roman" w:hAnsi="Times New Roman"/>
                <w:sz w:val="20"/>
                <w:szCs w:val="20"/>
              </w:rPr>
            </w:pPr>
          </w:p>
        </w:tc>
        <w:tc>
          <w:tcPr>
            <w:tcW w:w="50" w:type="pct"/>
            <w:shd w:val="clear" w:color="auto" w:fill="auto"/>
            <w:vAlign w:val="center"/>
          </w:tcPr>
          <w:p w14:paraId="1446F85F" w14:textId="77777777" w:rsidR="00FE42B5" w:rsidRDefault="00FE42B5">
            <w:pPr>
              <w:rPr>
                <w:rFonts w:ascii="Times New Roman" w:hAnsi="Times New Roman"/>
                <w:sz w:val="20"/>
                <w:szCs w:val="20"/>
              </w:rPr>
            </w:pPr>
          </w:p>
        </w:tc>
        <w:tc>
          <w:tcPr>
            <w:tcW w:w="50" w:type="pct"/>
            <w:shd w:val="clear" w:color="auto" w:fill="auto"/>
            <w:vAlign w:val="center"/>
          </w:tcPr>
          <w:p w14:paraId="1446F860" w14:textId="77777777" w:rsidR="00FE42B5" w:rsidRDefault="00FE42B5">
            <w:pPr>
              <w:rPr>
                <w:rFonts w:ascii="Times New Roman" w:hAnsi="Times New Roman"/>
                <w:sz w:val="20"/>
                <w:szCs w:val="20"/>
              </w:rPr>
            </w:pPr>
          </w:p>
        </w:tc>
        <w:tc>
          <w:tcPr>
            <w:tcW w:w="50" w:type="pct"/>
            <w:shd w:val="clear" w:color="auto" w:fill="auto"/>
            <w:vAlign w:val="center"/>
          </w:tcPr>
          <w:p w14:paraId="1446F861" w14:textId="77777777" w:rsidR="00FE42B5" w:rsidRDefault="00FE42B5">
            <w:pPr>
              <w:rPr>
                <w:rFonts w:ascii="Times New Roman" w:hAnsi="Times New Roman"/>
                <w:sz w:val="20"/>
                <w:szCs w:val="20"/>
              </w:rPr>
            </w:pPr>
          </w:p>
        </w:tc>
        <w:tc>
          <w:tcPr>
            <w:tcW w:w="700" w:type="pct"/>
            <w:shd w:val="clear" w:color="auto" w:fill="auto"/>
            <w:vAlign w:val="center"/>
          </w:tcPr>
          <w:p w14:paraId="1446F862" w14:textId="77777777" w:rsidR="00FE42B5" w:rsidRDefault="00FE42B5">
            <w:pPr>
              <w:rPr>
                <w:rFonts w:ascii="Times New Roman" w:hAnsi="Times New Roman"/>
                <w:sz w:val="20"/>
                <w:szCs w:val="20"/>
              </w:rPr>
            </w:pPr>
          </w:p>
        </w:tc>
        <w:tc>
          <w:tcPr>
            <w:tcW w:w="50" w:type="pct"/>
            <w:shd w:val="clear" w:color="auto" w:fill="auto"/>
            <w:vAlign w:val="center"/>
          </w:tcPr>
          <w:p w14:paraId="1446F863" w14:textId="77777777" w:rsidR="00FE42B5" w:rsidRDefault="00FE42B5">
            <w:pPr>
              <w:rPr>
                <w:rFonts w:ascii="Times New Roman" w:hAnsi="Times New Roman"/>
                <w:sz w:val="20"/>
                <w:szCs w:val="20"/>
              </w:rPr>
            </w:pPr>
          </w:p>
        </w:tc>
        <w:tc>
          <w:tcPr>
            <w:tcW w:w="50" w:type="pct"/>
            <w:shd w:val="clear" w:color="auto" w:fill="auto"/>
            <w:vAlign w:val="center"/>
          </w:tcPr>
          <w:p w14:paraId="1446F864" w14:textId="77777777" w:rsidR="00FE42B5" w:rsidRDefault="00FE42B5">
            <w:pPr>
              <w:rPr>
                <w:rFonts w:ascii="Times New Roman" w:hAnsi="Times New Roman"/>
                <w:sz w:val="20"/>
                <w:szCs w:val="20"/>
              </w:rPr>
            </w:pPr>
          </w:p>
        </w:tc>
        <w:tc>
          <w:tcPr>
            <w:tcW w:w="750" w:type="pct"/>
            <w:shd w:val="clear" w:color="auto" w:fill="auto"/>
            <w:vAlign w:val="center"/>
          </w:tcPr>
          <w:p w14:paraId="1446F865" w14:textId="77777777" w:rsidR="00FE42B5" w:rsidRDefault="00FE42B5">
            <w:pPr>
              <w:rPr>
                <w:rFonts w:ascii="Times New Roman" w:hAnsi="Times New Roman"/>
                <w:sz w:val="20"/>
                <w:szCs w:val="20"/>
              </w:rPr>
            </w:pPr>
          </w:p>
        </w:tc>
        <w:tc>
          <w:tcPr>
            <w:tcW w:w="50" w:type="pct"/>
            <w:shd w:val="clear" w:color="auto" w:fill="auto"/>
            <w:vAlign w:val="center"/>
          </w:tcPr>
          <w:p w14:paraId="1446F866" w14:textId="77777777" w:rsidR="00FE42B5" w:rsidRDefault="00FE42B5">
            <w:pPr>
              <w:rPr>
                <w:rFonts w:ascii="Times New Roman" w:hAnsi="Times New Roman"/>
                <w:sz w:val="20"/>
                <w:szCs w:val="20"/>
              </w:rPr>
            </w:pPr>
          </w:p>
        </w:tc>
        <w:tc>
          <w:tcPr>
            <w:tcW w:w="50" w:type="pct"/>
            <w:shd w:val="clear" w:color="auto" w:fill="auto"/>
            <w:vAlign w:val="center"/>
          </w:tcPr>
          <w:p w14:paraId="1446F867" w14:textId="77777777" w:rsidR="00FE42B5" w:rsidRDefault="00FE42B5">
            <w:pPr>
              <w:rPr>
                <w:rFonts w:ascii="Times New Roman" w:hAnsi="Times New Roman"/>
                <w:sz w:val="20"/>
                <w:szCs w:val="20"/>
              </w:rPr>
            </w:pPr>
          </w:p>
        </w:tc>
        <w:tc>
          <w:tcPr>
            <w:tcW w:w="50" w:type="pct"/>
            <w:shd w:val="clear" w:color="auto" w:fill="auto"/>
            <w:vAlign w:val="center"/>
          </w:tcPr>
          <w:p w14:paraId="1446F868" w14:textId="77777777" w:rsidR="00FE42B5" w:rsidRDefault="00FE42B5">
            <w:pPr>
              <w:rPr>
                <w:rFonts w:ascii="Times New Roman" w:hAnsi="Times New Roman"/>
                <w:sz w:val="20"/>
                <w:szCs w:val="20"/>
              </w:rPr>
            </w:pPr>
          </w:p>
        </w:tc>
        <w:tc>
          <w:tcPr>
            <w:tcW w:w="700" w:type="pct"/>
            <w:shd w:val="clear" w:color="auto" w:fill="auto"/>
            <w:vAlign w:val="center"/>
          </w:tcPr>
          <w:p w14:paraId="1446F869" w14:textId="77777777" w:rsidR="00FE42B5" w:rsidRDefault="00FE42B5">
            <w:pPr>
              <w:rPr>
                <w:rFonts w:ascii="Times New Roman" w:hAnsi="Times New Roman"/>
                <w:sz w:val="20"/>
                <w:szCs w:val="20"/>
              </w:rPr>
            </w:pPr>
          </w:p>
        </w:tc>
        <w:tc>
          <w:tcPr>
            <w:tcW w:w="50" w:type="pct"/>
            <w:shd w:val="clear" w:color="auto" w:fill="auto"/>
            <w:vAlign w:val="center"/>
          </w:tcPr>
          <w:p w14:paraId="1446F86A" w14:textId="77777777" w:rsidR="00FE42B5" w:rsidRDefault="00FE42B5">
            <w:pPr>
              <w:rPr>
                <w:rFonts w:ascii="Times New Roman" w:hAnsi="Times New Roman"/>
                <w:sz w:val="20"/>
                <w:szCs w:val="20"/>
              </w:rPr>
            </w:pPr>
          </w:p>
        </w:tc>
      </w:tr>
      <w:tr w:rsidR="00FE42B5" w14:paraId="1446F874" w14:textId="77777777">
        <w:tc>
          <w:tcPr>
            <w:tcW w:w="0" w:type="auto"/>
            <w:shd w:val="clear" w:color="auto" w:fill="auto"/>
            <w:tcMar>
              <w:top w:w="40" w:type="dxa"/>
              <w:left w:w="40" w:type="dxa"/>
              <w:bottom w:w="40" w:type="dxa"/>
              <w:right w:w="40" w:type="dxa"/>
            </w:tcMar>
            <w:vAlign w:val="bottom"/>
          </w:tcPr>
          <w:p w14:paraId="1446F86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446F86D"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Total Number of Shares Purchased</w:t>
            </w:r>
            <w:r>
              <w:rPr>
                <w:rFonts w:ascii="Times New Roman" w:eastAsia="宋体" w:hAnsi="Times New Roman"/>
                <w:b/>
                <w:bCs/>
                <w:sz w:val="10"/>
                <w:szCs w:val="10"/>
              </w:rPr>
              <w:t>(1)</w:t>
            </w:r>
          </w:p>
        </w:tc>
        <w:tc>
          <w:tcPr>
            <w:tcW w:w="0" w:type="auto"/>
            <w:shd w:val="clear" w:color="auto" w:fill="auto"/>
            <w:tcMar>
              <w:top w:w="40" w:type="dxa"/>
              <w:left w:w="40" w:type="dxa"/>
              <w:bottom w:w="40" w:type="dxa"/>
              <w:right w:w="40" w:type="dxa"/>
            </w:tcMar>
            <w:vAlign w:val="bottom"/>
          </w:tcPr>
          <w:p w14:paraId="1446F86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F86F"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Average Price Paid Per Share</w:t>
            </w:r>
            <w:r>
              <w:rPr>
                <w:rFonts w:ascii="Times New Roman" w:eastAsia="宋体" w:hAnsi="Times New Roman"/>
                <w:b/>
                <w:bCs/>
                <w:sz w:val="10"/>
                <w:szCs w:val="10"/>
              </w:rPr>
              <w:t>(2)</w:t>
            </w:r>
          </w:p>
        </w:tc>
        <w:tc>
          <w:tcPr>
            <w:tcW w:w="0" w:type="auto"/>
            <w:shd w:val="clear" w:color="auto" w:fill="auto"/>
            <w:tcMar>
              <w:top w:w="40" w:type="dxa"/>
              <w:left w:w="40" w:type="dxa"/>
              <w:bottom w:w="40" w:type="dxa"/>
              <w:right w:w="40" w:type="dxa"/>
            </w:tcMar>
            <w:vAlign w:val="bottom"/>
          </w:tcPr>
          <w:p w14:paraId="1446F87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446F871"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Total Number of Shares Purchased as Part of Publicly Announced Programs</w:t>
            </w:r>
            <w:r>
              <w:rPr>
                <w:rFonts w:ascii="Times New Roman" w:eastAsia="宋体" w:hAnsi="Times New Roman"/>
                <w:b/>
                <w:bCs/>
                <w:sz w:val="10"/>
                <w:szCs w:val="10"/>
              </w:rPr>
              <w:t>(1)</w:t>
            </w:r>
          </w:p>
        </w:tc>
        <w:tc>
          <w:tcPr>
            <w:tcW w:w="0" w:type="auto"/>
            <w:shd w:val="clear" w:color="auto" w:fill="auto"/>
            <w:tcMar>
              <w:top w:w="40" w:type="dxa"/>
              <w:left w:w="40" w:type="dxa"/>
              <w:bottom w:w="40" w:type="dxa"/>
              <w:right w:w="40" w:type="dxa"/>
            </w:tcMar>
            <w:vAlign w:val="bottom"/>
          </w:tcPr>
          <w:p w14:paraId="1446F87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446F873"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xml:space="preserve">Approximate Dollar Value of Shares that May Yet Be Purchased Under the Plans or Programs </w:t>
            </w:r>
            <w:r>
              <w:rPr>
                <w:rFonts w:ascii="Times New Roman" w:eastAsia="宋体" w:hAnsi="Times New Roman"/>
                <w:b/>
                <w:bCs/>
                <w:sz w:val="10"/>
                <w:szCs w:val="10"/>
              </w:rPr>
              <w:t>(1)</w:t>
            </w:r>
          </w:p>
        </w:tc>
      </w:tr>
      <w:tr w:rsidR="00FE42B5" w14:paraId="1446F87D" w14:textId="77777777">
        <w:tc>
          <w:tcPr>
            <w:tcW w:w="0" w:type="auto"/>
            <w:shd w:val="clear" w:color="auto" w:fill="auto"/>
            <w:tcMar>
              <w:top w:w="40" w:type="dxa"/>
              <w:left w:w="40" w:type="dxa"/>
              <w:bottom w:w="40" w:type="dxa"/>
              <w:right w:w="40" w:type="dxa"/>
            </w:tcMar>
            <w:vAlign w:val="bottom"/>
          </w:tcPr>
          <w:p w14:paraId="1446F87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446F876" w14:textId="77777777" w:rsidR="00FE42B5" w:rsidRDefault="009213DC">
            <w:pPr>
              <w:jc w:val="center"/>
              <w:textAlignment w:val="top"/>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1446F87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F87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87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446F87A" w14:textId="77777777" w:rsidR="00FE42B5" w:rsidRDefault="009213DC">
            <w:pPr>
              <w:jc w:val="center"/>
              <w:textAlignment w:val="top"/>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1446F87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tcPr>
          <w:p w14:paraId="1446F87C" w14:textId="77777777" w:rsidR="00FE42B5" w:rsidRDefault="009213DC">
            <w:pPr>
              <w:jc w:val="center"/>
              <w:textAlignment w:val="top"/>
              <w:rPr>
                <w:rFonts w:ascii="Times New Roman" w:hAnsi="Times New Roman"/>
                <w:sz w:val="16"/>
                <w:szCs w:val="16"/>
              </w:rPr>
            </w:pPr>
            <w:r>
              <w:rPr>
                <w:rFonts w:ascii="Times New Roman" w:eastAsia="宋体" w:hAnsi="Times New Roman"/>
                <w:b/>
                <w:bCs/>
                <w:sz w:val="16"/>
                <w:szCs w:val="16"/>
              </w:rPr>
              <w:t>(in millions)</w:t>
            </w:r>
          </w:p>
        </w:tc>
      </w:tr>
      <w:tr w:rsidR="00FE42B5" w14:paraId="1446F88C" w14:textId="77777777">
        <w:tc>
          <w:tcPr>
            <w:tcW w:w="0" w:type="auto"/>
            <w:shd w:val="clear" w:color="auto" w:fill="CCEEFF"/>
            <w:tcMar>
              <w:top w:w="40" w:type="dxa"/>
              <w:left w:w="40" w:type="dxa"/>
              <w:bottom w:w="40" w:type="dxa"/>
              <w:right w:w="40" w:type="dxa"/>
            </w:tcMar>
            <w:vAlign w:val="bottom"/>
          </w:tcPr>
          <w:p w14:paraId="1446F87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January 1 - 31, 2020</w:t>
            </w:r>
          </w:p>
        </w:tc>
        <w:tc>
          <w:tcPr>
            <w:tcW w:w="0" w:type="auto"/>
            <w:shd w:val="clear" w:color="auto" w:fill="CCEEFF"/>
            <w:tcMar>
              <w:top w:w="40" w:type="dxa"/>
              <w:left w:w="40" w:type="dxa"/>
              <w:bottom w:w="40" w:type="dxa"/>
            </w:tcMar>
            <w:vAlign w:val="bottom"/>
          </w:tcPr>
          <w:p w14:paraId="1446F87F"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2,205</w:t>
            </w:r>
          </w:p>
        </w:tc>
        <w:tc>
          <w:tcPr>
            <w:tcW w:w="0" w:type="auto"/>
            <w:shd w:val="clear" w:color="auto" w:fill="CCEEFF"/>
            <w:vAlign w:val="bottom"/>
          </w:tcPr>
          <w:p w14:paraId="1446F880"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88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88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883"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216.50</w:t>
            </w:r>
          </w:p>
        </w:tc>
        <w:tc>
          <w:tcPr>
            <w:tcW w:w="0" w:type="auto"/>
            <w:shd w:val="clear" w:color="auto" w:fill="CCEEFF"/>
            <w:vAlign w:val="bottom"/>
          </w:tcPr>
          <w:p w14:paraId="1446F884"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88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886"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2,205</w:t>
            </w:r>
          </w:p>
        </w:tc>
        <w:tc>
          <w:tcPr>
            <w:tcW w:w="0" w:type="auto"/>
            <w:shd w:val="clear" w:color="auto" w:fill="CCEEFF"/>
            <w:vAlign w:val="bottom"/>
          </w:tcPr>
          <w:p w14:paraId="1446F887"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88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88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88A"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14,423</w:t>
            </w:r>
          </w:p>
        </w:tc>
        <w:tc>
          <w:tcPr>
            <w:tcW w:w="0" w:type="auto"/>
            <w:shd w:val="clear" w:color="auto" w:fill="CCEEFF"/>
            <w:vAlign w:val="bottom"/>
          </w:tcPr>
          <w:p w14:paraId="1446F88B" w14:textId="77777777" w:rsidR="00FE42B5" w:rsidRDefault="00FE42B5">
            <w:pPr>
              <w:textAlignment w:val="bottom"/>
              <w:rPr>
                <w:rFonts w:ascii="Times New Roman" w:hAnsi="Times New Roman"/>
                <w:sz w:val="20"/>
                <w:szCs w:val="20"/>
              </w:rPr>
            </w:pPr>
          </w:p>
        </w:tc>
      </w:tr>
      <w:tr w:rsidR="00FE42B5" w14:paraId="1446F89B" w14:textId="77777777">
        <w:tc>
          <w:tcPr>
            <w:tcW w:w="0" w:type="auto"/>
            <w:shd w:val="clear" w:color="auto" w:fill="auto"/>
            <w:tcMar>
              <w:top w:w="40" w:type="dxa"/>
              <w:left w:w="40" w:type="dxa"/>
              <w:bottom w:w="40" w:type="dxa"/>
              <w:right w:w="40" w:type="dxa"/>
            </w:tcMar>
            <w:vAlign w:val="bottom"/>
          </w:tcPr>
          <w:p w14:paraId="1446F88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February 1 - 29, 2020</w:t>
            </w:r>
          </w:p>
        </w:tc>
        <w:tc>
          <w:tcPr>
            <w:tcW w:w="0" w:type="auto"/>
            <w:shd w:val="clear" w:color="auto" w:fill="auto"/>
            <w:tcMar>
              <w:top w:w="40" w:type="dxa"/>
              <w:left w:w="40" w:type="dxa"/>
              <w:bottom w:w="40" w:type="dxa"/>
            </w:tcMar>
            <w:vAlign w:val="bottom"/>
          </w:tcPr>
          <w:p w14:paraId="1446F88E"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1,995</w:t>
            </w:r>
          </w:p>
        </w:tc>
        <w:tc>
          <w:tcPr>
            <w:tcW w:w="0" w:type="auto"/>
            <w:shd w:val="clear" w:color="auto" w:fill="auto"/>
            <w:vAlign w:val="bottom"/>
          </w:tcPr>
          <w:p w14:paraId="1446F88F"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89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F89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F892"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207.57</w:t>
            </w:r>
          </w:p>
        </w:tc>
        <w:tc>
          <w:tcPr>
            <w:tcW w:w="0" w:type="auto"/>
            <w:shd w:val="clear" w:color="auto" w:fill="auto"/>
            <w:vAlign w:val="bottom"/>
          </w:tcPr>
          <w:p w14:paraId="1446F893"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89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F895"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1,995</w:t>
            </w:r>
          </w:p>
        </w:tc>
        <w:tc>
          <w:tcPr>
            <w:tcW w:w="0" w:type="auto"/>
            <w:shd w:val="clear" w:color="auto" w:fill="auto"/>
            <w:vAlign w:val="bottom"/>
          </w:tcPr>
          <w:p w14:paraId="1446F896"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89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446F89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446F899"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14,009</w:t>
            </w:r>
          </w:p>
        </w:tc>
        <w:tc>
          <w:tcPr>
            <w:tcW w:w="0" w:type="auto"/>
            <w:shd w:val="clear" w:color="auto" w:fill="auto"/>
            <w:vAlign w:val="bottom"/>
          </w:tcPr>
          <w:p w14:paraId="1446F89A" w14:textId="77777777" w:rsidR="00FE42B5" w:rsidRDefault="00FE42B5">
            <w:pPr>
              <w:textAlignment w:val="bottom"/>
              <w:rPr>
                <w:rFonts w:ascii="Times New Roman" w:hAnsi="Times New Roman"/>
                <w:sz w:val="20"/>
                <w:szCs w:val="20"/>
              </w:rPr>
            </w:pPr>
          </w:p>
        </w:tc>
      </w:tr>
      <w:tr w:rsidR="00FE42B5" w14:paraId="1446F8AA" w14:textId="77777777">
        <w:tc>
          <w:tcPr>
            <w:tcW w:w="0" w:type="auto"/>
            <w:shd w:val="clear" w:color="auto" w:fill="CCEEFF"/>
            <w:tcMar>
              <w:top w:w="40" w:type="dxa"/>
              <w:left w:w="40" w:type="dxa"/>
              <w:bottom w:w="40" w:type="dxa"/>
              <w:right w:w="40" w:type="dxa"/>
            </w:tcMar>
            <w:vAlign w:val="bottom"/>
          </w:tcPr>
          <w:p w14:paraId="1446F89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March 1 - 31, 2020</w:t>
            </w:r>
          </w:p>
        </w:tc>
        <w:tc>
          <w:tcPr>
            <w:tcW w:w="0" w:type="auto"/>
            <w:tcBorders>
              <w:bottom w:val="single" w:sz="8" w:space="0" w:color="000000"/>
            </w:tcBorders>
            <w:shd w:val="clear" w:color="auto" w:fill="CCEEFF"/>
            <w:tcMar>
              <w:top w:w="40" w:type="dxa"/>
              <w:left w:w="40" w:type="dxa"/>
              <w:bottom w:w="40" w:type="dxa"/>
            </w:tcMar>
            <w:vAlign w:val="bottom"/>
          </w:tcPr>
          <w:p w14:paraId="1446F89D"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2,100</w:t>
            </w:r>
          </w:p>
        </w:tc>
        <w:tc>
          <w:tcPr>
            <w:tcW w:w="0" w:type="auto"/>
            <w:tcBorders>
              <w:bottom w:val="single" w:sz="8" w:space="0" w:color="000000"/>
            </w:tcBorders>
            <w:shd w:val="clear" w:color="auto" w:fill="CCEEFF"/>
            <w:vAlign w:val="bottom"/>
          </w:tcPr>
          <w:p w14:paraId="1446F89E"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89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446F8A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446F8A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166.71</w:t>
            </w:r>
          </w:p>
        </w:tc>
        <w:tc>
          <w:tcPr>
            <w:tcW w:w="0" w:type="auto"/>
            <w:shd w:val="clear" w:color="auto" w:fill="CCEEFF"/>
            <w:vAlign w:val="bottom"/>
          </w:tcPr>
          <w:p w14:paraId="1446F8A2"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8A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1446F8A4"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2,100</w:t>
            </w:r>
          </w:p>
        </w:tc>
        <w:tc>
          <w:tcPr>
            <w:tcW w:w="0" w:type="auto"/>
            <w:tcBorders>
              <w:bottom w:val="single" w:sz="8" w:space="0" w:color="000000"/>
            </w:tcBorders>
            <w:shd w:val="clear" w:color="auto" w:fill="CCEEFF"/>
            <w:vAlign w:val="bottom"/>
          </w:tcPr>
          <w:p w14:paraId="1446F8A5" w14:textId="77777777" w:rsidR="00FE42B5" w:rsidRDefault="00FE42B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446F8A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1446F8A7"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1446F8A8" w14:textId="77777777" w:rsidR="00FE42B5" w:rsidRDefault="009213DC">
            <w:pPr>
              <w:jc w:val="right"/>
              <w:textAlignment w:val="top"/>
              <w:rPr>
                <w:rFonts w:ascii="Times New Roman" w:hAnsi="Times New Roman"/>
                <w:sz w:val="20"/>
                <w:szCs w:val="20"/>
              </w:rPr>
            </w:pPr>
            <w:r>
              <w:rPr>
                <w:rFonts w:ascii="Times New Roman" w:eastAsia="宋体" w:hAnsi="Times New Roman"/>
                <w:sz w:val="20"/>
                <w:szCs w:val="20"/>
              </w:rPr>
              <w:t>13,659</w:t>
            </w:r>
          </w:p>
        </w:tc>
        <w:tc>
          <w:tcPr>
            <w:tcW w:w="0" w:type="auto"/>
            <w:shd w:val="clear" w:color="auto" w:fill="CCEEFF"/>
            <w:vAlign w:val="bottom"/>
          </w:tcPr>
          <w:p w14:paraId="1446F8A9" w14:textId="77777777" w:rsidR="00FE42B5" w:rsidRDefault="00FE42B5">
            <w:pPr>
              <w:textAlignment w:val="bottom"/>
              <w:rPr>
                <w:rFonts w:ascii="Times New Roman" w:hAnsi="Times New Roman"/>
                <w:sz w:val="20"/>
                <w:szCs w:val="20"/>
              </w:rPr>
            </w:pPr>
          </w:p>
        </w:tc>
      </w:tr>
      <w:tr w:rsidR="00FE42B5" w14:paraId="1446F8B5" w14:textId="77777777">
        <w:tc>
          <w:tcPr>
            <w:tcW w:w="0" w:type="auto"/>
            <w:shd w:val="clear" w:color="auto" w:fill="auto"/>
            <w:tcMar>
              <w:top w:w="40" w:type="dxa"/>
              <w:left w:w="40" w:type="dxa"/>
              <w:bottom w:w="40" w:type="dxa"/>
              <w:right w:w="40" w:type="dxa"/>
            </w:tcMar>
            <w:vAlign w:val="bottom"/>
          </w:tcPr>
          <w:p w14:paraId="1446F8A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F8AC"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6,300</w:t>
            </w:r>
          </w:p>
        </w:tc>
        <w:tc>
          <w:tcPr>
            <w:tcW w:w="0" w:type="auto"/>
            <w:tcBorders>
              <w:top w:val="single" w:sz="8" w:space="0" w:color="000000"/>
              <w:bottom w:val="double" w:sz="6" w:space="0" w:color="000000"/>
            </w:tcBorders>
            <w:shd w:val="clear" w:color="auto" w:fill="auto"/>
            <w:vAlign w:val="bottom"/>
          </w:tcPr>
          <w:p w14:paraId="1446F8AD"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8A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F8A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8B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446F8B1" w14:textId="77777777" w:rsidR="00FE42B5" w:rsidRDefault="009213DC">
            <w:pPr>
              <w:jc w:val="right"/>
              <w:textAlignment w:val="bottom"/>
              <w:rPr>
                <w:rFonts w:ascii="Times New Roman" w:hAnsi="Times New Roman"/>
                <w:sz w:val="20"/>
                <w:szCs w:val="20"/>
              </w:rPr>
            </w:pPr>
            <w:r>
              <w:rPr>
                <w:rFonts w:ascii="Times New Roman" w:eastAsia="宋体" w:hAnsi="Times New Roman"/>
                <w:sz w:val="20"/>
                <w:szCs w:val="20"/>
              </w:rPr>
              <w:t>6,300</w:t>
            </w:r>
          </w:p>
        </w:tc>
        <w:tc>
          <w:tcPr>
            <w:tcW w:w="0" w:type="auto"/>
            <w:tcBorders>
              <w:top w:val="single" w:sz="8" w:space="0" w:color="000000"/>
              <w:bottom w:val="double" w:sz="6" w:space="0" w:color="000000"/>
            </w:tcBorders>
            <w:shd w:val="clear" w:color="auto" w:fill="auto"/>
            <w:vAlign w:val="bottom"/>
          </w:tcPr>
          <w:p w14:paraId="1446F8B2" w14:textId="77777777" w:rsidR="00FE42B5" w:rsidRDefault="00FE42B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446F8B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446F8B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bl>
    <w:p w14:paraId="1446F8B6" w14:textId="77777777" w:rsidR="00FE42B5" w:rsidRDefault="009213DC">
      <w:pPr>
        <w:spacing w:line="288" w:lineRule="auto"/>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E42B5" w14:paraId="1446F8B9" w14:textId="77777777">
        <w:trPr>
          <w:tblCellSpacing w:w="0" w:type="dxa"/>
        </w:trPr>
        <w:tc>
          <w:tcPr>
            <w:tcW w:w="480" w:type="dxa"/>
            <w:shd w:val="clear" w:color="auto" w:fill="auto"/>
            <w:vAlign w:val="center"/>
          </w:tcPr>
          <w:p w14:paraId="1446F8B7" w14:textId="77777777" w:rsidR="00FE42B5" w:rsidRDefault="00FE42B5">
            <w:pPr>
              <w:rPr>
                <w:rFonts w:ascii="Times New Roman" w:hAnsi="Times New Roman"/>
                <w:sz w:val="20"/>
                <w:szCs w:val="20"/>
              </w:rPr>
            </w:pPr>
          </w:p>
        </w:tc>
        <w:tc>
          <w:tcPr>
            <w:tcW w:w="0" w:type="auto"/>
            <w:shd w:val="clear" w:color="auto" w:fill="auto"/>
            <w:vAlign w:val="center"/>
          </w:tcPr>
          <w:p w14:paraId="1446F8B8" w14:textId="77777777" w:rsidR="00FE42B5" w:rsidRDefault="00FE42B5">
            <w:pPr>
              <w:rPr>
                <w:rFonts w:ascii="Times New Roman" w:hAnsi="Times New Roman"/>
                <w:sz w:val="20"/>
                <w:szCs w:val="20"/>
              </w:rPr>
            </w:pPr>
          </w:p>
        </w:tc>
      </w:tr>
      <w:tr w:rsidR="00FE42B5" w14:paraId="1446F8BC" w14:textId="77777777">
        <w:trPr>
          <w:tblCellSpacing w:w="0" w:type="dxa"/>
        </w:trPr>
        <w:tc>
          <w:tcPr>
            <w:tcW w:w="0" w:type="auto"/>
            <w:shd w:val="clear" w:color="auto" w:fill="auto"/>
          </w:tcPr>
          <w:p w14:paraId="1446F8BA" w14:textId="77777777" w:rsidR="00FE42B5" w:rsidRDefault="009213DC">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1446F8BB" w14:textId="77777777" w:rsidR="00FE42B5" w:rsidRDefault="009213DC">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Our board of directors has authorized a share repurchase program of our Class A common stock, which </w:t>
            </w:r>
            <w:r>
              <w:rPr>
                <w:rFonts w:ascii="Times New Roman" w:eastAsia="宋体" w:hAnsi="Times New Roman"/>
                <w:sz w:val="18"/>
                <w:szCs w:val="18"/>
              </w:rPr>
              <w:t>commenced in January 2017 and does not have an expiration date. As of December 31, 2019, $4.90 billion remained available for repurchases under this program. In January 2020, an additional $10.0 billion of repurchases was authorized under this program. The</w:t>
            </w:r>
            <w:r>
              <w:rPr>
                <w:rFonts w:ascii="Times New Roman" w:eastAsia="宋体" w:hAnsi="Times New Roman"/>
                <w:sz w:val="18"/>
                <w:szCs w:val="18"/>
              </w:rPr>
              <w:t xml:space="preserve"> timing and actual number of shares repurchased depend on a variety of factors, including price, general business and market conditions, and other investment opportunities, and shares may be repurchased through open market purchases or privately negotiated</w:t>
            </w:r>
            <w:r>
              <w:rPr>
                <w:rFonts w:ascii="Times New Roman" w:eastAsia="宋体" w:hAnsi="Times New Roman"/>
                <w:sz w:val="18"/>
                <w:szCs w:val="18"/>
              </w:rPr>
              <w:t xml:space="preserve"> transactions, including through the use of trading plans intended to qualify under Rule 10b5-1 under the Exchange Act.</w:t>
            </w:r>
          </w:p>
        </w:tc>
      </w:tr>
    </w:tbl>
    <w:p w14:paraId="1446F8BD" w14:textId="77777777" w:rsidR="00FE42B5" w:rsidRDefault="00FE42B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5473"/>
      </w:tblGrid>
      <w:tr w:rsidR="00FE42B5" w14:paraId="1446F8C0" w14:textId="77777777">
        <w:trPr>
          <w:tblCellSpacing w:w="0" w:type="dxa"/>
        </w:trPr>
        <w:tc>
          <w:tcPr>
            <w:tcW w:w="480" w:type="dxa"/>
            <w:shd w:val="clear" w:color="auto" w:fill="auto"/>
            <w:vAlign w:val="center"/>
          </w:tcPr>
          <w:p w14:paraId="1446F8BE" w14:textId="77777777" w:rsidR="00FE42B5" w:rsidRDefault="00FE42B5">
            <w:pPr>
              <w:rPr>
                <w:rFonts w:ascii="Times New Roman" w:hAnsi="Times New Roman"/>
                <w:sz w:val="20"/>
                <w:szCs w:val="20"/>
              </w:rPr>
            </w:pPr>
          </w:p>
        </w:tc>
        <w:tc>
          <w:tcPr>
            <w:tcW w:w="0" w:type="auto"/>
            <w:shd w:val="clear" w:color="auto" w:fill="auto"/>
            <w:vAlign w:val="center"/>
          </w:tcPr>
          <w:p w14:paraId="1446F8BF" w14:textId="77777777" w:rsidR="00FE42B5" w:rsidRDefault="00FE42B5">
            <w:pPr>
              <w:rPr>
                <w:rFonts w:ascii="Times New Roman" w:hAnsi="Times New Roman"/>
                <w:sz w:val="20"/>
                <w:szCs w:val="20"/>
              </w:rPr>
            </w:pPr>
          </w:p>
        </w:tc>
      </w:tr>
      <w:tr w:rsidR="00FE42B5" w14:paraId="1446F8C3" w14:textId="77777777">
        <w:trPr>
          <w:tblCellSpacing w:w="0" w:type="dxa"/>
        </w:trPr>
        <w:tc>
          <w:tcPr>
            <w:tcW w:w="0" w:type="auto"/>
            <w:shd w:val="clear" w:color="auto" w:fill="auto"/>
          </w:tcPr>
          <w:p w14:paraId="1446F8C1" w14:textId="77777777" w:rsidR="00FE42B5" w:rsidRDefault="009213DC">
            <w:pPr>
              <w:spacing w:line="288" w:lineRule="auto"/>
              <w:textAlignment w:val="top"/>
              <w:rPr>
                <w:rFonts w:ascii="Times New Roman" w:hAnsi="Times New Roman"/>
                <w:sz w:val="18"/>
                <w:szCs w:val="18"/>
              </w:rPr>
            </w:pPr>
            <w:r>
              <w:rPr>
                <w:rFonts w:ascii="Times New Roman" w:eastAsia="宋体" w:hAnsi="Times New Roman"/>
                <w:sz w:val="18"/>
                <w:szCs w:val="18"/>
              </w:rPr>
              <w:t>(2)</w:t>
            </w:r>
          </w:p>
        </w:tc>
        <w:tc>
          <w:tcPr>
            <w:tcW w:w="0" w:type="auto"/>
            <w:shd w:val="clear" w:color="auto" w:fill="auto"/>
          </w:tcPr>
          <w:p w14:paraId="1446F8C2" w14:textId="77777777" w:rsidR="00FE42B5" w:rsidRDefault="009213DC">
            <w:pPr>
              <w:spacing w:line="288" w:lineRule="auto"/>
              <w:jc w:val="both"/>
              <w:textAlignment w:val="top"/>
              <w:rPr>
                <w:rFonts w:ascii="Times New Roman" w:hAnsi="Times New Roman"/>
                <w:sz w:val="18"/>
                <w:szCs w:val="18"/>
              </w:rPr>
            </w:pPr>
            <w:r>
              <w:rPr>
                <w:rFonts w:ascii="Times New Roman" w:eastAsia="宋体" w:hAnsi="Times New Roman"/>
                <w:sz w:val="18"/>
                <w:szCs w:val="18"/>
              </w:rPr>
              <w:t>Average price paid per share includes costs associated with the repurchases.</w:t>
            </w:r>
          </w:p>
        </w:tc>
      </w:tr>
    </w:tbl>
    <w:p w14:paraId="1446F8C4" w14:textId="77777777" w:rsidR="00FE42B5" w:rsidRDefault="00FE42B5">
      <w:pPr>
        <w:spacing w:line="288" w:lineRule="auto"/>
        <w:rPr>
          <w:rFonts w:ascii="Times New Roman" w:hAnsi="Times New Roman"/>
          <w:sz w:val="18"/>
          <w:szCs w:val="18"/>
        </w:rPr>
      </w:pPr>
    </w:p>
    <w:p w14:paraId="1446F8C5" w14:textId="77777777" w:rsidR="00FE42B5" w:rsidRDefault="00FE42B5">
      <w:pPr>
        <w:rPr>
          <w:rFonts w:ascii="Times New Roman" w:hAnsi="Times New Roman"/>
          <w:sz w:val="20"/>
          <w:szCs w:val="20"/>
        </w:rPr>
      </w:pPr>
    </w:p>
    <w:p w14:paraId="1446F8C6"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80</w:t>
      </w:r>
    </w:p>
    <w:p w14:paraId="1446F8C7" w14:textId="77777777" w:rsidR="00FE42B5" w:rsidRDefault="009213DC">
      <w:r>
        <w:rPr>
          <w:rFonts w:ascii="Times New Roman" w:hAnsi="Times New Roman"/>
          <w:sz w:val="20"/>
          <w:szCs w:val="20"/>
        </w:rPr>
        <w:pict w14:anchorId="1446FB18">
          <v:rect id="_x0000_i1104" style="width:415.3pt;height:1.5pt" o:hralign="center" o:hrstd="t" o:hr="t" fillcolor="#a0a0a0" stroked="f"/>
        </w:pict>
      </w:r>
    </w:p>
    <w:p w14:paraId="1446F8C8" w14:textId="77777777" w:rsidR="00FE42B5" w:rsidRDefault="009213DC">
      <w:pPr>
        <w:spacing w:line="288" w:lineRule="auto"/>
        <w:rPr>
          <w:rFonts w:ascii="Times New Roman" w:hAnsi="Times New Roman"/>
          <w:sz w:val="20"/>
          <w:szCs w:val="20"/>
        </w:rPr>
      </w:pPr>
      <w:hyperlink r:id="rId120" w:anchor="sBB4BED1571A45A16AF3DC2E3B69C901C" w:history="1">
        <w:r>
          <w:rPr>
            <w:rStyle w:val="a5"/>
            <w:rFonts w:ascii="Times New Roman" w:eastAsia="宋体" w:hAnsi="Times New Roman"/>
            <w:sz w:val="20"/>
            <w:szCs w:val="20"/>
          </w:rPr>
          <w:t>Table of Contents</w:t>
        </w:r>
      </w:hyperlink>
    </w:p>
    <w:p w14:paraId="1446F8C9" w14:textId="77777777" w:rsidR="00FE42B5" w:rsidRDefault="00FE42B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12"/>
      </w:tblGrid>
      <w:tr w:rsidR="00FE42B5" w14:paraId="1446F8CC" w14:textId="77777777">
        <w:trPr>
          <w:tblCellSpacing w:w="0" w:type="dxa"/>
        </w:trPr>
        <w:tc>
          <w:tcPr>
            <w:tcW w:w="960" w:type="dxa"/>
            <w:shd w:val="clear" w:color="auto" w:fill="auto"/>
            <w:vAlign w:val="center"/>
          </w:tcPr>
          <w:p w14:paraId="1446F8CA" w14:textId="77777777" w:rsidR="00FE42B5" w:rsidRDefault="00FE42B5">
            <w:pPr>
              <w:rPr>
                <w:rFonts w:ascii="Times New Roman" w:hAnsi="Times New Roman"/>
                <w:sz w:val="20"/>
                <w:szCs w:val="20"/>
              </w:rPr>
            </w:pPr>
          </w:p>
        </w:tc>
        <w:tc>
          <w:tcPr>
            <w:tcW w:w="0" w:type="auto"/>
            <w:shd w:val="clear" w:color="auto" w:fill="auto"/>
            <w:vAlign w:val="center"/>
          </w:tcPr>
          <w:p w14:paraId="1446F8CB" w14:textId="77777777" w:rsidR="00FE42B5" w:rsidRDefault="00FE42B5">
            <w:pPr>
              <w:rPr>
                <w:rFonts w:ascii="Times New Roman" w:hAnsi="Times New Roman"/>
                <w:sz w:val="20"/>
                <w:szCs w:val="20"/>
              </w:rPr>
            </w:pPr>
          </w:p>
        </w:tc>
      </w:tr>
      <w:tr w:rsidR="00FE42B5" w14:paraId="1446F8CF" w14:textId="77777777">
        <w:trPr>
          <w:tblCellSpacing w:w="0" w:type="dxa"/>
        </w:trPr>
        <w:tc>
          <w:tcPr>
            <w:tcW w:w="0" w:type="auto"/>
            <w:shd w:val="clear" w:color="auto" w:fill="auto"/>
          </w:tcPr>
          <w:p w14:paraId="1446F8CD"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Item 6.</w:t>
            </w:r>
          </w:p>
        </w:tc>
        <w:tc>
          <w:tcPr>
            <w:tcW w:w="0" w:type="auto"/>
            <w:shd w:val="clear" w:color="auto" w:fill="auto"/>
          </w:tcPr>
          <w:p w14:paraId="1446F8CE" w14:textId="77777777" w:rsidR="00FE42B5" w:rsidRDefault="009213DC">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Exhibits </w:t>
            </w:r>
          </w:p>
        </w:tc>
      </w:tr>
    </w:tbl>
    <w:p w14:paraId="1446F8D0" w14:textId="77777777" w:rsidR="00FE42B5" w:rsidRDefault="00FE42B5">
      <w:pPr>
        <w:spacing w:line="288" w:lineRule="auto"/>
        <w:rPr>
          <w:rFonts w:ascii="Times New Roman" w:hAnsi="Times New Roman"/>
          <w:sz w:val="18"/>
          <w:szCs w:val="18"/>
        </w:rPr>
      </w:pPr>
    </w:p>
    <w:tbl>
      <w:tblPr>
        <w:tblW w:w="5000" w:type="pct"/>
        <w:tblCellMar>
          <w:left w:w="0" w:type="dxa"/>
          <w:right w:w="0" w:type="dxa"/>
        </w:tblCellMar>
        <w:tblLook w:val="04A0" w:firstRow="1" w:lastRow="0" w:firstColumn="1" w:lastColumn="0" w:noHBand="0" w:noVBand="1"/>
      </w:tblPr>
      <w:tblGrid>
        <w:gridCol w:w="830"/>
        <w:gridCol w:w="160"/>
        <w:gridCol w:w="3212"/>
        <w:gridCol w:w="160"/>
        <w:gridCol w:w="463"/>
        <w:gridCol w:w="160"/>
        <w:gridCol w:w="563"/>
        <w:gridCol w:w="160"/>
        <w:gridCol w:w="587"/>
        <w:gridCol w:w="160"/>
        <w:gridCol w:w="971"/>
        <w:gridCol w:w="160"/>
        <w:gridCol w:w="720"/>
      </w:tblGrid>
      <w:tr w:rsidR="00FE42B5" w14:paraId="1446F8D2" w14:textId="77777777">
        <w:tc>
          <w:tcPr>
            <w:tcW w:w="0" w:type="auto"/>
            <w:gridSpan w:val="13"/>
            <w:shd w:val="clear" w:color="auto" w:fill="auto"/>
            <w:vAlign w:val="center"/>
          </w:tcPr>
          <w:p w14:paraId="1446F8D1" w14:textId="77777777" w:rsidR="00FE42B5" w:rsidRDefault="00FE42B5">
            <w:pPr>
              <w:rPr>
                <w:rFonts w:ascii="Times New Roman" w:hAnsi="Times New Roman"/>
                <w:sz w:val="20"/>
                <w:szCs w:val="20"/>
              </w:rPr>
            </w:pPr>
          </w:p>
        </w:tc>
      </w:tr>
      <w:tr w:rsidR="00FE42B5" w14:paraId="1446F8E0" w14:textId="77777777">
        <w:tc>
          <w:tcPr>
            <w:tcW w:w="350" w:type="pct"/>
            <w:shd w:val="clear" w:color="auto" w:fill="auto"/>
            <w:vAlign w:val="center"/>
          </w:tcPr>
          <w:p w14:paraId="1446F8D3" w14:textId="77777777" w:rsidR="00FE42B5" w:rsidRDefault="00FE42B5">
            <w:pPr>
              <w:rPr>
                <w:rFonts w:ascii="Times New Roman" w:hAnsi="Times New Roman"/>
                <w:sz w:val="20"/>
                <w:szCs w:val="20"/>
              </w:rPr>
            </w:pPr>
          </w:p>
        </w:tc>
        <w:tc>
          <w:tcPr>
            <w:tcW w:w="50" w:type="pct"/>
            <w:shd w:val="clear" w:color="auto" w:fill="auto"/>
            <w:vAlign w:val="center"/>
          </w:tcPr>
          <w:p w14:paraId="1446F8D4" w14:textId="77777777" w:rsidR="00FE42B5" w:rsidRDefault="00FE42B5">
            <w:pPr>
              <w:rPr>
                <w:rFonts w:ascii="Times New Roman" w:hAnsi="Times New Roman"/>
                <w:sz w:val="20"/>
                <w:szCs w:val="20"/>
              </w:rPr>
            </w:pPr>
          </w:p>
        </w:tc>
        <w:tc>
          <w:tcPr>
            <w:tcW w:w="2050" w:type="pct"/>
            <w:shd w:val="clear" w:color="auto" w:fill="auto"/>
            <w:vAlign w:val="center"/>
          </w:tcPr>
          <w:p w14:paraId="1446F8D5" w14:textId="77777777" w:rsidR="00FE42B5" w:rsidRDefault="00FE42B5">
            <w:pPr>
              <w:rPr>
                <w:rFonts w:ascii="Times New Roman" w:hAnsi="Times New Roman"/>
                <w:sz w:val="20"/>
                <w:szCs w:val="20"/>
              </w:rPr>
            </w:pPr>
          </w:p>
        </w:tc>
        <w:tc>
          <w:tcPr>
            <w:tcW w:w="50" w:type="pct"/>
            <w:shd w:val="clear" w:color="auto" w:fill="auto"/>
            <w:vAlign w:val="center"/>
          </w:tcPr>
          <w:p w14:paraId="1446F8D6" w14:textId="77777777" w:rsidR="00FE42B5" w:rsidRDefault="00FE42B5">
            <w:pPr>
              <w:rPr>
                <w:rFonts w:ascii="Times New Roman" w:hAnsi="Times New Roman"/>
                <w:sz w:val="20"/>
                <w:szCs w:val="20"/>
              </w:rPr>
            </w:pPr>
          </w:p>
        </w:tc>
        <w:tc>
          <w:tcPr>
            <w:tcW w:w="350" w:type="pct"/>
            <w:shd w:val="clear" w:color="auto" w:fill="auto"/>
            <w:vAlign w:val="center"/>
          </w:tcPr>
          <w:p w14:paraId="1446F8D7" w14:textId="77777777" w:rsidR="00FE42B5" w:rsidRDefault="00FE42B5">
            <w:pPr>
              <w:rPr>
                <w:rFonts w:ascii="Times New Roman" w:hAnsi="Times New Roman"/>
                <w:sz w:val="20"/>
                <w:szCs w:val="20"/>
              </w:rPr>
            </w:pPr>
          </w:p>
        </w:tc>
        <w:tc>
          <w:tcPr>
            <w:tcW w:w="50" w:type="pct"/>
            <w:shd w:val="clear" w:color="auto" w:fill="auto"/>
            <w:vAlign w:val="center"/>
          </w:tcPr>
          <w:p w14:paraId="1446F8D8" w14:textId="77777777" w:rsidR="00FE42B5" w:rsidRDefault="00FE42B5">
            <w:pPr>
              <w:rPr>
                <w:rFonts w:ascii="Times New Roman" w:hAnsi="Times New Roman"/>
                <w:sz w:val="20"/>
                <w:szCs w:val="20"/>
              </w:rPr>
            </w:pPr>
          </w:p>
        </w:tc>
        <w:tc>
          <w:tcPr>
            <w:tcW w:w="500" w:type="pct"/>
            <w:shd w:val="clear" w:color="auto" w:fill="auto"/>
            <w:vAlign w:val="center"/>
          </w:tcPr>
          <w:p w14:paraId="1446F8D9" w14:textId="77777777" w:rsidR="00FE42B5" w:rsidRDefault="00FE42B5">
            <w:pPr>
              <w:rPr>
                <w:rFonts w:ascii="Times New Roman" w:hAnsi="Times New Roman"/>
                <w:sz w:val="20"/>
                <w:szCs w:val="20"/>
              </w:rPr>
            </w:pPr>
          </w:p>
        </w:tc>
        <w:tc>
          <w:tcPr>
            <w:tcW w:w="50" w:type="pct"/>
            <w:shd w:val="clear" w:color="auto" w:fill="auto"/>
            <w:vAlign w:val="center"/>
          </w:tcPr>
          <w:p w14:paraId="1446F8DA" w14:textId="77777777" w:rsidR="00FE42B5" w:rsidRDefault="00FE42B5">
            <w:pPr>
              <w:rPr>
                <w:rFonts w:ascii="Times New Roman" w:hAnsi="Times New Roman"/>
                <w:sz w:val="20"/>
                <w:szCs w:val="20"/>
              </w:rPr>
            </w:pPr>
          </w:p>
        </w:tc>
        <w:tc>
          <w:tcPr>
            <w:tcW w:w="350" w:type="pct"/>
            <w:shd w:val="clear" w:color="auto" w:fill="auto"/>
            <w:vAlign w:val="center"/>
          </w:tcPr>
          <w:p w14:paraId="1446F8DB" w14:textId="77777777" w:rsidR="00FE42B5" w:rsidRDefault="00FE42B5">
            <w:pPr>
              <w:rPr>
                <w:rFonts w:ascii="Times New Roman" w:hAnsi="Times New Roman"/>
                <w:sz w:val="20"/>
                <w:szCs w:val="20"/>
              </w:rPr>
            </w:pPr>
          </w:p>
        </w:tc>
        <w:tc>
          <w:tcPr>
            <w:tcW w:w="50" w:type="pct"/>
            <w:shd w:val="clear" w:color="auto" w:fill="auto"/>
            <w:vAlign w:val="center"/>
          </w:tcPr>
          <w:p w14:paraId="1446F8DC" w14:textId="77777777" w:rsidR="00FE42B5" w:rsidRDefault="00FE42B5">
            <w:pPr>
              <w:rPr>
                <w:rFonts w:ascii="Times New Roman" w:hAnsi="Times New Roman"/>
                <w:sz w:val="20"/>
                <w:szCs w:val="20"/>
              </w:rPr>
            </w:pPr>
          </w:p>
        </w:tc>
        <w:tc>
          <w:tcPr>
            <w:tcW w:w="700" w:type="pct"/>
            <w:shd w:val="clear" w:color="auto" w:fill="auto"/>
            <w:vAlign w:val="center"/>
          </w:tcPr>
          <w:p w14:paraId="1446F8DD" w14:textId="77777777" w:rsidR="00FE42B5" w:rsidRDefault="00FE42B5">
            <w:pPr>
              <w:rPr>
                <w:rFonts w:ascii="Times New Roman" w:hAnsi="Times New Roman"/>
                <w:sz w:val="20"/>
                <w:szCs w:val="20"/>
              </w:rPr>
            </w:pPr>
          </w:p>
        </w:tc>
        <w:tc>
          <w:tcPr>
            <w:tcW w:w="50" w:type="pct"/>
            <w:shd w:val="clear" w:color="auto" w:fill="auto"/>
            <w:vAlign w:val="center"/>
          </w:tcPr>
          <w:p w14:paraId="1446F8DE" w14:textId="77777777" w:rsidR="00FE42B5" w:rsidRDefault="00FE42B5">
            <w:pPr>
              <w:rPr>
                <w:rFonts w:ascii="Times New Roman" w:hAnsi="Times New Roman"/>
                <w:sz w:val="20"/>
                <w:szCs w:val="20"/>
              </w:rPr>
            </w:pPr>
          </w:p>
        </w:tc>
        <w:tc>
          <w:tcPr>
            <w:tcW w:w="400" w:type="pct"/>
            <w:shd w:val="clear" w:color="auto" w:fill="auto"/>
            <w:vAlign w:val="center"/>
          </w:tcPr>
          <w:p w14:paraId="1446F8DF" w14:textId="77777777" w:rsidR="00FE42B5" w:rsidRDefault="00FE42B5">
            <w:pPr>
              <w:rPr>
                <w:rFonts w:ascii="Times New Roman" w:hAnsi="Times New Roman"/>
                <w:sz w:val="20"/>
                <w:szCs w:val="20"/>
              </w:rPr>
            </w:pPr>
          </w:p>
        </w:tc>
      </w:tr>
      <w:tr w:rsidR="00FE42B5" w14:paraId="1446F8E9" w14:textId="77777777">
        <w:tc>
          <w:tcPr>
            <w:tcW w:w="0" w:type="auto"/>
            <w:shd w:val="clear" w:color="auto" w:fill="auto"/>
            <w:tcMar>
              <w:top w:w="40" w:type="dxa"/>
              <w:left w:w="40" w:type="dxa"/>
              <w:bottom w:w="40" w:type="dxa"/>
              <w:right w:w="40" w:type="dxa"/>
            </w:tcMar>
            <w:vAlign w:val="bottom"/>
          </w:tcPr>
          <w:p w14:paraId="1446F8E1"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Exhibit</w:t>
            </w:r>
          </w:p>
        </w:tc>
        <w:tc>
          <w:tcPr>
            <w:tcW w:w="0" w:type="auto"/>
            <w:shd w:val="clear" w:color="auto" w:fill="auto"/>
            <w:tcMar>
              <w:top w:w="40" w:type="dxa"/>
              <w:left w:w="40" w:type="dxa"/>
              <w:bottom w:w="40" w:type="dxa"/>
              <w:right w:w="40" w:type="dxa"/>
            </w:tcMar>
            <w:vAlign w:val="bottom"/>
          </w:tcPr>
          <w:p w14:paraId="1446F8E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8E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8E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right w:w="40" w:type="dxa"/>
            </w:tcMar>
            <w:vAlign w:val="bottom"/>
          </w:tcPr>
          <w:p w14:paraId="1446F8E5"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 xml:space="preserve">Incorporated by </w:t>
            </w:r>
            <w:r>
              <w:rPr>
                <w:rFonts w:ascii="Times New Roman" w:eastAsia="宋体" w:hAnsi="Times New Roman"/>
                <w:b/>
                <w:bCs/>
                <w:sz w:val="16"/>
                <w:szCs w:val="16"/>
              </w:rPr>
              <w:t>Reference</w:t>
            </w:r>
          </w:p>
        </w:tc>
        <w:tc>
          <w:tcPr>
            <w:tcW w:w="0" w:type="auto"/>
            <w:shd w:val="clear" w:color="auto" w:fill="auto"/>
            <w:tcMar>
              <w:top w:w="40" w:type="dxa"/>
              <w:left w:w="40" w:type="dxa"/>
              <w:bottom w:w="40" w:type="dxa"/>
              <w:right w:w="40" w:type="dxa"/>
            </w:tcMar>
            <w:vAlign w:val="bottom"/>
          </w:tcPr>
          <w:p w14:paraId="1446F8E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1446F8E7"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Filed</w:t>
            </w:r>
          </w:p>
          <w:p w14:paraId="1446F8E8"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Herewith</w:t>
            </w:r>
          </w:p>
        </w:tc>
      </w:tr>
      <w:tr w:rsidR="00FE42B5" w14:paraId="1446F8F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446F8EA"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Number</w:t>
            </w:r>
          </w:p>
        </w:tc>
        <w:tc>
          <w:tcPr>
            <w:tcW w:w="0" w:type="auto"/>
            <w:shd w:val="clear" w:color="auto" w:fill="auto"/>
            <w:tcMar>
              <w:top w:w="40" w:type="dxa"/>
              <w:left w:w="40" w:type="dxa"/>
              <w:bottom w:w="40" w:type="dxa"/>
              <w:right w:w="40" w:type="dxa"/>
            </w:tcMar>
            <w:vAlign w:val="bottom"/>
          </w:tcPr>
          <w:p w14:paraId="1446F8E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446F8EC"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Exhibit Description</w:t>
            </w:r>
          </w:p>
        </w:tc>
        <w:tc>
          <w:tcPr>
            <w:tcW w:w="0" w:type="auto"/>
            <w:shd w:val="clear" w:color="auto" w:fill="auto"/>
            <w:tcMar>
              <w:top w:w="40" w:type="dxa"/>
              <w:left w:w="40" w:type="dxa"/>
              <w:bottom w:w="40" w:type="dxa"/>
              <w:right w:w="40" w:type="dxa"/>
            </w:tcMar>
            <w:vAlign w:val="bottom"/>
          </w:tcPr>
          <w:p w14:paraId="1446F8E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446F8EE"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Form</w:t>
            </w:r>
          </w:p>
        </w:tc>
        <w:tc>
          <w:tcPr>
            <w:tcW w:w="0" w:type="auto"/>
            <w:shd w:val="clear" w:color="auto" w:fill="auto"/>
            <w:tcMar>
              <w:top w:w="40" w:type="dxa"/>
              <w:left w:w="40" w:type="dxa"/>
              <w:bottom w:w="40" w:type="dxa"/>
              <w:right w:w="40" w:type="dxa"/>
            </w:tcMar>
            <w:vAlign w:val="bottom"/>
          </w:tcPr>
          <w:p w14:paraId="1446F8E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446F8F0"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File No.</w:t>
            </w:r>
          </w:p>
        </w:tc>
        <w:tc>
          <w:tcPr>
            <w:tcW w:w="0" w:type="auto"/>
            <w:shd w:val="clear" w:color="auto" w:fill="auto"/>
            <w:tcMar>
              <w:top w:w="40" w:type="dxa"/>
              <w:left w:w="40" w:type="dxa"/>
              <w:bottom w:w="40" w:type="dxa"/>
              <w:right w:w="40" w:type="dxa"/>
            </w:tcMar>
            <w:vAlign w:val="bottom"/>
          </w:tcPr>
          <w:p w14:paraId="1446F8F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446F8F2"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Exhibit</w:t>
            </w:r>
          </w:p>
        </w:tc>
        <w:tc>
          <w:tcPr>
            <w:tcW w:w="0" w:type="auto"/>
            <w:shd w:val="clear" w:color="auto" w:fill="auto"/>
            <w:tcMar>
              <w:top w:w="40" w:type="dxa"/>
              <w:left w:w="40" w:type="dxa"/>
              <w:bottom w:w="40" w:type="dxa"/>
              <w:right w:w="40" w:type="dxa"/>
            </w:tcMar>
            <w:vAlign w:val="bottom"/>
          </w:tcPr>
          <w:p w14:paraId="1446F8F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446F8F4" w14:textId="77777777" w:rsidR="00FE42B5" w:rsidRDefault="009213DC">
            <w:pPr>
              <w:jc w:val="center"/>
              <w:textAlignment w:val="bottom"/>
              <w:rPr>
                <w:rFonts w:ascii="Times New Roman" w:hAnsi="Times New Roman"/>
                <w:sz w:val="16"/>
                <w:szCs w:val="16"/>
              </w:rPr>
            </w:pPr>
            <w:r>
              <w:rPr>
                <w:rFonts w:ascii="Times New Roman" w:eastAsia="宋体" w:hAnsi="Times New Roman"/>
                <w:b/>
                <w:bCs/>
                <w:sz w:val="16"/>
                <w:szCs w:val="16"/>
              </w:rPr>
              <w:t>Filing Date</w:t>
            </w:r>
          </w:p>
        </w:tc>
        <w:tc>
          <w:tcPr>
            <w:tcW w:w="0" w:type="auto"/>
            <w:shd w:val="clear" w:color="auto" w:fill="auto"/>
            <w:tcMar>
              <w:top w:w="40" w:type="dxa"/>
              <w:left w:w="40" w:type="dxa"/>
              <w:bottom w:w="40" w:type="dxa"/>
              <w:right w:w="40" w:type="dxa"/>
            </w:tcMar>
            <w:vAlign w:val="bottom"/>
          </w:tcPr>
          <w:p w14:paraId="1446F8F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1446F8F6" w14:textId="77777777" w:rsidR="00FE42B5" w:rsidRDefault="00FE42B5">
            <w:pPr>
              <w:rPr>
                <w:rFonts w:ascii="Times New Roman" w:hAnsi="Times New Roman"/>
                <w:sz w:val="20"/>
                <w:szCs w:val="20"/>
              </w:rPr>
            </w:pPr>
          </w:p>
        </w:tc>
      </w:tr>
      <w:tr w:rsidR="00FE42B5" w14:paraId="1446F8FF" w14:textId="77777777">
        <w:tc>
          <w:tcPr>
            <w:tcW w:w="0" w:type="auto"/>
            <w:shd w:val="clear" w:color="auto" w:fill="auto"/>
            <w:tcMar>
              <w:top w:w="40" w:type="dxa"/>
              <w:left w:w="40" w:type="dxa"/>
              <w:bottom w:w="40" w:type="dxa"/>
              <w:right w:w="40" w:type="dxa"/>
            </w:tcMar>
            <w:vAlign w:val="bottom"/>
          </w:tcPr>
          <w:p w14:paraId="1446F8F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8F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8F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8F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8F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8F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8F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90D" w14:textId="77777777">
        <w:tc>
          <w:tcPr>
            <w:tcW w:w="0" w:type="auto"/>
            <w:shd w:val="clear" w:color="auto" w:fill="auto"/>
            <w:tcMar>
              <w:top w:w="40" w:type="dxa"/>
              <w:left w:w="40" w:type="dxa"/>
              <w:bottom w:w="40" w:type="dxa"/>
              <w:right w:w="40" w:type="dxa"/>
            </w:tcMar>
          </w:tcPr>
          <w:p w14:paraId="1446F90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tcMar>
              <w:top w:w="40" w:type="dxa"/>
              <w:left w:w="40" w:type="dxa"/>
              <w:bottom w:w="40" w:type="dxa"/>
              <w:right w:w="40" w:type="dxa"/>
            </w:tcMar>
            <w:vAlign w:val="bottom"/>
          </w:tcPr>
          <w:p w14:paraId="1446F90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446F902" w14:textId="77777777" w:rsidR="00FE42B5" w:rsidRDefault="009213DC">
            <w:pPr>
              <w:textAlignment w:val="top"/>
              <w:rPr>
                <w:rFonts w:ascii="Times New Roman" w:hAnsi="Times New Roman"/>
                <w:sz w:val="20"/>
                <w:szCs w:val="20"/>
              </w:rPr>
            </w:pPr>
            <w:hyperlink r:id="rId121" w:history="1">
              <w:r>
                <w:rPr>
                  <w:rStyle w:val="a5"/>
                  <w:rFonts w:ascii="Times New Roman" w:eastAsia="宋体" w:hAnsi="Times New Roman"/>
                  <w:sz w:val="20"/>
                  <w:szCs w:val="20"/>
                </w:rPr>
                <w:t>2012 Equity Incentive Plan, as amended</w:t>
              </w:r>
            </w:hyperlink>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90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0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0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0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0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0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0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0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0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446F90C"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91B" w14:textId="77777777">
        <w:tc>
          <w:tcPr>
            <w:tcW w:w="0" w:type="auto"/>
            <w:shd w:val="clear" w:color="auto" w:fill="auto"/>
            <w:tcMar>
              <w:top w:w="40" w:type="dxa"/>
              <w:left w:w="40" w:type="dxa"/>
              <w:bottom w:w="40" w:type="dxa"/>
              <w:right w:w="40" w:type="dxa"/>
            </w:tcMar>
            <w:vAlign w:val="bottom"/>
          </w:tcPr>
          <w:p w14:paraId="1446F90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0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1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1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1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1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1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1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1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1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1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1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1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929" w14:textId="77777777">
        <w:tc>
          <w:tcPr>
            <w:tcW w:w="0" w:type="auto"/>
            <w:shd w:val="clear" w:color="auto" w:fill="auto"/>
            <w:tcMar>
              <w:top w:w="40" w:type="dxa"/>
              <w:left w:w="40" w:type="dxa"/>
              <w:bottom w:w="40" w:type="dxa"/>
              <w:right w:w="40" w:type="dxa"/>
            </w:tcMar>
          </w:tcPr>
          <w:p w14:paraId="1446F91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10.2</w:t>
            </w:r>
          </w:p>
        </w:tc>
        <w:tc>
          <w:tcPr>
            <w:tcW w:w="0" w:type="auto"/>
            <w:shd w:val="clear" w:color="auto" w:fill="auto"/>
            <w:tcMar>
              <w:top w:w="40" w:type="dxa"/>
              <w:left w:w="40" w:type="dxa"/>
              <w:bottom w:w="40" w:type="dxa"/>
              <w:right w:w="40" w:type="dxa"/>
            </w:tcMar>
            <w:vAlign w:val="bottom"/>
          </w:tcPr>
          <w:p w14:paraId="1446F91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446F91E" w14:textId="77777777" w:rsidR="00FE42B5" w:rsidRDefault="009213DC">
            <w:pPr>
              <w:textAlignment w:val="top"/>
              <w:rPr>
                <w:rFonts w:ascii="Times New Roman" w:hAnsi="Times New Roman"/>
                <w:sz w:val="20"/>
                <w:szCs w:val="20"/>
              </w:rPr>
            </w:pPr>
            <w:hyperlink r:id="rId122" w:history="1">
              <w:r>
                <w:rPr>
                  <w:rStyle w:val="a5"/>
                  <w:rFonts w:ascii="Times New Roman" w:eastAsia="宋体" w:hAnsi="Times New Roman"/>
                  <w:sz w:val="20"/>
                  <w:szCs w:val="20"/>
                </w:rPr>
                <w:t>2012 Equity Incentive Plan forms of award agreements (Additional Forms).</w:t>
              </w:r>
            </w:hyperlink>
          </w:p>
        </w:tc>
        <w:tc>
          <w:tcPr>
            <w:tcW w:w="0" w:type="auto"/>
            <w:shd w:val="clear" w:color="auto" w:fill="auto"/>
            <w:tcMar>
              <w:top w:w="40" w:type="dxa"/>
              <w:left w:w="40" w:type="dxa"/>
              <w:bottom w:w="40" w:type="dxa"/>
              <w:right w:w="40" w:type="dxa"/>
            </w:tcMar>
            <w:vAlign w:val="bottom"/>
          </w:tcPr>
          <w:p w14:paraId="1446F91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446F928"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937" w14:textId="77777777">
        <w:tc>
          <w:tcPr>
            <w:tcW w:w="0" w:type="auto"/>
            <w:shd w:val="clear" w:color="auto" w:fill="auto"/>
            <w:tcMar>
              <w:top w:w="40" w:type="dxa"/>
              <w:left w:w="40" w:type="dxa"/>
              <w:bottom w:w="40" w:type="dxa"/>
              <w:right w:w="40" w:type="dxa"/>
            </w:tcMar>
            <w:vAlign w:val="bottom"/>
          </w:tcPr>
          <w:p w14:paraId="1446F92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2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3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3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3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3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3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3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3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945" w14:textId="77777777">
        <w:tc>
          <w:tcPr>
            <w:tcW w:w="0" w:type="auto"/>
            <w:shd w:val="clear" w:color="auto" w:fill="auto"/>
            <w:tcMar>
              <w:top w:w="40" w:type="dxa"/>
              <w:left w:w="40" w:type="dxa"/>
              <w:bottom w:w="40" w:type="dxa"/>
              <w:right w:w="40" w:type="dxa"/>
            </w:tcMar>
          </w:tcPr>
          <w:p w14:paraId="1446F93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10.3</w:t>
            </w:r>
          </w:p>
        </w:tc>
        <w:tc>
          <w:tcPr>
            <w:tcW w:w="0" w:type="auto"/>
            <w:shd w:val="clear" w:color="auto" w:fill="auto"/>
            <w:tcMar>
              <w:top w:w="40" w:type="dxa"/>
              <w:left w:w="40" w:type="dxa"/>
              <w:bottom w:w="40" w:type="dxa"/>
              <w:right w:w="40" w:type="dxa"/>
            </w:tcMar>
            <w:vAlign w:val="bottom"/>
          </w:tcPr>
          <w:p w14:paraId="1446F93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446F93A" w14:textId="77777777" w:rsidR="00FE42B5" w:rsidRDefault="009213DC">
            <w:pPr>
              <w:textAlignment w:val="top"/>
              <w:rPr>
                <w:rFonts w:ascii="Times New Roman" w:hAnsi="Times New Roman"/>
                <w:sz w:val="20"/>
                <w:szCs w:val="20"/>
              </w:rPr>
            </w:pPr>
            <w:hyperlink r:id="rId123" w:history="1">
              <w:r>
                <w:rPr>
                  <w:rStyle w:val="a5"/>
                  <w:rFonts w:ascii="Times New Roman" w:eastAsia="宋体" w:hAnsi="Times New Roman"/>
                  <w:sz w:val="20"/>
                  <w:szCs w:val="20"/>
                </w:rPr>
                <w:t xml:space="preserve">Offer letter, dated May 6, 2019, between Registrant and Jennifer G. Newstead. </w:t>
              </w:r>
            </w:hyperlink>
          </w:p>
        </w:tc>
        <w:tc>
          <w:tcPr>
            <w:tcW w:w="0" w:type="auto"/>
            <w:shd w:val="clear" w:color="auto" w:fill="auto"/>
            <w:tcMar>
              <w:top w:w="40" w:type="dxa"/>
              <w:left w:w="40" w:type="dxa"/>
              <w:bottom w:w="40" w:type="dxa"/>
              <w:right w:w="40" w:type="dxa"/>
            </w:tcMar>
            <w:vAlign w:val="bottom"/>
          </w:tcPr>
          <w:p w14:paraId="1446F93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3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3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3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3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446F944"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953" w14:textId="77777777">
        <w:tc>
          <w:tcPr>
            <w:tcW w:w="0" w:type="auto"/>
            <w:shd w:val="clear" w:color="auto" w:fill="auto"/>
            <w:tcMar>
              <w:top w:w="40" w:type="dxa"/>
              <w:left w:w="40" w:type="dxa"/>
              <w:bottom w:w="40" w:type="dxa"/>
              <w:right w:w="40" w:type="dxa"/>
            </w:tcMar>
            <w:vAlign w:val="bottom"/>
          </w:tcPr>
          <w:p w14:paraId="1446F94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4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5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5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5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961" w14:textId="77777777">
        <w:tc>
          <w:tcPr>
            <w:tcW w:w="0" w:type="auto"/>
            <w:shd w:val="clear" w:color="auto" w:fill="auto"/>
            <w:tcMar>
              <w:top w:w="40" w:type="dxa"/>
              <w:left w:w="40" w:type="dxa"/>
              <w:bottom w:w="40" w:type="dxa"/>
              <w:right w:w="40" w:type="dxa"/>
            </w:tcMar>
          </w:tcPr>
          <w:p w14:paraId="1446F95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31.1</w:t>
            </w:r>
          </w:p>
        </w:tc>
        <w:tc>
          <w:tcPr>
            <w:tcW w:w="0" w:type="auto"/>
            <w:shd w:val="clear" w:color="auto" w:fill="auto"/>
            <w:tcMar>
              <w:top w:w="40" w:type="dxa"/>
              <w:left w:w="40" w:type="dxa"/>
              <w:bottom w:w="40" w:type="dxa"/>
              <w:right w:w="40" w:type="dxa"/>
            </w:tcMar>
            <w:vAlign w:val="bottom"/>
          </w:tcPr>
          <w:p w14:paraId="1446F955"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56" w14:textId="77777777" w:rsidR="00FE42B5" w:rsidRDefault="009213DC">
            <w:pPr>
              <w:textAlignment w:val="top"/>
              <w:rPr>
                <w:rFonts w:ascii="Times New Roman" w:hAnsi="Times New Roman"/>
                <w:sz w:val="20"/>
                <w:szCs w:val="20"/>
              </w:rPr>
            </w:pPr>
            <w:hyperlink r:id="rId124" w:history="1">
              <w:r>
                <w:rPr>
                  <w:rStyle w:val="a5"/>
                  <w:rFonts w:ascii="Times New Roman" w:eastAsia="宋体" w:hAnsi="Times New Roman"/>
                  <w:sz w:val="20"/>
                  <w:szCs w:val="20"/>
                </w:rPr>
                <w:t>Certification of Mark Zuckerberg, Chief Executive Officer, pursuant to Rule 13a-14(a)/15d-14(a), as adopted pursuant to Section 302 of the Sarbanes-Oxl</w:t>
              </w:r>
              <w:r>
                <w:rPr>
                  <w:rStyle w:val="a5"/>
                  <w:rFonts w:ascii="Times New Roman" w:eastAsia="宋体" w:hAnsi="Times New Roman"/>
                  <w:sz w:val="20"/>
                  <w:szCs w:val="20"/>
                </w:rPr>
                <w:t>ey Act of 2002</w:t>
              </w:r>
            </w:hyperlink>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957"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5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59"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5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5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5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5D"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5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5F"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60"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969" w14:textId="77777777">
        <w:tc>
          <w:tcPr>
            <w:tcW w:w="0" w:type="auto"/>
            <w:shd w:val="clear" w:color="auto" w:fill="auto"/>
            <w:tcMar>
              <w:top w:w="40" w:type="dxa"/>
              <w:left w:w="40" w:type="dxa"/>
              <w:bottom w:w="40" w:type="dxa"/>
              <w:right w:w="40" w:type="dxa"/>
            </w:tcMar>
            <w:vAlign w:val="bottom"/>
          </w:tcPr>
          <w:p w14:paraId="1446F96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6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6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6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6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6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6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977" w14:textId="77777777">
        <w:tc>
          <w:tcPr>
            <w:tcW w:w="0" w:type="auto"/>
            <w:shd w:val="clear" w:color="auto" w:fill="auto"/>
            <w:tcMar>
              <w:top w:w="40" w:type="dxa"/>
              <w:left w:w="40" w:type="dxa"/>
              <w:bottom w:w="40" w:type="dxa"/>
              <w:right w:w="40" w:type="dxa"/>
            </w:tcMar>
          </w:tcPr>
          <w:p w14:paraId="1446F96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31.2</w:t>
            </w:r>
          </w:p>
        </w:tc>
        <w:tc>
          <w:tcPr>
            <w:tcW w:w="0" w:type="auto"/>
            <w:shd w:val="clear" w:color="auto" w:fill="auto"/>
            <w:tcMar>
              <w:top w:w="40" w:type="dxa"/>
              <w:left w:w="40" w:type="dxa"/>
              <w:bottom w:w="40" w:type="dxa"/>
              <w:right w:w="40" w:type="dxa"/>
            </w:tcMar>
            <w:vAlign w:val="bottom"/>
          </w:tcPr>
          <w:p w14:paraId="1446F96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6C" w14:textId="77777777" w:rsidR="00FE42B5" w:rsidRDefault="009213DC">
            <w:pPr>
              <w:textAlignment w:val="top"/>
              <w:rPr>
                <w:rFonts w:ascii="Times New Roman" w:hAnsi="Times New Roman"/>
                <w:sz w:val="20"/>
                <w:szCs w:val="20"/>
              </w:rPr>
            </w:pPr>
            <w:hyperlink r:id="rId125" w:history="1">
              <w:r>
                <w:rPr>
                  <w:rStyle w:val="a5"/>
                  <w:rFonts w:ascii="Times New Roman" w:eastAsia="宋体" w:hAnsi="Times New Roman"/>
                  <w:sz w:val="20"/>
                  <w:szCs w:val="20"/>
                </w:rPr>
                <w:t>Certification of David M. Wehner, Chief Financial Officer, pursuant to Rule 13a-14(a)/15d-14(a), as adopted pursuant to Section 302 of the Sarbanes-Oxl</w:t>
              </w:r>
              <w:r>
                <w:rPr>
                  <w:rStyle w:val="a5"/>
                  <w:rFonts w:ascii="Times New Roman" w:eastAsia="宋体" w:hAnsi="Times New Roman"/>
                  <w:sz w:val="20"/>
                  <w:szCs w:val="20"/>
                </w:rPr>
                <w:t>ey Act of 2002.</w:t>
              </w:r>
            </w:hyperlink>
          </w:p>
        </w:tc>
        <w:tc>
          <w:tcPr>
            <w:tcW w:w="0" w:type="auto"/>
            <w:shd w:val="clear" w:color="auto" w:fill="auto"/>
            <w:tcMar>
              <w:top w:w="40" w:type="dxa"/>
              <w:left w:w="40" w:type="dxa"/>
              <w:bottom w:w="40" w:type="dxa"/>
              <w:right w:w="40" w:type="dxa"/>
            </w:tcMar>
            <w:vAlign w:val="bottom"/>
          </w:tcPr>
          <w:p w14:paraId="1446F96D"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6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6F"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7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71"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7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73"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7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75"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76"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97F" w14:textId="77777777">
        <w:tc>
          <w:tcPr>
            <w:tcW w:w="0" w:type="auto"/>
            <w:shd w:val="clear" w:color="auto" w:fill="auto"/>
            <w:tcMar>
              <w:top w:w="40" w:type="dxa"/>
              <w:left w:w="40" w:type="dxa"/>
              <w:bottom w:w="40" w:type="dxa"/>
              <w:right w:w="40" w:type="dxa"/>
            </w:tcMar>
            <w:vAlign w:val="bottom"/>
          </w:tcPr>
          <w:p w14:paraId="1446F97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7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7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7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7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7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7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98D" w14:textId="77777777">
        <w:tc>
          <w:tcPr>
            <w:tcW w:w="0" w:type="auto"/>
            <w:shd w:val="clear" w:color="auto" w:fill="auto"/>
            <w:tcMar>
              <w:top w:w="40" w:type="dxa"/>
              <w:left w:w="40" w:type="dxa"/>
              <w:bottom w:w="40" w:type="dxa"/>
              <w:right w:w="40" w:type="dxa"/>
            </w:tcMar>
          </w:tcPr>
          <w:p w14:paraId="1446F98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32.1#</w:t>
            </w:r>
          </w:p>
        </w:tc>
        <w:tc>
          <w:tcPr>
            <w:tcW w:w="0" w:type="auto"/>
            <w:shd w:val="clear" w:color="auto" w:fill="auto"/>
            <w:tcMar>
              <w:top w:w="40" w:type="dxa"/>
              <w:left w:w="40" w:type="dxa"/>
              <w:bottom w:w="40" w:type="dxa"/>
              <w:right w:w="40" w:type="dxa"/>
            </w:tcMar>
            <w:vAlign w:val="bottom"/>
          </w:tcPr>
          <w:p w14:paraId="1446F981"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82" w14:textId="77777777" w:rsidR="00FE42B5" w:rsidRDefault="009213DC">
            <w:pPr>
              <w:textAlignment w:val="top"/>
              <w:rPr>
                <w:rFonts w:ascii="Times New Roman" w:hAnsi="Times New Roman"/>
                <w:sz w:val="20"/>
                <w:szCs w:val="20"/>
              </w:rPr>
            </w:pPr>
            <w:hyperlink r:id="rId126" w:history="1">
              <w:r>
                <w:rPr>
                  <w:rStyle w:val="a5"/>
                  <w:rFonts w:ascii="Times New Roman" w:eastAsia="宋体" w:hAnsi="Times New Roman"/>
                  <w:sz w:val="20"/>
                  <w:szCs w:val="20"/>
                </w:rPr>
                <w:t>Certification of Mark Zuckerberg, Chief Executive Officer, pursuant to 18 U.S.C. Section 1350, as adopted pursuant to Section 906 of the Sarbanes-Oxley</w:t>
              </w:r>
              <w:r>
                <w:rPr>
                  <w:rStyle w:val="a5"/>
                  <w:rFonts w:ascii="Times New Roman" w:eastAsia="宋体" w:hAnsi="Times New Roman"/>
                  <w:sz w:val="20"/>
                  <w:szCs w:val="20"/>
                </w:rPr>
                <w:t xml:space="preserve"> Act of 2002</w:t>
              </w:r>
            </w:hyperlink>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446F983"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8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85"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8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87"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8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89"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8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8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8C"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995" w14:textId="77777777">
        <w:tc>
          <w:tcPr>
            <w:tcW w:w="0" w:type="auto"/>
            <w:shd w:val="clear" w:color="auto" w:fill="auto"/>
            <w:tcMar>
              <w:top w:w="40" w:type="dxa"/>
              <w:left w:w="40" w:type="dxa"/>
              <w:bottom w:w="40" w:type="dxa"/>
              <w:right w:w="40" w:type="dxa"/>
            </w:tcMar>
            <w:vAlign w:val="bottom"/>
          </w:tcPr>
          <w:p w14:paraId="1446F98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8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9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9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9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9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9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9A3" w14:textId="77777777">
        <w:tc>
          <w:tcPr>
            <w:tcW w:w="0" w:type="auto"/>
            <w:shd w:val="clear" w:color="auto" w:fill="auto"/>
            <w:tcMar>
              <w:top w:w="40" w:type="dxa"/>
              <w:left w:w="40" w:type="dxa"/>
              <w:bottom w:w="40" w:type="dxa"/>
              <w:right w:w="40" w:type="dxa"/>
            </w:tcMar>
          </w:tcPr>
          <w:p w14:paraId="1446F99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32.2#</w:t>
            </w:r>
          </w:p>
        </w:tc>
        <w:tc>
          <w:tcPr>
            <w:tcW w:w="0" w:type="auto"/>
            <w:shd w:val="clear" w:color="auto" w:fill="auto"/>
            <w:tcMar>
              <w:top w:w="40" w:type="dxa"/>
              <w:left w:w="40" w:type="dxa"/>
              <w:bottom w:w="40" w:type="dxa"/>
              <w:right w:w="40" w:type="dxa"/>
            </w:tcMar>
            <w:vAlign w:val="bottom"/>
          </w:tcPr>
          <w:p w14:paraId="1446F997"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98" w14:textId="77777777" w:rsidR="00FE42B5" w:rsidRDefault="009213DC">
            <w:pPr>
              <w:textAlignment w:val="top"/>
              <w:rPr>
                <w:rFonts w:ascii="Times New Roman" w:hAnsi="Times New Roman"/>
                <w:sz w:val="20"/>
                <w:szCs w:val="20"/>
              </w:rPr>
            </w:pPr>
            <w:hyperlink r:id="rId127" w:history="1">
              <w:r>
                <w:rPr>
                  <w:rStyle w:val="a5"/>
                  <w:rFonts w:ascii="Times New Roman" w:eastAsia="宋体" w:hAnsi="Times New Roman"/>
                  <w:sz w:val="20"/>
                  <w:szCs w:val="20"/>
                </w:rPr>
                <w:t>Certification of David M. Wehner, Chief Financial Officer, pursuant to 18 U.S.C. Section 1350, as adopted pursuant to Section 906 of the Sarbanes-Oxley</w:t>
              </w:r>
              <w:r>
                <w:rPr>
                  <w:rStyle w:val="a5"/>
                  <w:rFonts w:ascii="Times New Roman" w:eastAsia="宋体" w:hAnsi="Times New Roman"/>
                  <w:sz w:val="20"/>
                  <w:szCs w:val="20"/>
                </w:rPr>
                <w:t xml:space="preserve"> Act of 2002.</w:t>
              </w:r>
            </w:hyperlink>
          </w:p>
        </w:tc>
        <w:tc>
          <w:tcPr>
            <w:tcW w:w="0" w:type="auto"/>
            <w:shd w:val="clear" w:color="auto" w:fill="auto"/>
            <w:tcMar>
              <w:top w:w="40" w:type="dxa"/>
              <w:left w:w="40" w:type="dxa"/>
              <w:bottom w:w="40" w:type="dxa"/>
              <w:right w:w="40" w:type="dxa"/>
            </w:tcMar>
            <w:vAlign w:val="bottom"/>
          </w:tcPr>
          <w:p w14:paraId="1446F999"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9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9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9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9D"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9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9F"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A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A1"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A2"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9AB" w14:textId="77777777">
        <w:tc>
          <w:tcPr>
            <w:tcW w:w="0" w:type="auto"/>
            <w:shd w:val="clear" w:color="auto" w:fill="auto"/>
            <w:tcMar>
              <w:top w:w="40" w:type="dxa"/>
              <w:left w:w="40" w:type="dxa"/>
              <w:bottom w:w="40" w:type="dxa"/>
              <w:right w:w="40" w:type="dxa"/>
            </w:tcMar>
            <w:vAlign w:val="bottom"/>
          </w:tcPr>
          <w:p w14:paraId="1446F9A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A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A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A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A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A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A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9B9" w14:textId="77777777">
        <w:tc>
          <w:tcPr>
            <w:tcW w:w="0" w:type="auto"/>
            <w:shd w:val="clear" w:color="auto" w:fill="auto"/>
            <w:tcMar>
              <w:top w:w="40" w:type="dxa"/>
              <w:left w:w="40" w:type="dxa"/>
              <w:bottom w:w="40" w:type="dxa"/>
              <w:right w:w="40" w:type="dxa"/>
            </w:tcMar>
          </w:tcPr>
          <w:p w14:paraId="1446F9A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101.INS</w:t>
            </w:r>
          </w:p>
        </w:tc>
        <w:tc>
          <w:tcPr>
            <w:tcW w:w="0" w:type="auto"/>
            <w:shd w:val="clear" w:color="auto" w:fill="auto"/>
            <w:tcMar>
              <w:top w:w="40" w:type="dxa"/>
              <w:left w:w="40" w:type="dxa"/>
              <w:bottom w:w="40" w:type="dxa"/>
              <w:right w:w="40" w:type="dxa"/>
            </w:tcMar>
            <w:vAlign w:val="bottom"/>
          </w:tcPr>
          <w:p w14:paraId="1446F9A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446F9A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Inline XBRL Instance Document (the instance document does not appear in the Interactive Data File because its XBRL tags are embedded within the Inline XBRL document).</w:t>
            </w:r>
          </w:p>
        </w:tc>
        <w:tc>
          <w:tcPr>
            <w:tcW w:w="0" w:type="auto"/>
            <w:shd w:val="clear" w:color="auto" w:fill="auto"/>
            <w:tcMar>
              <w:top w:w="40" w:type="dxa"/>
              <w:left w:w="40" w:type="dxa"/>
              <w:bottom w:w="40" w:type="dxa"/>
              <w:right w:w="40" w:type="dxa"/>
            </w:tcMar>
            <w:vAlign w:val="bottom"/>
          </w:tcPr>
          <w:p w14:paraId="1446F9A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446F9B8"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9C7" w14:textId="77777777">
        <w:tc>
          <w:tcPr>
            <w:tcW w:w="0" w:type="auto"/>
            <w:shd w:val="clear" w:color="auto" w:fill="auto"/>
            <w:tcMar>
              <w:top w:w="40" w:type="dxa"/>
              <w:left w:w="40" w:type="dxa"/>
              <w:bottom w:w="40" w:type="dxa"/>
              <w:right w:w="40" w:type="dxa"/>
            </w:tcMar>
            <w:vAlign w:val="bottom"/>
          </w:tcPr>
          <w:p w14:paraId="1446F9B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B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C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C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C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C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C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C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C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9D5" w14:textId="77777777">
        <w:tc>
          <w:tcPr>
            <w:tcW w:w="0" w:type="auto"/>
            <w:shd w:val="clear" w:color="auto" w:fill="auto"/>
            <w:tcMar>
              <w:top w:w="40" w:type="dxa"/>
              <w:left w:w="40" w:type="dxa"/>
              <w:bottom w:w="40" w:type="dxa"/>
              <w:right w:w="40" w:type="dxa"/>
            </w:tcMar>
          </w:tcPr>
          <w:p w14:paraId="1446F9C8"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101.SCH</w:t>
            </w:r>
          </w:p>
        </w:tc>
        <w:tc>
          <w:tcPr>
            <w:tcW w:w="0" w:type="auto"/>
            <w:shd w:val="clear" w:color="auto" w:fill="auto"/>
            <w:tcMar>
              <w:top w:w="40" w:type="dxa"/>
              <w:left w:w="40" w:type="dxa"/>
              <w:bottom w:w="40" w:type="dxa"/>
              <w:right w:w="40" w:type="dxa"/>
            </w:tcMar>
            <w:vAlign w:val="bottom"/>
          </w:tcPr>
          <w:p w14:paraId="1446F9C9"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C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Inline XBRL Taxonomy Extension Schema Document.</w:t>
            </w:r>
          </w:p>
        </w:tc>
        <w:tc>
          <w:tcPr>
            <w:tcW w:w="0" w:type="auto"/>
            <w:shd w:val="clear" w:color="auto" w:fill="auto"/>
            <w:tcMar>
              <w:top w:w="40" w:type="dxa"/>
              <w:left w:w="40" w:type="dxa"/>
              <w:bottom w:w="40" w:type="dxa"/>
              <w:right w:w="40" w:type="dxa"/>
            </w:tcMar>
            <w:vAlign w:val="bottom"/>
          </w:tcPr>
          <w:p w14:paraId="1446F9C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C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CD"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C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CF"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D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D1"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D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D3"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D4"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9DD" w14:textId="77777777">
        <w:tc>
          <w:tcPr>
            <w:tcW w:w="0" w:type="auto"/>
            <w:shd w:val="clear" w:color="auto" w:fill="auto"/>
            <w:tcMar>
              <w:top w:w="40" w:type="dxa"/>
              <w:left w:w="40" w:type="dxa"/>
              <w:bottom w:w="40" w:type="dxa"/>
              <w:right w:w="40" w:type="dxa"/>
            </w:tcMar>
            <w:vAlign w:val="bottom"/>
          </w:tcPr>
          <w:p w14:paraId="1446F9D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D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D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D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D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D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D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9EB" w14:textId="77777777">
        <w:tc>
          <w:tcPr>
            <w:tcW w:w="0" w:type="auto"/>
            <w:shd w:val="clear" w:color="auto" w:fill="auto"/>
            <w:tcMar>
              <w:top w:w="40" w:type="dxa"/>
              <w:left w:w="40" w:type="dxa"/>
              <w:bottom w:w="40" w:type="dxa"/>
              <w:right w:w="40" w:type="dxa"/>
            </w:tcMar>
          </w:tcPr>
          <w:p w14:paraId="1446F9DE"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101.CAL</w:t>
            </w:r>
          </w:p>
        </w:tc>
        <w:tc>
          <w:tcPr>
            <w:tcW w:w="0" w:type="auto"/>
            <w:shd w:val="clear" w:color="auto" w:fill="auto"/>
            <w:tcMar>
              <w:top w:w="40" w:type="dxa"/>
              <w:left w:w="40" w:type="dxa"/>
              <w:bottom w:w="40" w:type="dxa"/>
              <w:right w:w="40" w:type="dxa"/>
            </w:tcMar>
            <w:vAlign w:val="bottom"/>
          </w:tcPr>
          <w:p w14:paraId="1446F9DF"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E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Inline XBRL Taxonomy Extension Calculation Linkbase Document.</w:t>
            </w:r>
          </w:p>
        </w:tc>
        <w:tc>
          <w:tcPr>
            <w:tcW w:w="0" w:type="auto"/>
            <w:shd w:val="clear" w:color="auto" w:fill="auto"/>
            <w:tcMar>
              <w:top w:w="40" w:type="dxa"/>
              <w:left w:w="40" w:type="dxa"/>
              <w:bottom w:w="40" w:type="dxa"/>
              <w:right w:w="40" w:type="dxa"/>
            </w:tcMar>
            <w:vAlign w:val="bottom"/>
          </w:tcPr>
          <w:p w14:paraId="1446F9E1"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E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E3"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E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E5"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E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E7"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E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E9"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EA"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9F3" w14:textId="77777777">
        <w:tc>
          <w:tcPr>
            <w:tcW w:w="0" w:type="auto"/>
            <w:shd w:val="clear" w:color="auto" w:fill="auto"/>
            <w:tcMar>
              <w:top w:w="40" w:type="dxa"/>
              <w:left w:w="40" w:type="dxa"/>
              <w:bottom w:w="40" w:type="dxa"/>
              <w:right w:w="40" w:type="dxa"/>
            </w:tcMar>
            <w:vAlign w:val="bottom"/>
          </w:tcPr>
          <w:p w14:paraId="1446F9E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E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E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E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F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F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9F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A01" w14:textId="77777777">
        <w:tc>
          <w:tcPr>
            <w:tcW w:w="0" w:type="auto"/>
            <w:shd w:val="clear" w:color="auto" w:fill="auto"/>
            <w:tcMar>
              <w:top w:w="40" w:type="dxa"/>
              <w:left w:w="40" w:type="dxa"/>
              <w:bottom w:w="40" w:type="dxa"/>
              <w:right w:w="40" w:type="dxa"/>
            </w:tcMar>
          </w:tcPr>
          <w:p w14:paraId="1446F9F4"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101.DEF</w:t>
            </w:r>
          </w:p>
        </w:tc>
        <w:tc>
          <w:tcPr>
            <w:tcW w:w="0" w:type="auto"/>
            <w:shd w:val="clear" w:color="auto" w:fill="auto"/>
            <w:tcMar>
              <w:top w:w="40" w:type="dxa"/>
              <w:left w:w="40" w:type="dxa"/>
              <w:bottom w:w="40" w:type="dxa"/>
              <w:right w:w="40" w:type="dxa"/>
            </w:tcMar>
            <w:vAlign w:val="bottom"/>
          </w:tcPr>
          <w:p w14:paraId="1446F9F5"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9F6"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Inline XBRL Taxonomy Extension Definition Linkbase Document.</w:t>
            </w:r>
          </w:p>
        </w:tc>
        <w:tc>
          <w:tcPr>
            <w:tcW w:w="0" w:type="auto"/>
            <w:shd w:val="clear" w:color="auto" w:fill="auto"/>
            <w:tcMar>
              <w:top w:w="40" w:type="dxa"/>
              <w:left w:w="40" w:type="dxa"/>
              <w:bottom w:w="40" w:type="dxa"/>
              <w:right w:w="40" w:type="dxa"/>
            </w:tcMar>
            <w:vAlign w:val="bottom"/>
          </w:tcPr>
          <w:p w14:paraId="1446F9F7"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F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F9"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F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F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F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FD"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9F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9FF"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A00"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A09" w14:textId="77777777">
        <w:tc>
          <w:tcPr>
            <w:tcW w:w="0" w:type="auto"/>
            <w:shd w:val="clear" w:color="auto" w:fill="auto"/>
            <w:tcMar>
              <w:top w:w="40" w:type="dxa"/>
              <w:left w:w="40" w:type="dxa"/>
              <w:bottom w:w="40" w:type="dxa"/>
              <w:right w:w="40" w:type="dxa"/>
            </w:tcMar>
            <w:vAlign w:val="bottom"/>
          </w:tcPr>
          <w:p w14:paraId="1446FA0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0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0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0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0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0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0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A17" w14:textId="77777777">
        <w:tc>
          <w:tcPr>
            <w:tcW w:w="0" w:type="auto"/>
            <w:shd w:val="clear" w:color="auto" w:fill="auto"/>
            <w:tcMar>
              <w:top w:w="40" w:type="dxa"/>
              <w:left w:w="40" w:type="dxa"/>
              <w:bottom w:w="40" w:type="dxa"/>
              <w:right w:w="40" w:type="dxa"/>
            </w:tcMar>
          </w:tcPr>
          <w:p w14:paraId="1446FA0A"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101.LAB</w:t>
            </w:r>
          </w:p>
        </w:tc>
        <w:tc>
          <w:tcPr>
            <w:tcW w:w="0" w:type="auto"/>
            <w:shd w:val="clear" w:color="auto" w:fill="auto"/>
            <w:tcMar>
              <w:top w:w="40" w:type="dxa"/>
              <w:left w:w="40" w:type="dxa"/>
              <w:bottom w:w="40" w:type="dxa"/>
              <w:right w:w="40" w:type="dxa"/>
            </w:tcMar>
            <w:vAlign w:val="bottom"/>
          </w:tcPr>
          <w:p w14:paraId="1446FA0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A0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Inline XBRL Taxonomy Extension Labels Linkbase Document.</w:t>
            </w:r>
          </w:p>
        </w:tc>
        <w:tc>
          <w:tcPr>
            <w:tcW w:w="0" w:type="auto"/>
            <w:shd w:val="clear" w:color="auto" w:fill="auto"/>
            <w:tcMar>
              <w:top w:w="40" w:type="dxa"/>
              <w:left w:w="40" w:type="dxa"/>
              <w:bottom w:w="40" w:type="dxa"/>
              <w:right w:w="40" w:type="dxa"/>
            </w:tcMar>
            <w:vAlign w:val="bottom"/>
          </w:tcPr>
          <w:p w14:paraId="1446FA0D"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A0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0F"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A1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11"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A1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13"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A1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15"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A16"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A1F" w14:textId="77777777">
        <w:tc>
          <w:tcPr>
            <w:tcW w:w="0" w:type="auto"/>
            <w:shd w:val="clear" w:color="auto" w:fill="auto"/>
            <w:tcMar>
              <w:top w:w="40" w:type="dxa"/>
              <w:left w:w="40" w:type="dxa"/>
              <w:bottom w:w="40" w:type="dxa"/>
              <w:right w:w="40" w:type="dxa"/>
            </w:tcMar>
            <w:vAlign w:val="bottom"/>
          </w:tcPr>
          <w:p w14:paraId="1446FA1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1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1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1B"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1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1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1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A2D" w14:textId="77777777">
        <w:tc>
          <w:tcPr>
            <w:tcW w:w="0" w:type="auto"/>
            <w:shd w:val="clear" w:color="auto" w:fill="auto"/>
            <w:tcMar>
              <w:top w:w="40" w:type="dxa"/>
              <w:left w:w="40" w:type="dxa"/>
              <w:bottom w:w="40" w:type="dxa"/>
              <w:right w:w="40" w:type="dxa"/>
            </w:tcMar>
          </w:tcPr>
          <w:p w14:paraId="1446FA2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101.PRE</w:t>
            </w:r>
          </w:p>
        </w:tc>
        <w:tc>
          <w:tcPr>
            <w:tcW w:w="0" w:type="auto"/>
            <w:shd w:val="clear" w:color="auto" w:fill="auto"/>
            <w:tcMar>
              <w:top w:w="40" w:type="dxa"/>
              <w:left w:w="40" w:type="dxa"/>
              <w:bottom w:w="40" w:type="dxa"/>
              <w:right w:w="40" w:type="dxa"/>
            </w:tcMar>
            <w:vAlign w:val="bottom"/>
          </w:tcPr>
          <w:p w14:paraId="1446FA21"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A22"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 xml:space="preserve">Inline XBRL Taxonomy </w:t>
            </w:r>
            <w:r>
              <w:rPr>
                <w:rFonts w:ascii="Times New Roman" w:eastAsia="宋体" w:hAnsi="Times New Roman"/>
                <w:sz w:val="20"/>
                <w:szCs w:val="20"/>
              </w:rPr>
              <w:t>Extension Presentation Linkbase Document.</w:t>
            </w:r>
          </w:p>
        </w:tc>
        <w:tc>
          <w:tcPr>
            <w:tcW w:w="0" w:type="auto"/>
            <w:shd w:val="clear" w:color="auto" w:fill="auto"/>
            <w:tcMar>
              <w:top w:w="40" w:type="dxa"/>
              <w:left w:w="40" w:type="dxa"/>
              <w:bottom w:w="40" w:type="dxa"/>
              <w:right w:w="40" w:type="dxa"/>
            </w:tcMar>
            <w:vAlign w:val="bottom"/>
          </w:tcPr>
          <w:p w14:paraId="1446FA23"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A2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25"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A2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27"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A2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29"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A2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2B"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446FA2C"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r w:rsidR="00FE42B5" w14:paraId="1446FA3B" w14:textId="77777777">
        <w:tc>
          <w:tcPr>
            <w:tcW w:w="0" w:type="auto"/>
            <w:shd w:val="clear" w:color="auto" w:fill="auto"/>
            <w:tcMar>
              <w:top w:w="40" w:type="dxa"/>
              <w:left w:w="40" w:type="dxa"/>
              <w:bottom w:w="40" w:type="dxa"/>
              <w:right w:w="40" w:type="dxa"/>
            </w:tcMar>
            <w:vAlign w:val="bottom"/>
          </w:tcPr>
          <w:p w14:paraId="1446FA2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2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3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3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3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3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3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3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3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3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3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3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3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A49" w14:textId="77777777">
        <w:tc>
          <w:tcPr>
            <w:tcW w:w="0" w:type="auto"/>
            <w:shd w:val="clear" w:color="auto" w:fill="auto"/>
            <w:tcMar>
              <w:top w:w="40" w:type="dxa"/>
              <w:left w:w="40" w:type="dxa"/>
              <w:bottom w:w="40" w:type="dxa"/>
              <w:right w:w="40" w:type="dxa"/>
            </w:tcMar>
          </w:tcPr>
          <w:p w14:paraId="1446FA3C"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1446FA3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3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xml:space="preserve">Cover Page Interactive Data File (formatted as inline XBRL and contained in Exhibit 101). </w:t>
            </w:r>
          </w:p>
        </w:tc>
        <w:tc>
          <w:tcPr>
            <w:tcW w:w="0" w:type="auto"/>
            <w:shd w:val="clear" w:color="auto" w:fill="auto"/>
            <w:tcMar>
              <w:top w:w="40" w:type="dxa"/>
              <w:left w:w="40" w:type="dxa"/>
              <w:bottom w:w="40" w:type="dxa"/>
              <w:right w:w="40" w:type="dxa"/>
            </w:tcMar>
            <w:vAlign w:val="bottom"/>
          </w:tcPr>
          <w:p w14:paraId="1446FA3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4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4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42"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43"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4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4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4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47"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446FA48" w14:textId="77777777" w:rsidR="00FE42B5" w:rsidRDefault="009213DC">
            <w:pPr>
              <w:jc w:val="center"/>
              <w:textAlignment w:val="top"/>
              <w:rPr>
                <w:rFonts w:ascii="Times New Roman" w:hAnsi="Times New Roman"/>
                <w:sz w:val="20"/>
                <w:szCs w:val="20"/>
              </w:rPr>
            </w:pPr>
            <w:r>
              <w:rPr>
                <w:rFonts w:ascii="Times New Roman" w:eastAsia="宋体" w:hAnsi="Times New Roman"/>
                <w:sz w:val="20"/>
                <w:szCs w:val="20"/>
              </w:rPr>
              <w:t>X</w:t>
            </w:r>
          </w:p>
        </w:tc>
      </w:tr>
    </w:tbl>
    <w:p w14:paraId="1446FA4A" w14:textId="77777777" w:rsidR="00FE42B5" w:rsidRDefault="00FE42B5">
      <w:pPr>
        <w:spacing w:line="288" w:lineRule="auto"/>
        <w:rPr>
          <w:rFonts w:ascii="Times New Roman" w:hAnsi="Times New Roman"/>
          <w:sz w:val="20"/>
          <w:szCs w:val="20"/>
        </w:rPr>
      </w:pPr>
    </w:p>
    <w:p w14:paraId="1446FA4B"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 xml:space="preserve"># This certification is deemed not filed for purposes of Section 18 of the Securities Exchange Act of 1934, as amended (Exchange Act), or </w:t>
      </w:r>
      <w:r>
        <w:rPr>
          <w:rFonts w:ascii="Times New Roman" w:eastAsia="宋体" w:hAnsi="Times New Roman"/>
          <w:sz w:val="20"/>
          <w:szCs w:val="20"/>
        </w:rPr>
        <w:t>otherwise subject to the liability of that section, nor shall it be deemed incorporated by reference into any filing under the Securities Act of 1933, as amended, or the Exchange Act.</w:t>
      </w:r>
    </w:p>
    <w:p w14:paraId="1446FA4C" w14:textId="77777777" w:rsidR="00FE42B5" w:rsidRDefault="00FE42B5">
      <w:pPr>
        <w:rPr>
          <w:rFonts w:ascii="Times New Roman" w:hAnsi="Times New Roman"/>
          <w:sz w:val="20"/>
          <w:szCs w:val="20"/>
        </w:rPr>
      </w:pPr>
    </w:p>
    <w:p w14:paraId="1446FA4D"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81</w:t>
      </w:r>
    </w:p>
    <w:p w14:paraId="1446FA4E" w14:textId="77777777" w:rsidR="00FE42B5" w:rsidRDefault="009213DC">
      <w:r>
        <w:rPr>
          <w:rFonts w:ascii="Times New Roman" w:hAnsi="Times New Roman"/>
          <w:sz w:val="20"/>
          <w:szCs w:val="20"/>
        </w:rPr>
        <w:pict w14:anchorId="1446FB19">
          <v:rect id="_x0000_i1105" style="width:415.3pt;height:1.5pt" o:hralign="center" o:hrstd="t" o:hr="t" fillcolor="#a0a0a0" stroked="f"/>
        </w:pict>
      </w:r>
    </w:p>
    <w:p w14:paraId="1446FA4F" w14:textId="77777777" w:rsidR="00FE42B5" w:rsidRDefault="009213DC">
      <w:pPr>
        <w:spacing w:line="288" w:lineRule="auto"/>
        <w:rPr>
          <w:rFonts w:ascii="Times New Roman" w:hAnsi="Times New Roman"/>
          <w:sz w:val="20"/>
          <w:szCs w:val="20"/>
        </w:rPr>
      </w:pPr>
      <w:hyperlink r:id="rId128" w:anchor="sBB4BED1571A45A16AF3DC2E3B69C901C" w:history="1">
        <w:r>
          <w:rPr>
            <w:rStyle w:val="a5"/>
            <w:rFonts w:ascii="Times New Roman" w:eastAsia="宋体" w:hAnsi="Times New Roman"/>
            <w:sz w:val="20"/>
            <w:szCs w:val="20"/>
          </w:rPr>
          <w:t>Table of Contents</w:t>
        </w:r>
      </w:hyperlink>
    </w:p>
    <w:p w14:paraId="1446FA50" w14:textId="77777777" w:rsidR="00FE42B5" w:rsidRDefault="00FE42B5">
      <w:pPr>
        <w:rPr>
          <w:rFonts w:ascii="Times New Roman" w:hAnsi="Times New Roman"/>
          <w:sz w:val="20"/>
          <w:szCs w:val="20"/>
        </w:rPr>
      </w:pPr>
    </w:p>
    <w:p w14:paraId="1446FA51" w14:textId="77777777" w:rsidR="00FE42B5" w:rsidRDefault="009213DC">
      <w:pPr>
        <w:spacing w:line="288" w:lineRule="auto"/>
        <w:jc w:val="center"/>
        <w:rPr>
          <w:rFonts w:ascii="Times New Roman" w:hAnsi="Times New Roman"/>
          <w:sz w:val="20"/>
          <w:szCs w:val="20"/>
        </w:rPr>
      </w:pPr>
      <w:r>
        <w:rPr>
          <w:rFonts w:ascii="Times New Roman" w:eastAsia="宋体" w:hAnsi="Times New Roman"/>
          <w:b/>
          <w:bCs/>
          <w:sz w:val="20"/>
          <w:szCs w:val="20"/>
        </w:rPr>
        <w:t>SIGNATURES</w:t>
      </w:r>
    </w:p>
    <w:p w14:paraId="1446FA52" w14:textId="77777777" w:rsidR="00FE42B5" w:rsidRDefault="009213DC">
      <w:pPr>
        <w:spacing w:line="288" w:lineRule="auto"/>
        <w:jc w:val="both"/>
        <w:rPr>
          <w:rFonts w:ascii="Times New Roman" w:hAnsi="Times New Roman"/>
          <w:sz w:val="20"/>
          <w:szCs w:val="20"/>
        </w:rPr>
      </w:pPr>
      <w:r>
        <w:rPr>
          <w:rFonts w:ascii="Times New Roman" w:eastAsia="宋体" w:hAnsi="Times New Roman"/>
          <w:sz w:val="20"/>
          <w:szCs w:val="20"/>
        </w:rPr>
        <w:t xml:space="preserve">Pursuant to the requirements of the Securities Exchange Act of 1934, the </w:t>
      </w:r>
      <w:r>
        <w:rPr>
          <w:rFonts w:ascii="Times New Roman" w:eastAsia="宋体" w:hAnsi="Times New Roman"/>
          <w:sz w:val="20"/>
          <w:szCs w:val="20"/>
        </w:rPr>
        <w:t>Registrant has duly caused this Quarterly Report on Form 10-Q to be signed on its behalf by the undersigned, thereunto duly authorized, in the City of Menlo Park, State of California, on this 30th day of April 2020.</w:t>
      </w:r>
      <w:r>
        <w:rPr>
          <w:rFonts w:ascii="Times New Roman" w:eastAsia="宋体" w:hAnsi="Times New Roman"/>
          <w:sz w:val="18"/>
          <w:szCs w:val="18"/>
        </w:rPr>
        <w:t> </w:t>
      </w:r>
    </w:p>
    <w:tbl>
      <w:tblPr>
        <w:tblW w:w="4802" w:type="pct"/>
        <w:tblCellMar>
          <w:left w:w="0" w:type="dxa"/>
          <w:right w:w="0" w:type="dxa"/>
        </w:tblCellMar>
        <w:tblLook w:val="04A0" w:firstRow="1" w:lastRow="0" w:firstColumn="1" w:lastColumn="0" w:noHBand="0" w:noVBand="1"/>
      </w:tblPr>
      <w:tblGrid>
        <w:gridCol w:w="3883"/>
        <w:gridCol w:w="130"/>
        <w:gridCol w:w="3964"/>
      </w:tblGrid>
      <w:tr w:rsidR="00FE42B5" w14:paraId="1446FA54" w14:textId="77777777">
        <w:tc>
          <w:tcPr>
            <w:tcW w:w="0" w:type="auto"/>
            <w:gridSpan w:val="3"/>
            <w:shd w:val="clear" w:color="auto" w:fill="auto"/>
            <w:vAlign w:val="center"/>
          </w:tcPr>
          <w:p w14:paraId="1446FA53" w14:textId="77777777" w:rsidR="00FE42B5" w:rsidRDefault="00FE42B5">
            <w:pPr>
              <w:rPr>
                <w:rFonts w:ascii="Times New Roman" w:hAnsi="Times New Roman"/>
                <w:sz w:val="20"/>
                <w:szCs w:val="20"/>
              </w:rPr>
            </w:pPr>
          </w:p>
        </w:tc>
      </w:tr>
      <w:tr w:rsidR="00FE42B5" w14:paraId="1446FA58" w14:textId="77777777">
        <w:tc>
          <w:tcPr>
            <w:tcW w:w="2450" w:type="pct"/>
            <w:shd w:val="clear" w:color="auto" w:fill="auto"/>
            <w:vAlign w:val="center"/>
          </w:tcPr>
          <w:p w14:paraId="1446FA55" w14:textId="77777777" w:rsidR="00FE42B5" w:rsidRDefault="00FE42B5">
            <w:pPr>
              <w:rPr>
                <w:rFonts w:ascii="Times New Roman" w:hAnsi="Times New Roman"/>
                <w:sz w:val="20"/>
                <w:szCs w:val="20"/>
              </w:rPr>
            </w:pPr>
          </w:p>
        </w:tc>
        <w:tc>
          <w:tcPr>
            <w:tcW w:w="50" w:type="pct"/>
            <w:shd w:val="clear" w:color="auto" w:fill="auto"/>
            <w:vAlign w:val="center"/>
          </w:tcPr>
          <w:p w14:paraId="1446FA56" w14:textId="77777777" w:rsidR="00FE42B5" w:rsidRDefault="00FE42B5">
            <w:pPr>
              <w:rPr>
                <w:rFonts w:ascii="Times New Roman" w:hAnsi="Times New Roman"/>
                <w:sz w:val="20"/>
                <w:szCs w:val="20"/>
              </w:rPr>
            </w:pPr>
          </w:p>
        </w:tc>
        <w:tc>
          <w:tcPr>
            <w:tcW w:w="2500" w:type="pct"/>
            <w:shd w:val="clear" w:color="auto" w:fill="auto"/>
            <w:vAlign w:val="center"/>
          </w:tcPr>
          <w:p w14:paraId="1446FA57" w14:textId="77777777" w:rsidR="00FE42B5" w:rsidRDefault="00FE42B5">
            <w:pPr>
              <w:rPr>
                <w:rFonts w:ascii="Times New Roman" w:hAnsi="Times New Roman"/>
                <w:sz w:val="20"/>
                <w:szCs w:val="20"/>
              </w:rPr>
            </w:pPr>
          </w:p>
        </w:tc>
      </w:tr>
      <w:tr w:rsidR="00FE42B5" w14:paraId="1446FA5C" w14:textId="77777777">
        <w:tc>
          <w:tcPr>
            <w:tcW w:w="0" w:type="auto"/>
            <w:shd w:val="clear" w:color="auto" w:fill="auto"/>
            <w:tcMar>
              <w:top w:w="40" w:type="dxa"/>
              <w:left w:w="40" w:type="dxa"/>
              <w:bottom w:w="40" w:type="dxa"/>
              <w:right w:w="40" w:type="dxa"/>
            </w:tcMar>
            <w:vAlign w:val="bottom"/>
          </w:tcPr>
          <w:p w14:paraId="1446FA59" w14:textId="77777777" w:rsidR="00FE42B5" w:rsidRDefault="009213DC">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446FA5A"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5B" w14:textId="77777777" w:rsidR="00FE42B5" w:rsidRDefault="009213DC">
            <w:pPr>
              <w:textAlignment w:val="bottom"/>
              <w:rPr>
                <w:rFonts w:ascii="Times New Roman" w:hAnsi="Times New Roman"/>
                <w:sz w:val="20"/>
                <w:szCs w:val="20"/>
              </w:rPr>
            </w:pPr>
            <w:r>
              <w:rPr>
                <w:rFonts w:ascii="Times New Roman" w:eastAsia="宋体" w:hAnsi="Times New Roman"/>
                <w:b/>
                <w:bCs/>
                <w:sz w:val="20"/>
                <w:szCs w:val="20"/>
              </w:rPr>
              <w:t>FACEBOOK, INC.</w:t>
            </w:r>
          </w:p>
        </w:tc>
      </w:tr>
      <w:tr w:rsidR="00FE42B5" w14:paraId="1446FA5F" w14:textId="77777777">
        <w:tc>
          <w:tcPr>
            <w:tcW w:w="0" w:type="auto"/>
            <w:shd w:val="clear" w:color="auto" w:fill="auto"/>
            <w:tcMar>
              <w:top w:w="40" w:type="dxa"/>
              <w:left w:w="40" w:type="dxa"/>
              <w:bottom w:w="40" w:type="dxa"/>
              <w:right w:w="40" w:type="dxa"/>
            </w:tcMar>
            <w:vAlign w:val="bottom"/>
          </w:tcPr>
          <w:p w14:paraId="1446FA5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5E"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A63" w14:textId="77777777">
        <w:tc>
          <w:tcPr>
            <w:tcW w:w="0" w:type="auto"/>
            <w:shd w:val="clear" w:color="auto" w:fill="auto"/>
            <w:tcMar>
              <w:top w:w="40" w:type="dxa"/>
              <w:left w:w="40" w:type="dxa"/>
              <w:bottom w:w="40" w:type="dxa"/>
              <w:right w:w="40" w:type="dxa"/>
            </w:tcMar>
          </w:tcPr>
          <w:p w14:paraId="1446FA60"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Date: April 30, 2020</w:t>
            </w:r>
          </w:p>
        </w:tc>
        <w:tc>
          <w:tcPr>
            <w:tcW w:w="0" w:type="auto"/>
            <w:shd w:val="clear" w:color="auto" w:fill="auto"/>
            <w:tcMar>
              <w:top w:w="40" w:type="dxa"/>
              <w:left w:w="40" w:type="dxa"/>
              <w:bottom w:w="40" w:type="dxa"/>
              <w:right w:w="40" w:type="dxa"/>
            </w:tcMar>
            <w:vAlign w:val="bottom"/>
          </w:tcPr>
          <w:p w14:paraId="1446FA6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446FA62" w14:textId="77777777" w:rsidR="00FE42B5" w:rsidRDefault="009213DC">
            <w:pPr>
              <w:jc w:val="both"/>
              <w:textAlignment w:val="bottom"/>
              <w:rPr>
                <w:rFonts w:ascii="Times New Roman" w:hAnsi="Times New Roman"/>
                <w:sz w:val="20"/>
                <w:szCs w:val="20"/>
              </w:rPr>
            </w:pPr>
            <w:r>
              <w:rPr>
                <w:rFonts w:ascii="Times New Roman" w:eastAsia="宋体" w:hAnsi="Times New Roman"/>
                <w:sz w:val="20"/>
                <w:szCs w:val="20"/>
              </w:rPr>
              <w:t>/s/ DAVID M. WEHNER</w:t>
            </w:r>
          </w:p>
        </w:tc>
      </w:tr>
      <w:tr w:rsidR="00FE42B5" w14:paraId="1446FA67" w14:textId="77777777">
        <w:tc>
          <w:tcPr>
            <w:tcW w:w="0" w:type="auto"/>
            <w:shd w:val="clear" w:color="auto" w:fill="auto"/>
            <w:tcMar>
              <w:top w:w="40" w:type="dxa"/>
              <w:left w:w="40" w:type="dxa"/>
              <w:bottom w:w="40" w:type="dxa"/>
              <w:right w:w="40" w:type="dxa"/>
            </w:tcMar>
            <w:vAlign w:val="bottom"/>
          </w:tcPr>
          <w:p w14:paraId="1446FA64"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65"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1446FA66"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David M. Wehner</w:t>
            </w:r>
            <w:r>
              <w:rPr>
                <w:rFonts w:ascii="Times New Roman" w:eastAsia="宋体" w:hAnsi="Times New Roman"/>
                <w:sz w:val="20"/>
                <w:szCs w:val="20"/>
              </w:rPr>
              <w:br/>
              <w:t>Chief Financial Officer</w:t>
            </w:r>
            <w:r>
              <w:rPr>
                <w:rFonts w:ascii="Times New Roman" w:eastAsia="宋体" w:hAnsi="Times New Roman"/>
                <w:sz w:val="20"/>
                <w:szCs w:val="20"/>
              </w:rPr>
              <w:br/>
            </w:r>
            <w:r>
              <w:rPr>
                <w:rFonts w:ascii="Times New Roman" w:eastAsia="宋体" w:hAnsi="Times New Roman"/>
                <w:i/>
                <w:iCs/>
                <w:sz w:val="20"/>
                <w:szCs w:val="20"/>
              </w:rPr>
              <w:t>(Principal Financial Officer)</w:t>
            </w:r>
          </w:p>
        </w:tc>
      </w:tr>
      <w:tr w:rsidR="00FE42B5" w14:paraId="1446FA6A" w14:textId="77777777">
        <w:tc>
          <w:tcPr>
            <w:tcW w:w="0" w:type="auto"/>
            <w:shd w:val="clear" w:color="auto" w:fill="auto"/>
            <w:tcMar>
              <w:top w:w="40" w:type="dxa"/>
              <w:left w:w="40" w:type="dxa"/>
              <w:bottom w:w="40" w:type="dxa"/>
              <w:right w:w="40" w:type="dxa"/>
            </w:tcMar>
            <w:vAlign w:val="bottom"/>
          </w:tcPr>
          <w:p w14:paraId="1446FA68"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446FA69"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r>
      <w:tr w:rsidR="00FE42B5" w14:paraId="1446FA6E" w14:textId="77777777">
        <w:tc>
          <w:tcPr>
            <w:tcW w:w="0" w:type="auto"/>
            <w:shd w:val="clear" w:color="auto" w:fill="auto"/>
            <w:tcMar>
              <w:top w:w="40" w:type="dxa"/>
              <w:left w:w="40" w:type="dxa"/>
              <w:bottom w:w="40" w:type="dxa"/>
              <w:right w:w="40" w:type="dxa"/>
            </w:tcMar>
          </w:tcPr>
          <w:p w14:paraId="1446FA6B" w14:textId="77777777" w:rsidR="00FE42B5" w:rsidRDefault="009213DC">
            <w:pPr>
              <w:textAlignment w:val="top"/>
              <w:rPr>
                <w:rFonts w:ascii="Times New Roman" w:hAnsi="Times New Roman"/>
                <w:sz w:val="20"/>
                <w:szCs w:val="20"/>
              </w:rPr>
            </w:pPr>
            <w:r>
              <w:rPr>
                <w:rFonts w:ascii="Times New Roman" w:eastAsia="宋体" w:hAnsi="Times New Roman"/>
                <w:sz w:val="20"/>
                <w:szCs w:val="20"/>
              </w:rPr>
              <w:t>Date: April 30, 2020</w:t>
            </w:r>
          </w:p>
        </w:tc>
        <w:tc>
          <w:tcPr>
            <w:tcW w:w="0" w:type="auto"/>
            <w:shd w:val="clear" w:color="auto" w:fill="auto"/>
            <w:tcMar>
              <w:top w:w="40" w:type="dxa"/>
              <w:left w:w="40" w:type="dxa"/>
              <w:bottom w:w="40" w:type="dxa"/>
              <w:right w:w="40" w:type="dxa"/>
            </w:tcMar>
            <w:vAlign w:val="bottom"/>
          </w:tcPr>
          <w:p w14:paraId="1446FA6C"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446FA6D"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/s/ SUSAN J.S. TAYLOR</w:t>
            </w:r>
          </w:p>
        </w:tc>
      </w:tr>
      <w:tr w:rsidR="00FE42B5" w14:paraId="1446FA72" w14:textId="77777777">
        <w:tc>
          <w:tcPr>
            <w:tcW w:w="0" w:type="auto"/>
            <w:shd w:val="clear" w:color="auto" w:fill="auto"/>
            <w:tcMar>
              <w:top w:w="40" w:type="dxa"/>
              <w:left w:w="40" w:type="dxa"/>
              <w:bottom w:w="40" w:type="dxa"/>
              <w:right w:w="40" w:type="dxa"/>
            </w:tcMar>
            <w:vAlign w:val="bottom"/>
          </w:tcPr>
          <w:p w14:paraId="1446FA6F"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70"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446FA71" w14:textId="77777777" w:rsidR="00FE42B5" w:rsidRDefault="009213DC">
            <w:pPr>
              <w:textAlignment w:val="bottom"/>
              <w:rPr>
                <w:rFonts w:ascii="Times New Roman" w:hAnsi="Times New Roman"/>
                <w:sz w:val="20"/>
                <w:szCs w:val="20"/>
              </w:rPr>
            </w:pPr>
            <w:r>
              <w:rPr>
                <w:rFonts w:ascii="Times New Roman" w:eastAsia="宋体" w:hAnsi="Times New Roman"/>
                <w:sz w:val="20"/>
                <w:szCs w:val="20"/>
              </w:rPr>
              <w:t>Susan J.S. Taylor</w:t>
            </w:r>
            <w:r>
              <w:rPr>
                <w:rFonts w:ascii="Times New Roman" w:eastAsia="宋体" w:hAnsi="Times New Roman"/>
                <w:sz w:val="20"/>
                <w:szCs w:val="20"/>
              </w:rPr>
              <w:br/>
              <w:t>Chief Accounting Officer</w:t>
            </w:r>
            <w:r>
              <w:rPr>
                <w:rFonts w:ascii="Times New Roman" w:eastAsia="宋体" w:hAnsi="Times New Roman"/>
                <w:sz w:val="20"/>
                <w:szCs w:val="20"/>
              </w:rPr>
              <w:br/>
            </w:r>
            <w:r>
              <w:rPr>
                <w:rFonts w:ascii="Times New Roman" w:eastAsia="宋体" w:hAnsi="Times New Roman"/>
                <w:i/>
                <w:iCs/>
                <w:sz w:val="20"/>
                <w:szCs w:val="20"/>
              </w:rPr>
              <w:t>(Principal Accounting Officer)</w:t>
            </w:r>
          </w:p>
        </w:tc>
      </w:tr>
    </w:tbl>
    <w:p w14:paraId="1446FA73" w14:textId="77777777" w:rsidR="00FE42B5" w:rsidRDefault="00FE42B5">
      <w:pPr>
        <w:spacing w:line="288" w:lineRule="auto"/>
        <w:rPr>
          <w:rFonts w:ascii="Times New Roman" w:hAnsi="Times New Roman"/>
          <w:sz w:val="16"/>
          <w:szCs w:val="16"/>
        </w:rPr>
      </w:pPr>
    </w:p>
    <w:p w14:paraId="1446FA74" w14:textId="77777777" w:rsidR="00FE42B5" w:rsidRDefault="00FE42B5">
      <w:pPr>
        <w:rPr>
          <w:rFonts w:ascii="Times New Roman" w:hAnsi="Times New Roman"/>
          <w:sz w:val="20"/>
          <w:szCs w:val="20"/>
        </w:rPr>
      </w:pPr>
    </w:p>
    <w:p w14:paraId="1446FA75" w14:textId="77777777" w:rsidR="00FE42B5" w:rsidRDefault="009213DC">
      <w:pPr>
        <w:spacing w:line="288" w:lineRule="auto"/>
        <w:jc w:val="center"/>
        <w:rPr>
          <w:rFonts w:ascii="Times New Roman" w:hAnsi="Times New Roman"/>
          <w:sz w:val="20"/>
          <w:szCs w:val="20"/>
        </w:rPr>
      </w:pPr>
      <w:r>
        <w:rPr>
          <w:rFonts w:ascii="Times New Roman" w:eastAsia="宋体" w:hAnsi="Times New Roman"/>
          <w:sz w:val="20"/>
          <w:szCs w:val="20"/>
        </w:rPr>
        <w:t>82</w:t>
      </w:r>
    </w:p>
    <w:p w14:paraId="1446FA76" w14:textId="77777777" w:rsidR="00FE42B5" w:rsidRDefault="009213D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446FB1A" wp14:editId="1446FB1B">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2B5" w14:paraId="1446FA78" w14:textId="77777777">
        <w:trPr>
          <w:tblCellSpacing w:w="15" w:type="dxa"/>
        </w:trPr>
        <w:tc>
          <w:tcPr>
            <w:tcW w:w="0" w:type="auto"/>
            <w:shd w:val="clear" w:color="auto" w:fill="auto"/>
            <w:vAlign w:val="center"/>
          </w:tcPr>
          <w:p w14:paraId="1446FA77" w14:textId="77777777" w:rsidR="00FE42B5" w:rsidRDefault="00FE42B5">
            <w:pPr>
              <w:rPr>
                <w:rFonts w:ascii="宋体"/>
              </w:rPr>
            </w:pPr>
          </w:p>
        </w:tc>
      </w:tr>
    </w:tbl>
    <w:p w14:paraId="1446FA79" w14:textId="77777777" w:rsidR="00FE42B5" w:rsidRDefault="00FE42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2B5" w14:paraId="1446FA7B" w14:textId="77777777">
        <w:trPr>
          <w:tblCellSpacing w:w="15" w:type="dxa"/>
        </w:trPr>
        <w:tc>
          <w:tcPr>
            <w:tcW w:w="0" w:type="auto"/>
            <w:shd w:val="clear" w:color="auto" w:fill="auto"/>
            <w:vAlign w:val="center"/>
          </w:tcPr>
          <w:p w14:paraId="1446FA7A" w14:textId="77777777" w:rsidR="00FE42B5" w:rsidRDefault="00FE42B5">
            <w:pPr>
              <w:rPr>
                <w:rFonts w:ascii="宋体"/>
              </w:rPr>
            </w:pPr>
          </w:p>
        </w:tc>
      </w:tr>
    </w:tbl>
    <w:p w14:paraId="1446FA7C" w14:textId="77777777" w:rsidR="00FE42B5" w:rsidRDefault="00FE42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2B5" w14:paraId="1446FA7E" w14:textId="77777777">
        <w:trPr>
          <w:tblCellSpacing w:w="15" w:type="dxa"/>
        </w:trPr>
        <w:tc>
          <w:tcPr>
            <w:tcW w:w="0" w:type="auto"/>
            <w:shd w:val="clear" w:color="auto" w:fill="auto"/>
            <w:vAlign w:val="center"/>
          </w:tcPr>
          <w:p w14:paraId="1446FA7D" w14:textId="77777777" w:rsidR="00FE42B5" w:rsidRDefault="00FE42B5">
            <w:pPr>
              <w:rPr>
                <w:rFonts w:ascii="宋体"/>
              </w:rPr>
            </w:pPr>
          </w:p>
        </w:tc>
      </w:tr>
    </w:tbl>
    <w:p w14:paraId="1446FA7F" w14:textId="77777777" w:rsidR="00FE42B5" w:rsidRDefault="00FE42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2B5" w14:paraId="1446FA81" w14:textId="77777777">
        <w:trPr>
          <w:tblCellSpacing w:w="15" w:type="dxa"/>
        </w:trPr>
        <w:tc>
          <w:tcPr>
            <w:tcW w:w="0" w:type="auto"/>
            <w:shd w:val="clear" w:color="auto" w:fill="auto"/>
            <w:vAlign w:val="center"/>
          </w:tcPr>
          <w:p w14:paraId="1446FA80" w14:textId="77777777" w:rsidR="00FE42B5" w:rsidRDefault="00FE42B5">
            <w:pPr>
              <w:rPr>
                <w:rFonts w:ascii="宋体"/>
              </w:rPr>
            </w:pPr>
          </w:p>
        </w:tc>
      </w:tr>
    </w:tbl>
    <w:p w14:paraId="1446FA82" w14:textId="77777777" w:rsidR="00FE42B5" w:rsidRDefault="009213DC">
      <w:r>
        <w:rPr>
          <w:rFonts w:ascii="宋体" w:eastAsia="宋体" w:hAnsi="宋体" w:cs="宋体"/>
        </w:rPr>
        <w:t xml:space="preserve">Previous Next </w:t>
      </w:r>
    </w:p>
    <w:p w14:paraId="1446FA83" w14:textId="77777777" w:rsidR="00FE42B5" w:rsidRDefault="009213DC">
      <w:pPr>
        <w:pStyle w:val="a3"/>
      </w:pPr>
      <w:r>
        <w:t>Settings</w:t>
      </w:r>
    </w:p>
    <w:p w14:paraId="1446FA84" w14:textId="77777777" w:rsidR="00FE42B5" w:rsidRDefault="009213DC">
      <w:pPr>
        <w:pStyle w:val="Style4"/>
      </w:pPr>
      <w:r>
        <w:t>窗体顶端</w:t>
      </w:r>
    </w:p>
    <w:p w14:paraId="1446FA85" w14:textId="77777777" w:rsidR="00FE42B5" w:rsidRDefault="009213DC">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446FB1C" wp14:editId="1446FB1D">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446FA86" w14:textId="77777777" w:rsidR="00FE42B5" w:rsidRDefault="009213DC">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446FB1E" wp14:editId="1446FB1F">
                <wp:extent cx="635" cy="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3D5+A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b3D5+A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446FA87" w14:textId="77777777" w:rsidR="00FE42B5" w:rsidRDefault="009213DC">
      <w:r>
        <w:pict w14:anchorId="1446FB20">
          <v:rect id="_x0000_i1106" style="width:415.3pt;height:1.5pt" o:hralign="center" o:hrstd="t" o:hr="t" fillcolor="#a0a0a0" stroked="f"/>
        </w:pict>
      </w:r>
    </w:p>
    <w:p w14:paraId="1446FA88" w14:textId="77777777" w:rsidR="00FE42B5" w:rsidRDefault="009213DC">
      <w:r>
        <w:rPr>
          <w:rFonts w:ascii="宋体" w:eastAsia="宋体" w:hAnsi="宋体" w:cs="宋体"/>
        </w:rPr>
        <w:t xml:space="preserve">Tagged Data </w:t>
      </w:r>
    </w:p>
    <w:p w14:paraId="1446FA89" w14:textId="77777777" w:rsidR="00FE42B5" w:rsidRDefault="009213DC">
      <w:r>
        <w:rPr>
          <w:rFonts w:ascii="monospace" w:eastAsia="monospace" w:hAnsi="monospace" w:cs="monospace"/>
          <w:noProof/>
        </w:rPr>
        <mc:AlternateContent>
          <mc:Choice Requires="wps">
            <w:drawing>
              <wp:inline distT="0" distB="0" distL="114300" distR="114300" wp14:anchorId="1446FB21" wp14:editId="1446FB22">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446FA8A" w14:textId="77777777" w:rsidR="00FE42B5" w:rsidRDefault="009213DC">
      <w:r>
        <w:rPr>
          <w:rFonts w:ascii="宋体" w:eastAsia="宋体" w:hAnsi="宋体" w:cs="宋体"/>
        </w:rPr>
        <w:t>Save</w:t>
      </w:r>
    </w:p>
    <w:p w14:paraId="1446FA8B" w14:textId="77777777" w:rsidR="00FE42B5" w:rsidRDefault="009213DC">
      <w:r>
        <w:rPr>
          <w:rFonts w:ascii="宋体" w:eastAsia="宋体" w:hAnsi="宋体" w:cs="宋体"/>
        </w:rPr>
        <w:t>Reset</w:t>
      </w:r>
    </w:p>
    <w:p w14:paraId="1446FA8C" w14:textId="77777777" w:rsidR="00FE42B5" w:rsidRDefault="009213DC">
      <w:r>
        <w:pict w14:anchorId="1446FB23">
          <v:rect id="_x0000_i1107" style="width:415.3pt;height:1.5pt" o:hralign="center" o:hrstd="t" o:hr="t" fillcolor="#a0a0a0" stroked="f"/>
        </w:pict>
      </w:r>
    </w:p>
    <w:p w14:paraId="1446FA8D" w14:textId="77777777" w:rsidR="00FE42B5" w:rsidRDefault="009213DC">
      <w:r>
        <w:rPr>
          <w:rFonts w:ascii="宋体" w:eastAsia="宋体" w:hAnsi="宋体" w:cs="宋体"/>
        </w:rPr>
        <w:t xml:space="preserve">Search Results </w:t>
      </w:r>
    </w:p>
    <w:p w14:paraId="1446FA8E" w14:textId="77777777" w:rsidR="00FE42B5" w:rsidRDefault="009213DC">
      <w:r>
        <w:rPr>
          <w:rFonts w:ascii="monospace" w:eastAsia="monospace" w:hAnsi="monospace" w:cs="monospace"/>
          <w:noProof/>
        </w:rPr>
        <mc:AlternateContent>
          <mc:Choice Requires="wps">
            <w:drawing>
              <wp:inline distT="0" distB="0" distL="114300" distR="114300" wp14:anchorId="1446FB24" wp14:editId="1446FB25">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446FA8F" w14:textId="77777777" w:rsidR="00FE42B5" w:rsidRDefault="009213DC">
      <w:r>
        <w:rPr>
          <w:rFonts w:ascii="宋体" w:eastAsia="宋体" w:hAnsi="宋体" w:cs="宋体"/>
        </w:rPr>
        <w:t>Save</w:t>
      </w:r>
    </w:p>
    <w:p w14:paraId="1446FA90" w14:textId="77777777" w:rsidR="00FE42B5" w:rsidRDefault="009213DC">
      <w:r>
        <w:rPr>
          <w:rFonts w:ascii="宋体" w:eastAsia="宋体" w:hAnsi="宋体" w:cs="宋体"/>
        </w:rPr>
        <w:t>Reset</w:t>
      </w:r>
    </w:p>
    <w:p w14:paraId="1446FA91" w14:textId="77777777" w:rsidR="00FE42B5" w:rsidRDefault="009213DC">
      <w:r>
        <w:pict w14:anchorId="1446FB26">
          <v:rect id="_x0000_i1108" style="width:415.3pt;height:1.5pt" o:hralign="center" o:hrstd="t" o:hr="t" fillcolor="#a0a0a0" stroked="f"/>
        </w:pict>
      </w:r>
    </w:p>
    <w:p w14:paraId="1446FA92" w14:textId="77777777" w:rsidR="00FE42B5" w:rsidRDefault="009213DC">
      <w:r>
        <w:rPr>
          <w:rFonts w:ascii="宋体" w:eastAsia="宋体" w:hAnsi="宋体" w:cs="宋体"/>
        </w:rPr>
        <w:t xml:space="preserve">Selected Fact </w:t>
      </w:r>
    </w:p>
    <w:p w14:paraId="1446FA93" w14:textId="77777777" w:rsidR="00FE42B5" w:rsidRDefault="009213DC">
      <w:r>
        <w:rPr>
          <w:rFonts w:ascii="monospace" w:eastAsia="monospace" w:hAnsi="monospace" w:cs="monospace"/>
          <w:noProof/>
        </w:rPr>
        <mc:AlternateContent>
          <mc:Choice Requires="wps">
            <w:drawing>
              <wp:inline distT="0" distB="0" distL="114300" distR="114300" wp14:anchorId="1446FB27" wp14:editId="1446FB28">
                <wp:extent cx="635" cy="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JsXZQECAAAaBAAADgAAAGRycy9l&#10;Mm9Eb2MueG1srVNLbhsxDN0X6B0E7etx3CR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ecObA08b8/fv35/ZORg9QZAtYUdB/uYuaH4daL78icv+7BdeoDBtKY9ijHVk+C8wH3ads2&#10;2pxOhNm2qL87qq+2iQlyXr69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SbF2U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446FA94" w14:textId="77777777" w:rsidR="00FE42B5" w:rsidRDefault="009213DC">
      <w:r>
        <w:rPr>
          <w:rFonts w:ascii="宋体" w:eastAsia="宋体" w:hAnsi="宋体" w:cs="宋体"/>
        </w:rPr>
        <w:t>Save</w:t>
      </w:r>
    </w:p>
    <w:p w14:paraId="1446FA95" w14:textId="77777777" w:rsidR="00FE42B5" w:rsidRDefault="009213DC">
      <w:r>
        <w:rPr>
          <w:rFonts w:ascii="宋体" w:eastAsia="宋体" w:hAnsi="宋体" w:cs="宋体"/>
        </w:rPr>
        <w:t>Reset</w:t>
      </w:r>
    </w:p>
    <w:p w14:paraId="1446FA96" w14:textId="77777777" w:rsidR="00FE42B5" w:rsidRDefault="009213DC">
      <w:r>
        <w:pict w14:anchorId="1446FB29">
          <v:rect id="_x0000_i1109" style="width:415.3pt;height:1.5pt" o:hralign="center" o:hrstd="t" o:hr="t" fillcolor="#a0a0a0" stroked="f"/>
        </w:pict>
      </w:r>
    </w:p>
    <w:p w14:paraId="1446FA97" w14:textId="77777777" w:rsidR="00FE42B5" w:rsidRDefault="009213DC">
      <w:r>
        <w:rPr>
          <w:rFonts w:ascii="宋体" w:eastAsia="宋体" w:hAnsi="宋体" w:cs="宋体"/>
        </w:rPr>
        <w:t xml:space="preserve">Tag Shading (hover) </w:t>
      </w:r>
    </w:p>
    <w:p w14:paraId="1446FA98" w14:textId="77777777" w:rsidR="00FE42B5" w:rsidRDefault="009213DC">
      <w:r>
        <w:rPr>
          <w:rFonts w:ascii="monospace" w:eastAsia="monospace" w:hAnsi="monospace" w:cs="monospace"/>
          <w:noProof/>
        </w:rPr>
        <mc:AlternateContent>
          <mc:Choice Requires="wps">
            <w:drawing>
              <wp:inline distT="0" distB="0" distL="114300" distR="114300" wp14:anchorId="1446FB2A" wp14:editId="1446FB2B">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1446FA99" w14:textId="77777777" w:rsidR="00FE42B5" w:rsidRDefault="009213DC">
      <w:r>
        <w:rPr>
          <w:rFonts w:ascii="宋体" w:eastAsia="宋体" w:hAnsi="宋体" w:cs="宋体"/>
        </w:rPr>
        <w:t>Save</w:t>
      </w:r>
    </w:p>
    <w:p w14:paraId="1446FA9A" w14:textId="77777777" w:rsidR="00FE42B5" w:rsidRDefault="009213DC">
      <w:r>
        <w:rPr>
          <w:rFonts w:ascii="宋体" w:eastAsia="宋体" w:hAnsi="宋体" w:cs="宋体"/>
        </w:rPr>
        <w:t>Reset</w:t>
      </w:r>
    </w:p>
    <w:p w14:paraId="1446FA9B" w14:textId="77777777" w:rsidR="00FE42B5" w:rsidRDefault="009213DC">
      <w:pPr>
        <w:pStyle w:val="Style5"/>
      </w:pPr>
      <w:r>
        <w:t>窗体底端</w:t>
      </w:r>
    </w:p>
    <w:p w14:paraId="1446FA9C" w14:textId="77777777" w:rsidR="00FE42B5" w:rsidRDefault="009213D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446FB2C" wp14:editId="1446FB2D">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2B5" w14:paraId="1446FA9E" w14:textId="77777777">
        <w:trPr>
          <w:tblCellSpacing w:w="15" w:type="dxa"/>
        </w:trPr>
        <w:tc>
          <w:tcPr>
            <w:tcW w:w="0" w:type="auto"/>
            <w:shd w:val="clear" w:color="auto" w:fill="auto"/>
            <w:vAlign w:val="center"/>
          </w:tcPr>
          <w:p w14:paraId="1446FA9D" w14:textId="77777777" w:rsidR="00FE42B5" w:rsidRDefault="00FE42B5">
            <w:pPr>
              <w:rPr>
                <w:rFonts w:ascii="宋体"/>
              </w:rPr>
            </w:pPr>
          </w:p>
        </w:tc>
      </w:tr>
    </w:tbl>
    <w:p w14:paraId="1446FA9F" w14:textId="77777777" w:rsidR="00FE42B5" w:rsidRDefault="00FE42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2B5" w14:paraId="1446FAA1" w14:textId="77777777">
        <w:trPr>
          <w:tblCellSpacing w:w="15" w:type="dxa"/>
        </w:trPr>
        <w:tc>
          <w:tcPr>
            <w:tcW w:w="0" w:type="auto"/>
            <w:shd w:val="clear" w:color="auto" w:fill="auto"/>
            <w:vAlign w:val="center"/>
          </w:tcPr>
          <w:p w14:paraId="1446FAA0" w14:textId="77777777" w:rsidR="00FE42B5" w:rsidRDefault="00FE42B5">
            <w:pPr>
              <w:rPr>
                <w:rFonts w:ascii="宋体"/>
              </w:rPr>
            </w:pPr>
          </w:p>
        </w:tc>
      </w:tr>
    </w:tbl>
    <w:p w14:paraId="1446FAA2" w14:textId="77777777" w:rsidR="00FE42B5" w:rsidRDefault="00FE42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2B5" w14:paraId="1446FAA4" w14:textId="77777777">
        <w:trPr>
          <w:tblCellSpacing w:w="15" w:type="dxa"/>
        </w:trPr>
        <w:tc>
          <w:tcPr>
            <w:tcW w:w="0" w:type="auto"/>
            <w:shd w:val="clear" w:color="auto" w:fill="auto"/>
            <w:vAlign w:val="center"/>
          </w:tcPr>
          <w:p w14:paraId="1446FAA3" w14:textId="77777777" w:rsidR="00FE42B5" w:rsidRDefault="00FE42B5">
            <w:pPr>
              <w:rPr>
                <w:rFonts w:ascii="宋体"/>
              </w:rPr>
            </w:pPr>
          </w:p>
        </w:tc>
      </w:tr>
    </w:tbl>
    <w:p w14:paraId="1446FAA5" w14:textId="77777777" w:rsidR="00FE42B5" w:rsidRDefault="00FE42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2B5" w14:paraId="1446FAA7" w14:textId="77777777">
        <w:trPr>
          <w:tblCellSpacing w:w="15" w:type="dxa"/>
        </w:trPr>
        <w:tc>
          <w:tcPr>
            <w:tcW w:w="0" w:type="auto"/>
            <w:shd w:val="clear" w:color="auto" w:fill="auto"/>
            <w:vAlign w:val="center"/>
          </w:tcPr>
          <w:p w14:paraId="1446FAA6" w14:textId="77777777" w:rsidR="00FE42B5" w:rsidRDefault="00FE42B5">
            <w:pPr>
              <w:rPr>
                <w:rFonts w:ascii="宋体"/>
              </w:rPr>
            </w:pPr>
          </w:p>
        </w:tc>
      </w:tr>
    </w:tbl>
    <w:p w14:paraId="1446FAA8" w14:textId="77777777" w:rsidR="00FE42B5" w:rsidRDefault="009213DC">
      <w:r>
        <w:rPr>
          <w:rFonts w:ascii="宋体" w:eastAsia="宋体" w:hAnsi="宋体" w:cs="宋体"/>
        </w:rPr>
        <w:t xml:space="preserve">Previous Next </w:t>
      </w:r>
    </w:p>
    <w:p w14:paraId="1446FAA9" w14:textId="77777777" w:rsidR="00FE42B5" w:rsidRDefault="009213DC">
      <w:pPr>
        <w:pStyle w:val="a3"/>
      </w:pPr>
      <w:r>
        <w:t xml:space="preserve">Nested Facts / </w:t>
      </w:r>
    </w:p>
    <w:p w14:paraId="1446FAAA" w14:textId="77777777" w:rsidR="00FE42B5" w:rsidRDefault="009213DC">
      <w:r>
        <w:rPr>
          <w:rFonts w:ascii="宋体" w:eastAsia="宋体" w:hAnsi="宋体" w:cs="宋体"/>
        </w:rPr>
        <w:t xml:space="preserve">Previous Next </w:t>
      </w:r>
    </w:p>
    <w:p w14:paraId="1446FAAB" w14:textId="77777777" w:rsidR="00FE42B5" w:rsidRDefault="009213D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446FB2E" wp14:editId="1446FB2F">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2B5" w14:paraId="1446FAAD" w14:textId="77777777">
        <w:trPr>
          <w:tblCellSpacing w:w="15" w:type="dxa"/>
        </w:trPr>
        <w:tc>
          <w:tcPr>
            <w:tcW w:w="0" w:type="auto"/>
            <w:shd w:val="clear" w:color="auto" w:fill="auto"/>
            <w:vAlign w:val="center"/>
          </w:tcPr>
          <w:p w14:paraId="1446FAAC" w14:textId="77777777" w:rsidR="00FE42B5" w:rsidRDefault="00FE42B5">
            <w:pPr>
              <w:rPr>
                <w:rFonts w:ascii="宋体"/>
              </w:rPr>
            </w:pPr>
          </w:p>
        </w:tc>
      </w:tr>
    </w:tbl>
    <w:p w14:paraId="1446FAAE" w14:textId="77777777" w:rsidR="00FE42B5" w:rsidRDefault="00FE42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2B5" w14:paraId="1446FAB0" w14:textId="77777777">
        <w:trPr>
          <w:tblCellSpacing w:w="15" w:type="dxa"/>
        </w:trPr>
        <w:tc>
          <w:tcPr>
            <w:tcW w:w="0" w:type="auto"/>
            <w:shd w:val="clear" w:color="auto" w:fill="auto"/>
            <w:vAlign w:val="center"/>
          </w:tcPr>
          <w:p w14:paraId="1446FAAF" w14:textId="77777777" w:rsidR="00FE42B5" w:rsidRDefault="00FE42B5">
            <w:pPr>
              <w:rPr>
                <w:rFonts w:ascii="宋体"/>
              </w:rPr>
            </w:pPr>
          </w:p>
        </w:tc>
      </w:tr>
    </w:tbl>
    <w:p w14:paraId="1446FAB1" w14:textId="77777777" w:rsidR="00FE42B5" w:rsidRDefault="00FE42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2B5" w14:paraId="1446FAB3" w14:textId="77777777">
        <w:trPr>
          <w:tblCellSpacing w:w="15" w:type="dxa"/>
        </w:trPr>
        <w:tc>
          <w:tcPr>
            <w:tcW w:w="0" w:type="auto"/>
            <w:shd w:val="clear" w:color="auto" w:fill="auto"/>
            <w:vAlign w:val="center"/>
          </w:tcPr>
          <w:p w14:paraId="1446FAB2" w14:textId="77777777" w:rsidR="00FE42B5" w:rsidRDefault="00FE42B5">
            <w:pPr>
              <w:rPr>
                <w:rFonts w:ascii="宋体"/>
              </w:rPr>
            </w:pPr>
          </w:p>
        </w:tc>
      </w:tr>
    </w:tbl>
    <w:p w14:paraId="1446FAB4" w14:textId="77777777" w:rsidR="00FE42B5" w:rsidRDefault="00FE42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2B5" w14:paraId="1446FAB6" w14:textId="77777777">
        <w:trPr>
          <w:tblCellSpacing w:w="15" w:type="dxa"/>
        </w:trPr>
        <w:tc>
          <w:tcPr>
            <w:tcW w:w="0" w:type="auto"/>
            <w:shd w:val="clear" w:color="auto" w:fill="auto"/>
            <w:vAlign w:val="center"/>
          </w:tcPr>
          <w:p w14:paraId="1446FAB5" w14:textId="77777777" w:rsidR="00FE42B5" w:rsidRDefault="00FE42B5">
            <w:pPr>
              <w:rPr>
                <w:rFonts w:ascii="宋体"/>
              </w:rPr>
            </w:pPr>
          </w:p>
        </w:tc>
      </w:tr>
    </w:tbl>
    <w:p w14:paraId="1446FAB7" w14:textId="77777777" w:rsidR="00FE42B5" w:rsidRDefault="009213DC">
      <w:r>
        <w:rPr>
          <w:rFonts w:ascii="宋体" w:eastAsia="宋体" w:hAnsi="宋体" w:cs="宋体"/>
        </w:rPr>
        <w:t xml:space="preserve">Previous Next </w:t>
      </w:r>
    </w:p>
    <w:p w14:paraId="1446FAB8" w14:textId="77777777" w:rsidR="00FE42B5" w:rsidRDefault="00FE42B5"/>
    <w:sectPr w:rsidR="00FE42B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74FD3" w14:textId="77777777" w:rsidR="009213DC" w:rsidRDefault="009213DC" w:rsidP="009213DC">
      <w:r>
        <w:separator/>
      </w:r>
    </w:p>
  </w:endnote>
  <w:endnote w:type="continuationSeparator" w:id="0">
    <w:p w14:paraId="0B6C223A" w14:textId="77777777" w:rsidR="009213DC" w:rsidRDefault="009213DC" w:rsidP="00921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F71FC" w14:textId="77777777" w:rsidR="009213DC" w:rsidRDefault="009213DC" w:rsidP="009213DC">
      <w:r>
        <w:separator/>
      </w:r>
    </w:p>
  </w:footnote>
  <w:footnote w:type="continuationSeparator" w:id="0">
    <w:p w14:paraId="6BD08F37" w14:textId="77777777" w:rsidR="009213DC" w:rsidRDefault="009213DC" w:rsidP="009213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973652A8"/>
    <w:rsid w:val="973652A8"/>
    <w:rsid w:val="009213DC"/>
    <w:rsid w:val="00FE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6DFAA"/>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9213D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213DC"/>
    <w:rPr>
      <w:rFonts w:asciiTheme="minorEastAsia" w:hAnsiTheme="minorEastAsia" w:cs="Times New Roman"/>
      <w:sz w:val="18"/>
      <w:szCs w:val="18"/>
    </w:rPr>
  </w:style>
  <w:style w:type="paragraph" w:styleId="a8">
    <w:name w:val="footer"/>
    <w:basedOn w:val="a"/>
    <w:link w:val="a9"/>
    <w:rsid w:val="009213DC"/>
    <w:pPr>
      <w:tabs>
        <w:tab w:val="center" w:pos="4153"/>
        <w:tab w:val="right" w:pos="8306"/>
      </w:tabs>
      <w:snapToGrid w:val="0"/>
    </w:pPr>
    <w:rPr>
      <w:sz w:val="18"/>
      <w:szCs w:val="18"/>
    </w:rPr>
  </w:style>
  <w:style w:type="character" w:customStyle="1" w:styleId="a9">
    <w:name w:val="页脚 字符"/>
    <w:basedOn w:val="a0"/>
    <w:link w:val="a8"/>
    <w:rsid w:val="009213DC"/>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326801/000132680120000048/fb-03312020x10q.htm" TargetMode="External"/><Relationship Id="rId21" Type="http://schemas.openxmlformats.org/officeDocument/2006/relationships/hyperlink" Target="https://www.sec.gov/ix?doc=/Archives/edgar/data/0001326801/000132680120000048/fb-03312020x10q.htm" TargetMode="External"/><Relationship Id="rId42" Type="http://schemas.openxmlformats.org/officeDocument/2006/relationships/hyperlink" Target="https://www.sec.gov/ix?doc=/Archives/edgar/data/0001326801/000132680120000048/fb-03312020x10q.htm" TargetMode="External"/><Relationship Id="rId47" Type="http://schemas.openxmlformats.org/officeDocument/2006/relationships/hyperlink" Target="https://www.sec.gov/ix?doc=/Archives/edgar/data/0001326801/000132680120000048/fb-03312020x10q.htm" TargetMode="External"/><Relationship Id="rId63" Type="http://schemas.openxmlformats.org/officeDocument/2006/relationships/hyperlink" Target="https://www.sec.gov/ix?doc=/Archives/edgar/data/0001326801/000132680120000048/fb-03312020x10q.htm" TargetMode="External"/><Relationship Id="rId68" Type="http://schemas.openxmlformats.org/officeDocument/2006/relationships/hyperlink" Target="https://www.sec.gov/ix?doc=/Archives/edgar/data/0001326801/000132680120000048/fb-03312020x10q.htm" TargetMode="External"/><Relationship Id="rId84" Type="http://schemas.openxmlformats.org/officeDocument/2006/relationships/hyperlink" Target="https://www.sec.gov/ix?doc=/Archives/edgar/data/0001326801/000132680120000048/fb-03312020x10q.htm" TargetMode="External"/><Relationship Id="rId89" Type="http://schemas.openxmlformats.org/officeDocument/2006/relationships/hyperlink" Target="https://www.sec.gov/ix?doc=/Archives/edgar/data/0001326801/000132680120000048/fb-03312020x10q.htm" TargetMode="External"/><Relationship Id="rId112" Type="http://schemas.openxmlformats.org/officeDocument/2006/relationships/hyperlink" Target="https://www.sec.gov/ix?doc=/Archives/edgar/data/0001326801/000132680120000048/fb-03312020x10q.htm" TargetMode="External"/><Relationship Id="rId16" Type="http://schemas.openxmlformats.org/officeDocument/2006/relationships/hyperlink" Target="https://www.sec.gov/ix?doc=/Archives/edgar/data/0001326801/000132680120000048/fb-03312020x10q.htm" TargetMode="External"/><Relationship Id="rId107" Type="http://schemas.openxmlformats.org/officeDocument/2006/relationships/hyperlink" Target="https://www.sec.gov/ix?doc=/Archives/edgar/data/0001326801/000132680120000048/fb-03312020x10q.htm" TargetMode="External"/><Relationship Id="rId11" Type="http://schemas.openxmlformats.org/officeDocument/2006/relationships/hyperlink" Target="https://www.sec.gov/ix?doc=/Archives/edgar/data/0001326801/000132680120000048/fb-03312020x10q.htm" TargetMode="External"/><Relationship Id="rId32" Type="http://schemas.openxmlformats.org/officeDocument/2006/relationships/hyperlink" Target="https://www.sec.gov/ix?doc=/Archives/edgar/data/0001326801/000132680120000048/fb-03312020x10q.htm" TargetMode="External"/><Relationship Id="rId37" Type="http://schemas.openxmlformats.org/officeDocument/2006/relationships/hyperlink" Target="https://www.sec.gov/ix?doc=/Archives/edgar/data/0001326801/000132680120000048/fb-03312020x10q.htm" TargetMode="External"/><Relationship Id="rId53" Type="http://schemas.openxmlformats.org/officeDocument/2006/relationships/hyperlink" Target="https://www.sec.gov/ix?doc=/Archives/edgar/data/0001326801/000132680120000048/fb-03312020x10q.htm" TargetMode="External"/><Relationship Id="rId58" Type="http://schemas.openxmlformats.org/officeDocument/2006/relationships/hyperlink" Target="https://www.sec.gov/ix?doc=/Archives/edgar/data/0001326801/000132680120000048/fb-03312020x10q.htm" TargetMode="External"/><Relationship Id="rId74" Type="http://schemas.openxmlformats.org/officeDocument/2006/relationships/hyperlink" Target="https://www.sec.gov/ix?doc=/Archives/edgar/data/0001326801/000132680120000048/fb-03312020x10q.htm" TargetMode="External"/><Relationship Id="rId79" Type="http://schemas.openxmlformats.org/officeDocument/2006/relationships/hyperlink" Target="https://www.sec.gov/ix?doc=/Archives/edgar/data/0001326801/000132680120000048/fb-03312020x10q.htm" TargetMode="External"/><Relationship Id="rId102" Type="http://schemas.openxmlformats.org/officeDocument/2006/relationships/hyperlink" Target="https://www.sec.gov/ix?doc=/Archives/edgar/data/0001326801/000132680120000048/fb-03312020x10q.htm" TargetMode="External"/><Relationship Id="rId123" Type="http://schemas.openxmlformats.org/officeDocument/2006/relationships/hyperlink" Target="https://www.sec.gov/Archives/edgar/data/0001326801/000132680120000048/fb-03312020xex103.htm" TargetMode="External"/><Relationship Id="rId128" Type="http://schemas.openxmlformats.org/officeDocument/2006/relationships/hyperlink" Target="https://www.sec.gov/ix?doc=/Archives/edgar/data/0001326801/000132680120000048/fb-03312020x10q.htm" TargetMode="External"/><Relationship Id="rId5" Type="http://schemas.openxmlformats.org/officeDocument/2006/relationships/endnotes" Target="endnotes.xml"/><Relationship Id="rId90" Type="http://schemas.openxmlformats.org/officeDocument/2006/relationships/hyperlink" Target="https://www.sec.gov/ix?doc=/Archives/edgar/data/0001326801/000132680120000048/fb-03312020x10q.htm" TargetMode="External"/><Relationship Id="rId95" Type="http://schemas.openxmlformats.org/officeDocument/2006/relationships/hyperlink" Target="https://www.sec.gov/ix?doc=/Archives/edgar/data/0001326801/000132680120000048/fb-03312020x10q.htm" TargetMode="External"/><Relationship Id="rId22" Type="http://schemas.openxmlformats.org/officeDocument/2006/relationships/hyperlink" Target="https://www.sec.gov/ix?doc=/Archives/edgar/data/0001326801/000132680120000048/fb-03312020x10q.htm" TargetMode="External"/><Relationship Id="rId27" Type="http://schemas.openxmlformats.org/officeDocument/2006/relationships/hyperlink" Target="https://www.sec.gov/ix?doc=/Archives/edgar/data/0001326801/000132680120000048/fb-03312020x10q.htm" TargetMode="External"/><Relationship Id="rId43" Type="http://schemas.openxmlformats.org/officeDocument/2006/relationships/hyperlink" Target="https://www.sec.gov/ix?doc=/Archives/edgar/data/0001326801/000132680120000048/fb-03312020x10q.htm" TargetMode="External"/><Relationship Id="rId48" Type="http://schemas.openxmlformats.org/officeDocument/2006/relationships/hyperlink" Target="https://www.sec.gov/ix?doc=/Archives/edgar/data/0001326801/000132680120000048/fb-03312020x10q.htm" TargetMode="External"/><Relationship Id="rId64" Type="http://schemas.openxmlformats.org/officeDocument/2006/relationships/hyperlink" Target="https://www.sec.gov/ix?doc=/Archives/edgar/data/0001326801/000132680120000048/fb-03312020x10q.htm" TargetMode="External"/><Relationship Id="rId69" Type="http://schemas.openxmlformats.org/officeDocument/2006/relationships/hyperlink" Target="https://www.sec.gov/ix?doc=/Archives/edgar/data/0001326801/000132680120000048/fb-03312020x10q.htm" TargetMode="External"/><Relationship Id="rId113" Type="http://schemas.openxmlformats.org/officeDocument/2006/relationships/hyperlink" Target="https://www.sec.gov/ix?doc=/Archives/edgar/data/0001326801/000132680120000048/fb-03312020x10q.htm" TargetMode="External"/><Relationship Id="rId118" Type="http://schemas.openxmlformats.org/officeDocument/2006/relationships/hyperlink" Target="https://www.sec.gov/ix?doc=/Archives/edgar/data/0001326801/000132680120000048/fb-03312020x10q.htm" TargetMode="External"/><Relationship Id="rId80" Type="http://schemas.openxmlformats.org/officeDocument/2006/relationships/hyperlink" Target="https://www.sec.gov/ix?doc=/Archives/edgar/data/0001326801/000132680120000048/fb-03312020x10q.htm" TargetMode="External"/><Relationship Id="rId85" Type="http://schemas.openxmlformats.org/officeDocument/2006/relationships/hyperlink" Target="https://www.sec.gov/ix?doc=/Archives/edgar/data/0001326801/000132680120000048/fb-03312020x10q.htm" TargetMode="External"/><Relationship Id="rId12" Type="http://schemas.openxmlformats.org/officeDocument/2006/relationships/hyperlink" Target="https://www.sec.gov/ix?doc=/Archives/edgar/data/0001326801/000132680120000048/fb-03312020x10q.htm" TargetMode="External"/><Relationship Id="rId17" Type="http://schemas.openxmlformats.org/officeDocument/2006/relationships/hyperlink" Target="https://www.sec.gov/ix?doc=/Archives/edgar/data/0001326801/000132680120000048/fb-03312020x10q.htm" TargetMode="External"/><Relationship Id="rId33" Type="http://schemas.openxmlformats.org/officeDocument/2006/relationships/hyperlink" Target="https://www.sec.gov/ix?doc=/Archives/edgar/data/0001326801/000132680120000048/fb-03312020x10q.htm" TargetMode="External"/><Relationship Id="rId38" Type="http://schemas.openxmlformats.org/officeDocument/2006/relationships/hyperlink" Target="https://www.sec.gov/ix?doc=/Archives/edgar/data/0001326801/000132680120000048/fb-03312020x10q.htm" TargetMode="External"/><Relationship Id="rId59" Type="http://schemas.openxmlformats.org/officeDocument/2006/relationships/hyperlink" Target="https://www.sec.gov/ix?doc=/Archives/edgar/data/0001326801/000132680120000048/fb-03312020x10q.htm" TargetMode="External"/><Relationship Id="rId103" Type="http://schemas.openxmlformats.org/officeDocument/2006/relationships/hyperlink" Target="https://www.sec.gov/ix?doc=/Archives/edgar/data/0001326801/000132680120000048/fb-03312020x10q.htm" TargetMode="External"/><Relationship Id="rId108" Type="http://schemas.openxmlformats.org/officeDocument/2006/relationships/hyperlink" Target="https://www.sec.gov/ix?doc=/Archives/edgar/data/0001326801/000132680120000048/fb-03312020x10q.htm" TargetMode="External"/><Relationship Id="rId124" Type="http://schemas.openxmlformats.org/officeDocument/2006/relationships/hyperlink" Target="https://www.sec.gov/Archives/edgar/data/0001326801/000132680120000048/fb-03312020xex311.htm" TargetMode="External"/><Relationship Id="rId129" Type="http://schemas.openxmlformats.org/officeDocument/2006/relationships/fontTable" Target="fontTable.xml"/><Relationship Id="rId54" Type="http://schemas.openxmlformats.org/officeDocument/2006/relationships/hyperlink" Target="https://www.sec.gov/ix?doc=/Archives/edgar/data/0001326801/000132680120000048/fb-03312020x10q.htm" TargetMode="External"/><Relationship Id="rId75" Type="http://schemas.openxmlformats.org/officeDocument/2006/relationships/hyperlink" Target="https://www.sec.gov/ix?doc=/Archives/edgar/data/0001326801/000132680120000048/fb-03312020x10q.htm" TargetMode="External"/><Relationship Id="rId91" Type="http://schemas.openxmlformats.org/officeDocument/2006/relationships/hyperlink" Target="https://www.sec.gov/ix?doc=/Archives/edgar/data/0001326801/000132680120000048/fb-03312020x10q.htm" TargetMode="External"/><Relationship Id="rId96" Type="http://schemas.openxmlformats.org/officeDocument/2006/relationships/hyperlink" Target="https://www.sec.gov/ix?doc=/Archives/edgar/data/0001326801/000132680120000048/fb-03312020x10q.htm" TargetMode="External"/><Relationship Id="rId1" Type="http://schemas.openxmlformats.org/officeDocument/2006/relationships/styles" Target="styles.xml"/><Relationship Id="rId6" Type="http://schemas.openxmlformats.org/officeDocument/2006/relationships/hyperlink" Target="https://www.sec.gov/ix?doc=/Archives/edgar/data/0001326801/000132680120000048/fb-03312020x10q.htm" TargetMode="External"/><Relationship Id="rId23" Type="http://schemas.openxmlformats.org/officeDocument/2006/relationships/hyperlink" Target="https://www.sec.gov/ix?doc=/Archives/edgar/data/0001326801/000132680120000048/fb-03312020x10q.htm" TargetMode="External"/><Relationship Id="rId28" Type="http://schemas.openxmlformats.org/officeDocument/2006/relationships/hyperlink" Target="https://www.sec.gov/ix?doc=/Archives/edgar/data/0001326801/000132680120000048/fb-03312020x10q.htm" TargetMode="External"/><Relationship Id="rId49" Type="http://schemas.openxmlformats.org/officeDocument/2006/relationships/hyperlink" Target="https://www.sec.gov/ix?doc=/Archives/edgar/data/0001326801/000132680120000048/fb-03312020x10q.htm" TargetMode="External"/><Relationship Id="rId114" Type="http://schemas.openxmlformats.org/officeDocument/2006/relationships/hyperlink" Target="https://www.sec.gov/ix?doc=/Archives/edgar/data/0001326801/000132680120000048/fb-03312020x10q.htm" TargetMode="External"/><Relationship Id="rId119" Type="http://schemas.openxmlformats.org/officeDocument/2006/relationships/hyperlink" Target="https://www.sec.gov/ix?doc=/Archives/edgar/data/0001326801/000132680120000048/fb-03312020x10q.htm" TargetMode="External"/><Relationship Id="rId44" Type="http://schemas.openxmlformats.org/officeDocument/2006/relationships/hyperlink" Target="https://www.sec.gov/ix?doc=/Archives/edgar/data/0001326801/000132680120000048/fb-03312020x10q.htm" TargetMode="External"/><Relationship Id="rId60" Type="http://schemas.openxmlformats.org/officeDocument/2006/relationships/hyperlink" Target="https://www.sec.gov/ix?doc=/Archives/edgar/data/0001326801/000132680120000048/fb-03312020x10q.htm" TargetMode="External"/><Relationship Id="rId65" Type="http://schemas.openxmlformats.org/officeDocument/2006/relationships/hyperlink" Target="https://www.sec.gov/ix?doc=/Archives/edgar/data/0001326801/000132680120000048/fb-03312020x10q.htm" TargetMode="External"/><Relationship Id="rId81" Type="http://schemas.openxmlformats.org/officeDocument/2006/relationships/hyperlink" Target="https://www.sec.gov/ix?doc=/Archives/edgar/data/0001326801/000132680120000048/fb-03312020x10q.htm" TargetMode="External"/><Relationship Id="rId86" Type="http://schemas.openxmlformats.org/officeDocument/2006/relationships/hyperlink" Target="https://www.sec.gov/ix?doc=/Archives/edgar/data/0001326801/000132680120000048/fb-03312020x10q.htm" TargetMode="External"/><Relationship Id="rId130" Type="http://schemas.openxmlformats.org/officeDocument/2006/relationships/theme" Target="theme/theme1.xml"/><Relationship Id="rId13" Type="http://schemas.openxmlformats.org/officeDocument/2006/relationships/hyperlink" Target="https://www.sec.gov/ix?doc=/Archives/edgar/data/0001326801/000132680120000048/fb-03312020x10q.htm" TargetMode="External"/><Relationship Id="rId18" Type="http://schemas.openxmlformats.org/officeDocument/2006/relationships/hyperlink" Target="https://www.sec.gov/ix?doc=/Archives/edgar/data/0001326801/000132680120000048/fb-03312020x10q.htm" TargetMode="External"/><Relationship Id="rId39" Type="http://schemas.openxmlformats.org/officeDocument/2006/relationships/hyperlink" Target="https://www.sec.gov/ix?doc=/Archives/edgar/data/0001326801/000132680120000048/fb-03312020x10q.htm" TargetMode="External"/><Relationship Id="rId109" Type="http://schemas.openxmlformats.org/officeDocument/2006/relationships/hyperlink" Target="https://www.sec.gov/ix?doc=/Archives/edgar/data/0001326801/000132680120000048/fb-03312020x10q.htm" TargetMode="External"/><Relationship Id="rId34" Type="http://schemas.openxmlformats.org/officeDocument/2006/relationships/hyperlink" Target="https://www.sec.gov/ix?doc=/Archives/edgar/data/0001326801/000132680120000048/fb-03312020x10q.htm" TargetMode="External"/><Relationship Id="rId50" Type="http://schemas.openxmlformats.org/officeDocument/2006/relationships/hyperlink" Target="https://www.sec.gov/ix?doc=/Archives/edgar/data/0001326801/000132680120000048/fb-03312020x10q.htm" TargetMode="External"/><Relationship Id="rId55" Type="http://schemas.openxmlformats.org/officeDocument/2006/relationships/hyperlink" Target="https://www.sec.gov/ix?doc=/Archives/edgar/data/0001326801/000132680120000048/fb-03312020x10q.htm" TargetMode="External"/><Relationship Id="rId76" Type="http://schemas.openxmlformats.org/officeDocument/2006/relationships/hyperlink" Target="https://www.sec.gov/ix?doc=/Archives/edgar/data/0001326801/000132680120000048/fb-03312020x10q.htm" TargetMode="External"/><Relationship Id="rId97" Type="http://schemas.openxmlformats.org/officeDocument/2006/relationships/hyperlink" Target="https://www.sec.gov/ix?doc=/Archives/edgar/data/0001326801/000132680120000048/fb-03312020x10q.htm" TargetMode="External"/><Relationship Id="rId104" Type="http://schemas.openxmlformats.org/officeDocument/2006/relationships/hyperlink" Target="https://www.sec.gov/ix?doc=/Archives/edgar/data/0001326801/000132680120000048/fb-03312020x10q.htm" TargetMode="External"/><Relationship Id="rId120" Type="http://schemas.openxmlformats.org/officeDocument/2006/relationships/hyperlink" Target="https://www.sec.gov/ix?doc=/Archives/edgar/data/0001326801/000132680120000048/fb-03312020x10q.htm" TargetMode="External"/><Relationship Id="rId125" Type="http://schemas.openxmlformats.org/officeDocument/2006/relationships/hyperlink" Target="https://www.sec.gov/Archives/edgar/data/0001326801/000132680120000048/fb-03312020xex312.htm" TargetMode="External"/><Relationship Id="rId7" Type="http://schemas.openxmlformats.org/officeDocument/2006/relationships/hyperlink" Target="https://www.sec.gov/ix?doc=/Archives/edgar/data/0001326801/000132680120000048/fb-03312020x10q.htm" TargetMode="External"/><Relationship Id="rId71" Type="http://schemas.openxmlformats.org/officeDocument/2006/relationships/hyperlink" Target="https://www.sec.gov/ix?doc=/Archives/edgar/data/0001326801/000132680120000048/fb-03312020x10q.htm" TargetMode="External"/><Relationship Id="rId92" Type="http://schemas.openxmlformats.org/officeDocument/2006/relationships/hyperlink" Target="https://www.sec.gov/ix?doc=/Archives/edgar/data/0001326801/000132680120000048/fb-03312020x10q.htm" TargetMode="External"/><Relationship Id="rId2" Type="http://schemas.openxmlformats.org/officeDocument/2006/relationships/settings" Target="settings.xml"/><Relationship Id="rId29" Type="http://schemas.openxmlformats.org/officeDocument/2006/relationships/hyperlink" Target="https://www.sec.gov/ix?doc=/Archives/edgar/data/0001326801/000132680120000048/fb-03312020x10q.htm" TargetMode="External"/><Relationship Id="rId24" Type="http://schemas.openxmlformats.org/officeDocument/2006/relationships/hyperlink" Target="https://www.sec.gov/ix?doc=/Archives/edgar/data/0001326801/000132680120000048/fb-03312020x10q.htm" TargetMode="External"/><Relationship Id="rId40" Type="http://schemas.openxmlformats.org/officeDocument/2006/relationships/hyperlink" Target="https://www.sec.gov/ix?doc=/Archives/edgar/data/0001326801/000132680120000048/fb-03312020x10q.htm" TargetMode="External"/><Relationship Id="rId45" Type="http://schemas.openxmlformats.org/officeDocument/2006/relationships/hyperlink" Target="https://www.sec.gov/ix?doc=/Archives/edgar/data/0001326801/000132680120000048/fb-03312020x10q.htm" TargetMode="External"/><Relationship Id="rId66" Type="http://schemas.openxmlformats.org/officeDocument/2006/relationships/hyperlink" Target="https://www.sec.gov/ix?doc=/Archives/edgar/data/0001326801/000132680120000048/fb-03312020x10q.htm" TargetMode="External"/><Relationship Id="rId87" Type="http://schemas.openxmlformats.org/officeDocument/2006/relationships/hyperlink" Target="https://www.sec.gov/ix?doc=/Archives/edgar/data/0001326801/000132680120000048/fb-03312020x10q.htm" TargetMode="External"/><Relationship Id="rId110" Type="http://schemas.openxmlformats.org/officeDocument/2006/relationships/hyperlink" Target="https://www.sec.gov/ix?doc=/Archives/edgar/data/0001326801/000132680120000048/fb-03312020x10q.htm" TargetMode="External"/><Relationship Id="rId115" Type="http://schemas.openxmlformats.org/officeDocument/2006/relationships/hyperlink" Target="https://www.sec.gov/ix?doc=/Archives/edgar/data/0001326801/000132680120000048/fb-03312020x10q.htm" TargetMode="External"/><Relationship Id="rId61" Type="http://schemas.openxmlformats.org/officeDocument/2006/relationships/hyperlink" Target="https://www.sec.gov/ix?doc=/Archives/edgar/data/0001326801/000132680120000048/fb-03312020x10q.htm" TargetMode="External"/><Relationship Id="rId82" Type="http://schemas.openxmlformats.org/officeDocument/2006/relationships/hyperlink" Target="https://www.sec.gov/ix?doc=/Archives/edgar/data/0001326801/000132680120000048/fb-03312020x10q.htm" TargetMode="External"/><Relationship Id="rId19" Type="http://schemas.openxmlformats.org/officeDocument/2006/relationships/hyperlink" Target="https://www.sec.gov/ix?doc=/Archives/edgar/data/0001326801/000132680120000048/fb-03312020x10q.htm" TargetMode="External"/><Relationship Id="rId14" Type="http://schemas.openxmlformats.org/officeDocument/2006/relationships/hyperlink" Target="https://www.sec.gov/ix?doc=/Archives/edgar/data/0001326801/000132680120000048/fb-03312020x10q.htm" TargetMode="External"/><Relationship Id="rId30" Type="http://schemas.openxmlformats.org/officeDocument/2006/relationships/hyperlink" Target="https://www.sec.gov/ix?doc=/Archives/edgar/data/0001326801/000132680120000048/fb-03312020x10q.htm" TargetMode="External"/><Relationship Id="rId35" Type="http://schemas.openxmlformats.org/officeDocument/2006/relationships/hyperlink" Target="https://www.sec.gov/ix?doc=/Archives/edgar/data/0001326801/000132680120000048/fb-03312020x10q.htm" TargetMode="External"/><Relationship Id="rId56" Type="http://schemas.openxmlformats.org/officeDocument/2006/relationships/hyperlink" Target="https://www.sec.gov/ix?doc=/Archives/edgar/data/0001326801/000132680120000048/fb-03312020x10q.htm" TargetMode="External"/><Relationship Id="rId77" Type="http://schemas.openxmlformats.org/officeDocument/2006/relationships/hyperlink" Target="https://www.sec.gov/ix?doc=/Archives/edgar/data/0001326801/000132680120000048/fb-03312020x10q.htm" TargetMode="External"/><Relationship Id="rId100" Type="http://schemas.openxmlformats.org/officeDocument/2006/relationships/hyperlink" Target="https://www.sec.gov/ix?doc=/Archives/edgar/data/0001326801/000132680120000048/fb-03312020x10q.htm" TargetMode="External"/><Relationship Id="rId105" Type="http://schemas.openxmlformats.org/officeDocument/2006/relationships/hyperlink" Target="https://www.sec.gov/ix?doc=/Archives/edgar/data/0001326801/000132680120000048/fb-03312020x10q.htm" TargetMode="External"/><Relationship Id="rId126" Type="http://schemas.openxmlformats.org/officeDocument/2006/relationships/hyperlink" Target="https://www.sec.gov/Archives/edgar/data/0001326801/000132680120000048/fb-03312020xex321.htm" TargetMode="External"/><Relationship Id="rId8" Type="http://schemas.openxmlformats.org/officeDocument/2006/relationships/hyperlink" Target="https://www.sec.gov/ix?doc=/Archives/edgar/data/0001326801/000132680120000048/fb-03312020x10q.htm" TargetMode="External"/><Relationship Id="rId51" Type="http://schemas.openxmlformats.org/officeDocument/2006/relationships/hyperlink" Target="https://www.sec.gov/ix?doc=/Archives/edgar/data/0001326801/000132680120000048/fb-03312020x10q.htm" TargetMode="External"/><Relationship Id="rId72" Type="http://schemas.openxmlformats.org/officeDocument/2006/relationships/hyperlink" Target="https://www.sec.gov/ix?doc=/Archives/edgar/data/0001326801/000132680120000048/fb-03312020x10q.htm" TargetMode="External"/><Relationship Id="rId93" Type="http://schemas.openxmlformats.org/officeDocument/2006/relationships/hyperlink" Target="https://www.sec.gov/ix?doc=/Archives/edgar/data/0001326801/000132680120000048/fb-03312020x10q.htm" TargetMode="External"/><Relationship Id="rId98" Type="http://schemas.openxmlformats.org/officeDocument/2006/relationships/hyperlink" Target="https://www.sec.gov/ix?doc=/Archives/edgar/data/0001326801/000132680120000048/fb-03312020x10q.htm" TargetMode="External"/><Relationship Id="rId121" Type="http://schemas.openxmlformats.org/officeDocument/2006/relationships/hyperlink" Target="https://www.sec.gov/Archives/edgar/data/0001326801/000132680120000048/fb-03312020xex101.htm" TargetMode="External"/><Relationship Id="rId3" Type="http://schemas.openxmlformats.org/officeDocument/2006/relationships/webSettings" Target="webSettings.xml"/><Relationship Id="rId25" Type="http://schemas.openxmlformats.org/officeDocument/2006/relationships/hyperlink" Target="https://www.sec.gov/ix?doc=/Archives/edgar/data/0001326801/000132680120000048/fb-03312020x10q.htm" TargetMode="External"/><Relationship Id="rId46" Type="http://schemas.openxmlformats.org/officeDocument/2006/relationships/hyperlink" Target="https://www.sec.gov/ix?doc=/Archives/edgar/data/0001326801/000132680120000048/fb-03312020x10q.htm" TargetMode="External"/><Relationship Id="rId67" Type="http://schemas.openxmlformats.org/officeDocument/2006/relationships/hyperlink" Target="https://www.sec.gov/ix?doc=/Archives/edgar/data/0001326801/000132680120000048/fb-03312020x10q.htm" TargetMode="External"/><Relationship Id="rId116" Type="http://schemas.openxmlformats.org/officeDocument/2006/relationships/hyperlink" Target="https://www.sec.gov/ix?doc=/Archives/edgar/data/0001326801/000132680120000048/fb-03312020x10q.htm" TargetMode="External"/><Relationship Id="rId20" Type="http://schemas.openxmlformats.org/officeDocument/2006/relationships/hyperlink" Target="https://www.sec.gov/ix?doc=/Archives/edgar/data/0001326801/000132680120000048/fb-03312020x10q.htm" TargetMode="External"/><Relationship Id="rId41" Type="http://schemas.openxmlformats.org/officeDocument/2006/relationships/hyperlink" Target="https://www.sec.gov/ix?doc=/Archives/edgar/data/0001326801/000132680120000048/fb-03312020x10q.htm" TargetMode="External"/><Relationship Id="rId62" Type="http://schemas.openxmlformats.org/officeDocument/2006/relationships/hyperlink" Target="https://www.sec.gov/ix?doc=/Archives/edgar/data/0001326801/000132680120000048/fb-03312020x10q.htm" TargetMode="External"/><Relationship Id="rId83" Type="http://schemas.openxmlformats.org/officeDocument/2006/relationships/hyperlink" Target="https://www.sec.gov/ix?doc=/Archives/edgar/data/0001326801/000132680120000048/fb-03312020x10q.htm" TargetMode="External"/><Relationship Id="rId88" Type="http://schemas.openxmlformats.org/officeDocument/2006/relationships/hyperlink" Target="https://www.sec.gov/ix?doc=/Archives/edgar/data/0001326801/000132680120000048/fb-03312020x10q.htm" TargetMode="External"/><Relationship Id="rId111" Type="http://schemas.openxmlformats.org/officeDocument/2006/relationships/hyperlink" Target="https://www.sec.gov/ix?doc=/Archives/edgar/data/0001326801/000132680120000048/fb-03312020x10q.htm" TargetMode="External"/><Relationship Id="rId15" Type="http://schemas.openxmlformats.org/officeDocument/2006/relationships/hyperlink" Target="https://www.sec.gov/ix?doc=/Archives/edgar/data/0001326801/000132680120000048/fb-03312020x10q.htm" TargetMode="External"/><Relationship Id="rId36" Type="http://schemas.openxmlformats.org/officeDocument/2006/relationships/hyperlink" Target="https://www.sec.gov/ix?doc=/Archives/edgar/data/0001326801/000132680120000048/fb-03312020x10q.htm" TargetMode="External"/><Relationship Id="rId57" Type="http://schemas.openxmlformats.org/officeDocument/2006/relationships/hyperlink" Target="https://www.sec.gov/ix?doc=/Archives/edgar/data/0001326801/000132680120000048/fb-03312020x10q.htm" TargetMode="External"/><Relationship Id="rId106" Type="http://schemas.openxmlformats.org/officeDocument/2006/relationships/hyperlink" Target="https://www.sec.gov/ix?doc=/Archives/edgar/data/0001326801/000132680120000048/fb-03312020x10q.htm" TargetMode="External"/><Relationship Id="rId127" Type="http://schemas.openxmlformats.org/officeDocument/2006/relationships/hyperlink" Target="https://www.sec.gov/Archives/edgar/data/0001326801/000132680120000048/fb-03312020xex322.htm" TargetMode="External"/><Relationship Id="rId10" Type="http://schemas.openxmlformats.org/officeDocument/2006/relationships/hyperlink" Target="https://www.sec.gov/ix?doc=/Archives/edgar/data/0001326801/000132680120000048/fb-03312020x10q.htm" TargetMode="External"/><Relationship Id="rId31" Type="http://schemas.openxmlformats.org/officeDocument/2006/relationships/hyperlink" Target="https://www.sec.gov/ix?doc=/Archives/edgar/data/0001326801/000132680120000048/fb-03312020x10q.htm" TargetMode="External"/><Relationship Id="rId52" Type="http://schemas.openxmlformats.org/officeDocument/2006/relationships/hyperlink" Target="https://www.sec.gov/ix?doc=/Archives/edgar/data/0001326801/000132680120000048/fb-03312020x10q.htm" TargetMode="External"/><Relationship Id="rId73" Type="http://schemas.openxmlformats.org/officeDocument/2006/relationships/hyperlink" Target="https://www.sec.gov/ix?doc=/Archives/edgar/data/0001326801/000132680120000048/fb-03312020x10q.htm" TargetMode="External"/><Relationship Id="rId78" Type="http://schemas.openxmlformats.org/officeDocument/2006/relationships/hyperlink" Target="https://www.sec.gov/ix?doc=/Archives/edgar/data/0001326801/000132680120000048/fb-03312020x10q.htm" TargetMode="External"/><Relationship Id="rId94" Type="http://schemas.openxmlformats.org/officeDocument/2006/relationships/hyperlink" Target="https://www.sec.gov/ix?doc=/Archives/edgar/data/0001326801/000132680120000048/fb-03312020x10q.htm" TargetMode="External"/><Relationship Id="rId99" Type="http://schemas.openxmlformats.org/officeDocument/2006/relationships/hyperlink" Target="https://www.sec.gov/ix?doc=/Archives/edgar/data/0001326801/000132680120000048/fb-03312020x10q.htm" TargetMode="External"/><Relationship Id="rId101" Type="http://schemas.openxmlformats.org/officeDocument/2006/relationships/hyperlink" Target="https://www.sec.gov/ix?doc=/Archives/edgar/data/0001326801/000132680120000048/fb-03312020x10q.htm" TargetMode="External"/><Relationship Id="rId122" Type="http://schemas.openxmlformats.org/officeDocument/2006/relationships/hyperlink" Target="https://www.sec.gov/Archives/edgar/data/0001326801/000132680120000048/fb-03312020xex102.htm" TargetMode="External"/><Relationship Id="rId4" Type="http://schemas.openxmlformats.org/officeDocument/2006/relationships/footnotes" Target="footnotes.xml"/><Relationship Id="rId9" Type="http://schemas.openxmlformats.org/officeDocument/2006/relationships/hyperlink" Target="https://www.sec.gov/ix?doc=/Archives/edgar/data/0001326801/000132680120000048/fb-03312020x10q.htm" TargetMode="External"/><Relationship Id="rId26" Type="http://schemas.openxmlformats.org/officeDocument/2006/relationships/hyperlink" Target="https://www.sec.gov/ix?doc=/Archives/edgar/data/0001326801/000132680120000048/fb-03312020x10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48853</Words>
  <Characters>278467</Characters>
  <Application>Microsoft Office Word</Application>
  <DocSecurity>0</DocSecurity>
  <Lines>2320</Lines>
  <Paragraphs>653</Paragraphs>
  <ScaleCrop>false</ScaleCrop>
  <Company/>
  <LinksUpToDate>false</LinksUpToDate>
  <CharactersWithSpaces>326667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2023-02-11T20:25:00Z</dcterms:created>
  <dcterms:modified xsi:type="dcterms:W3CDTF">2023-02-13T11:19:00Z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A79F5F1D733D41D75489E763F5C793D0</vt:lpwstr>
  </property>
</Properties>
</file>