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96B4" w14:textId="2E3B49C6" w:rsidR="00DF3E10" w:rsidRDefault="006B6C28">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false--12-31Q220200001326801P1Y2060000000.0000060.000006500000000041410000005000000000414100000024070000004450000002406000000444000000240700000044500000024060000004440000000.420.420.42000 0001326801 2020-01-01 2020-06-30 0001326801 us-gaap:CommonClassBMemb</w:t>
      </w:r>
      <w:r>
        <w:rPr>
          <w:rFonts w:ascii="Times New Roman" w:eastAsia="宋体" w:hAnsi="Times New Roman"/>
          <w:vanish/>
          <w:sz w:val="20"/>
          <w:szCs w:val="20"/>
        </w:rPr>
        <w:t>er 2020-07-23 0001326801 us-gaap:CommonClassAMember 2020-07-23 0001326801 2019-12-31 0001326801 2020-06-30 0001326801 us-gaap:CommonClassBMember 2020-06-30 0001326801 us-gaap:CommonClassBMember 2019-12-31 0001326801 us-gaap:CommonClassAMember 2019-12-31 00</w:t>
      </w:r>
      <w:r>
        <w:rPr>
          <w:rFonts w:ascii="Times New Roman" w:eastAsia="宋体" w:hAnsi="Times New Roman"/>
          <w:vanish/>
          <w:sz w:val="20"/>
          <w:szCs w:val="20"/>
        </w:rPr>
        <w:t>01326801 us-gaap:CommonClassAMember 2020-06-30 0001326801 2019-01-01 2019-06-30 0001326801 us-gaap:GeneralAndAdministrativeExpenseMember 2020-04-01 2020-06-30 0001326801 2019-04-01 2019-06-30 0001326801 us-gaap:CostOfSalesMember 2019-04-01 2019-06-30 00013</w:t>
      </w:r>
      <w:r>
        <w:rPr>
          <w:rFonts w:ascii="Times New Roman" w:eastAsia="宋体" w:hAnsi="Times New Roman"/>
          <w:vanish/>
          <w:sz w:val="20"/>
          <w:szCs w:val="20"/>
        </w:rPr>
        <w:t>26801 us-gaap:SellingAndMarketingExpenseMember 2020-01-01 2020-06-30 0001326801 2020-04-01 2020-06-30 0001326801 us-gaap:ResearchAndDevelopmentExpenseMember 2020-04-01 2020-06-30 0001326801 us-gaap:SellingAndMarketingExpenseMember 2019-01-01 2019-06-30 000</w:t>
      </w:r>
      <w:r>
        <w:rPr>
          <w:rFonts w:ascii="Times New Roman" w:eastAsia="宋体" w:hAnsi="Times New Roman"/>
          <w:vanish/>
          <w:sz w:val="20"/>
          <w:szCs w:val="20"/>
        </w:rPr>
        <w:t>1326801 us-gaap:ResearchAndDevelopmentExpenseMember 2019-01-01 2019-06-30 0001326801 us-gaap:GeneralAndAdministrativeExpenseMember 2020-01-01 2020-06-30 0001326801 us-gaap:ResearchAndDevelopmentExpenseMember 2020-01-01 2020-06-30 0001326801 us-gaap:CostOfS</w:t>
      </w:r>
      <w:r>
        <w:rPr>
          <w:rFonts w:ascii="Times New Roman" w:eastAsia="宋体" w:hAnsi="Times New Roman"/>
          <w:vanish/>
          <w:sz w:val="20"/>
          <w:szCs w:val="20"/>
        </w:rPr>
        <w:t>alesMember 2019-01-01 2019-06-30 0001326801 us-gaap:SellingAndMarketingExpenseMember 2020-04-01 2020-06-30 0001326801 us-gaap:GeneralAndAdministrativeExpenseMember 2019-01-01 2019-06-30 0001326801 us-gaap:SellingAndMarketingExpenseMember 2019-04-01 2019-06</w:t>
      </w:r>
      <w:r>
        <w:rPr>
          <w:rFonts w:ascii="Times New Roman" w:eastAsia="宋体" w:hAnsi="Times New Roman"/>
          <w:vanish/>
          <w:sz w:val="20"/>
          <w:szCs w:val="20"/>
        </w:rPr>
        <w:t xml:space="preserve">-30 0001326801 us-gaap:CostOfSalesMember 2020-04-01 2020-06-30 0001326801 us-gaap:ResearchAndDevelopmentExpenseMember 2019-04-01 2019-06-30 0001326801 us-gaap:GeneralAndAdministrativeExpenseMember 2019-04-01 2019-06-30 0001326801 us-gaap:CostOfSalesMember </w:t>
      </w:r>
      <w:r>
        <w:rPr>
          <w:rFonts w:ascii="Times New Roman" w:eastAsia="宋体" w:hAnsi="Times New Roman"/>
          <w:vanish/>
          <w:sz w:val="20"/>
          <w:szCs w:val="20"/>
        </w:rPr>
        <w:t>2020-01-01 2020-06-30 0001326801 us-gaap:RetainedEarningsMember 2019-01-01 2019-06-30 0001326801 us-gaap:CommonStockMember 2019-04-01 2019-06-30 0001326801 us-gaap:AdditionalPaidInCapitalMember 2020-04-01 2020-06-30 0001326801 us-gaap:RetainedEarningsMembe</w:t>
      </w:r>
      <w:r>
        <w:rPr>
          <w:rFonts w:ascii="Times New Roman" w:eastAsia="宋体" w:hAnsi="Times New Roman"/>
          <w:vanish/>
          <w:sz w:val="20"/>
          <w:szCs w:val="20"/>
        </w:rPr>
        <w:t>r 2020-03-31 0001326801 2019-06-30 0001326801 us-gaap:AccumulatedOtherComprehensiveIncomeMember 2020-03-31 0001326801 us-gaap:CommonStockMember 2019-06-30 0001326801 us-gaap:AdditionalPaidInCapitalMember 2020-01-01 2020-06-30 0001326801 us-gaap:AdditionalP</w:t>
      </w:r>
      <w:r>
        <w:rPr>
          <w:rFonts w:ascii="Times New Roman" w:eastAsia="宋体" w:hAnsi="Times New Roman"/>
          <w:vanish/>
          <w:sz w:val="20"/>
          <w:szCs w:val="20"/>
        </w:rPr>
        <w:t>aidInCapitalMember 2020-06-30 0001326801 us-gaap:RetainedEarningsMember 2020-01-01 2020-06-30 0001326801 us-gaap:CommonStockMember 2018-12-31 0001326801 us-gaap:RetainedEarningsMember 2019-04-01 2019-06-30 0001326801 us-gaap:AccumulatedOtherComprehensiveIn</w:t>
      </w:r>
      <w:r>
        <w:rPr>
          <w:rFonts w:ascii="Times New Roman" w:eastAsia="宋体" w:hAnsi="Times New Roman"/>
          <w:vanish/>
          <w:sz w:val="20"/>
          <w:szCs w:val="20"/>
        </w:rPr>
        <w:t>comeMember 2019-12-31 0001326801 us-gaap:AccumulatedOtherComprehensiveIncomeMember 2019-04-01 2019-06-30 0001326801 us-gaap:AccumulatedOtherComprehensiveIncomeMember 2019-06-30 0001326801 us-gaap:AccumulatedOtherComprehensiveIncomeMember 2019-03-31 0001326</w:t>
      </w:r>
      <w:r>
        <w:rPr>
          <w:rFonts w:ascii="Times New Roman" w:eastAsia="宋体" w:hAnsi="Times New Roman"/>
          <w:vanish/>
          <w:sz w:val="20"/>
          <w:szCs w:val="20"/>
        </w:rPr>
        <w:t>801 us-gaap:CommonStockMember 2019-12-31 0001326801 us-gaap:AdditionalPaidInCapitalMember 2019-03-31 0001326801 us-gaap:CommonStockMember 2020-01-01 2020-06-30 0001326801 us-gaap:RetainedEarningsMember 2020-06-30 0001326801 us-gaap:AdditionalPaidInCapitalM</w:t>
      </w:r>
      <w:r>
        <w:rPr>
          <w:rFonts w:ascii="Times New Roman" w:eastAsia="宋体" w:hAnsi="Times New Roman"/>
          <w:vanish/>
          <w:sz w:val="20"/>
          <w:szCs w:val="20"/>
        </w:rPr>
        <w:t>ember 2019-12-31 0001326801 us-gaap:AccumulatedOtherComprehensiveIncomeMember 2020-06-30 0001326801 2019-03-31 0001326801 us-gaap:CommonStockMember 2020-06-30 0001326801 us-gaap:CommonStockMember 2019-01-01 2019-06-30 0001326801 us-gaap:AdditionalPaidInCap</w:t>
      </w:r>
      <w:r>
        <w:rPr>
          <w:rFonts w:ascii="Times New Roman" w:eastAsia="宋体" w:hAnsi="Times New Roman"/>
          <w:vanish/>
          <w:sz w:val="20"/>
          <w:szCs w:val="20"/>
        </w:rPr>
        <w:t>italMember 2019-06-30 0001326801 us-gaap:AdditionalPaidInCapitalMember 2020-03-31 0001326801 us-gaap:CommonStockMember 2020-03-31 0001326801 us-gaap:AdditionalPaidInCapitalMember 2019-01-01 2019-06-30 0001326801 us-gaap:RetainedEarningsMember 2020-04-01 20</w:t>
      </w:r>
      <w:r>
        <w:rPr>
          <w:rFonts w:ascii="Times New Roman" w:eastAsia="宋体" w:hAnsi="Times New Roman"/>
          <w:vanish/>
          <w:sz w:val="20"/>
          <w:szCs w:val="20"/>
        </w:rPr>
        <w:t>20-06-30 0001326801 us-gaap:AdditionalPaidInCapitalMember 2019-04-01 2019-06-30 0001326801 us-gaap:AccumulatedOtherComprehensiveIncomeMember 2018-12-31 0001326801 us-gaap:AccumulatedOtherComprehensiveIncomeMember 2020-01-01 2020-06-30 0001326801 us-gaap:Re</w:t>
      </w:r>
      <w:r>
        <w:rPr>
          <w:rFonts w:ascii="Times New Roman" w:eastAsia="宋体" w:hAnsi="Times New Roman"/>
          <w:vanish/>
          <w:sz w:val="20"/>
          <w:szCs w:val="20"/>
        </w:rPr>
        <w:t xml:space="preserve">tainedEarningsMember 2019-06-30 0001326801 us-gaap:RetainedEarningsMember 2018-12-31 0001326801 us-gaap:RetainedEarningsMember 2019-03-31 0001326801 us-gaap:CommonStockMember 2020-04-01 2020-06-30 0001326801 2020-03-31 0001326801 us-gaap:CommonStockMember </w:t>
      </w:r>
      <w:r>
        <w:rPr>
          <w:rFonts w:ascii="Times New Roman" w:eastAsia="宋体" w:hAnsi="Times New Roman"/>
          <w:vanish/>
          <w:sz w:val="20"/>
          <w:szCs w:val="20"/>
        </w:rPr>
        <w:t>2019-03-31 0001326801 us-gaap:AccumulatedOtherComprehensiveIncomeMember 2019-01-01 2019-06-30 0001326801 us-gaap:AccumulatedOtherComprehensiveIncomeMember 2020-04-01 2020-06-30 0001326801 us-gaap:RetainedEarningsMember 2019-12-31 0001326801 us-gaap:Additio</w:t>
      </w:r>
      <w:r>
        <w:rPr>
          <w:rFonts w:ascii="Times New Roman" w:eastAsia="宋体" w:hAnsi="Times New Roman"/>
          <w:vanish/>
          <w:sz w:val="20"/>
          <w:szCs w:val="20"/>
        </w:rPr>
        <w:t>nalPaidInCapitalMember 2018-12-31 0001326801 2018-12-31 0001326801 us-gaap:PrepaidExpensesAndOtherCurrentAssetsMember 2020-06-30 0001326801 us-gaap:OtherAssetsMember 2019-06-30 0001326801 us-gaap:OtherAssetsMember 2020-06-30 0001326801 us-gaap:PrepaidExpen</w:t>
      </w:r>
      <w:r>
        <w:rPr>
          <w:rFonts w:ascii="Times New Roman" w:eastAsia="宋体" w:hAnsi="Times New Roman"/>
          <w:vanish/>
          <w:sz w:val="20"/>
          <w:szCs w:val="20"/>
        </w:rPr>
        <w:t>sesAndOtherCurrentAssetsMember 2019-06-30 0001326801 country:US us-gaap:RevenueFromContractWithCustomerMember us-gaap:GeographicConcentrationRiskMember 2020-04-01 2020-06-30 0001326801 country:US us-gaap:RevenueFromContractWithCustomerMember us-gaap:Geogra</w:t>
      </w:r>
      <w:r>
        <w:rPr>
          <w:rFonts w:ascii="Times New Roman" w:eastAsia="宋体" w:hAnsi="Times New Roman"/>
          <w:vanish/>
          <w:sz w:val="20"/>
          <w:szCs w:val="20"/>
        </w:rPr>
        <w:t>phicConcentrationRiskMember 2020-01-01 2020-06-30 0001326801 country:US us-gaap:RevenueFromContractWithCustomerMember us-gaap:GeographicConcentrationRiskMember 2019-01-01 2019-06-30 0001326801 country:US us-gaap:RevenueFromContractWithCustomerMember us-gaa</w:t>
      </w:r>
      <w:r>
        <w:rPr>
          <w:rFonts w:ascii="Times New Roman" w:eastAsia="宋体" w:hAnsi="Times New Roman"/>
          <w:vanish/>
          <w:sz w:val="20"/>
          <w:szCs w:val="20"/>
        </w:rPr>
        <w:t>p:GeographicConcentrationRiskMember 2019-04-01 2019-06-30 0001326801 us-gaap:AdvertisingMember 2019-04-01 2019-06-30 0001326801 us-gaap:ServiceOtherMember 2019-04-01 2019-06-30 0001326801 us-gaap:ServiceOtherMember 2019-01-01 2019-06-30 0001326801 us-gaap:</w:t>
      </w:r>
      <w:r>
        <w:rPr>
          <w:rFonts w:ascii="Times New Roman" w:eastAsia="宋体" w:hAnsi="Times New Roman"/>
          <w:vanish/>
          <w:sz w:val="20"/>
          <w:szCs w:val="20"/>
        </w:rPr>
        <w:t xml:space="preserve">AdvertisingMember 2020-04-01 2020-06-30 0001326801 us-gaap:AdvertisingMember 2019-01-01 2019-06-30 0001326801 us-gaap:AdvertisingMember 2020-01-01 2020-06-30 0001326801 us-gaap:ServiceOtherMember 2020-04-01 2020-06-30 0001326801 us-gaap:ServiceOtherMember </w:t>
      </w:r>
      <w:r>
        <w:rPr>
          <w:rFonts w:ascii="Times New Roman" w:eastAsia="宋体" w:hAnsi="Times New Roman"/>
          <w:vanish/>
          <w:sz w:val="20"/>
          <w:szCs w:val="20"/>
        </w:rPr>
        <w:t>2020-01-01 2020-06-30 0001326801 country:US 2019-04-01 2019-06-30 0001326801 country:US 2019-01-01 2019-06-30 0001326801 country:US 2020-04-01 2020-06-30 0001326801 country:US 2020-01-01 2020-06-30 0001326801 srt:AsiaPacificMember 2019-01-01 2019-06-30 000</w:t>
      </w:r>
      <w:r>
        <w:rPr>
          <w:rFonts w:ascii="Times New Roman" w:eastAsia="宋体" w:hAnsi="Times New Roman"/>
          <w:vanish/>
          <w:sz w:val="20"/>
          <w:szCs w:val="20"/>
        </w:rPr>
        <w:t>1326801 srt:EuropeMember 2020-01-01 2020-06-30 0001326801 srt:AsiaPacificMember 2019-04-01 2019-06-30 0001326801 fb:USCanadaMember 2019-04-01 2019-06-30 0001326801 fb:USCanadaMember 2019-01-01 2019-06-30 0001326801 srt:EuropeMember 2019-01-01 2019-06-30 00</w:t>
      </w:r>
      <w:r>
        <w:rPr>
          <w:rFonts w:ascii="Times New Roman" w:eastAsia="宋体" w:hAnsi="Times New Roman"/>
          <w:vanish/>
          <w:sz w:val="20"/>
          <w:szCs w:val="20"/>
        </w:rPr>
        <w:t>01326801 srt:EuropeMember 2020-04-01 2020-06-30 0001326801 fb:USCanadaMember 2020-04-01 2020-06-30 0001326801 srt:EuropeMember 2019-04-01 2019-06-30 0001326801 srt:AsiaPacificMember 2020-01-01 2020-06-30 0001326801 fb:RestOfWorldMember 2020-04-01 2020-06-3</w:t>
      </w:r>
      <w:r>
        <w:rPr>
          <w:rFonts w:ascii="Times New Roman" w:eastAsia="宋体" w:hAnsi="Times New Roman"/>
          <w:vanish/>
          <w:sz w:val="20"/>
          <w:szCs w:val="20"/>
        </w:rPr>
        <w:t>0 0001326801 fb:RestOfWorldMember 2019-04-01 2019-06-30 0001326801 fb:RestOfWorldMember 2020-01-01 2020-06-30 0001326801 fb:RestOfWorldMember 2019-01-01 2019-06-30 0001326801 srt:AsiaPacificMember 2020-04-01 2020-06-30 0001326801 fb:USCanadaMember 2020-01-</w:t>
      </w:r>
      <w:r>
        <w:rPr>
          <w:rFonts w:ascii="Times New Roman" w:eastAsia="宋体" w:hAnsi="Times New Roman"/>
          <w:vanish/>
          <w:sz w:val="20"/>
          <w:szCs w:val="20"/>
        </w:rPr>
        <w:t>01 2020-06-30 0001326801 us-gaap:CommonClassBMember 2019-04-01 2019-06-30 0001326801 us-gaap:CommonClassAMember 2020-01-01 2020-06-30 0001326801 us-gaap:CommonClassAMember 2019-04-01 2019-06-30 0001326801 us-gaap:CommonClassAMember 2020-04-01 2020-06-30 00</w:t>
      </w:r>
      <w:r>
        <w:rPr>
          <w:rFonts w:ascii="Times New Roman" w:eastAsia="宋体" w:hAnsi="Times New Roman"/>
          <w:vanish/>
          <w:sz w:val="20"/>
          <w:szCs w:val="20"/>
        </w:rPr>
        <w:t>01326801 us-gaap:CommonClassBMember 2020-04-01 2020-06-30 0001326801 us-gaap:CommonClassAMember 2019-01-01 2019-06-30 0001326801 us-gaap:CommonClassBMember 2019-01-01 2019-06-30 0001326801 us-gaap:CommonClassBMember 2020-01-01 2020-06-30 0001326801 us-gaap</w:t>
      </w:r>
      <w:r>
        <w:rPr>
          <w:rFonts w:ascii="Times New Roman" w:eastAsia="宋体" w:hAnsi="Times New Roman"/>
          <w:vanish/>
          <w:sz w:val="20"/>
          <w:szCs w:val="20"/>
        </w:rPr>
        <w:t>:USGovernmentAgenciesDebtSecuritiesMember 2020-06-30 0001326801 us-gaap:CorporateDebtSecuritiesMember 2019-12-31 0001326801 us-gaap:CorporateDebtSecuritiesMember 2020-06-30 0001326801 us-gaap:USGovernmentDebtSecuritiesMember 2020-06-30 0001326801 us-gaap:C</w:t>
      </w:r>
      <w:r>
        <w:rPr>
          <w:rFonts w:ascii="Times New Roman" w:eastAsia="宋体" w:hAnsi="Times New Roman"/>
          <w:vanish/>
          <w:sz w:val="20"/>
          <w:szCs w:val="20"/>
        </w:rPr>
        <w:t xml:space="preserve">orporateDebtSecuritiesMember 2020-06-30 0001326801 us-gaap:USGovernmentAgenciesDebtSecuritiesMember 2020-06-30 0001326801 us-gaap:USGovernmentDebtSecuritiesMember 2020-06-30 0001326801 us-gaap:USGovernmentAgenciesDebtSecuritiesMember 2019-12-31 0001326801 </w:t>
      </w:r>
      <w:r>
        <w:rPr>
          <w:rFonts w:ascii="Times New Roman" w:eastAsia="宋体" w:hAnsi="Times New Roman"/>
          <w:vanish/>
          <w:sz w:val="20"/>
          <w:szCs w:val="20"/>
        </w:rPr>
        <w:t>us-gaap:MoneyMarketFundsMember 2020-06-30 0001326801 us-gaap:CashMember 2019-12-31 0001326801 us-gaap:CashMember 2020-06-30 0001326801 us-gaap:BankTimeDepositsMember 2019-12-31 0001326801 us-gaap:BankTimeDepositsMember 2020-06-30 0001326801 us-gaap:Corpora</w:t>
      </w:r>
      <w:r>
        <w:rPr>
          <w:rFonts w:ascii="Times New Roman" w:eastAsia="宋体" w:hAnsi="Times New Roman"/>
          <w:vanish/>
          <w:sz w:val="20"/>
          <w:szCs w:val="20"/>
        </w:rPr>
        <w:t>teDebtSecuritiesMember 2019-12-31 0001326801 us-gaap:USGovernmentDebtSecuritiesMember 2019-12-31 0001326801 us-gaap:USGovernmentAgenciesDebtSecuritiesMember 2019-12-31 0001326801 us-gaap:MoneyMarketFundsMember 2019-12-31 0001326801 us-gaap:USGovernmentDebt</w:t>
      </w:r>
      <w:r>
        <w:rPr>
          <w:rFonts w:ascii="Times New Roman" w:eastAsia="宋体" w:hAnsi="Times New Roman"/>
          <w:vanish/>
          <w:sz w:val="20"/>
          <w:szCs w:val="20"/>
        </w:rPr>
        <w:t>SecuritiesMember 2019-12-31 0001326801 us-gaap:MoneyMarketFundsMember us-gaap:FairValueInputsLevel1Member 2020-06-30 0001326801 us-gaap:FairValueInputsLevel2Member us-gaap:USGovernmentDebtSecuritiesMember 2020-06-30 0001326801 us-gaap:USGovernmentDebtSecur</w:t>
      </w:r>
      <w:r>
        <w:rPr>
          <w:rFonts w:ascii="Times New Roman" w:eastAsia="宋体" w:hAnsi="Times New Roman"/>
          <w:vanish/>
          <w:sz w:val="20"/>
          <w:szCs w:val="20"/>
        </w:rPr>
        <w:t>itiesMember us-gaap:FairValueInputsLevel1Member 2020-06-30 0001326801 us-gaap:FairValueInputsLevel1Member us-gaap:CorporateDebtSecuritiesMember 2020-06-30 0001326801 us-gaap:USGovernmentDebtSecuritiesMember us-gaap:FairValueInputsLevel2Member 2020-06-30 00</w:t>
      </w:r>
      <w:r>
        <w:rPr>
          <w:rFonts w:ascii="Times New Roman" w:eastAsia="宋体" w:hAnsi="Times New Roman"/>
          <w:vanish/>
          <w:sz w:val="20"/>
          <w:szCs w:val="20"/>
        </w:rPr>
        <w:t>01326801 us-gaap:FairValueInputsLevel2Member us-gaap:USGovernmentAgenciesDebtSecuritiesMember 2020-06-30 0001326801 us-gaap:FairValueInputsLevel2Member us-gaap:CorporateDebtSecuritiesMember 2020-06-30 0001326801 us-gaap:FairValueInputsLevel2Member 2020-06-</w:t>
      </w:r>
      <w:r>
        <w:rPr>
          <w:rFonts w:ascii="Times New Roman" w:eastAsia="宋体" w:hAnsi="Times New Roman"/>
          <w:vanish/>
          <w:sz w:val="20"/>
          <w:szCs w:val="20"/>
        </w:rPr>
        <w:t>30 0001326801 us-gaap:FairValueInputsLevel3Member us-gaap:USGovernmentDebtSecuritiesMember 2020-06-30 0001326801 us-gaap:USGovernmentDebtSecuritiesMember us-gaap:FairValueInputsLevel3Member 2020-06-30 0001326801 us-gaap:FairValueInputsLevel1Member us-gaap:</w:t>
      </w:r>
      <w:r>
        <w:rPr>
          <w:rFonts w:ascii="Times New Roman" w:eastAsia="宋体" w:hAnsi="Times New Roman"/>
          <w:vanish/>
          <w:sz w:val="20"/>
          <w:szCs w:val="20"/>
        </w:rPr>
        <w:t>USGovernmentAgenciesDebtSecuritiesMember 2020-06-30 0001326801 us-gaap:BankTimeDepositsMember us-gaap:FairValueInputsLevel2Member 2020-06-30 0001326801 us-gaap:FairValueInputsLevel3Member us-gaap:USGovernmentAgenciesDebtSecuritiesMember 2020-06-30 00013268</w:t>
      </w:r>
      <w:r>
        <w:rPr>
          <w:rFonts w:ascii="Times New Roman" w:eastAsia="宋体" w:hAnsi="Times New Roman"/>
          <w:vanish/>
          <w:sz w:val="20"/>
          <w:szCs w:val="20"/>
        </w:rPr>
        <w:t>01 us-gaap:MoneyMarketFundsMember us-gaap:FairValueInputsLevel2Member 2020-06-30 0001326801 us-gaap:FairValueInputsLevel1Member us-gaap:USGovernmentDebtSecuritiesMember 2020-06-30 0001326801 us-gaap:MoneyMarketFundsMember us-gaap:FairValueInputsLevel3Membe</w:t>
      </w:r>
      <w:r>
        <w:rPr>
          <w:rFonts w:ascii="Times New Roman" w:eastAsia="宋体" w:hAnsi="Times New Roman"/>
          <w:vanish/>
          <w:sz w:val="20"/>
          <w:szCs w:val="20"/>
        </w:rPr>
        <w:t>r 2020-06-30 0001326801 us-gaap:BankTimeDepositsMember us-gaap:FairValueInputsLevel1Member 2020-06-30 0001326801 us-gaap:FairValueInputsLevel1Member 2020-06-30 0001326801 us-gaap:FairValueInputsLevel3Member 2020-06-30 0001326801 us-gaap:BankTimeDepositsMem</w:t>
      </w:r>
      <w:r>
        <w:rPr>
          <w:rFonts w:ascii="Times New Roman" w:eastAsia="宋体" w:hAnsi="Times New Roman"/>
          <w:vanish/>
          <w:sz w:val="20"/>
          <w:szCs w:val="20"/>
        </w:rPr>
        <w:t>ber us-gaap:FairValueInputsLevel3Member 2020-06-30 0001326801 us-gaap:FairValueInputsLevel3Member us-gaap:CorporateDebtSecuritiesMember 2020-06-30 0001326801 us-gaap:FairValueInputsLevel2Member us-gaap:USGovernmentDebtSecuritiesMember 2019-12-31 0001326801</w:t>
      </w:r>
      <w:r>
        <w:rPr>
          <w:rFonts w:ascii="Times New Roman" w:eastAsia="宋体" w:hAnsi="Times New Roman"/>
          <w:vanish/>
          <w:sz w:val="20"/>
          <w:szCs w:val="20"/>
        </w:rPr>
        <w:t xml:space="preserve"> us-gaap:FairValueInputsLevel3Member us-gaap:CorporateDebtSecuritiesMember 2019-12-31 0001326801 us-gaap:FairValueInputsLevel1Member us-gaap:CorporateDebtSecuritiesMember 2019-12-31 0001326801 us-gaap:MoneyMarketFundsMember us-gaap:FairValueInputsLevel2Mem</w:t>
      </w:r>
      <w:r>
        <w:rPr>
          <w:rFonts w:ascii="Times New Roman" w:eastAsia="宋体" w:hAnsi="Times New Roman"/>
          <w:vanish/>
          <w:sz w:val="20"/>
          <w:szCs w:val="20"/>
        </w:rPr>
        <w:t>ber 2019-12-31 0001326801 us-gaap:FairValueInputsLevel1Member us-gaap:USGovernmentAgenciesDebtSecuritiesMember 2019-12-31 0001326801 us-gaap:USGovernmentAgenciesDebtSecuritiesMember us-gaap:FairValueInputsLevel1Member 2019-12-31 0001326801 us-gaap:USGovern</w:t>
      </w:r>
      <w:r>
        <w:rPr>
          <w:rFonts w:ascii="Times New Roman" w:eastAsia="宋体" w:hAnsi="Times New Roman"/>
          <w:vanish/>
          <w:sz w:val="20"/>
          <w:szCs w:val="20"/>
        </w:rPr>
        <w:t>mentAgenciesDebtSecuritiesMember us-gaap:FairValueInputsLevel2Member 2019-12-31 0001326801 us-gaap:USGovernmentAgenciesDebtSecuritiesMember us-gaap:FairValueInputsLevel3Member 2019-12-31 0001326801 us-gaap:FairValueInputsLevel1Member us-gaap:USGovernmentDe</w:t>
      </w:r>
      <w:r>
        <w:rPr>
          <w:rFonts w:ascii="Times New Roman" w:eastAsia="宋体" w:hAnsi="Times New Roman"/>
          <w:vanish/>
          <w:sz w:val="20"/>
          <w:szCs w:val="20"/>
        </w:rPr>
        <w:t>btSecuritiesMember 2019-12-31 0001326801 us-gaap:CorporateDebtSecuritiesMember us-gaap:FairValueInputsLevel2Member 2019-12-31 0001326801 us-gaap:BankTimeDepositsMember us-gaap:FairValueInputsLevel1Member 2019-12-31 0001326801 us-gaap:BankTimeDepositsMember</w:t>
      </w:r>
      <w:r>
        <w:rPr>
          <w:rFonts w:ascii="Times New Roman" w:eastAsia="宋体" w:hAnsi="Times New Roman"/>
          <w:vanish/>
          <w:sz w:val="20"/>
          <w:szCs w:val="20"/>
        </w:rPr>
        <w:t xml:space="preserve"> us-gaap:FairValueInputsLevel2Member 2019-12-31 0001326801 us-gaap:FairValueInputsLevel2Member 2019-12-31 0001326801 us-gaap:FairValueInputsLevel1Member 2019-12-31 0001326801 us-gaap:MoneyMarketFundsMember us-gaap:FairValueInputsLevel1Member 2019-12-31 000</w:t>
      </w:r>
      <w:r>
        <w:rPr>
          <w:rFonts w:ascii="Times New Roman" w:eastAsia="宋体" w:hAnsi="Times New Roman"/>
          <w:vanish/>
          <w:sz w:val="20"/>
          <w:szCs w:val="20"/>
        </w:rPr>
        <w:t>1326801 us-gaap:CorporateDebtSecuritiesMember us-gaap:FairValueInputsLevel1Member 2019-12-31 0001326801 us-gaap:MoneyMarketFundsMember us-gaap:FairValueInputsLevel3Member 2019-12-31 0001326801 us-gaap:BankTimeDepositsMember us-gaap:FairValueInputsLevel3Mem</w:t>
      </w:r>
      <w:r>
        <w:rPr>
          <w:rFonts w:ascii="Times New Roman" w:eastAsia="宋体" w:hAnsi="Times New Roman"/>
          <w:vanish/>
          <w:sz w:val="20"/>
          <w:szCs w:val="20"/>
        </w:rPr>
        <w:t>ber 2019-12-31 0001326801 us-gaap:USGovernmentDebtSecuritiesMember us-gaap:FairValueInputsLevel3Member 2019-12-31 0001326801 us-gaap:FairValueInputsLevel3Member us-gaap:USGovernmentDebtSecuritiesMember 2019-12-31 0001326801 us-gaap:USGovernmentDebtSecuriti</w:t>
      </w:r>
      <w:r>
        <w:rPr>
          <w:rFonts w:ascii="Times New Roman" w:eastAsia="宋体" w:hAnsi="Times New Roman"/>
          <w:vanish/>
          <w:sz w:val="20"/>
          <w:szCs w:val="20"/>
        </w:rPr>
        <w:t>esMember us-gaap:FairValueInputsLevel1Member 2019-12-31 0001326801 us-gaap:FairValueInputsLevel3Member 2019-12-31 0001326801 us-gaap:USGovernmentDebtSecuritiesMember us-gaap:FairValueInputsLevel2Member 2019-12-31 0001326801 us-gaap:FairValueInputsLevel2Mem</w:t>
      </w:r>
      <w:r>
        <w:rPr>
          <w:rFonts w:ascii="Times New Roman" w:eastAsia="宋体" w:hAnsi="Times New Roman"/>
          <w:vanish/>
          <w:sz w:val="20"/>
          <w:szCs w:val="20"/>
        </w:rPr>
        <w:t xml:space="preserve">ber us-gaap:USGovernmentAgenciesDebtSecuritiesMember 2019-12-31 0001326801 us-gaap:FairValueInputsLevel2Member us-gaap:CorporateDebtSecuritiesMember 2019-12-31 0001326801 us-gaap:CorporateDebtSecuritiesMember us-gaap:FairValueInputsLevel3Member 2019-12-31 </w:t>
      </w:r>
      <w:r>
        <w:rPr>
          <w:rFonts w:ascii="Times New Roman" w:eastAsia="宋体" w:hAnsi="Times New Roman"/>
          <w:vanish/>
          <w:sz w:val="20"/>
          <w:szCs w:val="20"/>
        </w:rPr>
        <w:t>0001326801 us-gaap:FairValueInputsLevel3Member us-gaap:USGovernmentAgenciesDebtSecuritiesMember 2019-12-31 0001326801 fb:ComputerSoftwareOfficeEquipmentAndOtherMember 2019-12-31 0001326801 us-gaap:ConstructionInProgressMember 2020-06-30 0001326801 us-gaap:</w:t>
      </w:r>
      <w:r>
        <w:rPr>
          <w:rFonts w:ascii="Times New Roman" w:eastAsia="宋体" w:hAnsi="Times New Roman"/>
          <w:vanish/>
          <w:sz w:val="20"/>
          <w:szCs w:val="20"/>
        </w:rPr>
        <w:t>BuildingMember 2019-12-31 0001326801 us-gaap:LeaseholdImprovementsMember 2019-12-31 0001326801 us-gaap:LandMember 2019-12-31 0001326801 us-gaap:ComputerEquipmentMember 2019-12-31 0001326801 us-gaap:LeaseholdImprovementsMember 2020-06-30 0001326801 fb:Finan</w:t>
      </w:r>
      <w:r>
        <w:rPr>
          <w:rFonts w:ascii="Times New Roman" w:eastAsia="宋体" w:hAnsi="Times New Roman"/>
          <w:vanish/>
          <w:sz w:val="20"/>
          <w:szCs w:val="20"/>
        </w:rPr>
        <w:t>ceLeaseRightOfUseAssetMember 2020-06-30 0001326801 us-gaap:LandMember 2020-06-30 0001326801 us-gaap:ComputerEquipmentMember 2020-06-30 0001326801 fb:ComputerSoftwareOfficeEquipmentAndOtherMember 2020-06-30 0001326801 us-gaap:BuildingMember 2020-06-30 00013</w:t>
      </w:r>
      <w:r>
        <w:rPr>
          <w:rFonts w:ascii="Times New Roman" w:eastAsia="宋体" w:hAnsi="Times New Roman"/>
          <w:vanish/>
          <w:sz w:val="20"/>
          <w:szCs w:val="20"/>
        </w:rPr>
        <w:t xml:space="preserve">26801 fb:FinanceLeaseRightOfUseAssetMember 2019-12-31 0001326801 us-gaap:ConstructionInProgressMember 2019-12-31 0001326801 srt:MaximumMember 2020-01-01 2020-06-30 0001326801 us-gaap:SubsequentEventMember 2020-07-29 0001326801 srt:MinimumMember 2020-01-01 </w:t>
      </w:r>
      <w:r>
        <w:rPr>
          <w:rFonts w:ascii="Times New Roman" w:eastAsia="宋体" w:hAnsi="Times New Roman"/>
          <w:vanish/>
          <w:sz w:val="20"/>
          <w:szCs w:val="20"/>
        </w:rPr>
        <w:t>2020-06-30 0001326801 fb:AcquiredusersMember 2020-06-30 0001326801 us-gaap:OtherIntangibleAssetsMember 2020-06-30 0001326801 us-gaap:PatentsMember 2019-12-31 0001326801 us-gaap:TechnologyBasedIntangibleAssetsMember 2020-06-30 0001326801 us-gaap:TradeNamesM</w:t>
      </w:r>
      <w:r>
        <w:rPr>
          <w:rFonts w:ascii="Times New Roman" w:eastAsia="宋体" w:hAnsi="Times New Roman"/>
          <w:vanish/>
          <w:sz w:val="20"/>
          <w:szCs w:val="20"/>
        </w:rPr>
        <w:t xml:space="preserve">ember 2020-06-30 0001326801 us-gaap:OtherIntangibleAssetsMember 2020-01-01 2020-06-30 0001326801 us-gaap:PatentsMember 2020-06-30 0001326801 us-gaap:TechnologyBasedIntangibleAssetsMember 2019-12-31 0001326801 us-gaap:TradeNamesMember 2019-12-31 0001326801 </w:t>
      </w:r>
      <w:r>
        <w:rPr>
          <w:rFonts w:ascii="Times New Roman" w:eastAsia="宋体" w:hAnsi="Times New Roman"/>
          <w:vanish/>
          <w:sz w:val="20"/>
          <w:szCs w:val="20"/>
        </w:rPr>
        <w:t>fb:AcquiredusersMember 2020-01-01 2020-06-30 0001326801 fb:AcquiredusersMember 2019-12-31 0001326801 us-gaap:TechnologyBasedIntangibleAssetsMember 2020-01-01 2020-06-30 0001326801 us-gaap:OtherIntangibleAssetsMember 2019-12-31 0001326801 us-gaap:PatentsMem</w:t>
      </w:r>
      <w:r>
        <w:rPr>
          <w:rFonts w:ascii="Times New Roman" w:eastAsia="宋体" w:hAnsi="Times New Roman"/>
          <w:vanish/>
          <w:sz w:val="20"/>
          <w:szCs w:val="20"/>
        </w:rPr>
        <w:t>ber 2020-01-01 2020-06-30 0001326801 us-gaap:TradeNamesMember 2020-01-01 2020-06-30 0001326801 fb:SeniorUnsecuredFiveYearRevolvingCreditFacilityTwentySixteenMemberDomainDomain us-gaap:RevolvingCreditFacilityMember 2016-05-31 0001326801 fb:SeniorUnsecuredFi</w:t>
      </w:r>
      <w:r>
        <w:rPr>
          <w:rFonts w:ascii="Times New Roman" w:eastAsia="宋体" w:hAnsi="Times New Roman"/>
          <w:vanish/>
          <w:sz w:val="20"/>
          <w:szCs w:val="20"/>
        </w:rPr>
        <w:t>veYearRevolvingCreditFacilityTwentySixteenMemberDomainDomain us-gaap:RevolvingCreditFacilityMember 2020-06-30 0001326801 fb:IllinoisBiometricInformationPrivacyActMember us-gaap:SettledLitigationMember us-gaap:SubsequentEventMember 2020-07-22 0001326801 201</w:t>
      </w:r>
      <w:r>
        <w:rPr>
          <w:rFonts w:ascii="Times New Roman" w:eastAsia="宋体" w:hAnsi="Times New Roman"/>
          <w:vanish/>
          <w:sz w:val="20"/>
          <w:szCs w:val="20"/>
        </w:rPr>
        <w:t>8-07-27 2018-07-27 0001326801 fb:UnitedStatesFederalTradeCommissionInquiryMember 2019-07-31 0001326801 fb:IllinoisBiometricInformationPrivacyActMember 2020-01-15 0001326801 us-gaap:RestrictedStockUnitsRSUMember 2019-01-01 2019-06-30 0001326801 fb:EquityInc</w:t>
      </w:r>
      <w:r>
        <w:rPr>
          <w:rFonts w:ascii="Times New Roman" w:eastAsia="宋体" w:hAnsi="Times New Roman"/>
          <w:vanish/>
          <w:sz w:val="20"/>
          <w:szCs w:val="20"/>
        </w:rPr>
        <w:t>entivePlan2012Member 2020-01-01 0001326801 us-gaap:RestrictedStockUnitsRSUMember 2019-04-01 2019-06-30 0001326801 2020-01-31 0001326801 us-gaap:RestrictedStockUnitsRSUMember 2020-04-01 2020-06-30 0001326801 fb:EquityIncentivePlan2012Member 2020-01-01 2020-</w:t>
      </w:r>
      <w:r>
        <w:rPr>
          <w:rFonts w:ascii="Times New Roman" w:eastAsia="宋体" w:hAnsi="Times New Roman"/>
          <w:vanish/>
          <w:sz w:val="20"/>
          <w:szCs w:val="20"/>
        </w:rPr>
        <w:t>06-30 0001326801 us-gaap:RestrictedStockUnitsRSUMember 2020-01-01 2020-06-30 0001326801 us-gaap:RestrictedStockUnitsRSUMember fb:EquityIncentivePlan2012Member 2020-01-01 2020-06-30 0001326801 us-gaap:RestrictedStockUnitsRSUMember 2019-12-31 0001326801 us-g</w:t>
      </w:r>
      <w:r>
        <w:rPr>
          <w:rFonts w:ascii="Times New Roman" w:eastAsia="宋体" w:hAnsi="Times New Roman"/>
          <w:vanish/>
          <w:sz w:val="20"/>
          <w:szCs w:val="20"/>
        </w:rPr>
        <w:t>aap:RestrictedStockUnitsRSUMember 2020-06-30 0001326801 us-gaap:InternalRevenueServiceIRSMember us-gaap:TaxYear2010Member 2020-01-15 2020-01-15 0001326801 fb:AlteraCorpVCommissionerMember 2019-04-01 2019-06-30 0001326801 us-gaap:InternalRevenueServiceIRSMe</w:t>
      </w:r>
      <w:r>
        <w:rPr>
          <w:rFonts w:ascii="Times New Roman" w:eastAsia="宋体" w:hAnsi="Times New Roman"/>
          <w:vanish/>
          <w:sz w:val="20"/>
          <w:szCs w:val="20"/>
        </w:rPr>
        <w:t>mber fb:TaxYears2011Through2013Member 2011-01-01 2013-12-31 0001326801 us-gaap:NonUsMember 2020-06-30 0001326801 country:US 2020-06-30 0001326801 country:US 2019-12-31 0001326801 us-gaap:NonUsMember 2019-12-31 0001326801 us-gaap:SubsequentEventMember 2020-</w:t>
      </w:r>
      <w:r>
        <w:rPr>
          <w:rFonts w:ascii="Times New Roman" w:eastAsia="宋体" w:hAnsi="Times New Roman"/>
          <w:vanish/>
          <w:sz w:val="20"/>
          <w:szCs w:val="20"/>
        </w:rPr>
        <w:t xml:space="preserve">07-07 2020-07-07 iso4217:USD xbrli:pure iso4217:USD xbrli:shares xbrli:shares fb:claim fb:plan </w:t>
      </w:r>
    </w:p>
    <w:p w14:paraId="4E5696B5" w14:textId="77777777" w:rsidR="00DF3E10" w:rsidRDefault="006B6C28">
      <w:pPr>
        <w:spacing w:line="288" w:lineRule="auto"/>
        <w:jc w:val="center"/>
        <w:rPr>
          <w:rFonts w:ascii="Times New Roman" w:hAnsi="Times New Roman"/>
          <w:sz w:val="36"/>
          <w:szCs w:val="36"/>
        </w:rPr>
      </w:pPr>
      <w:r>
        <w:rPr>
          <w:rFonts w:ascii="Times New Roman" w:eastAsia="宋体" w:hAnsi="Times New Roman"/>
          <w:b/>
          <w:bCs/>
          <w:sz w:val="36"/>
          <w:szCs w:val="36"/>
        </w:rPr>
        <w:t>UNITED STATES</w:t>
      </w:r>
    </w:p>
    <w:p w14:paraId="4E5696B6" w14:textId="77777777" w:rsidR="00DF3E10" w:rsidRDefault="006B6C28">
      <w:pPr>
        <w:spacing w:line="288" w:lineRule="auto"/>
        <w:jc w:val="center"/>
        <w:rPr>
          <w:rFonts w:ascii="Times New Roman" w:hAnsi="Times New Roman"/>
          <w:sz w:val="36"/>
          <w:szCs w:val="36"/>
        </w:rPr>
      </w:pPr>
      <w:r>
        <w:rPr>
          <w:rFonts w:ascii="Times New Roman" w:eastAsia="宋体" w:hAnsi="Times New Roman"/>
          <w:b/>
          <w:bCs/>
          <w:sz w:val="36"/>
          <w:szCs w:val="36"/>
        </w:rPr>
        <w:t>SECURITIES AND EXCHANGE COMMISSION</w:t>
      </w:r>
    </w:p>
    <w:p w14:paraId="4E5696B7" w14:textId="77777777" w:rsidR="00DF3E10" w:rsidRDefault="006B6C28">
      <w:pPr>
        <w:spacing w:line="288" w:lineRule="auto"/>
        <w:jc w:val="center"/>
        <w:rPr>
          <w:rFonts w:ascii="Times New Roman" w:hAnsi="Times New Roman"/>
        </w:rPr>
      </w:pPr>
      <w:r>
        <w:rPr>
          <w:rFonts w:ascii="Times New Roman" w:eastAsia="宋体" w:hAnsi="Times New Roman"/>
          <w:b/>
          <w:bCs/>
        </w:rPr>
        <w:t>Washington, D.C. 20549</w:t>
      </w:r>
    </w:p>
    <w:p w14:paraId="4E5696B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4E5696B9" w14:textId="77777777" w:rsidR="00DF3E10" w:rsidRDefault="006B6C28">
      <w:pPr>
        <w:spacing w:line="288" w:lineRule="auto"/>
        <w:jc w:val="center"/>
        <w:rPr>
          <w:rFonts w:ascii="Times New Roman" w:hAnsi="Times New Roman"/>
          <w:sz w:val="48"/>
          <w:szCs w:val="48"/>
        </w:rPr>
      </w:pPr>
      <w:r>
        <w:rPr>
          <w:rFonts w:ascii="Times New Roman" w:eastAsia="宋体" w:hAnsi="Times New Roman"/>
          <w:b/>
          <w:bCs/>
          <w:sz w:val="48"/>
          <w:szCs w:val="48"/>
        </w:rPr>
        <w:t xml:space="preserve">FORM 10-Q </w:t>
      </w:r>
    </w:p>
    <w:p w14:paraId="4E5696B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w:t>
      </w:r>
      <w:r>
        <w:rPr>
          <w:rFonts w:ascii="Times New Roman" w:eastAsia="宋体" w:hAnsi="Times New Roman"/>
          <w:sz w:val="20"/>
          <w:szCs w:val="20"/>
        </w:rPr>
        <w:t>_____________ </w:t>
      </w:r>
    </w:p>
    <w:p w14:paraId="4E5696BB" w14:textId="77777777" w:rsidR="00DF3E10" w:rsidRDefault="006B6C28">
      <w:pPr>
        <w:spacing w:line="288" w:lineRule="auto"/>
        <w:rPr>
          <w:rFonts w:ascii="Times New Roman" w:hAnsi="Times New Roman"/>
          <w:sz w:val="16"/>
          <w:szCs w:val="16"/>
        </w:rPr>
      </w:pPr>
      <w:r>
        <w:rPr>
          <w:rFonts w:ascii="Times New Roman" w:eastAsia="宋体" w:hAnsi="Times New Roman"/>
          <w:sz w:val="16"/>
          <w:szCs w:val="16"/>
        </w:rPr>
        <w:t>(Mark One)</w:t>
      </w:r>
    </w:p>
    <w:p w14:paraId="4E5696BC" w14:textId="77777777" w:rsidR="00DF3E10" w:rsidRDefault="006B6C28">
      <w:pPr>
        <w:spacing w:line="288" w:lineRule="auto"/>
        <w:rPr>
          <w:rFonts w:ascii="Times New Roman" w:hAnsi="Times New Roman"/>
        </w:rPr>
      </w:pPr>
      <w:r>
        <w:rPr>
          <w:rFonts w:ascii="Arial Unicode MS" w:eastAsia="Arial Unicode MS" w:hAnsi="Arial Unicode MS" w:cs="Arial Unicode MS"/>
        </w:rPr>
        <w:t>☒</w:t>
      </w:r>
      <w:r>
        <w:rPr>
          <w:rFonts w:ascii="Arial Unicode MS" w:eastAsia="Arial Unicode MS" w:hAnsi="Arial Unicode MS" w:cs="Arial Unicode MS" w:hint="eastAsia"/>
          <w:sz w:val="20"/>
          <w:szCs w:val="20"/>
        </w:rPr>
        <w:t> </w:t>
      </w:r>
      <w:r>
        <w:rPr>
          <w:rFonts w:ascii="Wingdings" w:eastAsia="宋体" w:hAnsi="Wingdings" w:cs="Wingdings"/>
          <w:b/>
          <w:bCs/>
        </w:rPr>
        <w:t xml:space="preserve"> </w:t>
      </w:r>
      <w:r>
        <w:rPr>
          <w:rFonts w:ascii="Times New Roman" w:eastAsia="宋体" w:hAnsi="Times New Roman"/>
          <w:b/>
          <w:bCs/>
          <w:sz w:val="20"/>
          <w:szCs w:val="20"/>
        </w:rPr>
        <w:t>QUARTERLY REPORT PURSUANT TO SECTION 13 OR 15(d) OF THE SECURITIES EXCHANGE ACT OF 1934</w:t>
      </w:r>
    </w:p>
    <w:p w14:paraId="4E5696BD"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quarterly period ended June 30, 2020 </w:t>
      </w:r>
    </w:p>
    <w:p w14:paraId="4E5696BE"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or</w:t>
      </w:r>
    </w:p>
    <w:p w14:paraId="4E5696BF" w14:textId="77777777" w:rsidR="00DF3E10" w:rsidRDefault="006B6C28">
      <w:pPr>
        <w:spacing w:line="288" w:lineRule="auto"/>
        <w:rPr>
          <w:rFonts w:ascii="Times New Roman" w:hAnsi="Times New Roman"/>
        </w:rPr>
      </w:pPr>
      <w:r>
        <w:rPr>
          <w:rFonts w:ascii="Arial Unicode MS" w:eastAsia="Arial Unicode MS" w:hAnsi="Arial Unicode MS" w:cs="Arial Unicode MS" w:hint="eastAsia"/>
        </w:rPr>
        <w:t>☐</w:t>
      </w:r>
      <w:r>
        <w:rPr>
          <w:rFonts w:ascii="Wingdings" w:eastAsia="宋体" w:hAnsi="Wingdings" w:cs="Wingdings"/>
          <w:b/>
          <w:bCs/>
        </w:rPr>
        <w:t xml:space="preserve"> </w:t>
      </w:r>
      <w:r>
        <w:rPr>
          <w:rFonts w:ascii="Times New Roman" w:eastAsia="宋体" w:hAnsi="Times New Roman"/>
          <w:b/>
          <w:bCs/>
          <w:sz w:val="20"/>
          <w:szCs w:val="20"/>
        </w:rPr>
        <w:t xml:space="preserve">TRANSITION REPORT PURSUANT TO SECTION 13 OR 15(d) OF THE SECURITIES EXCHANGE ACT OF </w:t>
      </w:r>
      <w:r>
        <w:rPr>
          <w:rFonts w:ascii="Times New Roman" w:eastAsia="宋体" w:hAnsi="Times New Roman"/>
          <w:b/>
          <w:bCs/>
          <w:sz w:val="20"/>
          <w:szCs w:val="20"/>
        </w:rPr>
        <w:t>1934</w:t>
      </w:r>
    </w:p>
    <w:p w14:paraId="4E5696C0"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For the transition period from            to            </w:t>
      </w:r>
    </w:p>
    <w:p w14:paraId="4E5696C1"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 xml:space="preserve">Commission File Number: 001-35551 </w:t>
      </w:r>
    </w:p>
    <w:p w14:paraId="4E5696C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4E5696C3" w14:textId="77777777" w:rsidR="00DF3E10" w:rsidRDefault="006B6C28">
      <w:pPr>
        <w:spacing w:line="288" w:lineRule="auto"/>
        <w:jc w:val="center"/>
        <w:rPr>
          <w:rFonts w:ascii="Times New Roman" w:hAnsi="Times New Roman"/>
          <w:sz w:val="48"/>
          <w:szCs w:val="48"/>
        </w:rPr>
      </w:pPr>
      <w:r>
        <w:rPr>
          <w:rFonts w:ascii="Times New Roman" w:eastAsia="宋体" w:hAnsi="Times New Roman"/>
          <w:b/>
          <w:bCs/>
          <w:sz w:val="48"/>
          <w:szCs w:val="48"/>
        </w:rPr>
        <w:t xml:space="preserve">Facebook, Inc. </w:t>
      </w:r>
    </w:p>
    <w:p w14:paraId="4E5696C4"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(Exact name of registrant as specified in its charter)</w:t>
      </w:r>
    </w:p>
    <w:p w14:paraId="4E5696C5"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w:t>
      </w:r>
      <w:r>
        <w:rPr>
          <w:rFonts w:ascii="Times New Roman" w:eastAsia="宋体" w:hAnsi="Times New Roman"/>
          <w:sz w:val="20"/>
          <w:szCs w:val="20"/>
        </w:rPr>
        <w:t>__ </w:t>
      </w:r>
    </w:p>
    <w:tbl>
      <w:tblPr>
        <w:tblW w:w="5000" w:type="pct"/>
        <w:tblCellMar>
          <w:left w:w="0" w:type="dxa"/>
          <w:right w:w="0" w:type="dxa"/>
        </w:tblCellMar>
        <w:tblLook w:val="04A0" w:firstRow="1" w:lastRow="0" w:firstColumn="1" w:lastColumn="0" w:noHBand="0" w:noVBand="1"/>
      </w:tblPr>
      <w:tblGrid>
        <w:gridCol w:w="4153"/>
        <w:gridCol w:w="4153"/>
      </w:tblGrid>
      <w:tr w:rsidR="00DF3E10" w14:paraId="4E5696C7" w14:textId="77777777">
        <w:tc>
          <w:tcPr>
            <w:tcW w:w="0" w:type="auto"/>
            <w:gridSpan w:val="2"/>
            <w:shd w:val="clear" w:color="auto" w:fill="auto"/>
            <w:vAlign w:val="center"/>
          </w:tcPr>
          <w:p w14:paraId="4E5696C6" w14:textId="77777777" w:rsidR="00DF3E10" w:rsidRDefault="00DF3E10">
            <w:pPr>
              <w:rPr>
                <w:rFonts w:ascii="Times New Roman" w:hAnsi="Times New Roman"/>
                <w:sz w:val="20"/>
                <w:szCs w:val="20"/>
              </w:rPr>
            </w:pPr>
          </w:p>
        </w:tc>
      </w:tr>
      <w:tr w:rsidR="00DF3E10" w14:paraId="4E5696CA" w14:textId="77777777">
        <w:tc>
          <w:tcPr>
            <w:tcW w:w="2500" w:type="pct"/>
            <w:shd w:val="clear" w:color="auto" w:fill="auto"/>
            <w:vAlign w:val="center"/>
          </w:tcPr>
          <w:p w14:paraId="4E5696C8" w14:textId="77777777" w:rsidR="00DF3E10" w:rsidRDefault="00DF3E10">
            <w:pPr>
              <w:rPr>
                <w:rFonts w:ascii="Times New Roman" w:hAnsi="Times New Roman"/>
                <w:sz w:val="20"/>
                <w:szCs w:val="20"/>
              </w:rPr>
            </w:pPr>
          </w:p>
        </w:tc>
        <w:tc>
          <w:tcPr>
            <w:tcW w:w="2500" w:type="pct"/>
            <w:shd w:val="clear" w:color="auto" w:fill="auto"/>
            <w:vAlign w:val="center"/>
          </w:tcPr>
          <w:p w14:paraId="4E5696C9" w14:textId="77777777" w:rsidR="00DF3E10" w:rsidRDefault="00DF3E10">
            <w:pPr>
              <w:rPr>
                <w:rFonts w:ascii="Times New Roman" w:hAnsi="Times New Roman"/>
                <w:sz w:val="20"/>
                <w:szCs w:val="20"/>
              </w:rPr>
            </w:pPr>
          </w:p>
        </w:tc>
      </w:tr>
      <w:tr w:rsidR="00DF3E10" w14:paraId="4E5696CD" w14:textId="77777777">
        <w:tc>
          <w:tcPr>
            <w:tcW w:w="0" w:type="auto"/>
            <w:shd w:val="clear" w:color="auto" w:fill="auto"/>
            <w:tcMar>
              <w:top w:w="40" w:type="dxa"/>
              <w:left w:w="40" w:type="dxa"/>
              <w:bottom w:w="40" w:type="dxa"/>
              <w:right w:w="40" w:type="dxa"/>
            </w:tcMar>
          </w:tcPr>
          <w:p w14:paraId="4E5696CB" w14:textId="77777777" w:rsidR="00DF3E10" w:rsidRDefault="006B6C28">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tcPr>
          <w:p w14:paraId="4E5696CC" w14:textId="77777777" w:rsidR="00DF3E10" w:rsidRDefault="006B6C28">
            <w:pPr>
              <w:jc w:val="center"/>
              <w:textAlignment w:val="top"/>
              <w:rPr>
                <w:rFonts w:ascii="Times New Roman" w:hAnsi="Times New Roman"/>
                <w:sz w:val="20"/>
                <w:szCs w:val="20"/>
              </w:rPr>
            </w:pPr>
            <w:r>
              <w:rPr>
                <w:rFonts w:ascii="Times New Roman" w:eastAsia="宋体" w:hAnsi="Times New Roman"/>
                <w:b/>
                <w:bCs/>
                <w:sz w:val="20"/>
                <w:szCs w:val="20"/>
              </w:rPr>
              <w:t>20-1665019</w:t>
            </w:r>
          </w:p>
        </w:tc>
      </w:tr>
      <w:tr w:rsidR="00DF3E10" w14:paraId="4E5696D0" w14:textId="77777777">
        <w:tc>
          <w:tcPr>
            <w:tcW w:w="0" w:type="auto"/>
            <w:shd w:val="clear" w:color="auto" w:fill="auto"/>
            <w:tcMar>
              <w:top w:w="40" w:type="dxa"/>
              <w:left w:w="40" w:type="dxa"/>
              <w:bottom w:w="40" w:type="dxa"/>
              <w:right w:w="40" w:type="dxa"/>
            </w:tcMar>
          </w:tcPr>
          <w:p w14:paraId="4E5696CE" w14:textId="77777777" w:rsidR="00DF3E10" w:rsidRDefault="006B6C28">
            <w:pPr>
              <w:jc w:val="center"/>
              <w:textAlignment w:val="top"/>
              <w:rPr>
                <w:rFonts w:ascii="Times New Roman" w:hAnsi="Times New Roman"/>
                <w:sz w:val="16"/>
                <w:szCs w:val="16"/>
              </w:rPr>
            </w:pPr>
            <w:r>
              <w:rPr>
                <w:rFonts w:ascii="Times New Roman" w:eastAsia="宋体" w:hAnsi="Times New Roman"/>
                <w:b/>
                <w:bCs/>
                <w:sz w:val="16"/>
                <w:szCs w:val="16"/>
              </w:rPr>
              <w:t>(State or other jurisdiction of incorporation or organization)</w:t>
            </w:r>
          </w:p>
        </w:tc>
        <w:tc>
          <w:tcPr>
            <w:tcW w:w="0" w:type="auto"/>
            <w:shd w:val="clear" w:color="auto" w:fill="auto"/>
            <w:tcMar>
              <w:top w:w="40" w:type="dxa"/>
              <w:left w:w="40" w:type="dxa"/>
              <w:bottom w:w="40" w:type="dxa"/>
              <w:right w:w="40" w:type="dxa"/>
            </w:tcMar>
          </w:tcPr>
          <w:p w14:paraId="4E5696CF" w14:textId="77777777" w:rsidR="00DF3E10" w:rsidRDefault="006B6C28">
            <w:pPr>
              <w:jc w:val="center"/>
              <w:textAlignment w:val="top"/>
              <w:rPr>
                <w:rFonts w:ascii="Times New Roman" w:hAnsi="Times New Roman"/>
                <w:sz w:val="16"/>
                <w:szCs w:val="16"/>
              </w:rPr>
            </w:pPr>
            <w:r>
              <w:rPr>
                <w:rFonts w:ascii="Times New Roman" w:eastAsia="宋体" w:hAnsi="Times New Roman"/>
                <w:b/>
                <w:bCs/>
                <w:sz w:val="16"/>
                <w:szCs w:val="16"/>
              </w:rPr>
              <w:t>(I.R.S. Employer Identification Number)</w:t>
            </w:r>
          </w:p>
        </w:tc>
      </w:tr>
    </w:tbl>
    <w:p w14:paraId="4E5696D1"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 xml:space="preserve">1601 Willow Road, Menlo Park, California 94025 </w:t>
      </w:r>
    </w:p>
    <w:p w14:paraId="4E5696D2" w14:textId="77777777" w:rsidR="00DF3E10" w:rsidRDefault="006B6C28">
      <w:pPr>
        <w:spacing w:line="288" w:lineRule="auto"/>
        <w:jc w:val="center"/>
        <w:rPr>
          <w:rFonts w:ascii="Times New Roman" w:hAnsi="Times New Roman"/>
          <w:sz w:val="16"/>
          <w:szCs w:val="16"/>
        </w:rPr>
      </w:pPr>
      <w:r>
        <w:rPr>
          <w:rFonts w:ascii="Times New Roman" w:eastAsia="宋体" w:hAnsi="Times New Roman"/>
          <w:b/>
          <w:bCs/>
          <w:sz w:val="16"/>
          <w:szCs w:val="16"/>
        </w:rPr>
        <w:t>(Address of principal executive offices and Zip Code)</w:t>
      </w:r>
    </w:p>
    <w:p w14:paraId="4E5696D3" w14:textId="77777777" w:rsidR="00DF3E10" w:rsidRDefault="00DF3E10">
      <w:pPr>
        <w:spacing w:line="288" w:lineRule="auto"/>
        <w:jc w:val="center"/>
        <w:rPr>
          <w:rFonts w:ascii="Times New Roman" w:hAnsi="Times New Roman"/>
          <w:sz w:val="20"/>
          <w:szCs w:val="20"/>
        </w:rPr>
      </w:pPr>
    </w:p>
    <w:p w14:paraId="4E5696D4"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 xml:space="preserve">(650) 543-4800 </w:t>
      </w:r>
    </w:p>
    <w:p w14:paraId="4E5696D5" w14:textId="77777777" w:rsidR="00DF3E10" w:rsidRDefault="006B6C28">
      <w:pPr>
        <w:spacing w:line="288" w:lineRule="auto"/>
        <w:jc w:val="center"/>
        <w:rPr>
          <w:rFonts w:ascii="Times New Roman" w:hAnsi="Times New Roman"/>
          <w:sz w:val="16"/>
          <w:szCs w:val="16"/>
        </w:rPr>
      </w:pPr>
      <w:r>
        <w:rPr>
          <w:rFonts w:ascii="Times New Roman" w:eastAsia="宋体" w:hAnsi="Times New Roman"/>
          <w:b/>
          <w:bCs/>
          <w:sz w:val="16"/>
          <w:szCs w:val="16"/>
        </w:rPr>
        <w:t>(Registrant's telephone number, including area code)</w:t>
      </w:r>
    </w:p>
    <w:p w14:paraId="4E5696D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 ____________________________________________</w:t>
      </w:r>
    </w:p>
    <w:p w14:paraId="4E5696D7" w14:textId="77777777" w:rsidR="00DF3E10" w:rsidRDefault="00DF3E10">
      <w:pPr>
        <w:spacing w:line="288" w:lineRule="auto"/>
        <w:rPr>
          <w:rFonts w:ascii="Times New Roman" w:hAnsi="Times New Roman"/>
          <w:sz w:val="18"/>
          <w:szCs w:val="18"/>
        </w:rPr>
      </w:pPr>
    </w:p>
    <w:p w14:paraId="4E5696D8" w14:textId="77777777" w:rsidR="00DF3E10" w:rsidRDefault="006B6C28">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3322"/>
      </w:tblGrid>
      <w:tr w:rsidR="00DF3E10" w14:paraId="4E5696DA" w14:textId="77777777">
        <w:trPr>
          <w:jc w:val="center"/>
        </w:trPr>
        <w:tc>
          <w:tcPr>
            <w:tcW w:w="0" w:type="auto"/>
            <w:gridSpan w:val="4"/>
            <w:shd w:val="clear" w:color="auto" w:fill="auto"/>
            <w:vAlign w:val="center"/>
          </w:tcPr>
          <w:p w14:paraId="4E5696D9" w14:textId="77777777" w:rsidR="00DF3E10" w:rsidRDefault="00DF3E10">
            <w:pPr>
              <w:rPr>
                <w:rFonts w:ascii="Times New Roman" w:hAnsi="Times New Roman"/>
                <w:sz w:val="20"/>
                <w:szCs w:val="20"/>
              </w:rPr>
            </w:pPr>
          </w:p>
        </w:tc>
      </w:tr>
      <w:tr w:rsidR="00DF3E10" w14:paraId="4E5696DF" w14:textId="77777777">
        <w:trPr>
          <w:jc w:val="center"/>
        </w:trPr>
        <w:tc>
          <w:tcPr>
            <w:tcW w:w="1000" w:type="pct"/>
            <w:shd w:val="clear" w:color="auto" w:fill="auto"/>
            <w:vAlign w:val="center"/>
          </w:tcPr>
          <w:p w14:paraId="4E5696DB" w14:textId="77777777" w:rsidR="00DF3E10" w:rsidRDefault="00DF3E10">
            <w:pPr>
              <w:rPr>
                <w:rFonts w:ascii="Times New Roman" w:hAnsi="Times New Roman"/>
                <w:sz w:val="20"/>
                <w:szCs w:val="20"/>
              </w:rPr>
            </w:pPr>
          </w:p>
        </w:tc>
        <w:tc>
          <w:tcPr>
            <w:tcW w:w="1000" w:type="pct"/>
            <w:shd w:val="clear" w:color="auto" w:fill="auto"/>
            <w:vAlign w:val="center"/>
          </w:tcPr>
          <w:p w14:paraId="4E5696DC" w14:textId="77777777" w:rsidR="00DF3E10" w:rsidRDefault="00DF3E10">
            <w:pPr>
              <w:rPr>
                <w:rFonts w:ascii="Times New Roman" w:hAnsi="Times New Roman"/>
                <w:sz w:val="20"/>
                <w:szCs w:val="20"/>
              </w:rPr>
            </w:pPr>
          </w:p>
        </w:tc>
        <w:tc>
          <w:tcPr>
            <w:tcW w:w="1000" w:type="pct"/>
            <w:shd w:val="clear" w:color="auto" w:fill="auto"/>
            <w:vAlign w:val="center"/>
          </w:tcPr>
          <w:p w14:paraId="4E5696DD" w14:textId="77777777" w:rsidR="00DF3E10" w:rsidRDefault="00DF3E10">
            <w:pPr>
              <w:rPr>
                <w:rFonts w:ascii="Times New Roman" w:hAnsi="Times New Roman"/>
                <w:sz w:val="20"/>
                <w:szCs w:val="20"/>
              </w:rPr>
            </w:pPr>
          </w:p>
        </w:tc>
        <w:tc>
          <w:tcPr>
            <w:tcW w:w="2000" w:type="pct"/>
            <w:shd w:val="clear" w:color="auto" w:fill="auto"/>
            <w:vAlign w:val="center"/>
          </w:tcPr>
          <w:p w14:paraId="4E5696DE" w14:textId="77777777" w:rsidR="00DF3E10" w:rsidRDefault="00DF3E10">
            <w:pPr>
              <w:rPr>
                <w:rFonts w:ascii="Times New Roman" w:hAnsi="Times New Roman"/>
                <w:sz w:val="20"/>
                <w:szCs w:val="20"/>
              </w:rPr>
            </w:pPr>
          </w:p>
        </w:tc>
      </w:tr>
      <w:tr w:rsidR="00DF3E10" w14:paraId="4E5696E3" w14:textId="77777777">
        <w:trPr>
          <w:jc w:val="center"/>
        </w:trPr>
        <w:tc>
          <w:tcPr>
            <w:tcW w:w="0" w:type="auto"/>
            <w:gridSpan w:val="2"/>
            <w:shd w:val="clear" w:color="auto" w:fill="auto"/>
            <w:tcMar>
              <w:top w:w="40" w:type="dxa"/>
              <w:left w:w="40" w:type="dxa"/>
              <w:bottom w:w="40" w:type="dxa"/>
              <w:right w:w="40" w:type="dxa"/>
            </w:tcMar>
            <w:vAlign w:val="bottom"/>
          </w:tcPr>
          <w:p w14:paraId="4E5696E0"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Title of each class</w:t>
            </w:r>
          </w:p>
        </w:tc>
        <w:tc>
          <w:tcPr>
            <w:tcW w:w="0" w:type="auto"/>
            <w:shd w:val="clear" w:color="auto" w:fill="auto"/>
            <w:tcMar>
              <w:top w:w="40" w:type="dxa"/>
              <w:left w:w="40" w:type="dxa"/>
              <w:bottom w:w="40" w:type="dxa"/>
              <w:right w:w="40" w:type="dxa"/>
            </w:tcMar>
            <w:vAlign w:val="bottom"/>
          </w:tcPr>
          <w:p w14:paraId="4E5696E1"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Trading Symbol(s)</w:t>
            </w:r>
          </w:p>
        </w:tc>
        <w:tc>
          <w:tcPr>
            <w:tcW w:w="0" w:type="auto"/>
            <w:shd w:val="clear" w:color="auto" w:fill="auto"/>
            <w:tcMar>
              <w:top w:w="40" w:type="dxa"/>
              <w:left w:w="40" w:type="dxa"/>
              <w:bottom w:w="40" w:type="dxa"/>
              <w:right w:w="40" w:type="dxa"/>
            </w:tcMar>
            <w:vAlign w:val="bottom"/>
          </w:tcPr>
          <w:p w14:paraId="4E5696E2"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 xml:space="preserve">Name of each exchange on which </w:t>
            </w:r>
            <w:r>
              <w:rPr>
                <w:rFonts w:ascii="Times New Roman" w:eastAsia="宋体" w:hAnsi="Times New Roman"/>
                <w:sz w:val="18"/>
                <w:szCs w:val="18"/>
              </w:rPr>
              <w:t>registered</w:t>
            </w:r>
          </w:p>
        </w:tc>
      </w:tr>
      <w:tr w:rsidR="00DF3E10" w14:paraId="4E5696E7" w14:textId="77777777">
        <w:trPr>
          <w:jc w:val="center"/>
        </w:trPr>
        <w:tc>
          <w:tcPr>
            <w:tcW w:w="0" w:type="auto"/>
            <w:gridSpan w:val="2"/>
            <w:shd w:val="clear" w:color="auto" w:fill="auto"/>
            <w:tcMar>
              <w:top w:w="40" w:type="dxa"/>
              <w:left w:w="40" w:type="dxa"/>
              <w:bottom w:w="40" w:type="dxa"/>
              <w:right w:w="40" w:type="dxa"/>
            </w:tcMar>
            <w:vAlign w:val="bottom"/>
          </w:tcPr>
          <w:p w14:paraId="4E5696E4"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Class A Common Stock, par value $0.000006</w:t>
            </w:r>
          </w:p>
        </w:tc>
        <w:tc>
          <w:tcPr>
            <w:tcW w:w="0" w:type="auto"/>
            <w:shd w:val="clear" w:color="auto" w:fill="auto"/>
            <w:tcMar>
              <w:top w:w="40" w:type="dxa"/>
              <w:left w:w="40" w:type="dxa"/>
              <w:bottom w:w="40" w:type="dxa"/>
              <w:right w:w="40" w:type="dxa"/>
            </w:tcMar>
            <w:vAlign w:val="bottom"/>
          </w:tcPr>
          <w:p w14:paraId="4E5696E5"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FB</w:t>
            </w:r>
          </w:p>
        </w:tc>
        <w:tc>
          <w:tcPr>
            <w:tcW w:w="0" w:type="auto"/>
            <w:shd w:val="clear" w:color="auto" w:fill="auto"/>
            <w:tcMar>
              <w:top w:w="40" w:type="dxa"/>
              <w:left w:w="40" w:type="dxa"/>
              <w:bottom w:w="40" w:type="dxa"/>
              <w:right w:w="40" w:type="dxa"/>
            </w:tcMar>
            <w:vAlign w:val="bottom"/>
          </w:tcPr>
          <w:p w14:paraId="4E5696E6" w14:textId="77777777" w:rsidR="00DF3E10" w:rsidRDefault="006B6C28">
            <w:pPr>
              <w:jc w:val="center"/>
              <w:textAlignment w:val="bottom"/>
              <w:rPr>
                <w:rFonts w:ascii="Times New Roman" w:hAnsi="Times New Roman"/>
                <w:sz w:val="18"/>
                <w:szCs w:val="18"/>
              </w:rPr>
            </w:pPr>
            <w:r>
              <w:rPr>
                <w:rFonts w:ascii="Times New Roman" w:eastAsia="宋体" w:hAnsi="Times New Roman"/>
                <w:sz w:val="18"/>
                <w:szCs w:val="18"/>
              </w:rPr>
              <w:t>The Nasdaq Stock Market LLC</w:t>
            </w:r>
          </w:p>
        </w:tc>
      </w:tr>
    </w:tbl>
    <w:p w14:paraId="4E5696E8" w14:textId="77777777" w:rsidR="00DF3E10" w:rsidRDefault="00DF3E10">
      <w:pPr>
        <w:spacing w:line="288" w:lineRule="auto"/>
        <w:jc w:val="both"/>
        <w:rPr>
          <w:rFonts w:ascii="Times New Roman" w:hAnsi="Times New Roman"/>
          <w:sz w:val="18"/>
          <w:szCs w:val="18"/>
        </w:rPr>
      </w:pPr>
    </w:p>
    <w:p w14:paraId="4E5696E9" w14:textId="77777777" w:rsidR="00DF3E10" w:rsidRDefault="006B6C28">
      <w:pPr>
        <w:spacing w:line="288" w:lineRule="auto"/>
        <w:jc w:val="both"/>
        <w:rPr>
          <w:rFonts w:ascii="Times New Roman" w:hAnsi="Times New Roman"/>
          <w:sz w:val="18"/>
          <w:szCs w:val="18"/>
        </w:rPr>
      </w:pPr>
      <w:r>
        <w:rPr>
          <w:rFonts w:ascii="Times New Roman" w:eastAsia="宋体" w:hAnsi="Times New Roman"/>
          <w:sz w:val="18"/>
          <w:szCs w:val="18"/>
        </w:rPr>
        <w:t xml:space="preserve">Indicate by check mark whether the registrant (1) has filed all reports required to be filed by Section 13 or 15(d) of the Securities Exchange Act of 1934 </w:t>
      </w:r>
      <w:r>
        <w:rPr>
          <w:rFonts w:ascii="Times New Roman" w:eastAsia="宋体" w:hAnsi="Times New Roman"/>
          <w:sz w:val="18"/>
          <w:szCs w:val="18"/>
        </w:rPr>
        <w:t>(Exchange Act)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w:t>
      </w:r>
      <w:r>
        <w:rPr>
          <w:rFonts w:ascii="Times New Roman" w:eastAsia="宋体" w:hAnsi="Times New Roman"/>
          <w:sz w:val="18"/>
          <w:szCs w:val="18"/>
        </w:rPr>
        <w:t>  </w:t>
      </w:r>
    </w:p>
    <w:p w14:paraId="4E5696EA" w14:textId="77777777" w:rsidR="00DF3E10" w:rsidRDefault="006B6C28">
      <w:pPr>
        <w:spacing w:line="288" w:lineRule="auto"/>
        <w:jc w:val="both"/>
        <w:rPr>
          <w:rFonts w:ascii="Times New Roman" w:hAnsi="Times New Roman"/>
          <w:sz w:val="18"/>
          <w:szCs w:val="18"/>
        </w:rPr>
      </w:pPr>
      <w:r>
        <w:rPr>
          <w:rFonts w:ascii="Times New Roman" w:eastAsia="宋体" w:hAnsi="Times New Roman"/>
          <w:sz w:val="18"/>
          <w:szCs w:val="18"/>
        </w:rPr>
        <w:t>Indicate by check mark whether</w:t>
      </w:r>
      <w:r>
        <w:rPr>
          <w:rFonts w:ascii="Times New Roman" w:eastAsia="宋体" w:hAnsi="Times New Roman"/>
          <w:sz w:val="18"/>
          <w:szCs w:val="18"/>
        </w:rPr>
        <w:t xml:space="preserve"> the registrant has submitted electronically every Interactive Data File required to be submitted pursuant to Rule 405 of Regulation S-T (§ 232.405 of this chapter) during the preceding 12 months (or for such shorter period that the registrant was required</w:t>
      </w:r>
      <w:r>
        <w:rPr>
          <w:rFonts w:ascii="Times New Roman" w:eastAsia="宋体" w:hAnsi="Times New Roman"/>
          <w:sz w:val="18"/>
          <w:szCs w:val="18"/>
        </w:rPr>
        <w:t xml:space="preserve"> to submit such files).    Yes </w:t>
      </w:r>
      <w:r>
        <w:rPr>
          <w:rFonts w:ascii="Arial Unicode MS" w:eastAsia="Arial Unicode MS" w:hAnsi="Arial Unicode MS" w:cs="Arial Unicode MS" w:hint="eastAsia"/>
          <w:sz w:val="18"/>
          <w:szCs w:val="18"/>
        </w:rPr>
        <w:t>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 </w:t>
      </w:r>
      <w:r>
        <w:rPr>
          <w:rFonts w:ascii="Arial Unicode MS" w:eastAsia="Arial Unicode MS" w:hAnsi="Arial Unicode MS" w:cs="Arial Unicode MS" w:hint="eastAsia"/>
          <w:sz w:val="18"/>
          <w:szCs w:val="18"/>
        </w:rPr>
        <w:t>☐</w:t>
      </w:r>
    </w:p>
    <w:p w14:paraId="4E5696EB" w14:textId="77777777" w:rsidR="00DF3E10" w:rsidRDefault="006B6C28">
      <w:pPr>
        <w:spacing w:line="288" w:lineRule="auto"/>
        <w:jc w:val="both"/>
        <w:rPr>
          <w:rFonts w:ascii="Times New Roman" w:hAnsi="Times New Roman"/>
          <w:sz w:val="18"/>
          <w:szCs w:val="18"/>
        </w:rPr>
      </w:pPr>
      <w:r>
        <w:rPr>
          <w:rFonts w:ascii="Times New Roman" w:eastAsia="宋体" w:hAnsi="Times New Roman"/>
          <w:sz w:val="18"/>
          <w:szCs w:val="18"/>
        </w:rPr>
        <w:t xml:space="preserve">Indicate by check mark whether the registrant is a large accelerated filer, an accelerated filer, a non-accelerated filer, a smaller reporting company, or an emerging growth company. See the definitions of "large </w:t>
      </w:r>
      <w:r>
        <w:rPr>
          <w:rFonts w:ascii="Times New Roman" w:eastAsia="宋体" w:hAnsi="Times New Roman"/>
          <w:sz w:val="18"/>
          <w:szCs w:val="18"/>
        </w:rPr>
        <w:t xml:space="preserve">accelerated </w:t>
      </w:r>
      <w:r>
        <w:rPr>
          <w:rFonts w:ascii="Times New Roman" w:eastAsia="宋体" w:hAnsi="Times New Roman"/>
          <w:sz w:val="18"/>
          <w:szCs w:val="18"/>
        </w:rPr>
        <w:lastRenderedPageBreak/>
        <w:t xml:space="preserve">filer," "accelerated filer," "smaller reporting company," and "emerging growth company" in Rule 12b-2 of the Exchange Act. </w:t>
      </w:r>
    </w:p>
    <w:tbl>
      <w:tblPr>
        <w:tblW w:w="5000" w:type="pct"/>
        <w:tblCellMar>
          <w:left w:w="0" w:type="dxa"/>
          <w:right w:w="0" w:type="dxa"/>
        </w:tblCellMar>
        <w:tblLook w:val="04A0" w:firstRow="1" w:lastRow="0" w:firstColumn="1" w:lastColumn="0" w:noHBand="0" w:noVBand="1"/>
      </w:tblPr>
      <w:tblGrid>
        <w:gridCol w:w="1451"/>
        <w:gridCol w:w="130"/>
        <w:gridCol w:w="4275"/>
        <w:gridCol w:w="2050"/>
        <w:gridCol w:w="130"/>
        <w:gridCol w:w="270"/>
      </w:tblGrid>
      <w:tr w:rsidR="00DF3E10" w14:paraId="4E5696ED" w14:textId="77777777">
        <w:tc>
          <w:tcPr>
            <w:tcW w:w="0" w:type="auto"/>
            <w:gridSpan w:val="6"/>
            <w:shd w:val="clear" w:color="auto" w:fill="auto"/>
            <w:vAlign w:val="center"/>
          </w:tcPr>
          <w:p w14:paraId="4E5696EC" w14:textId="77777777" w:rsidR="00DF3E10" w:rsidRDefault="00DF3E10">
            <w:pPr>
              <w:rPr>
                <w:rFonts w:ascii="Times New Roman" w:hAnsi="Times New Roman"/>
                <w:sz w:val="20"/>
                <w:szCs w:val="20"/>
              </w:rPr>
            </w:pPr>
          </w:p>
        </w:tc>
      </w:tr>
      <w:tr w:rsidR="00DF3E10" w14:paraId="4E5696F4" w14:textId="77777777">
        <w:tc>
          <w:tcPr>
            <w:tcW w:w="950" w:type="pct"/>
            <w:shd w:val="clear" w:color="auto" w:fill="auto"/>
            <w:vAlign w:val="center"/>
          </w:tcPr>
          <w:p w14:paraId="4E5696EE" w14:textId="77777777" w:rsidR="00DF3E10" w:rsidRDefault="00DF3E10">
            <w:pPr>
              <w:rPr>
                <w:rFonts w:ascii="Times New Roman" w:hAnsi="Times New Roman"/>
                <w:sz w:val="20"/>
                <w:szCs w:val="20"/>
              </w:rPr>
            </w:pPr>
          </w:p>
        </w:tc>
        <w:tc>
          <w:tcPr>
            <w:tcW w:w="50" w:type="pct"/>
            <w:shd w:val="clear" w:color="auto" w:fill="auto"/>
            <w:vAlign w:val="center"/>
          </w:tcPr>
          <w:p w14:paraId="4E5696EF" w14:textId="77777777" w:rsidR="00DF3E10" w:rsidRDefault="00DF3E10">
            <w:pPr>
              <w:rPr>
                <w:rFonts w:ascii="Times New Roman" w:hAnsi="Times New Roman"/>
                <w:sz w:val="20"/>
                <w:szCs w:val="20"/>
              </w:rPr>
            </w:pPr>
          </w:p>
        </w:tc>
        <w:tc>
          <w:tcPr>
            <w:tcW w:w="2650" w:type="pct"/>
            <w:shd w:val="clear" w:color="auto" w:fill="auto"/>
            <w:vAlign w:val="center"/>
          </w:tcPr>
          <w:p w14:paraId="4E5696F0" w14:textId="77777777" w:rsidR="00DF3E10" w:rsidRDefault="00DF3E10">
            <w:pPr>
              <w:rPr>
                <w:rFonts w:ascii="Times New Roman" w:hAnsi="Times New Roman"/>
                <w:sz w:val="20"/>
                <w:szCs w:val="20"/>
              </w:rPr>
            </w:pPr>
          </w:p>
        </w:tc>
        <w:tc>
          <w:tcPr>
            <w:tcW w:w="1150" w:type="pct"/>
            <w:shd w:val="clear" w:color="auto" w:fill="auto"/>
            <w:vAlign w:val="center"/>
          </w:tcPr>
          <w:p w14:paraId="4E5696F1" w14:textId="77777777" w:rsidR="00DF3E10" w:rsidRDefault="00DF3E10">
            <w:pPr>
              <w:rPr>
                <w:rFonts w:ascii="Times New Roman" w:hAnsi="Times New Roman"/>
                <w:sz w:val="20"/>
                <w:szCs w:val="20"/>
              </w:rPr>
            </w:pPr>
          </w:p>
        </w:tc>
        <w:tc>
          <w:tcPr>
            <w:tcW w:w="50" w:type="pct"/>
            <w:shd w:val="clear" w:color="auto" w:fill="auto"/>
            <w:vAlign w:val="center"/>
          </w:tcPr>
          <w:p w14:paraId="4E5696F2" w14:textId="77777777" w:rsidR="00DF3E10" w:rsidRDefault="00DF3E10">
            <w:pPr>
              <w:rPr>
                <w:rFonts w:ascii="Times New Roman" w:hAnsi="Times New Roman"/>
                <w:sz w:val="20"/>
                <w:szCs w:val="20"/>
              </w:rPr>
            </w:pPr>
          </w:p>
        </w:tc>
        <w:tc>
          <w:tcPr>
            <w:tcW w:w="150" w:type="pct"/>
            <w:shd w:val="clear" w:color="auto" w:fill="auto"/>
            <w:vAlign w:val="center"/>
          </w:tcPr>
          <w:p w14:paraId="4E5696F3" w14:textId="77777777" w:rsidR="00DF3E10" w:rsidRDefault="00DF3E10">
            <w:pPr>
              <w:rPr>
                <w:rFonts w:ascii="Times New Roman" w:hAnsi="Times New Roman"/>
                <w:sz w:val="20"/>
                <w:szCs w:val="20"/>
              </w:rPr>
            </w:pPr>
          </w:p>
        </w:tc>
      </w:tr>
      <w:tr w:rsidR="00DF3E10" w14:paraId="4E5696FB" w14:textId="77777777">
        <w:tc>
          <w:tcPr>
            <w:tcW w:w="0" w:type="auto"/>
            <w:shd w:val="clear" w:color="auto" w:fill="auto"/>
            <w:tcMar>
              <w:top w:w="40" w:type="dxa"/>
              <w:left w:w="40" w:type="dxa"/>
              <w:bottom w:w="40" w:type="dxa"/>
              <w:right w:w="40" w:type="dxa"/>
            </w:tcMar>
            <w:vAlign w:val="bottom"/>
          </w:tcPr>
          <w:p w14:paraId="4E5696F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4E5696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6F7" w14:textId="77777777" w:rsidR="00DF3E10" w:rsidRDefault="006B6C28">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4E5696F8"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Accelerated filer</w:t>
            </w:r>
          </w:p>
        </w:tc>
        <w:tc>
          <w:tcPr>
            <w:tcW w:w="0" w:type="auto"/>
            <w:shd w:val="clear" w:color="auto" w:fill="auto"/>
            <w:tcMar>
              <w:top w:w="40" w:type="dxa"/>
              <w:left w:w="40" w:type="dxa"/>
              <w:bottom w:w="40" w:type="dxa"/>
              <w:right w:w="40" w:type="dxa"/>
            </w:tcMar>
            <w:vAlign w:val="bottom"/>
          </w:tcPr>
          <w:p w14:paraId="4E5696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6FA" w14:textId="77777777" w:rsidR="00DF3E10" w:rsidRDefault="006B6C28">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DF3E10" w14:paraId="4E569702" w14:textId="77777777">
        <w:tc>
          <w:tcPr>
            <w:tcW w:w="0" w:type="auto"/>
            <w:shd w:val="clear" w:color="auto" w:fill="auto"/>
            <w:tcMar>
              <w:top w:w="40" w:type="dxa"/>
              <w:left w:w="40" w:type="dxa"/>
              <w:bottom w:w="40" w:type="dxa"/>
              <w:right w:w="40" w:type="dxa"/>
            </w:tcMar>
            <w:vAlign w:val="bottom"/>
          </w:tcPr>
          <w:p w14:paraId="4E5696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6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6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6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09" w14:textId="77777777">
        <w:tc>
          <w:tcPr>
            <w:tcW w:w="0" w:type="auto"/>
            <w:shd w:val="clear" w:color="auto" w:fill="auto"/>
            <w:tcMar>
              <w:top w:w="40" w:type="dxa"/>
              <w:left w:w="40" w:type="dxa"/>
              <w:bottom w:w="40" w:type="dxa"/>
              <w:right w:w="40" w:type="dxa"/>
            </w:tcMar>
            <w:vAlign w:val="bottom"/>
          </w:tcPr>
          <w:p w14:paraId="4E569703"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4E5697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5" w14:textId="77777777" w:rsidR="00DF3E10" w:rsidRDefault="006B6C28">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4E56970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4E5697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8" w14:textId="77777777" w:rsidR="00DF3E10" w:rsidRDefault="006B6C28">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DF3E10" w14:paraId="4E569710" w14:textId="77777777">
        <w:tc>
          <w:tcPr>
            <w:tcW w:w="0" w:type="auto"/>
            <w:shd w:val="clear" w:color="auto" w:fill="auto"/>
            <w:tcMar>
              <w:top w:w="40" w:type="dxa"/>
              <w:left w:w="40" w:type="dxa"/>
              <w:bottom w:w="40" w:type="dxa"/>
              <w:right w:w="40" w:type="dxa"/>
            </w:tcMar>
            <w:vAlign w:val="bottom"/>
          </w:tcPr>
          <w:p w14:paraId="4E56970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17" w14:textId="77777777">
        <w:tc>
          <w:tcPr>
            <w:tcW w:w="0" w:type="auto"/>
            <w:shd w:val="clear" w:color="auto" w:fill="auto"/>
            <w:tcMar>
              <w:top w:w="40" w:type="dxa"/>
              <w:left w:w="40" w:type="dxa"/>
              <w:bottom w:w="40" w:type="dxa"/>
              <w:right w:w="40" w:type="dxa"/>
            </w:tcMar>
            <w:vAlign w:val="bottom"/>
          </w:tcPr>
          <w:p w14:paraId="4E5697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4E5697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6" w14:textId="77777777" w:rsidR="00DF3E10" w:rsidRDefault="006B6C28">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DF3E10" w14:paraId="4E56971E" w14:textId="77777777">
        <w:tc>
          <w:tcPr>
            <w:tcW w:w="0" w:type="auto"/>
            <w:shd w:val="clear" w:color="auto" w:fill="auto"/>
            <w:tcMar>
              <w:top w:w="40" w:type="dxa"/>
              <w:left w:w="40" w:type="dxa"/>
              <w:bottom w:w="40" w:type="dxa"/>
              <w:right w:w="40" w:type="dxa"/>
            </w:tcMar>
            <w:vAlign w:val="bottom"/>
          </w:tcPr>
          <w:p w14:paraId="4E5697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22" w14:textId="77777777">
        <w:tc>
          <w:tcPr>
            <w:tcW w:w="0" w:type="auto"/>
            <w:gridSpan w:val="4"/>
            <w:shd w:val="clear" w:color="auto" w:fill="auto"/>
            <w:tcMar>
              <w:top w:w="40" w:type="dxa"/>
              <w:left w:w="40" w:type="dxa"/>
              <w:bottom w:w="40" w:type="dxa"/>
              <w:right w:w="40" w:type="dxa"/>
            </w:tcMar>
            <w:vAlign w:val="bottom"/>
          </w:tcPr>
          <w:p w14:paraId="4E56971F" w14:textId="77777777" w:rsidR="00DF3E10" w:rsidRDefault="006B6C28">
            <w:pPr>
              <w:jc w:val="both"/>
              <w:textAlignment w:val="bottom"/>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shd w:val="clear" w:color="auto" w:fill="auto"/>
            <w:tcMar>
              <w:top w:w="40" w:type="dxa"/>
              <w:left w:w="40" w:type="dxa"/>
              <w:bottom w:w="40" w:type="dxa"/>
              <w:right w:w="40" w:type="dxa"/>
            </w:tcMar>
            <w:vAlign w:val="bottom"/>
          </w:tcPr>
          <w:p w14:paraId="4E5697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21" w14:textId="77777777" w:rsidR="00DF3E10" w:rsidRDefault="006B6C28">
            <w:pPr>
              <w:textAlignment w:val="center"/>
              <w:rPr>
                <w:rFonts w:ascii="Times New Roman" w:hAnsi="Times New Roman"/>
                <w:sz w:val="22"/>
                <w:szCs w:val="22"/>
              </w:rPr>
            </w:pPr>
            <w:r>
              <w:rPr>
                <w:rFonts w:ascii="Arial Unicode MS" w:eastAsia="Arial Unicode MS" w:hAnsi="Arial Unicode MS" w:cs="Arial Unicode MS" w:hint="eastAsia"/>
                <w:sz w:val="22"/>
                <w:szCs w:val="22"/>
              </w:rPr>
              <w:t>☐</w:t>
            </w:r>
          </w:p>
        </w:tc>
      </w:tr>
    </w:tbl>
    <w:p w14:paraId="4E569723" w14:textId="77777777" w:rsidR="00DF3E10" w:rsidRDefault="006B6C28">
      <w:pPr>
        <w:spacing w:line="288" w:lineRule="auto"/>
        <w:rPr>
          <w:rFonts w:ascii="Times New Roman" w:hAnsi="Times New Roman"/>
          <w:sz w:val="22"/>
          <w:szCs w:val="22"/>
        </w:rPr>
      </w:pPr>
      <w:r>
        <w:rPr>
          <w:rFonts w:ascii="Times New Roman" w:eastAsia="宋体" w:hAnsi="Times New Roman"/>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sz w:val="22"/>
          <w:szCs w:val="22"/>
        </w:rPr>
        <w:t>☐</w:t>
      </w:r>
      <w:r>
        <w:rPr>
          <w:rFonts w:ascii="Times New Roman" w:eastAsia="宋体" w:hAnsi="Times New Roman"/>
          <w:sz w:val="20"/>
          <w:szCs w:val="20"/>
        </w:rPr>
        <w:t xml:space="preserve"> </w:t>
      </w:r>
      <w:r>
        <w:rPr>
          <w:rFonts w:ascii="Times New Roman" w:eastAsia="宋体" w:hAnsi="Times New Roman"/>
          <w:sz w:val="18"/>
          <w:szCs w:val="18"/>
        </w:rPr>
        <w:t xml:space="preserve">No </w:t>
      </w:r>
      <w:r>
        <w:rPr>
          <w:rFonts w:ascii="Arial Unicode MS" w:eastAsia="Arial Unicode MS" w:hAnsi="Arial Unicode MS" w:cs="Arial Unicode MS" w:hint="eastAsia"/>
          <w:sz w:val="22"/>
          <w:szCs w:val="22"/>
        </w:rPr>
        <w:t>☒</w:t>
      </w:r>
    </w:p>
    <w:p w14:paraId="4E569724" w14:textId="77777777" w:rsidR="00DF3E10" w:rsidRDefault="006B6C28">
      <w:pPr>
        <w:spacing w:line="288" w:lineRule="auto"/>
        <w:jc w:val="both"/>
        <w:rPr>
          <w:rFonts w:ascii="Times New Roman" w:hAnsi="Times New Roman"/>
          <w:sz w:val="18"/>
          <w:szCs w:val="18"/>
        </w:rPr>
      </w:pPr>
      <w:r>
        <w:rPr>
          <w:rFonts w:ascii="Times New Roman" w:eastAsia="宋体" w:hAnsi="Times New Roman"/>
          <w:sz w:val="18"/>
          <w:szCs w:val="18"/>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1578"/>
        <w:gridCol w:w="1661"/>
        <w:gridCol w:w="2243"/>
        <w:gridCol w:w="83"/>
        <w:gridCol w:w="2741"/>
      </w:tblGrid>
      <w:tr w:rsidR="00DF3E10" w14:paraId="4E569726" w14:textId="77777777">
        <w:tc>
          <w:tcPr>
            <w:tcW w:w="0" w:type="auto"/>
            <w:gridSpan w:val="5"/>
            <w:shd w:val="clear" w:color="auto" w:fill="auto"/>
            <w:vAlign w:val="center"/>
          </w:tcPr>
          <w:p w14:paraId="4E569725" w14:textId="77777777" w:rsidR="00DF3E10" w:rsidRDefault="00DF3E10">
            <w:pPr>
              <w:rPr>
                <w:rFonts w:ascii="Times New Roman" w:hAnsi="Times New Roman"/>
                <w:sz w:val="20"/>
                <w:szCs w:val="20"/>
              </w:rPr>
            </w:pPr>
          </w:p>
        </w:tc>
      </w:tr>
      <w:tr w:rsidR="00DF3E10" w14:paraId="4E56972C" w14:textId="77777777">
        <w:tc>
          <w:tcPr>
            <w:tcW w:w="950" w:type="pct"/>
            <w:shd w:val="clear" w:color="auto" w:fill="auto"/>
            <w:vAlign w:val="center"/>
          </w:tcPr>
          <w:p w14:paraId="4E569727" w14:textId="77777777" w:rsidR="00DF3E10" w:rsidRDefault="00DF3E10">
            <w:pPr>
              <w:rPr>
                <w:rFonts w:ascii="Times New Roman" w:hAnsi="Times New Roman"/>
                <w:sz w:val="20"/>
                <w:szCs w:val="20"/>
              </w:rPr>
            </w:pPr>
          </w:p>
        </w:tc>
        <w:tc>
          <w:tcPr>
            <w:tcW w:w="1000" w:type="pct"/>
            <w:shd w:val="clear" w:color="auto" w:fill="auto"/>
            <w:vAlign w:val="center"/>
          </w:tcPr>
          <w:p w14:paraId="4E569728" w14:textId="77777777" w:rsidR="00DF3E10" w:rsidRDefault="00DF3E10">
            <w:pPr>
              <w:rPr>
                <w:rFonts w:ascii="Times New Roman" w:hAnsi="Times New Roman"/>
                <w:sz w:val="20"/>
                <w:szCs w:val="20"/>
              </w:rPr>
            </w:pPr>
          </w:p>
        </w:tc>
        <w:tc>
          <w:tcPr>
            <w:tcW w:w="1350" w:type="pct"/>
            <w:shd w:val="clear" w:color="auto" w:fill="auto"/>
            <w:vAlign w:val="center"/>
          </w:tcPr>
          <w:p w14:paraId="4E569729" w14:textId="77777777" w:rsidR="00DF3E10" w:rsidRDefault="00DF3E10">
            <w:pPr>
              <w:rPr>
                <w:rFonts w:ascii="Times New Roman" w:hAnsi="Times New Roman"/>
                <w:sz w:val="20"/>
                <w:szCs w:val="20"/>
              </w:rPr>
            </w:pPr>
          </w:p>
        </w:tc>
        <w:tc>
          <w:tcPr>
            <w:tcW w:w="50" w:type="pct"/>
            <w:shd w:val="clear" w:color="auto" w:fill="auto"/>
            <w:vAlign w:val="center"/>
          </w:tcPr>
          <w:p w14:paraId="4E56972A" w14:textId="77777777" w:rsidR="00DF3E10" w:rsidRDefault="00DF3E10">
            <w:pPr>
              <w:rPr>
                <w:rFonts w:ascii="Times New Roman" w:hAnsi="Times New Roman"/>
                <w:sz w:val="20"/>
                <w:szCs w:val="20"/>
              </w:rPr>
            </w:pPr>
          </w:p>
        </w:tc>
        <w:tc>
          <w:tcPr>
            <w:tcW w:w="1650" w:type="pct"/>
            <w:shd w:val="clear" w:color="auto" w:fill="auto"/>
            <w:vAlign w:val="center"/>
          </w:tcPr>
          <w:p w14:paraId="4E56972B" w14:textId="77777777" w:rsidR="00DF3E10" w:rsidRDefault="00DF3E10">
            <w:pPr>
              <w:rPr>
                <w:rFonts w:ascii="Times New Roman" w:hAnsi="Times New Roman"/>
                <w:sz w:val="20"/>
                <w:szCs w:val="20"/>
              </w:rPr>
            </w:pPr>
          </w:p>
        </w:tc>
      </w:tr>
      <w:tr w:rsidR="00DF3E10" w14:paraId="4E56972F" w14:textId="77777777">
        <w:tc>
          <w:tcPr>
            <w:tcW w:w="0" w:type="auto"/>
            <w:gridSpan w:val="2"/>
            <w:shd w:val="clear" w:color="auto" w:fill="auto"/>
            <w:tcMar>
              <w:top w:w="40" w:type="dxa"/>
              <w:left w:w="40" w:type="dxa"/>
              <w:bottom w:w="40" w:type="dxa"/>
              <w:right w:w="40" w:type="dxa"/>
            </w:tcMar>
            <w:vAlign w:val="bottom"/>
          </w:tcPr>
          <w:p w14:paraId="4E56972D" w14:textId="77777777" w:rsidR="00DF3E10" w:rsidRDefault="006B6C28">
            <w:pPr>
              <w:jc w:val="center"/>
              <w:textAlignment w:val="bottom"/>
              <w:rPr>
                <w:rFonts w:ascii="Times New Roman" w:hAnsi="Times New Roman"/>
                <w:sz w:val="18"/>
                <w:szCs w:val="18"/>
              </w:rPr>
            </w:pPr>
            <w:r>
              <w:rPr>
                <w:rFonts w:ascii="Times New Roman" w:eastAsia="宋体" w:hAnsi="Times New Roman"/>
                <w:b/>
                <w:bCs/>
                <w:sz w:val="18"/>
                <w:szCs w:val="18"/>
              </w:rPr>
              <w:t>Class</w:t>
            </w:r>
          </w:p>
        </w:tc>
        <w:tc>
          <w:tcPr>
            <w:tcW w:w="0" w:type="auto"/>
            <w:gridSpan w:val="3"/>
            <w:shd w:val="clear" w:color="auto" w:fill="auto"/>
            <w:tcMar>
              <w:top w:w="40" w:type="dxa"/>
              <w:left w:w="40" w:type="dxa"/>
              <w:bottom w:w="40" w:type="dxa"/>
            </w:tcMar>
            <w:vAlign w:val="bottom"/>
          </w:tcPr>
          <w:p w14:paraId="4E56972E" w14:textId="77777777" w:rsidR="00DF3E10" w:rsidRDefault="006B6C28">
            <w:pPr>
              <w:jc w:val="center"/>
              <w:textAlignment w:val="bottom"/>
              <w:rPr>
                <w:rFonts w:ascii="Times New Roman" w:hAnsi="Times New Roman"/>
                <w:sz w:val="18"/>
                <w:szCs w:val="18"/>
              </w:rPr>
            </w:pPr>
            <w:r>
              <w:rPr>
                <w:rFonts w:ascii="Times New Roman" w:eastAsia="宋体" w:hAnsi="Times New Roman"/>
                <w:b/>
                <w:bCs/>
                <w:sz w:val="18"/>
                <w:szCs w:val="18"/>
              </w:rPr>
              <w:t>Number of Shares Outstanding</w:t>
            </w:r>
          </w:p>
        </w:tc>
      </w:tr>
      <w:tr w:rsidR="00DF3E10" w14:paraId="4E569735" w14:textId="77777777">
        <w:tc>
          <w:tcPr>
            <w:tcW w:w="0" w:type="auto"/>
            <w:shd w:val="clear" w:color="auto" w:fill="auto"/>
            <w:tcMar>
              <w:top w:w="40" w:type="dxa"/>
              <w:left w:w="40" w:type="dxa"/>
              <w:bottom w:w="40" w:type="dxa"/>
              <w:right w:w="40" w:type="dxa"/>
            </w:tcMar>
          </w:tcPr>
          <w:p w14:paraId="4E569730" w14:textId="77777777" w:rsidR="00DF3E10" w:rsidRDefault="006B6C28">
            <w:pPr>
              <w:jc w:val="right"/>
              <w:textAlignment w:val="top"/>
              <w:rPr>
                <w:rFonts w:ascii="Times New Roman" w:hAnsi="Times New Roman"/>
                <w:sz w:val="18"/>
                <w:szCs w:val="18"/>
              </w:rPr>
            </w:pPr>
            <w:r>
              <w:rPr>
                <w:rFonts w:ascii="Times New Roman" w:eastAsia="宋体" w:hAnsi="Times New Roman"/>
                <w:sz w:val="18"/>
                <w:szCs w:val="18"/>
              </w:rPr>
              <w:t xml:space="preserve">Class A Common Stock </w:t>
            </w:r>
          </w:p>
        </w:tc>
        <w:tc>
          <w:tcPr>
            <w:tcW w:w="0" w:type="auto"/>
            <w:shd w:val="clear" w:color="auto" w:fill="auto"/>
            <w:tcMar>
              <w:top w:w="40" w:type="dxa"/>
              <w:left w:w="40" w:type="dxa"/>
              <w:bottom w:w="40" w:type="dxa"/>
              <w:right w:w="40" w:type="dxa"/>
            </w:tcMar>
            <w:vAlign w:val="bottom"/>
          </w:tcPr>
          <w:p w14:paraId="4E56973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4E56973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2,404,282,110</w:t>
            </w:r>
          </w:p>
        </w:tc>
        <w:tc>
          <w:tcPr>
            <w:tcW w:w="0" w:type="auto"/>
            <w:shd w:val="clear" w:color="auto" w:fill="auto"/>
            <w:vAlign w:val="bottom"/>
          </w:tcPr>
          <w:p w14:paraId="4E5697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4E569734" w14:textId="77777777" w:rsidR="00DF3E10" w:rsidRDefault="006B6C28">
            <w:pPr>
              <w:textAlignment w:val="top"/>
              <w:rPr>
                <w:rFonts w:ascii="Times New Roman" w:hAnsi="Times New Roman"/>
                <w:sz w:val="18"/>
                <w:szCs w:val="18"/>
              </w:rPr>
            </w:pPr>
            <w:r>
              <w:rPr>
                <w:rFonts w:ascii="Times New Roman" w:eastAsia="宋体" w:hAnsi="Times New Roman"/>
                <w:sz w:val="18"/>
                <w:szCs w:val="18"/>
              </w:rPr>
              <w:t>shares outstanding as of July 23, 2020</w:t>
            </w:r>
          </w:p>
        </w:tc>
      </w:tr>
      <w:tr w:rsidR="00DF3E10" w14:paraId="4E56973B" w14:textId="77777777">
        <w:tc>
          <w:tcPr>
            <w:tcW w:w="0" w:type="auto"/>
            <w:shd w:val="clear" w:color="auto" w:fill="auto"/>
            <w:tcMar>
              <w:top w:w="40" w:type="dxa"/>
              <w:left w:w="40" w:type="dxa"/>
              <w:bottom w:w="40" w:type="dxa"/>
              <w:right w:w="40" w:type="dxa"/>
            </w:tcMar>
          </w:tcPr>
          <w:p w14:paraId="4E569736" w14:textId="77777777" w:rsidR="00DF3E10" w:rsidRDefault="006B6C28">
            <w:pPr>
              <w:jc w:val="right"/>
              <w:textAlignment w:val="top"/>
              <w:rPr>
                <w:rFonts w:ascii="Times New Roman" w:hAnsi="Times New Roman"/>
                <w:sz w:val="18"/>
                <w:szCs w:val="18"/>
              </w:rPr>
            </w:pPr>
            <w:r>
              <w:rPr>
                <w:rFonts w:ascii="Times New Roman" w:eastAsia="宋体" w:hAnsi="Times New Roman"/>
                <w:sz w:val="18"/>
                <w:szCs w:val="18"/>
              </w:rPr>
              <w:t xml:space="preserve">Class B Common Stock </w:t>
            </w:r>
          </w:p>
        </w:tc>
        <w:tc>
          <w:tcPr>
            <w:tcW w:w="0" w:type="auto"/>
            <w:shd w:val="clear" w:color="auto" w:fill="auto"/>
            <w:tcMar>
              <w:top w:w="40" w:type="dxa"/>
              <w:left w:w="40" w:type="dxa"/>
              <w:bottom w:w="40" w:type="dxa"/>
              <w:right w:w="40" w:type="dxa"/>
            </w:tcMar>
            <w:vAlign w:val="bottom"/>
          </w:tcPr>
          <w:p w14:paraId="4E569737"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4E56973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444,533,708</w:t>
            </w:r>
          </w:p>
        </w:tc>
        <w:tc>
          <w:tcPr>
            <w:tcW w:w="0" w:type="auto"/>
            <w:shd w:val="clear" w:color="auto" w:fill="auto"/>
            <w:vAlign w:val="bottom"/>
          </w:tcPr>
          <w:p w14:paraId="4E56973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4E56973A" w14:textId="77777777" w:rsidR="00DF3E10" w:rsidRDefault="006B6C28">
            <w:pPr>
              <w:textAlignment w:val="top"/>
              <w:rPr>
                <w:rFonts w:ascii="Times New Roman" w:hAnsi="Times New Roman"/>
                <w:sz w:val="18"/>
                <w:szCs w:val="18"/>
              </w:rPr>
            </w:pPr>
            <w:r>
              <w:rPr>
                <w:rFonts w:ascii="Times New Roman" w:eastAsia="宋体" w:hAnsi="Times New Roman"/>
                <w:sz w:val="18"/>
                <w:szCs w:val="18"/>
              </w:rPr>
              <w:t>shares outstanding as of July 23, 2020</w:t>
            </w:r>
          </w:p>
        </w:tc>
      </w:tr>
    </w:tbl>
    <w:p w14:paraId="4E56973C" w14:textId="77777777" w:rsidR="00DF3E10" w:rsidRDefault="00DF3E10">
      <w:pPr>
        <w:rPr>
          <w:rFonts w:ascii="Times New Roman" w:hAnsi="Times New Roman"/>
          <w:sz w:val="20"/>
          <w:szCs w:val="20"/>
        </w:rPr>
      </w:pPr>
    </w:p>
    <w:p w14:paraId="4E56973D" w14:textId="77777777" w:rsidR="00DF3E10" w:rsidRDefault="006B6C28">
      <w:r>
        <w:rPr>
          <w:rFonts w:ascii="Times New Roman" w:hAnsi="Times New Roman"/>
          <w:sz w:val="20"/>
          <w:szCs w:val="20"/>
        </w:rPr>
        <w:pict w14:anchorId="4E56B74E">
          <v:rect id="_x0000_i1025" style="width:415.3pt;height:1.5pt" o:hralign="center" o:hrstd="t" o:hr="t" fillcolor="#a0a0a0" stroked="f"/>
        </w:pict>
      </w:r>
    </w:p>
    <w:p w14:paraId="4E56973E" w14:textId="77777777" w:rsidR="00DF3E10" w:rsidRDefault="00DF3E10">
      <w:pPr>
        <w:rPr>
          <w:rFonts w:ascii="Times New Roman" w:hAnsi="Times New Roman"/>
          <w:sz w:val="20"/>
          <w:szCs w:val="20"/>
        </w:rPr>
      </w:pPr>
    </w:p>
    <w:p w14:paraId="4E56973F"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740"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p w14:paraId="4E569741" w14:textId="77777777" w:rsidR="00DF3E10" w:rsidRDefault="00DF3E10">
      <w:pPr>
        <w:spacing w:line="288" w:lineRule="auto"/>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791"/>
        <w:gridCol w:w="6872"/>
        <w:gridCol w:w="643"/>
      </w:tblGrid>
      <w:tr w:rsidR="00DF3E10" w14:paraId="4E569743" w14:textId="77777777">
        <w:tc>
          <w:tcPr>
            <w:tcW w:w="0" w:type="auto"/>
            <w:gridSpan w:val="3"/>
            <w:shd w:val="clear" w:color="auto" w:fill="auto"/>
            <w:vAlign w:val="center"/>
          </w:tcPr>
          <w:p w14:paraId="4E569742" w14:textId="77777777" w:rsidR="00DF3E10" w:rsidRDefault="00DF3E10">
            <w:pPr>
              <w:rPr>
                <w:rFonts w:ascii="Times New Roman" w:hAnsi="Times New Roman"/>
                <w:sz w:val="20"/>
                <w:szCs w:val="20"/>
              </w:rPr>
            </w:pPr>
          </w:p>
        </w:tc>
      </w:tr>
      <w:tr w:rsidR="00DF3E10" w14:paraId="4E569747" w14:textId="77777777">
        <w:tc>
          <w:tcPr>
            <w:tcW w:w="450" w:type="pct"/>
            <w:shd w:val="clear" w:color="auto" w:fill="auto"/>
            <w:vAlign w:val="center"/>
          </w:tcPr>
          <w:p w14:paraId="4E569744" w14:textId="77777777" w:rsidR="00DF3E10" w:rsidRDefault="00DF3E10">
            <w:pPr>
              <w:rPr>
                <w:rFonts w:ascii="Times New Roman" w:hAnsi="Times New Roman"/>
                <w:sz w:val="20"/>
                <w:szCs w:val="20"/>
              </w:rPr>
            </w:pPr>
          </w:p>
        </w:tc>
        <w:tc>
          <w:tcPr>
            <w:tcW w:w="4150" w:type="pct"/>
            <w:shd w:val="clear" w:color="auto" w:fill="auto"/>
            <w:vAlign w:val="center"/>
          </w:tcPr>
          <w:p w14:paraId="4E569745" w14:textId="77777777" w:rsidR="00DF3E10" w:rsidRDefault="00DF3E10">
            <w:pPr>
              <w:rPr>
                <w:rFonts w:ascii="Times New Roman" w:hAnsi="Times New Roman"/>
                <w:sz w:val="20"/>
                <w:szCs w:val="20"/>
              </w:rPr>
            </w:pPr>
          </w:p>
        </w:tc>
        <w:tc>
          <w:tcPr>
            <w:tcW w:w="400" w:type="pct"/>
            <w:shd w:val="clear" w:color="auto" w:fill="auto"/>
            <w:vAlign w:val="center"/>
          </w:tcPr>
          <w:p w14:paraId="4E569746" w14:textId="77777777" w:rsidR="00DF3E10" w:rsidRDefault="00DF3E10">
            <w:pPr>
              <w:rPr>
                <w:rFonts w:ascii="Times New Roman" w:hAnsi="Times New Roman"/>
                <w:sz w:val="20"/>
                <w:szCs w:val="20"/>
              </w:rPr>
            </w:pPr>
          </w:p>
        </w:tc>
      </w:tr>
      <w:tr w:rsidR="00DF3E10" w14:paraId="4E56974B" w14:textId="77777777">
        <w:tc>
          <w:tcPr>
            <w:tcW w:w="0" w:type="auto"/>
            <w:shd w:val="clear" w:color="auto" w:fill="auto"/>
            <w:tcMar>
              <w:top w:w="40" w:type="dxa"/>
              <w:left w:w="40" w:type="dxa"/>
              <w:bottom w:w="40" w:type="dxa"/>
              <w:right w:w="40" w:type="dxa"/>
            </w:tcMar>
            <w:vAlign w:val="center"/>
          </w:tcPr>
          <w:p w14:paraId="4E569748" w14:textId="77777777" w:rsidR="00DF3E10" w:rsidRDefault="006B6C28">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E569749" w14:textId="77777777" w:rsidR="00DF3E10" w:rsidRDefault="006B6C28">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E56974A" w14:textId="77777777" w:rsidR="00DF3E10" w:rsidRDefault="006B6C28">
            <w:pPr>
              <w:jc w:val="center"/>
              <w:textAlignment w:val="center"/>
              <w:rPr>
                <w:rFonts w:ascii="Times New Roman" w:hAnsi="Times New Roman"/>
                <w:sz w:val="20"/>
                <w:szCs w:val="20"/>
              </w:rPr>
            </w:pPr>
            <w:r>
              <w:rPr>
                <w:rFonts w:ascii="Times New Roman" w:eastAsia="宋体" w:hAnsi="Times New Roman"/>
                <w:sz w:val="20"/>
                <w:szCs w:val="20"/>
                <w:u w:val="single"/>
              </w:rPr>
              <w:t>Page </w:t>
            </w:r>
          </w:p>
        </w:tc>
      </w:tr>
      <w:tr w:rsidR="00DF3E10" w14:paraId="4E56974E" w14:textId="77777777">
        <w:tc>
          <w:tcPr>
            <w:tcW w:w="0" w:type="auto"/>
            <w:gridSpan w:val="2"/>
            <w:shd w:val="clear" w:color="auto" w:fill="auto"/>
            <w:tcMar>
              <w:top w:w="40" w:type="dxa"/>
              <w:left w:w="40" w:type="dxa"/>
              <w:bottom w:w="40" w:type="dxa"/>
              <w:right w:w="40" w:type="dxa"/>
            </w:tcMar>
            <w:vAlign w:val="bottom"/>
          </w:tcPr>
          <w:p w14:paraId="4E5697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51" w14:textId="77777777">
        <w:tc>
          <w:tcPr>
            <w:tcW w:w="0" w:type="auto"/>
            <w:gridSpan w:val="2"/>
            <w:shd w:val="clear" w:color="auto" w:fill="auto"/>
            <w:tcMar>
              <w:top w:w="40" w:type="dxa"/>
              <w:left w:w="40" w:type="dxa"/>
              <w:bottom w:w="40" w:type="dxa"/>
              <w:right w:w="40" w:type="dxa"/>
            </w:tcMar>
            <w:vAlign w:val="center"/>
          </w:tcPr>
          <w:p w14:paraId="4E56974F" w14:textId="77777777" w:rsidR="00DF3E10" w:rsidRDefault="006B6C28">
            <w:pPr>
              <w:jc w:val="both"/>
              <w:textAlignment w:val="center"/>
              <w:rPr>
                <w:rFonts w:ascii="Times New Roman" w:hAnsi="Times New Roman"/>
                <w:sz w:val="20"/>
                <w:szCs w:val="20"/>
              </w:rPr>
            </w:pPr>
            <w:hyperlink r:id="rId6" w:anchor="sE9E8A17F40D95888B7F6CFCA1219F2A9" w:history="1">
              <w:r>
                <w:rPr>
                  <w:rStyle w:val="a5"/>
                  <w:rFonts w:ascii="Times New Roman" w:eastAsia="宋体" w:hAnsi="Times New Roman"/>
                  <w:sz w:val="20"/>
                  <w:szCs w:val="20"/>
                </w:rPr>
                <w:t>Note About Forward-Looking Statements</w:t>
              </w:r>
            </w:hyperlink>
          </w:p>
        </w:tc>
        <w:tc>
          <w:tcPr>
            <w:tcW w:w="0" w:type="auto"/>
            <w:shd w:val="clear" w:color="auto" w:fill="auto"/>
            <w:tcMar>
              <w:top w:w="40" w:type="dxa"/>
              <w:left w:w="40" w:type="dxa"/>
              <w:bottom w:w="40" w:type="dxa"/>
              <w:right w:w="40" w:type="dxa"/>
            </w:tcMar>
            <w:vAlign w:val="center"/>
          </w:tcPr>
          <w:p w14:paraId="4E569750" w14:textId="77777777" w:rsidR="00DF3E10" w:rsidRDefault="006B6C28">
            <w:pPr>
              <w:jc w:val="center"/>
              <w:textAlignment w:val="center"/>
              <w:rPr>
                <w:rFonts w:ascii="Times New Roman" w:hAnsi="Times New Roman"/>
                <w:sz w:val="20"/>
                <w:szCs w:val="20"/>
              </w:rPr>
            </w:pPr>
            <w:hyperlink r:id="rId7" w:anchor="sE9E8A17F40D95888B7F6CFCA1219F2A9" w:history="1">
              <w:r>
                <w:rPr>
                  <w:rStyle w:val="a5"/>
                  <w:rFonts w:ascii="Times New Roman" w:eastAsia="宋体" w:hAnsi="Times New Roman"/>
                  <w:sz w:val="20"/>
                  <w:szCs w:val="20"/>
                </w:rPr>
                <w:t>3</w:t>
              </w:r>
            </w:hyperlink>
          </w:p>
        </w:tc>
      </w:tr>
      <w:tr w:rsidR="00DF3E10" w14:paraId="4E569754" w14:textId="77777777">
        <w:tc>
          <w:tcPr>
            <w:tcW w:w="0" w:type="auto"/>
            <w:gridSpan w:val="2"/>
            <w:shd w:val="clear" w:color="auto" w:fill="auto"/>
            <w:tcMar>
              <w:top w:w="40" w:type="dxa"/>
              <w:left w:w="40" w:type="dxa"/>
              <w:bottom w:w="40" w:type="dxa"/>
              <w:right w:w="40" w:type="dxa"/>
            </w:tcMar>
            <w:vAlign w:val="bottom"/>
          </w:tcPr>
          <w:p w14:paraId="4E5697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57" w14:textId="77777777">
        <w:tc>
          <w:tcPr>
            <w:tcW w:w="0" w:type="auto"/>
            <w:gridSpan w:val="2"/>
            <w:shd w:val="clear" w:color="auto" w:fill="auto"/>
            <w:tcMar>
              <w:top w:w="40" w:type="dxa"/>
              <w:left w:w="40" w:type="dxa"/>
              <w:bottom w:w="40" w:type="dxa"/>
              <w:right w:w="40" w:type="dxa"/>
            </w:tcMar>
            <w:vAlign w:val="center"/>
          </w:tcPr>
          <w:p w14:paraId="4E569755" w14:textId="77777777" w:rsidR="00DF3E10" w:rsidRDefault="006B6C28">
            <w:pPr>
              <w:textAlignment w:val="center"/>
              <w:rPr>
                <w:rFonts w:ascii="Times New Roman" w:hAnsi="Times New Roman"/>
                <w:sz w:val="20"/>
                <w:szCs w:val="20"/>
              </w:rPr>
            </w:pPr>
            <w:hyperlink r:id="rId8" w:anchor="s8536F716C277594DA0E8417868705DD5" w:history="1">
              <w:r>
                <w:rPr>
                  <w:rStyle w:val="a5"/>
                  <w:rFonts w:ascii="Times New Roman" w:eastAsia="宋体" w:hAnsi="Times New Roman"/>
                  <w:sz w:val="20"/>
                  <w:szCs w:val="20"/>
                </w:rPr>
                <w:t>Limitations of Key Metrics and Other Data</w:t>
              </w:r>
            </w:hyperlink>
          </w:p>
        </w:tc>
        <w:tc>
          <w:tcPr>
            <w:tcW w:w="0" w:type="auto"/>
            <w:shd w:val="clear" w:color="auto" w:fill="auto"/>
            <w:tcMar>
              <w:top w:w="40" w:type="dxa"/>
              <w:left w:w="40" w:type="dxa"/>
              <w:bottom w:w="40" w:type="dxa"/>
              <w:right w:w="40" w:type="dxa"/>
            </w:tcMar>
            <w:vAlign w:val="center"/>
          </w:tcPr>
          <w:p w14:paraId="4E569756" w14:textId="77777777" w:rsidR="00DF3E10" w:rsidRDefault="006B6C28">
            <w:pPr>
              <w:jc w:val="center"/>
              <w:textAlignment w:val="center"/>
              <w:rPr>
                <w:rFonts w:ascii="Times New Roman" w:hAnsi="Times New Roman"/>
                <w:sz w:val="20"/>
                <w:szCs w:val="20"/>
              </w:rPr>
            </w:pPr>
            <w:hyperlink r:id="rId9" w:anchor="s8536F716C277594DA0E8417868705DD5" w:history="1">
              <w:r>
                <w:rPr>
                  <w:rStyle w:val="a5"/>
                  <w:rFonts w:ascii="Times New Roman" w:eastAsia="宋体" w:hAnsi="Times New Roman"/>
                  <w:sz w:val="20"/>
                  <w:szCs w:val="20"/>
                </w:rPr>
                <w:t>4</w:t>
              </w:r>
            </w:hyperlink>
          </w:p>
        </w:tc>
      </w:tr>
      <w:tr w:rsidR="00DF3E10" w14:paraId="4E56975A" w14:textId="77777777">
        <w:tc>
          <w:tcPr>
            <w:tcW w:w="0" w:type="auto"/>
            <w:gridSpan w:val="2"/>
            <w:shd w:val="clear" w:color="auto" w:fill="auto"/>
            <w:tcMar>
              <w:top w:w="40" w:type="dxa"/>
              <w:left w:w="40" w:type="dxa"/>
              <w:bottom w:w="40" w:type="dxa"/>
              <w:right w:w="40" w:type="dxa"/>
            </w:tcMar>
            <w:vAlign w:val="bottom"/>
          </w:tcPr>
          <w:p w14:paraId="4E5697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5D" w14:textId="77777777">
        <w:tc>
          <w:tcPr>
            <w:tcW w:w="0" w:type="auto"/>
            <w:gridSpan w:val="2"/>
            <w:shd w:val="clear" w:color="auto" w:fill="auto"/>
            <w:tcMar>
              <w:top w:w="40" w:type="dxa"/>
              <w:left w:w="40" w:type="dxa"/>
              <w:bottom w:w="40" w:type="dxa"/>
              <w:right w:w="40" w:type="dxa"/>
            </w:tcMar>
            <w:vAlign w:val="center"/>
          </w:tcPr>
          <w:p w14:paraId="4E56975B" w14:textId="77777777" w:rsidR="00DF3E10" w:rsidRDefault="006B6C28">
            <w:pPr>
              <w:jc w:val="center"/>
              <w:textAlignment w:val="center"/>
              <w:rPr>
                <w:rFonts w:ascii="Times New Roman" w:hAnsi="Times New Roman"/>
                <w:sz w:val="20"/>
                <w:szCs w:val="20"/>
              </w:rPr>
            </w:pPr>
            <w:hyperlink r:id="rId10" w:anchor="s1074F2AB81A55F7ABAED30AB02071280" w:history="1">
              <w:r>
                <w:rPr>
                  <w:rStyle w:val="a5"/>
                  <w:rFonts w:ascii="Times New Roman" w:eastAsia="宋体" w:hAnsi="Times New Roman"/>
                  <w:sz w:val="20"/>
                  <w:szCs w:val="20"/>
                </w:rPr>
                <w:t>PART I</w:t>
              </w:r>
              <w:r>
                <w:rPr>
                  <w:rStyle w:val="a5"/>
                  <w:rFonts w:ascii="Times New Roman" w:eastAsia="宋体" w:hAnsi="Times New Roman"/>
                  <w:sz w:val="20"/>
                  <w:szCs w:val="20"/>
                </w:rPr>
                <w:t>—FINANCIAL INFORMATION</w:t>
              </w:r>
            </w:hyperlink>
          </w:p>
        </w:tc>
        <w:tc>
          <w:tcPr>
            <w:tcW w:w="0" w:type="auto"/>
            <w:shd w:val="clear" w:color="auto" w:fill="auto"/>
            <w:tcMar>
              <w:top w:w="40" w:type="dxa"/>
              <w:left w:w="40" w:type="dxa"/>
              <w:bottom w:w="40" w:type="dxa"/>
              <w:right w:w="40" w:type="dxa"/>
            </w:tcMar>
            <w:vAlign w:val="center"/>
          </w:tcPr>
          <w:p w14:paraId="4E56975C" w14:textId="77777777" w:rsidR="00DF3E10" w:rsidRDefault="006B6C28">
            <w:pPr>
              <w:jc w:val="center"/>
              <w:textAlignment w:val="center"/>
              <w:rPr>
                <w:rFonts w:ascii="Times New Roman" w:hAnsi="Times New Roman"/>
                <w:sz w:val="20"/>
                <w:szCs w:val="20"/>
              </w:rPr>
            </w:pPr>
            <w:hyperlink r:id="rId11" w:anchor="s1074F2AB81A55F7ABAED30AB02071280" w:history="1">
              <w:r>
                <w:rPr>
                  <w:rStyle w:val="a5"/>
                  <w:rFonts w:ascii="Times New Roman" w:eastAsia="宋体" w:hAnsi="Times New Roman"/>
                  <w:sz w:val="20"/>
                  <w:szCs w:val="20"/>
                </w:rPr>
                <w:t>7</w:t>
              </w:r>
            </w:hyperlink>
          </w:p>
        </w:tc>
      </w:tr>
      <w:tr w:rsidR="00DF3E10" w14:paraId="4E569761" w14:textId="77777777">
        <w:tc>
          <w:tcPr>
            <w:tcW w:w="0" w:type="auto"/>
            <w:shd w:val="clear" w:color="auto" w:fill="auto"/>
            <w:tcMar>
              <w:top w:w="40" w:type="dxa"/>
              <w:left w:w="40" w:type="dxa"/>
              <w:bottom w:w="40" w:type="dxa"/>
              <w:right w:w="40" w:type="dxa"/>
            </w:tcMar>
            <w:vAlign w:val="bottom"/>
          </w:tcPr>
          <w:p w14:paraId="4E5697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65" w14:textId="77777777">
        <w:tc>
          <w:tcPr>
            <w:tcW w:w="0" w:type="auto"/>
            <w:shd w:val="clear" w:color="auto" w:fill="auto"/>
            <w:tcMar>
              <w:top w:w="40" w:type="dxa"/>
              <w:left w:w="40" w:type="dxa"/>
              <w:bottom w:w="40" w:type="dxa"/>
              <w:right w:w="40" w:type="dxa"/>
            </w:tcMar>
            <w:vAlign w:val="center"/>
          </w:tcPr>
          <w:p w14:paraId="4E569762"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4E569763" w14:textId="77777777" w:rsidR="00DF3E10" w:rsidRDefault="006B6C28">
            <w:pPr>
              <w:jc w:val="both"/>
              <w:textAlignment w:val="center"/>
              <w:rPr>
                <w:rFonts w:ascii="Times New Roman" w:hAnsi="Times New Roman"/>
                <w:sz w:val="20"/>
                <w:szCs w:val="20"/>
              </w:rPr>
            </w:pPr>
            <w:hyperlink r:id="rId12" w:anchor="sEE359743ED965918B54CBCCBD73D0718" w:history="1">
              <w:r>
                <w:rPr>
                  <w:rStyle w:val="a5"/>
                  <w:rFonts w:ascii="Times New Roman" w:eastAsia="宋体" w:hAnsi="Times New Roman"/>
                  <w:sz w:val="20"/>
                  <w:szCs w:val="20"/>
                </w:rPr>
                <w:t>Financial Statements (unaudited)</w:t>
              </w:r>
            </w:hyperlink>
          </w:p>
        </w:tc>
        <w:tc>
          <w:tcPr>
            <w:tcW w:w="0" w:type="auto"/>
            <w:shd w:val="clear" w:color="auto" w:fill="auto"/>
            <w:tcMar>
              <w:top w:w="40" w:type="dxa"/>
              <w:left w:w="40" w:type="dxa"/>
              <w:bottom w:w="40" w:type="dxa"/>
              <w:right w:w="40" w:type="dxa"/>
            </w:tcMar>
            <w:vAlign w:val="center"/>
          </w:tcPr>
          <w:p w14:paraId="4E569764" w14:textId="77777777" w:rsidR="00DF3E10" w:rsidRDefault="006B6C28">
            <w:pPr>
              <w:jc w:val="center"/>
              <w:textAlignment w:val="center"/>
              <w:rPr>
                <w:rFonts w:ascii="Times New Roman" w:hAnsi="Times New Roman"/>
                <w:sz w:val="20"/>
                <w:szCs w:val="20"/>
              </w:rPr>
            </w:pPr>
            <w:hyperlink r:id="rId13" w:anchor="sEE359743ED965918B54CBCCBD73D0718" w:history="1">
              <w:r>
                <w:rPr>
                  <w:rStyle w:val="a5"/>
                  <w:rFonts w:ascii="Times New Roman" w:eastAsia="宋体" w:hAnsi="Times New Roman"/>
                  <w:sz w:val="20"/>
                  <w:szCs w:val="20"/>
                </w:rPr>
                <w:t>7</w:t>
              </w:r>
            </w:hyperlink>
          </w:p>
        </w:tc>
      </w:tr>
      <w:tr w:rsidR="00DF3E10" w14:paraId="4E569769" w14:textId="77777777">
        <w:tc>
          <w:tcPr>
            <w:tcW w:w="0" w:type="auto"/>
            <w:shd w:val="clear" w:color="auto" w:fill="auto"/>
            <w:tcMar>
              <w:top w:w="40" w:type="dxa"/>
              <w:left w:w="40" w:type="dxa"/>
              <w:bottom w:w="40" w:type="dxa"/>
              <w:right w:w="40" w:type="dxa"/>
            </w:tcMar>
            <w:vAlign w:val="bottom"/>
          </w:tcPr>
          <w:p w14:paraId="4E5697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6D" w14:textId="77777777">
        <w:tc>
          <w:tcPr>
            <w:tcW w:w="0" w:type="auto"/>
            <w:shd w:val="clear" w:color="auto" w:fill="auto"/>
            <w:tcMar>
              <w:top w:w="40" w:type="dxa"/>
              <w:left w:w="40" w:type="dxa"/>
              <w:bottom w:w="40" w:type="dxa"/>
              <w:right w:w="40" w:type="dxa"/>
            </w:tcMar>
            <w:vAlign w:val="bottom"/>
          </w:tcPr>
          <w:p w14:paraId="4E5697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6B" w14:textId="77777777" w:rsidR="00DF3E10" w:rsidRDefault="006B6C28">
            <w:pPr>
              <w:jc w:val="both"/>
              <w:textAlignment w:val="center"/>
              <w:rPr>
                <w:rFonts w:ascii="Times New Roman" w:hAnsi="Times New Roman"/>
                <w:sz w:val="20"/>
                <w:szCs w:val="20"/>
              </w:rPr>
            </w:pPr>
            <w:hyperlink r:id="rId14" w:anchor="s75F19E5F4B0B5729A445D701F84CCD25" w:history="1">
              <w:r>
                <w:rPr>
                  <w:rStyle w:val="a5"/>
                  <w:rFonts w:ascii="Times New Roman" w:eastAsia="宋体" w:hAnsi="Times New Roman"/>
                  <w:sz w:val="20"/>
                  <w:szCs w:val="20"/>
                </w:rPr>
                <w:t>Condensed Consolidated Balance Sheets—June 30, 2020 and December 31, 2019</w:t>
              </w:r>
            </w:hyperlink>
          </w:p>
        </w:tc>
        <w:tc>
          <w:tcPr>
            <w:tcW w:w="0" w:type="auto"/>
            <w:shd w:val="clear" w:color="auto" w:fill="auto"/>
            <w:tcMar>
              <w:top w:w="40" w:type="dxa"/>
              <w:left w:w="40" w:type="dxa"/>
              <w:bottom w:w="40" w:type="dxa"/>
              <w:right w:w="40" w:type="dxa"/>
            </w:tcMar>
            <w:vAlign w:val="center"/>
          </w:tcPr>
          <w:p w14:paraId="4E56976C" w14:textId="77777777" w:rsidR="00DF3E10" w:rsidRDefault="006B6C28">
            <w:pPr>
              <w:jc w:val="center"/>
              <w:textAlignment w:val="center"/>
              <w:rPr>
                <w:rFonts w:ascii="Times New Roman" w:hAnsi="Times New Roman"/>
                <w:sz w:val="20"/>
                <w:szCs w:val="20"/>
              </w:rPr>
            </w:pPr>
            <w:hyperlink r:id="rId15" w:anchor="s75F19E5F4B0B5729A445D701F84CCD25" w:history="1">
              <w:r>
                <w:rPr>
                  <w:rStyle w:val="a5"/>
                  <w:rFonts w:ascii="Times New Roman" w:eastAsia="宋体" w:hAnsi="Times New Roman"/>
                  <w:sz w:val="20"/>
                  <w:szCs w:val="20"/>
                </w:rPr>
                <w:t>7</w:t>
              </w:r>
            </w:hyperlink>
          </w:p>
        </w:tc>
      </w:tr>
      <w:tr w:rsidR="00DF3E10" w14:paraId="4E569771" w14:textId="77777777">
        <w:tc>
          <w:tcPr>
            <w:tcW w:w="0" w:type="auto"/>
            <w:shd w:val="clear" w:color="auto" w:fill="auto"/>
            <w:tcMar>
              <w:top w:w="40" w:type="dxa"/>
              <w:left w:w="40" w:type="dxa"/>
              <w:bottom w:w="40" w:type="dxa"/>
              <w:right w:w="40" w:type="dxa"/>
            </w:tcMar>
            <w:vAlign w:val="bottom"/>
          </w:tcPr>
          <w:p w14:paraId="4E5697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75" w14:textId="77777777">
        <w:tc>
          <w:tcPr>
            <w:tcW w:w="0" w:type="auto"/>
            <w:shd w:val="clear" w:color="auto" w:fill="auto"/>
            <w:tcMar>
              <w:top w:w="40" w:type="dxa"/>
              <w:left w:w="40" w:type="dxa"/>
              <w:bottom w:w="40" w:type="dxa"/>
              <w:right w:w="40" w:type="dxa"/>
            </w:tcMar>
            <w:vAlign w:val="bottom"/>
          </w:tcPr>
          <w:p w14:paraId="4E5697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73" w14:textId="77777777" w:rsidR="00DF3E10" w:rsidRDefault="006B6C28">
            <w:pPr>
              <w:jc w:val="both"/>
              <w:textAlignment w:val="center"/>
              <w:rPr>
                <w:rFonts w:ascii="Times New Roman" w:hAnsi="Times New Roman"/>
                <w:sz w:val="20"/>
                <w:szCs w:val="20"/>
              </w:rPr>
            </w:pPr>
            <w:hyperlink r:id="rId16" w:anchor="s11DA423F1393508E95238777815B0173" w:history="1">
              <w:r>
                <w:rPr>
                  <w:rStyle w:val="a5"/>
                  <w:rFonts w:ascii="Times New Roman" w:eastAsia="宋体" w:hAnsi="Times New Roman"/>
                  <w:sz w:val="20"/>
                  <w:szCs w:val="20"/>
                </w:rPr>
                <w:t>Condensed Consolidated Statements of Income—for the three and six months ended June 30, 2020 and 2019</w:t>
              </w:r>
            </w:hyperlink>
          </w:p>
        </w:tc>
        <w:tc>
          <w:tcPr>
            <w:tcW w:w="0" w:type="auto"/>
            <w:shd w:val="clear" w:color="auto" w:fill="auto"/>
            <w:tcMar>
              <w:top w:w="40" w:type="dxa"/>
              <w:left w:w="40" w:type="dxa"/>
              <w:bottom w:w="40" w:type="dxa"/>
              <w:right w:w="40" w:type="dxa"/>
            </w:tcMar>
            <w:vAlign w:val="center"/>
          </w:tcPr>
          <w:p w14:paraId="4E569774" w14:textId="77777777" w:rsidR="00DF3E10" w:rsidRDefault="006B6C28">
            <w:pPr>
              <w:jc w:val="center"/>
              <w:textAlignment w:val="center"/>
              <w:rPr>
                <w:rFonts w:ascii="Times New Roman" w:hAnsi="Times New Roman"/>
                <w:sz w:val="20"/>
                <w:szCs w:val="20"/>
              </w:rPr>
            </w:pPr>
            <w:hyperlink r:id="rId17" w:anchor="s11DA423F1393508E95238777815B0173" w:history="1">
              <w:r>
                <w:rPr>
                  <w:rStyle w:val="a5"/>
                  <w:rFonts w:ascii="Times New Roman" w:eastAsia="宋体" w:hAnsi="Times New Roman"/>
                  <w:sz w:val="20"/>
                  <w:szCs w:val="20"/>
                </w:rPr>
                <w:t>8</w:t>
              </w:r>
            </w:hyperlink>
          </w:p>
        </w:tc>
      </w:tr>
      <w:tr w:rsidR="00DF3E10" w14:paraId="4E569779" w14:textId="77777777">
        <w:tc>
          <w:tcPr>
            <w:tcW w:w="0" w:type="auto"/>
            <w:shd w:val="clear" w:color="auto" w:fill="auto"/>
            <w:tcMar>
              <w:top w:w="40" w:type="dxa"/>
              <w:left w:w="40" w:type="dxa"/>
              <w:bottom w:w="40" w:type="dxa"/>
              <w:right w:w="40" w:type="dxa"/>
            </w:tcMar>
            <w:vAlign w:val="bottom"/>
          </w:tcPr>
          <w:p w14:paraId="4E5697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7D" w14:textId="77777777">
        <w:tc>
          <w:tcPr>
            <w:tcW w:w="0" w:type="auto"/>
            <w:shd w:val="clear" w:color="auto" w:fill="auto"/>
            <w:tcMar>
              <w:top w:w="40" w:type="dxa"/>
              <w:left w:w="40" w:type="dxa"/>
              <w:bottom w:w="40" w:type="dxa"/>
              <w:right w:w="40" w:type="dxa"/>
            </w:tcMar>
            <w:vAlign w:val="bottom"/>
          </w:tcPr>
          <w:p w14:paraId="4E5697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7B" w14:textId="77777777" w:rsidR="00DF3E10" w:rsidRDefault="006B6C28">
            <w:pPr>
              <w:jc w:val="both"/>
              <w:textAlignment w:val="center"/>
              <w:rPr>
                <w:rFonts w:ascii="Times New Roman" w:hAnsi="Times New Roman"/>
                <w:sz w:val="20"/>
                <w:szCs w:val="20"/>
              </w:rPr>
            </w:pPr>
            <w:hyperlink r:id="rId18" w:anchor="sCAE8EBC71067516581A44EDD43D6DFA2" w:history="1">
              <w:r>
                <w:rPr>
                  <w:rStyle w:val="a5"/>
                  <w:rFonts w:ascii="Times New Roman" w:eastAsia="宋体" w:hAnsi="Times New Roman"/>
                  <w:sz w:val="20"/>
                  <w:szCs w:val="20"/>
                </w:rPr>
                <w:t>Condensed Consolidated Statements of Comprehensive Income—for the three and six months ended June 30, 2020</w:t>
              </w:r>
              <w:r>
                <w:rPr>
                  <w:rStyle w:val="a5"/>
                  <w:rFonts w:ascii="Times New Roman" w:eastAsia="宋体" w:hAnsi="Times New Roman"/>
                  <w:sz w:val="20"/>
                  <w:szCs w:val="20"/>
                </w:rPr>
                <w:t xml:space="preserve"> and 2019</w:t>
              </w:r>
            </w:hyperlink>
          </w:p>
        </w:tc>
        <w:tc>
          <w:tcPr>
            <w:tcW w:w="0" w:type="auto"/>
            <w:shd w:val="clear" w:color="auto" w:fill="auto"/>
            <w:tcMar>
              <w:top w:w="40" w:type="dxa"/>
              <w:left w:w="40" w:type="dxa"/>
              <w:bottom w:w="40" w:type="dxa"/>
              <w:right w:w="40" w:type="dxa"/>
            </w:tcMar>
            <w:vAlign w:val="center"/>
          </w:tcPr>
          <w:p w14:paraId="4E56977C" w14:textId="77777777" w:rsidR="00DF3E10" w:rsidRDefault="006B6C28">
            <w:pPr>
              <w:jc w:val="center"/>
              <w:textAlignment w:val="center"/>
              <w:rPr>
                <w:rFonts w:ascii="Times New Roman" w:hAnsi="Times New Roman"/>
                <w:sz w:val="20"/>
                <w:szCs w:val="20"/>
              </w:rPr>
            </w:pPr>
            <w:hyperlink r:id="rId19" w:anchor="sCAE8EBC71067516581A44EDD43D6DFA2" w:history="1">
              <w:r>
                <w:rPr>
                  <w:rStyle w:val="a5"/>
                  <w:rFonts w:ascii="Times New Roman" w:eastAsia="宋体" w:hAnsi="Times New Roman"/>
                  <w:sz w:val="20"/>
                  <w:szCs w:val="20"/>
                </w:rPr>
                <w:t>9</w:t>
              </w:r>
            </w:hyperlink>
          </w:p>
        </w:tc>
      </w:tr>
      <w:tr w:rsidR="00DF3E10" w14:paraId="4E569781" w14:textId="77777777">
        <w:tc>
          <w:tcPr>
            <w:tcW w:w="0" w:type="auto"/>
            <w:shd w:val="clear" w:color="auto" w:fill="auto"/>
            <w:tcMar>
              <w:top w:w="40" w:type="dxa"/>
              <w:left w:w="40" w:type="dxa"/>
              <w:bottom w:w="40" w:type="dxa"/>
              <w:right w:w="40" w:type="dxa"/>
            </w:tcMar>
            <w:vAlign w:val="bottom"/>
          </w:tcPr>
          <w:p w14:paraId="4E5697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4E56977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8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85" w14:textId="77777777">
        <w:tc>
          <w:tcPr>
            <w:tcW w:w="0" w:type="auto"/>
            <w:shd w:val="clear" w:color="auto" w:fill="auto"/>
            <w:tcMar>
              <w:top w:w="40" w:type="dxa"/>
              <w:left w:w="40" w:type="dxa"/>
              <w:bottom w:w="40" w:type="dxa"/>
              <w:right w:w="40" w:type="dxa"/>
            </w:tcMar>
            <w:vAlign w:val="bottom"/>
          </w:tcPr>
          <w:p w14:paraId="4E5697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83" w14:textId="77777777" w:rsidR="00DF3E10" w:rsidRDefault="006B6C28">
            <w:pPr>
              <w:jc w:val="both"/>
              <w:textAlignment w:val="bottom"/>
              <w:rPr>
                <w:rFonts w:ascii="Times New Roman" w:hAnsi="Times New Roman"/>
                <w:sz w:val="20"/>
                <w:szCs w:val="20"/>
              </w:rPr>
            </w:pPr>
            <w:hyperlink r:id="rId20" w:anchor="s7F12CE8E700150EAA6ABC7412E780CDE" w:history="1">
              <w:r>
                <w:rPr>
                  <w:rStyle w:val="a5"/>
                  <w:rFonts w:ascii="Times New Roman" w:eastAsia="宋体" w:hAnsi="Times New Roman"/>
                  <w:sz w:val="20"/>
                  <w:szCs w:val="20"/>
                </w:rPr>
                <w:t>Condensed Consolidated Statements of Stockholders' Equity—for the three and six months ended June 30, 2020</w:t>
              </w:r>
              <w:r>
                <w:rPr>
                  <w:rStyle w:val="a5"/>
                  <w:rFonts w:ascii="Times New Roman" w:eastAsia="宋体" w:hAnsi="Times New Roman"/>
                  <w:sz w:val="20"/>
                  <w:szCs w:val="20"/>
                </w:rPr>
                <w:t xml:space="preserve"> and 2019</w:t>
              </w:r>
            </w:hyperlink>
          </w:p>
        </w:tc>
        <w:tc>
          <w:tcPr>
            <w:tcW w:w="0" w:type="auto"/>
            <w:shd w:val="clear" w:color="auto" w:fill="auto"/>
            <w:tcMar>
              <w:top w:w="40" w:type="dxa"/>
              <w:left w:w="40" w:type="dxa"/>
              <w:bottom w:w="40" w:type="dxa"/>
              <w:right w:w="40" w:type="dxa"/>
            </w:tcMar>
            <w:vAlign w:val="center"/>
          </w:tcPr>
          <w:p w14:paraId="4E569784" w14:textId="77777777" w:rsidR="00DF3E10" w:rsidRDefault="006B6C28">
            <w:pPr>
              <w:jc w:val="center"/>
              <w:textAlignment w:val="center"/>
              <w:rPr>
                <w:rFonts w:ascii="Times New Roman" w:hAnsi="Times New Roman"/>
                <w:sz w:val="20"/>
                <w:szCs w:val="20"/>
              </w:rPr>
            </w:pPr>
            <w:hyperlink r:id="rId21" w:anchor="s7F12CE8E700150EAA6ABC7412E780CDE" w:history="1">
              <w:r>
                <w:rPr>
                  <w:rStyle w:val="a5"/>
                  <w:rFonts w:ascii="Times New Roman" w:eastAsia="宋体" w:hAnsi="Times New Roman"/>
                  <w:sz w:val="20"/>
                  <w:szCs w:val="20"/>
                </w:rPr>
                <w:t>10</w:t>
              </w:r>
            </w:hyperlink>
          </w:p>
        </w:tc>
      </w:tr>
      <w:tr w:rsidR="00DF3E10" w14:paraId="4E569789" w14:textId="77777777">
        <w:tc>
          <w:tcPr>
            <w:tcW w:w="0" w:type="auto"/>
            <w:shd w:val="clear" w:color="auto" w:fill="auto"/>
            <w:tcMar>
              <w:top w:w="40" w:type="dxa"/>
              <w:left w:w="40" w:type="dxa"/>
              <w:bottom w:w="40" w:type="dxa"/>
              <w:right w:w="40" w:type="dxa"/>
            </w:tcMar>
            <w:vAlign w:val="bottom"/>
          </w:tcPr>
          <w:p w14:paraId="4E5697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8D" w14:textId="77777777">
        <w:tc>
          <w:tcPr>
            <w:tcW w:w="0" w:type="auto"/>
            <w:shd w:val="clear" w:color="auto" w:fill="auto"/>
            <w:tcMar>
              <w:top w:w="40" w:type="dxa"/>
              <w:left w:w="40" w:type="dxa"/>
              <w:bottom w:w="40" w:type="dxa"/>
              <w:right w:w="40" w:type="dxa"/>
            </w:tcMar>
            <w:vAlign w:val="bottom"/>
          </w:tcPr>
          <w:p w14:paraId="4E5697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8B" w14:textId="77777777" w:rsidR="00DF3E10" w:rsidRDefault="006B6C28">
            <w:pPr>
              <w:jc w:val="both"/>
              <w:textAlignment w:val="center"/>
              <w:rPr>
                <w:rFonts w:ascii="Times New Roman" w:hAnsi="Times New Roman"/>
                <w:sz w:val="20"/>
                <w:szCs w:val="20"/>
              </w:rPr>
            </w:pPr>
            <w:hyperlink r:id="rId22" w:anchor="s112EDA623B685E01A424F22E1652E233" w:history="1">
              <w:r>
                <w:rPr>
                  <w:rStyle w:val="a5"/>
                  <w:rFonts w:ascii="Times New Roman" w:eastAsia="宋体" w:hAnsi="Times New Roman"/>
                  <w:sz w:val="20"/>
                  <w:szCs w:val="20"/>
                </w:rPr>
                <w:t>Condensed Consolidated Statements of Cash Flows—for the six months ended June 30, 2020 and 2019</w:t>
              </w:r>
            </w:hyperlink>
          </w:p>
        </w:tc>
        <w:tc>
          <w:tcPr>
            <w:tcW w:w="0" w:type="auto"/>
            <w:shd w:val="clear" w:color="auto" w:fill="auto"/>
            <w:tcMar>
              <w:top w:w="40" w:type="dxa"/>
              <w:left w:w="40" w:type="dxa"/>
              <w:bottom w:w="40" w:type="dxa"/>
              <w:right w:w="40" w:type="dxa"/>
            </w:tcMar>
            <w:vAlign w:val="center"/>
          </w:tcPr>
          <w:p w14:paraId="4E56978C" w14:textId="77777777" w:rsidR="00DF3E10" w:rsidRDefault="006B6C28">
            <w:pPr>
              <w:jc w:val="center"/>
              <w:textAlignment w:val="center"/>
              <w:rPr>
                <w:rFonts w:ascii="Times New Roman" w:hAnsi="Times New Roman"/>
                <w:sz w:val="20"/>
                <w:szCs w:val="20"/>
              </w:rPr>
            </w:pPr>
            <w:hyperlink r:id="rId23" w:anchor="s112EDA623B685E01A424F22E1652E233" w:history="1">
              <w:r>
                <w:rPr>
                  <w:rStyle w:val="a5"/>
                  <w:rFonts w:ascii="Times New Roman" w:eastAsia="宋体" w:hAnsi="Times New Roman"/>
                  <w:sz w:val="20"/>
                  <w:szCs w:val="20"/>
                </w:rPr>
                <w:t>11</w:t>
              </w:r>
            </w:hyperlink>
          </w:p>
        </w:tc>
      </w:tr>
      <w:tr w:rsidR="00DF3E10" w14:paraId="4E569791" w14:textId="77777777">
        <w:tc>
          <w:tcPr>
            <w:tcW w:w="0" w:type="auto"/>
            <w:shd w:val="clear" w:color="auto" w:fill="auto"/>
            <w:tcMar>
              <w:top w:w="40" w:type="dxa"/>
              <w:left w:w="40" w:type="dxa"/>
              <w:bottom w:w="40" w:type="dxa"/>
              <w:right w:w="40" w:type="dxa"/>
            </w:tcMar>
            <w:vAlign w:val="bottom"/>
          </w:tcPr>
          <w:p w14:paraId="4E5697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95" w14:textId="77777777">
        <w:tc>
          <w:tcPr>
            <w:tcW w:w="0" w:type="auto"/>
            <w:shd w:val="clear" w:color="auto" w:fill="auto"/>
            <w:tcMar>
              <w:top w:w="40" w:type="dxa"/>
              <w:left w:w="40" w:type="dxa"/>
              <w:bottom w:w="40" w:type="dxa"/>
              <w:right w:w="40" w:type="dxa"/>
            </w:tcMar>
            <w:vAlign w:val="bottom"/>
          </w:tcPr>
          <w:p w14:paraId="4E5697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4E569793" w14:textId="77777777" w:rsidR="00DF3E10" w:rsidRDefault="006B6C28">
            <w:pPr>
              <w:jc w:val="both"/>
              <w:textAlignment w:val="center"/>
              <w:rPr>
                <w:rFonts w:ascii="Times New Roman" w:hAnsi="Times New Roman"/>
                <w:sz w:val="20"/>
                <w:szCs w:val="20"/>
              </w:rPr>
            </w:pPr>
            <w:hyperlink r:id="rId24" w:anchor="s42E61AC47DEE572998FF458C147E16BD" w:history="1">
              <w:r>
                <w:rPr>
                  <w:rStyle w:val="a5"/>
                  <w:rFonts w:ascii="Times New Roman" w:eastAsia="宋体" w:hAnsi="Times New Roman"/>
                  <w:sz w:val="20"/>
                  <w:szCs w:val="20"/>
                </w:rPr>
                <w:t>Notes to Condensed Consolidated Financial Statements</w:t>
              </w:r>
            </w:hyperlink>
          </w:p>
        </w:tc>
        <w:tc>
          <w:tcPr>
            <w:tcW w:w="0" w:type="auto"/>
            <w:shd w:val="clear" w:color="auto" w:fill="auto"/>
            <w:tcMar>
              <w:top w:w="40" w:type="dxa"/>
              <w:left w:w="40" w:type="dxa"/>
              <w:bottom w:w="40" w:type="dxa"/>
              <w:right w:w="40" w:type="dxa"/>
            </w:tcMar>
            <w:vAlign w:val="center"/>
          </w:tcPr>
          <w:p w14:paraId="4E569794" w14:textId="77777777" w:rsidR="00DF3E10" w:rsidRDefault="006B6C28">
            <w:pPr>
              <w:jc w:val="center"/>
              <w:textAlignment w:val="center"/>
              <w:rPr>
                <w:rFonts w:ascii="Times New Roman" w:hAnsi="Times New Roman"/>
                <w:sz w:val="20"/>
                <w:szCs w:val="20"/>
              </w:rPr>
            </w:pPr>
            <w:hyperlink r:id="rId25" w:anchor="s42E61AC47DEE572998FF458C147E16BD" w:history="1">
              <w:r>
                <w:rPr>
                  <w:rStyle w:val="a5"/>
                  <w:rFonts w:ascii="Times New Roman" w:eastAsia="宋体" w:hAnsi="Times New Roman"/>
                  <w:sz w:val="20"/>
                  <w:szCs w:val="20"/>
                </w:rPr>
                <w:t>13</w:t>
              </w:r>
            </w:hyperlink>
          </w:p>
        </w:tc>
      </w:tr>
      <w:tr w:rsidR="00DF3E10" w14:paraId="4E569799" w14:textId="77777777">
        <w:tc>
          <w:tcPr>
            <w:tcW w:w="0" w:type="auto"/>
            <w:shd w:val="clear" w:color="auto" w:fill="auto"/>
            <w:tcMar>
              <w:top w:w="40" w:type="dxa"/>
              <w:left w:w="40" w:type="dxa"/>
              <w:bottom w:w="40" w:type="dxa"/>
              <w:right w:w="40" w:type="dxa"/>
            </w:tcMar>
            <w:vAlign w:val="bottom"/>
          </w:tcPr>
          <w:p w14:paraId="4E5697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9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9D" w14:textId="77777777">
        <w:tc>
          <w:tcPr>
            <w:tcW w:w="0" w:type="auto"/>
            <w:shd w:val="clear" w:color="auto" w:fill="auto"/>
            <w:tcMar>
              <w:top w:w="40" w:type="dxa"/>
              <w:left w:w="40" w:type="dxa"/>
              <w:bottom w:w="40" w:type="dxa"/>
              <w:right w:w="40" w:type="dxa"/>
            </w:tcMar>
            <w:vAlign w:val="center"/>
          </w:tcPr>
          <w:p w14:paraId="4E56979A"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4E56979B" w14:textId="77777777" w:rsidR="00DF3E10" w:rsidRDefault="006B6C28">
            <w:pPr>
              <w:jc w:val="both"/>
              <w:textAlignment w:val="center"/>
              <w:rPr>
                <w:rFonts w:ascii="Times New Roman" w:hAnsi="Times New Roman"/>
                <w:sz w:val="20"/>
                <w:szCs w:val="20"/>
              </w:rPr>
            </w:pPr>
            <w:hyperlink r:id="rId26" w:anchor="s3B728DC891925726B53ECDB78E0752CE"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center"/>
          </w:tcPr>
          <w:p w14:paraId="4E56979C" w14:textId="77777777" w:rsidR="00DF3E10" w:rsidRDefault="006B6C28">
            <w:pPr>
              <w:jc w:val="center"/>
              <w:textAlignment w:val="center"/>
              <w:rPr>
                <w:rFonts w:ascii="Times New Roman" w:hAnsi="Times New Roman"/>
                <w:sz w:val="20"/>
                <w:szCs w:val="20"/>
              </w:rPr>
            </w:pPr>
            <w:hyperlink r:id="rId27" w:anchor="s3B728DC891925726B53ECDB78E0752CE" w:history="1">
              <w:r>
                <w:rPr>
                  <w:rStyle w:val="a5"/>
                  <w:rFonts w:ascii="Times New Roman" w:eastAsia="宋体" w:hAnsi="Times New Roman"/>
                  <w:sz w:val="20"/>
                  <w:szCs w:val="20"/>
                </w:rPr>
                <w:t>27</w:t>
              </w:r>
            </w:hyperlink>
          </w:p>
        </w:tc>
      </w:tr>
      <w:tr w:rsidR="00DF3E10" w14:paraId="4E5697A1" w14:textId="77777777">
        <w:tc>
          <w:tcPr>
            <w:tcW w:w="0" w:type="auto"/>
            <w:shd w:val="clear" w:color="auto" w:fill="auto"/>
            <w:tcMar>
              <w:top w:w="40" w:type="dxa"/>
              <w:left w:w="40" w:type="dxa"/>
              <w:bottom w:w="40" w:type="dxa"/>
              <w:right w:w="40" w:type="dxa"/>
            </w:tcMar>
            <w:vAlign w:val="bottom"/>
          </w:tcPr>
          <w:p w14:paraId="4E5697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A5" w14:textId="77777777">
        <w:tc>
          <w:tcPr>
            <w:tcW w:w="0" w:type="auto"/>
            <w:shd w:val="clear" w:color="auto" w:fill="auto"/>
            <w:tcMar>
              <w:top w:w="40" w:type="dxa"/>
              <w:left w:w="40" w:type="dxa"/>
              <w:bottom w:w="40" w:type="dxa"/>
              <w:right w:w="40" w:type="dxa"/>
            </w:tcMar>
            <w:vAlign w:val="center"/>
          </w:tcPr>
          <w:p w14:paraId="4E5697A2"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center"/>
          </w:tcPr>
          <w:p w14:paraId="4E5697A3" w14:textId="77777777" w:rsidR="00DF3E10" w:rsidRDefault="006B6C28">
            <w:pPr>
              <w:jc w:val="both"/>
              <w:textAlignment w:val="center"/>
              <w:rPr>
                <w:rFonts w:ascii="Times New Roman" w:hAnsi="Times New Roman"/>
                <w:sz w:val="20"/>
                <w:szCs w:val="20"/>
              </w:rPr>
            </w:pPr>
            <w:hyperlink r:id="rId28" w:anchor="sF404E33C09415495BFA6BAB6DE6A1D35"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center"/>
          </w:tcPr>
          <w:p w14:paraId="4E5697A4" w14:textId="77777777" w:rsidR="00DF3E10" w:rsidRDefault="006B6C28">
            <w:pPr>
              <w:jc w:val="center"/>
              <w:textAlignment w:val="center"/>
              <w:rPr>
                <w:rFonts w:ascii="Times New Roman" w:hAnsi="Times New Roman"/>
                <w:sz w:val="20"/>
                <w:szCs w:val="20"/>
              </w:rPr>
            </w:pPr>
            <w:hyperlink r:id="rId29" w:anchor="sF404E33C09415495BFA6BAB6DE6A1D35" w:history="1">
              <w:r>
                <w:rPr>
                  <w:rStyle w:val="a5"/>
                  <w:rFonts w:ascii="Times New Roman" w:eastAsia="宋体" w:hAnsi="Times New Roman"/>
                  <w:sz w:val="20"/>
                  <w:szCs w:val="20"/>
                </w:rPr>
                <w:t>46</w:t>
              </w:r>
            </w:hyperlink>
          </w:p>
        </w:tc>
      </w:tr>
      <w:tr w:rsidR="00DF3E10" w14:paraId="4E5697A9" w14:textId="77777777">
        <w:tc>
          <w:tcPr>
            <w:tcW w:w="0" w:type="auto"/>
            <w:shd w:val="clear" w:color="auto" w:fill="auto"/>
            <w:tcMar>
              <w:top w:w="40" w:type="dxa"/>
              <w:left w:w="40" w:type="dxa"/>
              <w:bottom w:w="40" w:type="dxa"/>
              <w:right w:w="40" w:type="dxa"/>
            </w:tcMar>
            <w:vAlign w:val="bottom"/>
          </w:tcPr>
          <w:p w14:paraId="4E5697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AD" w14:textId="77777777">
        <w:tc>
          <w:tcPr>
            <w:tcW w:w="0" w:type="auto"/>
            <w:shd w:val="clear" w:color="auto" w:fill="auto"/>
            <w:tcMar>
              <w:top w:w="40" w:type="dxa"/>
              <w:left w:w="40" w:type="dxa"/>
              <w:bottom w:w="40" w:type="dxa"/>
              <w:right w:w="40" w:type="dxa"/>
            </w:tcMar>
            <w:vAlign w:val="center"/>
          </w:tcPr>
          <w:p w14:paraId="4E5697AA"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center"/>
          </w:tcPr>
          <w:p w14:paraId="4E5697AB" w14:textId="77777777" w:rsidR="00DF3E10" w:rsidRDefault="006B6C28">
            <w:pPr>
              <w:jc w:val="both"/>
              <w:textAlignment w:val="center"/>
              <w:rPr>
                <w:rFonts w:ascii="Times New Roman" w:hAnsi="Times New Roman"/>
                <w:sz w:val="20"/>
                <w:szCs w:val="20"/>
              </w:rPr>
            </w:pPr>
            <w:hyperlink r:id="rId30" w:anchor="sFAE3B7B6ADF252F588CF65C897CEA37A"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center"/>
          </w:tcPr>
          <w:p w14:paraId="4E5697AC" w14:textId="77777777" w:rsidR="00DF3E10" w:rsidRDefault="006B6C28">
            <w:pPr>
              <w:jc w:val="center"/>
              <w:textAlignment w:val="center"/>
              <w:rPr>
                <w:rFonts w:ascii="Times New Roman" w:hAnsi="Times New Roman"/>
                <w:sz w:val="20"/>
                <w:szCs w:val="20"/>
              </w:rPr>
            </w:pPr>
            <w:hyperlink r:id="rId31" w:anchor="sFAE3B7B6ADF252F588CF65C897CEA37A" w:history="1">
              <w:r>
                <w:rPr>
                  <w:rStyle w:val="a5"/>
                  <w:rFonts w:ascii="Times New Roman" w:eastAsia="宋体" w:hAnsi="Times New Roman"/>
                  <w:sz w:val="20"/>
                  <w:szCs w:val="20"/>
                </w:rPr>
                <w:t>47</w:t>
              </w:r>
            </w:hyperlink>
          </w:p>
        </w:tc>
      </w:tr>
      <w:tr w:rsidR="00DF3E10" w14:paraId="4E5697B0" w14:textId="77777777">
        <w:tc>
          <w:tcPr>
            <w:tcW w:w="0" w:type="auto"/>
            <w:gridSpan w:val="2"/>
            <w:shd w:val="clear" w:color="auto" w:fill="auto"/>
            <w:tcMar>
              <w:top w:w="40" w:type="dxa"/>
              <w:left w:w="40" w:type="dxa"/>
              <w:bottom w:w="40" w:type="dxa"/>
              <w:right w:w="40" w:type="dxa"/>
            </w:tcMar>
            <w:vAlign w:val="bottom"/>
          </w:tcPr>
          <w:p w14:paraId="4E5697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B3" w14:textId="77777777">
        <w:tc>
          <w:tcPr>
            <w:tcW w:w="0" w:type="auto"/>
            <w:gridSpan w:val="2"/>
            <w:shd w:val="clear" w:color="auto" w:fill="auto"/>
            <w:tcMar>
              <w:top w:w="40" w:type="dxa"/>
              <w:left w:w="40" w:type="dxa"/>
              <w:bottom w:w="40" w:type="dxa"/>
              <w:right w:w="40" w:type="dxa"/>
            </w:tcMar>
            <w:vAlign w:val="center"/>
          </w:tcPr>
          <w:p w14:paraId="4E5697B1" w14:textId="77777777" w:rsidR="00DF3E10" w:rsidRDefault="006B6C28">
            <w:pPr>
              <w:jc w:val="center"/>
              <w:textAlignment w:val="center"/>
              <w:rPr>
                <w:rFonts w:ascii="Times New Roman" w:hAnsi="Times New Roman"/>
                <w:sz w:val="20"/>
                <w:szCs w:val="20"/>
              </w:rPr>
            </w:pPr>
            <w:hyperlink r:id="rId32" w:anchor="s72345B91651254BE8C93ABCB3DA630F5" w:history="1">
              <w:r>
                <w:rPr>
                  <w:rStyle w:val="a5"/>
                  <w:rFonts w:ascii="Times New Roman" w:eastAsia="宋体" w:hAnsi="Times New Roman"/>
                  <w:sz w:val="20"/>
                  <w:szCs w:val="20"/>
                </w:rPr>
                <w:t>PART II—OTHER INFORMATION</w:t>
              </w:r>
            </w:hyperlink>
          </w:p>
        </w:tc>
        <w:tc>
          <w:tcPr>
            <w:tcW w:w="0" w:type="auto"/>
            <w:shd w:val="clear" w:color="auto" w:fill="auto"/>
            <w:tcMar>
              <w:top w:w="40" w:type="dxa"/>
              <w:left w:w="40" w:type="dxa"/>
              <w:bottom w:w="40" w:type="dxa"/>
              <w:right w:w="40" w:type="dxa"/>
            </w:tcMar>
            <w:vAlign w:val="center"/>
          </w:tcPr>
          <w:p w14:paraId="4E5697B2" w14:textId="77777777" w:rsidR="00DF3E10" w:rsidRDefault="006B6C28">
            <w:pPr>
              <w:jc w:val="center"/>
              <w:textAlignment w:val="center"/>
              <w:rPr>
                <w:rFonts w:ascii="Times New Roman" w:hAnsi="Times New Roman"/>
                <w:sz w:val="20"/>
                <w:szCs w:val="20"/>
              </w:rPr>
            </w:pPr>
            <w:hyperlink r:id="rId33" w:anchor="s72345B91651254BE8C93ABCB3DA630F5" w:history="1">
              <w:r>
                <w:rPr>
                  <w:rStyle w:val="a5"/>
                  <w:rFonts w:ascii="Times New Roman" w:eastAsia="宋体" w:hAnsi="Times New Roman"/>
                  <w:sz w:val="20"/>
                  <w:szCs w:val="20"/>
                </w:rPr>
                <w:t>48</w:t>
              </w:r>
            </w:hyperlink>
          </w:p>
        </w:tc>
      </w:tr>
      <w:tr w:rsidR="00DF3E10" w14:paraId="4E5697B7" w14:textId="77777777">
        <w:tc>
          <w:tcPr>
            <w:tcW w:w="0" w:type="auto"/>
            <w:shd w:val="clear" w:color="auto" w:fill="auto"/>
            <w:tcMar>
              <w:top w:w="40" w:type="dxa"/>
              <w:left w:w="40" w:type="dxa"/>
              <w:bottom w:w="40" w:type="dxa"/>
              <w:right w:w="40" w:type="dxa"/>
            </w:tcMar>
            <w:vAlign w:val="bottom"/>
          </w:tcPr>
          <w:p w14:paraId="4E5697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BB" w14:textId="77777777">
        <w:tc>
          <w:tcPr>
            <w:tcW w:w="0" w:type="auto"/>
            <w:shd w:val="clear" w:color="auto" w:fill="auto"/>
            <w:tcMar>
              <w:top w:w="40" w:type="dxa"/>
              <w:left w:w="40" w:type="dxa"/>
              <w:bottom w:w="40" w:type="dxa"/>
              <w:right w:w="40" w:type="dxa"/>
            </w:tcMar>
            <w:vAlign w:val="center"/>
          </w:tcPr>
          <w:p w14:paraId="4E5697B8"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4E5697B9" w14:textId="77777777" w:rsidR="00DF3E10" w:rsidRDefault="006B6C28">
            <w:pPr>
              <w:jc w:val="both"/>
              <w:textAlignment w:val="center"/>
              <w:rPr>
                <w:rFonts w:ascii="Times New Roman" w:hAnsi="Times New Roman"/>
                <w:sz w:val="20"/>
                <w:szCs w:val="20"/>
              </w:rPr>
            </w:pPr>
            <w:hyperlink r:id="rId34" w:anchor="sF5F1252813095A1B99530B0DC2C3938E"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center"/>
          </w:tcPr>
          <w:p w14:paraId="4E5697BA" w14:textId="77777777" w:rsidR="00DF3E10" w:rsidRDefault="006B6C28">
            <w:pPr>
              <w:jc w:val="center"/>
              <w:textAlignment w:val="center"/>
              <w:rPr>
                <w:rFonts w:ascii="Times New Roman" w:hAnsi="Times New Roman"/>
                <w:sz w:val="20"/>
                <w:szCs w:val="20"/>
              </w:rPr>
            </w:pPr>
            <w:hyperlink r:id="rId35" w:anchor="sF5F1252813095A1B99530B0DC2C3938E" w:history="1">
              <w:r>
                <w:rPr>
                  <w:rStyle w:val="a5"/>
                  <w:rFonts w:ascii="Times New Roman" w:eastAsia="宋体" w:hAnsi="Times New Roman"/>
                  <w:sz w:val="20"/>
                  <w:szCs w:val="20"/>
                </w:rPr>
                <w:t>48</w:t>
              </w:r>
            </w:hyperlink>
          </w:p>
        </w:tc>
      </w:tr>
      <w:tr w:rsidR="00DF3E10" w14:paraId="4E5697BF" w14:textId="77777777">
        <w:tc>
          <w:tcPr>
            <w:tcW w:w="0" w:type="auto"/>
            <w:shd w:val="clear" w:color="auto" w:fill="auto"/>
            <w:tcMar>
              <w:top w:w="40" w:type="dxa"/>
              <w:left w:w="40" w:type="dxa"/>
              <w:bottom w:w="40" w:type="dxa"/>
              <w:right w:w="40" w:type="dxa"/>
            </w:tcMar>
            <w:vAlign w:val="bottom"/>
          </w:tcPr>
          <w:p w14:paraId="4E5697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C3" w14:textId="77777777">
        <w:tc>
          <w:tcPr>
            <w:tcW w:w="0" w:type="auto"/>
            <w:shd w:val="clear" w:color="auto" w:fill="auto"/>
            <w:tcMar>
              <w:top w:w="40" w:type="dxa"/>
              <w:left w:w="40" w:type="dxa"/>
              <w:bottom w:w="40" w:type="dxa"/>
              <w:right w:w="40" w:type="dxa"/>
            </w:tcMar>
            <w:vAlign w:val="center"/>
          </w:tcPr>
          <w:p w14:paraId="4E5697C0"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1A.</w:t>
            </w:r>
          </w:p>
        </w:tc>
        <w:tc>
          <w:tcPr>
            <w:tcW w:w="0" w:type="auto"/>
            <w:shd w:val="clear" w:color="auto" w:fill="auto"/>
            <w:tcMar>
              <w:top w:w="40" w:type="dxa"/>
              <w:left w:w="40" w:type="dxa"/>
              <w:bottom w:w="40" w:type="dxa"/>
              <w:right w:w="40" w:type="dxa"/>
            </w:tcMar>
            <w:vAlign w:val="center"/>
          </w:tcPr>
          <w:p w14:paraId="4E5697C1" w14:textId="77777777" w:rsidR="00DF3E10" w:rsidRDefault="006B6C28">
            <w:pPr>
              <w:jc w:val="both"/>
              <w:textAlignment w:val="center"/>
              <w:rPr>
                <w:rFonts w:ascii="Times New Roman" w:hAnsi="Times New Roman"/>
                <w:sz w:val="20"/>
                <w:szCs w:val="20"/>
              </w:rPr>
            </w:pPr>
            <w:hyperlink r:id="rId36" w:anchor="sBE73C15352ED517B86D7995953215925"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center"/>
          </w:tcPr>
          <w:p w14:paraId="4E5697C2" w14:textId="77777777" w:rsidR="00DF3E10" w:rsidRDefault="006B6C28">
            <w:pPr>
              <w:jc w:val="center"/>
              <w:textAlignment w:val="center"/>
              <w:rPr>
                <w:rFonts w:ascii="Times New Roman" w:hAnsi="Times New Roman"/>
                <w:sz w:val="20"/>
                <w:szCs w:val="20"/>
              </w:rPr>
            </w:pPr>
            <w:hyperlink r:id="rId37" w:anchor="sBE73C15352ED517B86D7995953215925" w:history="1">
              <w:r>
                <w:rPr>
                  <w:rStyle w:val="a5"/>
                  <w:rFonts w:ascii="Times New Roman" w:eastAsia="宋体" w:hAnsi="Times New Roman"/>
                  <w:sz w:val="20"/>
                  <w:szCs w:val="20"/>
                </w:rPr>
                <w:t>50</w:t>
              </w:r>
            </w:hyperlink>
          </w:p>
        </w:tc>
      </w:tr>
      <w:tr w:rsidR="00DF3E10" w14:paraId="4E5697C7" w14:textId="77777777">
        <w:tc>
          <w:tcPr>
            <w:tcW w:w="0" w:type="auto"/>
            <w:shd w:val="clear" w:color="auto" w:fill="auto"/>
            <w:tcMar>
              <w:top w:w="40" w:type="dxa"/>
              <w:left w:w="40" w:type="dxa"/>
              <w:bottom w:w="40" w:type="dxa"/>
              <w:right w:w="40" w:type="dxa"/>
            </w:tcMar>
            <w:vAlign w:val="bottom"/>
          </w:tcPr>
          <w:p w14:paraId="4E5697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CB" w14:textId="77777777">
        <w:tc>
          <w:tcPr>
            <w:tcW w:w="0" w:type="auto"/>
            <w:shd w:val="clear" w:color="auto" w:fill="auto"/>
            <w:tcMar>
              <w:top w:w="40" w:type="dxa"/>
              <w:left w:w="40" w:type="dxa"/>
              <w:bottom w:w="40" w:type="dxa"/>
              <w:right w:w="40" w:type="dxa"/>
            </w:tcMar>
            <w:vAlign w:val="center"/>
          </w:tcPr>
          <w:p w14:paraId="4E5697C8"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4E5697C9" w14:textId="77777777" w:rsidR="00DF3E10" w:rsidRDefault="006B6C28">
            <w:pPr>
              <w:jc w:val="both"/>
              <w:textAlignment w:val="center"/>
              <w:rPr>
                <w:rFonts w:ascii="Times New Roman" w:hAnsi="Times New Roman"/>
                <w:sz w:val="20"/>
                <w:szCs w:val="20"/>
              </w:rPr>
            </w:pPr>
            <w:hyperlink r:id="rId38" w:anchor="s55EC05D48C3C520E97CE3477CE936C56" w:history="1">
              <w:r>
                <w:rPr>
                  <w:rStyle w:val="a5"/>
                  <w:rFonts w:ascii="Times New Roman" w:eastAsia="宋体" w:hAnsi="Times New Roman"/>
                  <w:sz w:val="20"/>
                  <w:szCs w:val="20"/>
                </w:rPr>
                <w:t>Unregistered Sales of Eq</w:t>
              </w:r>
              <w:r>
                <w:rPr>
                  <w:rStyle w:val="a5"/>
                  <w:rFonts w:ascii="Times New Roman" w:eastAsia="宋体" w:hAnsi="Times New Roman"/>
                  <w:sz w:val="20"/>
                  <w:szCs w:val="20"/>
                </w:rPr>
                <w:t>uity Securities and Use of Proceeds</w:t>
              </w:r>
            </w:hyperlink>
          </w:p>
        </w:tc>
        <w:tc>
          <w:tcPr>
            <w:tcW w:w="0" w:type="auto"/>
            <w:shd w:val="clear" w:color="auto" w:fill="auto"/>
            <w:tcMar>
              <w:top w:w="40" w:type="dxa"/>
              <w:left w:w="40" w:type="dxa"/>
              <w:bottom w:w="40" w:type="dxa"/>
              <w:right w:w="40" w:type="dxa"/>
            </w:tcMar>
            <w:vAlign w:val="center"/>
          </w:tcPr>
          <w:p w14:paraId="4E5697CA" w14:textId="77777777" w:rsidR="00DF3E10" w:rsidRDefault="006B6C28">
            <w:pPr>
              <w:jc w:val="center"/>
              <w:textAlignment w:val="center"/>
              <w:rPr>
                <w:rFonts w:ascii="Times New Roman" w:hAnsi="Times New Roman"/>
                <w:sz w:val="20"/>
                <w:szCs w:val="20"/>
              </w:rPr>
            </w:pPr>
            <w:hyperlink r:id="rId39" w:anchor="s55EC05D48C3C520E97CE3477CE936C56" w:history="1">
              <w:r>
                <w:rPr>
                  <w:rStyle w:val="a5"/>
                  <w:rFonts w:ascii="Times New Roman" w:eastAsia="宋体" w:hAnsi="Times New Roman"/>
                  <w:sz w:val="20"/>
                  <w:szCs w:val="20"/>
                </w:rPr>
                <w:t>80</w:t>
              </w:r>
            </w:hyperlink>
          </w:p>
        </w:tc>
      </w:tr>
      <w:tr w:rsidR="00DF3E10" w14:paraId="4E5697CF" w14:textId="77777777">
        <w:tc>
          <w:tcPr>
            <w:tcW w:w="0" w:type="auto"/>
            <w:shd w:val="clear" w:color="auto" w:fill="auto"/>
            <w:tcMar>
              <w:top w:w="40" w:type="dxa"/>
              <w:left w:w="40" w:type="dxa"/>
              <w:bottom w:w="40" w:type="dxa"/>
              <w:right w:w="40" w:type="dxa"/>
            </w:tcMar>
            <w:vAlign w:val="bottom"/>
          </w:tcPr>
          <w:p w14:paraId="4E5697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D3" w14:textId="77777777">
        <w:tc>
          <w:tcPr>
            <w:tcW w:w="0" w:type="auto"/>
            <w:shd w:val="clear" w:color="auto" w:fill="auto"/>
            <w:tcMar>
              <w:top w:w="40" w:type="dxa"/>
              <w:left w:w="40" w:type="dxa"/>
              <w:bottom w:w="40" w:type="dxa"/>
              <w:right w:w="40" w:type="dxa"/>
            </w:tcMar>
            <w:vAlign w:val="center"/>
          </w:tcPr>
          <w:p w14:paraId="4E5697D0" w14:textId="77777777" w:rsidR="00DF3E10" w:rsidRDefault="006B6C28">
            <w:pPr>
              <w:jc w:val="both"/>
              <w:textAlignment w:val="center"/>
              <w:rPr>
                <w:rFonts w:ascii="Times New Roman" w:hAnsi="Times New Roman"/>
                <w:sz w:val="20"/>
                <w:szCs w:val="20"/>
              </w:rPr>
            </w:pPr>
            <w:r>
              <w:rPr>
                <w:rFonts w:ascii="Times New Roman" w:eastAsia="宋体" w:hAnsi="Times New Roman"/>
                <w:sz w:val="20"/>
                <w:szCs w:val="20"/>
              </w:rPr>
              <w:t>Item 6.</w:t>
            </w:r>
          </w:p>
        </w:tc>
        <w:tc>
          <w:tcPr>
            <w:tcW w:w="0" w:type="auto"/>
            <w:shd w:val="clear" w:color="auto" w:fill="auto"/>
            <w:tcMar>
              <w:top w:w="40" w:type="dxa"/>
              <w:left w:w="40" w:type="dxa"/>
              <w:bottom w:w="40" w:type="dxa"/>
              <w:right w:w="40" w:type="dxa"/>
            </w:tcMar>
            <w:vAlign w:val="center"/>
          </w:tcPr>
          <w:p w14:paraId="4E5697D1" w14:textId="77777777" w:rsidR="00DF3E10" w:rsidRDefault="006B6C28">
            <w:pPr>
              <w:jc w:val="both"/>
              <w:textAlignment w:val="center"/>
              <w:rPr>
                <w:rFonts w:ascii="Times New Roman" w:hAnsi="Times New Roman"/>
                <w:sz w:val="20"/>
                <w:szCs w:val="20"/>
              </w:rPr>
            </w:pPr>
            <w:hyperlink r:id="rId40" w:anchor="sA8CB880D073754CFB49221F4648123DF" w:history="1">
              <w:r>
                <w:rPr>
                  <w:rStyle w:val="a5"/>
                  <w:rFonts w:ascii="Times New Roman" w:eastAsia="宋体" w:hAnsi="Times New Roman"/>
                  <w:sz w:val="20"/>
                  <w:szCs w:val="20"/>
                </w:rPr>
                <w:t>Exhibits</w:t>
              </w:r>
            </w:hyperlink>
          </w:p>
        </w:tc>
        <w:tc>
          <w:tcPr>
            <w:tcW w:w="0" w:type="auto"/>
            <w:shd w:val="clear" w:color="auto" w:fill="auto"/>
            <w:tcMar>
              <w:top w:w="40" w:type="dxa"/>
              <w:left w:w="40" w:type="dxa"/>
              <w:bottom w:w="40" w:type="dxa"/>
              <w:right w:w="40" w:type="dxa"/>
            </w:tcMar>
            <w:vAlign w:val="center"/>
          </w:tcPr>
          <w:p w14:paraId="4E5697D2" w14:textId="77777777" w:rsidR="00DF3E10" w:rsidRDefault="006B6C28">
            <w:pPr>
              <w:jc w:val="center"/>
              <w:textAlignment w:val="center"/>
              <w:rPr>
                <w:rFonts w:ascii="Times New Roman" w:hAnsi="Times New Roman"/>
                <w:sz w:val="20"/>
                <w:szCs w:val="20"/>
              </w:rPr>
            </w:pPr>
            <w:hyperlink r:id="rId41" w:anchor="sA8CB880D073754CFB49221F4648123DF" w:history="1">
              <w:r>
                <w:rPr>
                  <w:rStyle w:val="a5"/>
                  <w:rFonts w:ascii="Times New Roman" w:eastAsia="宋体" w:hAnsi="Times New Roman"/>
                  <w:sz w:val="20"/>
                  <w:szCs w:val="20"/>
                </w:rPr>
                <w:t>81</w:t>
              </w:r>
            </w:hyperlink>
          </w:p>
        </w:tc>
      </w:tr>
      <w:tr w:rsidR="00DF3E10" w14:paraId="4E5697D6" w14:textId="77777777">
        <w:tc>
          <w:tcPr>
            <w:tcW w:w="0" w:type="auto"/>
            <w:gridSpan w:val="2"/>
            <w:shd w:val="clear" w:color="auto" w:fill="auto"/>
            <w:tcMar>
              <w:top w:w="40" w:type="dxa"/>
              <w:left w:w="40" w:type="dxa"/>
              <w:bottom w:w="40" w:type="dxa"/>
              <w:right w:w="40" w:type="dxa"/>
            </w:tcMar>
            <w:vAlign w:val="bottom"/>
          </w:tcPr>
          <w:p w14:paraId="4E5697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7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7D9" w14:textId="77777777">
        <w:tc>
          <w:tcPr>
            <w:tcW w:w="0" w:type="auto"/>
            <w:gridSpan w:val="2"/>
            <w:shd w:val="clear" w:color="auto" w:fill="auto"/>
            <w:tcMar>
              <w:top w:w="40" w:type="dxa"/>
              <w:left w:w="40" w:type="dxa"/>
              <w:bottom w:w="40" w:type="dxa"/>
              <w:right w:w="40" w:type="dxa"/>
            </w:tcMar>
            <w:vAlign w:val="center"/>
          </w:tcPr>
          <w:p w14:paraId="4E5697D7" w14:textId="77777777" w:rsidR="00DF3E10" w:rsidRDefault="006B6C28">
            <w:pPr>
              <w:jc w:val="both"/>
              <w:textAlignment w:val="center"/>
              <w:rPr>
                <w:rFonts w:ascii="Times New Roman" w:hAnsi="Times New Roman"/>
                <w:sz w:val="20"/>
                <w:szCs w:val="20"/>
              </w:rPr>
            </w:pPr>
            <w:hyperlink r:id="rId42" w:anchor="s5E24C670E5B45471A129A9986C248F9D"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center"/>
          </w:tcPr>
          <w:p w14:paraId="4E5697D8" w14:textId="77777777" w:rsidR="00DF3E10" w:rsidRDefault="006B6C28">
            <w:pPr>
              <w:jc w:val="center"/>
              <w:textAlignment w:val="center"/>
              <w:rPr>
                <w:rFonts w:ascii="Times New Roman" w:hAnsi="Times New Roman"/>
                <w:sz w:val="20"/>
                <w:szCs w:val="20"/>
              </w:rPr>
            </w:pPr>
            <w:hyperlink r:id="rId43" w:anchor="s5E24C670E5B45471A129A9986C248F9D" w:history="1">
              <w:r>
                <w:rPr>
                  <w:rStyle w:val="a5"/>
                  <w:rFonts w:ascii="Times New Roman" w:eastAsia="宋体" w:hAnsi="Times New Roman"/>
                  <w:sz w:val="20"/>
                  <w:szCs w:val="20"/>
                </w:rPr>
                <w:t>82</w:t>
              </w:r>
            </w:hyperlink>
          </w:p>
        </w:tc>
      </w:tr>
    </w:tbl>
    <w:p w14:paraId="4E5697DA" w14:textId="77777777" w:rsidR="00DF3E10" w:rsidRDefault="006B6C28">
      <w:pPr>
        <w:spacing w:line="288" w:lineRule="auto"/>
        <w:rPr>
          <w:rFonts w:ascii="Times New Roman" w:hAnsi="Times New Roman"/>
          <w:sz w:val="16"/>
          <w:szCs w:val="16"/>
        </w:rPr>
      </w:pPr>
      <w:r>
        <w:rPr>
          <w:rFonts w:ascii="Times New Roman" w:eastAsia="宋体" w:hAnsi="Times New Roman"/>
          <w:sz w:val="16"/>
          <w:szCs w:val="16"/>
        </w:rPr>
        <w:t> </w:t>
      </w:r>
    </w:p>
    <w:p w14:paraId="4E5697DB" w14:textId="77777777" w:rsidR="00DF3E10" w:rsidRDefault="00DF3E10">
      <w:pPr>
        <w:rPr>
          <w:rFonts w:ascii="Times New Roman" w:hAnsi="Times New Roman"/>
          <w:sz w:val="20"/>
          <w:szCs w:val="20"/>
        </w:rPr>
      </w:pPr>
    </w:p>
    <w:p w14:paraId="4E5697DC"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w:t>
      </w:r>
    </w:p>
    <w:p w14:paraId="4E5697DD" w14:textId="77777777" w:rsidR="00DF3E10" w:rsidRDefault="006B6C28">
      <w:r>
        <w:rPr>
          <w:rFonts w:ascii="Times New Roman" w:hAnsi="Times New Roman"/>
          <w:sz w:val="20"/>
          <w:szCs w:val="20"/>
        </w:rPr>
        <w:pict w14:anchorId="4E56B74F">
          <v:rect id="_x0000_i1026" style="width:415.3pt;height:1.5pt" o:hralign="center" o:hrstd="t" o:hr="t" fillcolor="#a0a0a0" stroked="f"/>
        </w:pict>
      </w:r>
    </w:p>
    <w:p w14:paraId="4E5697DE" w14:textId="77777777" w:rsidR="00DF3E10" w:rsidRDefault="006B6C28">
      <w:pPr>
        <w:spacing w:line="288" w:lineRule="auto"/>
        <w:rPr>
          <w:rFonts w:ascii="Times New Roman" w:hAnsi="Times New Roman"/>
          <w:sz w:val="20"/>
          <w:szCs w:val="20"/>
        </w:rPr>
      </w:pPr>
      <w:hyperlink r:id="rId44" w:anchor="sC1FF62F0D4D85317B5B2C71C7C94F269" w:history="1">
        <w:r>
          <w:rPr>
            <w:rStyle w:val="a5"/>
            <w:rFonts w:ascii="Times New Roman" w:eastAsia="宋体" w:hAnsi="Times New Roman"/>
            <w:sz w:val="20"/>
            <w:szCs w:val="20"/>
          </w:rPr>
          <w:t>Table of Contents</w:t>
        </w:r>
      </w:hyperlink>
    </w:p>
    <w:p w14:paraId="4E5697DF" w14:textId="77777777" w:rsidR="00DF3E10" w:rsidRDefault="00DF3E10">
      <w:pPr>
        <w:rPr>
          <w:rFonts w:ascii="Times New Roman" w:hAnsi="Times New Roman"/>
          <w:sz w:val="20"/>
          <w:szCs w:val="20"/>
        </w:rPr>
      </w:pPr>
    </w:p>
    <w:p w14:paraId="4E5697E0"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NOTE ABOUT FORWARD-LOOKING STATEMENTS</w:t>
      </w:r>
    </w:p>
    <w:p w14:paraId="4E5697E1" w14:textId="77777777" w:rsidR="00DF3E10" w:rsidRDefault="00DF3E10">
      <w:pPr>
        <w:spacing w:line="288" w:lineRule="auto"/>
        <w:ind w:firstLine="660"/>
        <w:jc w:val="both"/>
        <w:rPr>
          <w:rFonts w:ascii="Times New Roman" w:hAnsi="Times New Roman"/>
          <w:sz w:val="20"/>
          <w:szCs w:val="20"/>
        </w:rPr>
      </w:pPr>
    </w:p>
    <w:p w14:paraId="4E5697E2"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This Quarterly Report on Form 10-Q </w:t>
      </w:r>
      <w:r>
        <w:rPr>
          <w:rFonts w:ascii="Times New Roman" w:eastAsia="宋体" w:hAnsi="Times New Roman"/>
          <w:sz w:val="20"/>
          <w:szCs w:val="20"/>
        </w:rPr>
        <w:t xml:space="preserve">contains forward-looking statements. All statements contained in this Quarterly Report on Form 10-Q other than statements of historical fact, including statements regarding our future results of operations and financial position, our business strategy and </w:t>
      </w:r>
      <w:r>
        <w:rPr>
          <w:rFonts w:ascii="Times New Roman" w:eastAsia="宋体" w:hAnsi="Times New Roman"/>
          <w:sz w:val="20"/>
          <w:szCs w:val="20"/>
        </w:rPr>
        <w:t>plans, and our objectives for future operations, are forward-looking statements. The words "believe," "may," "will," "estimate," "continue," "anticipate," "intend," "expect," and similar expressions are intended to identify forward-looking statements. We h</w:t>
      </w:r>
      <w:r>
        <w:rPr>
          <w:rFonts w:ascii="Times New Roman" w:eastAsia="宋体" w:hAnsi="Times New Roman"/>
          <w:sz w:val="20"/>
          <w:szCs w:val="20"/>
        </w:rPr>
        <w:t>ave based these forward-looking statements largely on our current expectations and projections about future events and trends that we believe may affect our financial condition, results of operations, business strategy, short-term and long-term business op</w:t>
      </w:r>
      <w:r>
        <w:rPr>
          <w:rFonts w:ascii="Times New Roman" w:eastAsia="宋体" w:hAnsi="Times New Roman"/>
          <w:sz w:val="20"/>
          <w:szCs w:val="20"/>
        </w:rPr>
        <w:t>erations and objectives, and financial needs. These forward-looking statements are subject to a number of risks, uncertainties and assumptions, including those described in Part II, Item 1A, "Risk Factors" in this Quarterly Report on Form 10-Q. Moreover, w</w:t>
      </w:r>
      <w:r>
        <w:rPr>
          <w:rFonts w:ascii="Times New Roman" w:eastAsia="宋体" w:hAnsi="Times New Roman"/>
          <w:sz w:val="20"/>
          <w:szCs w:val="20"/>
        </w:rPr>
        <w:t>e operate in a very competitive and rapidly changing environment. New risks emerge from time to time. It is not possible for our management to predict all risks, nor can we assess the impact of all factors on our business or the extent to which any factor,</w:t>
      </w:r>
      <w:r>
        <w:rPr>
          <w:rFonts w:ascii="Times New Roman" w:eastAsia="宋体" w:hAnsi="Times New Roman"/>
          <w:sz w:val="20"/>
          <w:szCs w:val="20"/>
        </w:rPr>
        <w:t xml:space="preserve"> or combination of factors, may cause actual results to differ materially from those contained in any forward-looking statements we may make. In light of these risks, uncertainties and assumptions, the future events and trends discussed in this Quarterly R</w:t>
      </w:r>
      <w:r>
        <w:rPr>
          <w:rFonts w:ascii="Times New Roman" w:eastAsia="宋体" w:hAnsi="Times New Roman"/>
          <w:sz w:val="20"/>
          <w:szCs w:val="20"/>
        </w:rPr>
        <w:t>eport on Form 10-Q may not occur and actual results could differ materially and adversely from those anticipated or implied in the forward-looking statements.</w:t>
      </w:r>
    </w:p>
    <w:p w14:paraId="4E5697E3"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We undertake no obligation to revise or publicly release the results of any revision to these for</w:t>
      </w:r>
      <w:r>
        <w:rPr>
          <w:rFonts w:ascii="Times New Roman" w:eastAsia="宋体" w:hAnsi="Times New Roman"/>
          <w:sz w:val="20"/>
          <w:szCs w:val="20"/>
        </w:rPr>
        <w:t>ward-looking statements, except as required by law. Given these risks and uncertainties, readers are cautioned not to place undue reliance on such forward-looking statements.</w:t>
      </w:r>
    </w:p>
    <w:p w14:paraId="4E5697E4"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Unless expressly indicated or the context requires otherwise, the terms "Facebook</w:t>
      </w:r>
      <w:r>
        <w:rPr>
          <w:rFonts w:ascii="Times New Roman" w:eastAsia="宋体" w:hAnsi="Times New Roman"/>
          <w:sz w:val="20"/>
          <w:szCs w:val="20"/>
        </w:rPr>
        <w:t>," "company," "we," "us," and "our" in this document refer to Facebook, Inc., a Delaware corporation, and, where appropriate, its wholly owned subsidiaries. The term "Facebook" may also refer to our products, regardless of the manner in which they are acce</w:t>
      </w:r>
      <w:r>
        <w:rPr>
          <w:rFonts w:ascii="Times New Roman" w:eastAsia="宋体" w:hAnsi="Times New Roman"/>
          <w:sz w:val="20"/>
          <w:szCs w:val="20"/>
        </w:rPr>
        <w:t xml:space="preserve">ssed. The term "Family" refers to our Facebook, Instagram, Messenger, and WhatsApp products. For references to accessing Facebook or our other products on the "web" or via a "website," such terms refer to accessing such products on personal computers. For </w:t>
      </w:r>
      <w:r>
        <w:rPr>
          <w:rFonts w:ascii="Times New Roman" w:eastAsia="宋体" w:hAnsi="Times New Roman"/>
          <w:sz w:val="20"/>
          <w:szCs w:val="20"/>
        </w:rPr>
        <w:t>references to accessing Facebook or our other products on "mobile," such term refers to accessing such products via a mobile application or via a mobile-optimized version of our websites such as m.facebook.com, whether on a mobile phone or tablet.</w:t>
      </w:r>
    </w:p>
    <w:p w14:paraId="4E5697E5" w14:textId="77777777" w:rsidR="00DF3E10" w:rsidRDefault="00DF3E10">
      <w:pPr>
        <w:rPr>
          <w:rFonts w:ascii="Times New Roman" w:hAnsi="Times New Roman"/>
          <w:sz w:val="20"/>
          <w:szCs w:val="20"/>
        </w:rPr>
      </w:pPr>
    </w:p>
    <w:p w14:paraId="4E5697E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w:t>
      </w:r>
    </w:p>
    <w:p w14:paraId="4E5697E7" w14:textId="77777777" w:rsidR="00DF3E10" w:rsidRDefault="006B6C28">
      <w:r>
        <w:rPr>
          <w:rFonts w:ascii="Times New Roman" w:hAnsi="Times New Roman"/>
          <w:sz w:val="20"/>
          <w:szCs w:val="20"/>
        </w:rPr>
        <w:pict w14:anchorId="4E56B750">
          <v:rect id="_x0000_i1027" style="width:415.3pt;height:1.5pt" o:hralign="center" o:hrstd="t" o:hr="t" fillcolor="#a0a0a0" stroked="f"/>
        </w:pict>
      </w:r>
    </w:p>
    <w:p w14:paraId="4E5697E8" w14:textId="77777777" w:rsidR="00DF3E10" w:rsidRDefault="006B6C28">
      <w:pPr>
        <w:spacing w:line="288" w:lineRule="auto"/>
        <w:rPr>
          <w:rFonts w:ascii="Times New Roman" w:hAnsi="Times New Roman"/>
          <w:sz w:val="20"/>
          <w:szCs w:val="20"/>
        </w:rPr>
      </w:pPr>
      <w:hyperlink r:id="rId45" w:anchor="sC1FF62F0D4D85317B5B2C71C7C94F269" w:history="1">
        <w:r>
          <w:rPr>
            <w:rStyle w:val="a5"/>
            <w:rFonts w:ascii="Times New Roman" w:eastAsia="宋体" w:hAnsi="Times New Roman"/>
            <w:sz w:val="20"/>
            <w:szCs w:val="20"/>
          </w:rPr>
          <w:t>Table of Contents</w:t>
        </w:r>
      </w:hyperlink>
    </w:p>
    <w:p w14:paraId="4E5697E9" w14:textId="77777777" w:rsidR="00DF3E10" w:rsidRDefault="00DF3E10">
      <w:pPr>
        <w:rPr>
          <w:rFonts w:ascii="Times New Roman" w:hAnsi="Times New Roman"/>
          <w:sz w:val="20"/>
          <w:szCs w:val="20"/>
        </w:rPr>
      </w:pPr>
    </w:p>
    <w:p w14:paraId="4E5697EA"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LIMITATIONS OF KEY METRICS AND OTHER DATA</w:t>
      </w:r>
    </w:p>
    <w:p w14:paraId="4E5697EB" w14:textId="77777777" w:rsidR="00DF3E10" w:rsidRDefault="00DF3E10">
      <w:pPr>
        <w:spacing w:line="288" w:lineRule="auto"/>
        <w:ind w:firstLine="720"/>
        <w:jc w:val="both"/>
        <w:rPr>
          <w:rFonts w:ascii="Times New Roman" w:hAnsi="Times New Roman"/>
          <w:sz w:val="20"/>
          <w:szCs w:val="20"/>
        </w:rPr>
      </w:pPr>
    </w:p>
    <w:p w14:paraId="4E5697E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metrics are calculat</w:t>
      </w:r>
      <w:r>
        <w:rPr>
          <w:rFonts w:ascii="Times New Roman" w:eastAsia="宋体" w:hAnsi="Times New Roman"/>
          <w:sz w:val="20"/>
          <w:szCs w:val="20"/>
        </w:rPr>
        <w:t>ed using internal company data based on the activity of user accounts. We have historically reported the numbers of our daily active users (DAUs), monthly active users (MAUs), and average revenue per user (ARPU) (collectively, our "Facebook metrics") based</w:t>
      </w:r>
      <w:r>
        <w:rPr>
          <w:rFonts w:ascii="Times New Roman" w:eastAsia="宋体" w:hAnsi="Times New Roman"/>
          <w:sz w:val="20"/>
          <w:szCs w:val="20"/>
        </w:rPr>
        <w:t xml:space="preserve"> on user activity only on Facebook and Messenger and not on our other products. Beginning with our Annual Report on Form 10-K for the year ended December 31, 2019, we also report our estimates of the numbers of our daily active people (DAP), monthly active</w:t>
      </w:r>
      <w:r>
        <w:rPr>
          <w:rFonts w:ascii="Times New Roman" w:eastAsia="宋体" w:hAnsi="Times New Roman"/>
          <w:sz w:val="20"/>
          <w:szCs w:val="20"/>
        </w:rPr>
        <w:t xml:space="preserve"> people (MAP), and average revenue per person (ARPP) (collectively, our "Family metrics") based on the activity of users who visited at least one of Facebook, Instagram, Messenger, and WhatsApp (collectively, our "Family" of products) during the applicable</w:t>
      </w:r>
      <w:r>
        <w:rPr>
          <w:rFonts w:ascii="Times New Roman" w:eastAsia="宋体" w:hAnsi="Times New Roman"/>
          <w:sz w:val="20"/>
          <w:szCs w:val="20"/>
        </w:rPr>
        <w:t xml:space="preserve"> period of measurement. We believe our Family metrics better reflect the size of our community and the fact that many people are using more than one of our products. As a result, over time we intend to report our Family metrics as our key metrics in place </w:t>
      </w:r>
      <w:r>
        <w:rPr>
          <w:rFonts w:ascii="Times New Roman" w:eastAsia="宋体" w:hAnsi="Times New Roman"/>
          <w:sz w:val="20"/>
          <w:szCs w:val="20"/>
        </w:rPr>
        <w:t>of DAUs, MAUs, and ARPU in our periodic reports filed with the Securities and Exchange Commission.</w:t>
      </w:r>
    </w:p>
    <w:p w14:paraId="4E5697ED" w14:textId="77777777" w:rsidR="00DF3E10" w:rsidRDefault="00DF3E10">
      <w:pPr>
        <w:spacing w:line="288" w:lineRule="auto"/>
        <w:ind w:firstLine="720"/>
        <w:jc w:val="both"/>
        <w:rPr>
          <w:rFonts w:ascii="Times New Roman" w:hAnsi="Times New Roman"/>
          <w:sz w:val="20"/>
          <w:szCs w:val="20"/>
        </w:rPr>
      </w:pPr>
    </w:p>
    <w:p w14:paraId="4E5697E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While these numbers are based on what we believe to be reasonable estimates of our user base for the applicable period of measurement, there are inherent ch</w:t>
      </w:r>
      <w:r>
        <w:rPr>
          <w:rFonts w:ascii="Times New Roman" w:eastAsia="宋体" w:hAnsi="Times New Roman"/>
          <w:sz w:val="20"/>
          <w:szCs w:val="20"/>
        </w:rPr>
        <w:t>allenges in measuring usage of our products across large online and mobile populations around the world. The methodologies used to measure these metrics require significant judgment and are also susceptible to algorithm or other technical errors. In additi</w:t>
      </w:r>
      <w:r>
        <w:rPr>
          <w:rFonts w:ascii="Times New Roman" w:eastAsia="宋体" w:hAnsi="Times New Roman"/>
          <w:sz w:val="20"/>
          <w:szCs w:val="20"/>
        </w:rPr>
        <w:t>on, we are continually seeking to improve our estimates of our user base, and such estimates may change due to improvements or changes in our methodology. We regularly review our processes for calculating these metrics, and from time to time we discover in</w:t>
      </w:r>
      <w:r>
        <w:rPr>
          <w:rFonts w:ascii="Times New Roman" w:eastAsia="宋体" w:hAnsi="Times New Roman"/>
          <w:sz w:val="20"/>
          <w:szCs w:val="20"/>
        </w:rPr>
        <w:t>accuracies in our metrics or make adjustments to improve their accuracy, which can result in adjustments to our historical metrics. Our ability to recalculate our historical metrics may be impacted by data limitations or other factors that require us to ap</w:t>
      </w:r>
      <w:r>
        <w:rPr>
          <w:rFonts w:ascii="Times New Roman" w:eastAsia="宋体" w:hAnsi="Times New Roman"/>
          <w:sz w:val="20"/>
          <w:szCs w:val="20"/>
        </w:rPr>
        <w:t>ply different methodologies for such adjustments. We generally do not intend to update previously disclosed Family metrics for any such inaccuracies or adjustments that are within the error margins disclosed below.</w:t>
      </w:r>
    </w:p>
    <w:p w14:paraId="4E5697EF" w14:textId="77777777" w:rsidR="00DF3E10" w:rsidRDefault="00DF3E10">
      <w:pPr>
        <w:spacing w:line="288" w:lineRule="auto"/>
        <w:ind w:firstLine="720"/>
        <w:jc w:val="both"/>
        <w:rPr>
          <w:rFonts w:ascii="Times New Roman" w:hAnsi="Times New Roman"/>
          <w:sz w:val="20"/>
          <w:szCs w:val="20"/>
        </w:rPr>
      </w:pPr>
    </w:p>
    <w:p w14:paraId="4E5697F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Facebook metrics and Fa</w:t>
      </w:r>
      <w:r>
        <w:rPr>
          <w:rFonts w:ascii="Times New Roman" w:eastAsia="宋体" w:hAnsi="Times New Roman"/>
          <w:sz w:val="20"/>
          <w:szCs w:val="20"/>
        </w:rPr>
        <w:t>mily metrics estimates will differ from estimates published by third parties due to differences in methodology.</w:t>
      </w:r>
    </w:p>
    <w:p w14:paraId="4E5697F1" w14:textId="77777777" w:rsidR="00DF3E10" w:rsidRDefault="00DF3E10">
      <w:pPr>
        <w:spacing w:line="288" w:lineRule="auto"/>
        <w:ind w:firstLine="720"/>
        <w:jc w:val="both"/>
        <w:rPr>
          <w:rFonts w:ascii="Times New Roman" w:hAnsi="Times New Roman"/>
          <w:sz w:val="20"/>
          <w:szCs w:val="20"/>
        </w:rPr>
      </w:pPr>
    </w:p>
    <w:p w14:paraId="4E5697F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Facebook Metrics</w:t>
      </w:r>
    </w:p>
    <w:p w14:paraId="4E5697F3" w14:textId="77777777" w:rsidR="00DF3E10" w:rsidRDefault="00DF3E10">
      <w:pPr>
        <w:spacing w:line="288" w:lineRule="auto"/>
        <w:jc w:val="both"/>
        <w:rPr>
          <w:rFonts w:ascii="Times New Roman" w:hAnsi="Times New Roman"/>
          <w:sz w:val="20"/>
          <w:szCs w:val="20"/>
        </w:rPr>
      </w:pPr>
    </w:p>
    <w:p w14:paraId="4E5697F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to estimate the number of "duplicate" and "false" accounts among our MAUs. A dupli</w:t>
      </w:r>
      <w:r>
        <w:rPr>
          <w:rFonts w:ascii="Times New Roman" w:eastAsia="宋体" w:hAnsi="Times New Roman"/>
          <w:sz w:val="20"/>
          <w:szCs w:val="20"/>
        </w:rPr>
        <w:t>cate account is one that a user maintains in addition to his or her principal account. We divide "false" accounts into two categories: (1) user-misclassified accounts, where users have created personal profiles for a business, organization, or non-human en</w:t>
      </w:r>
      <w:r>
        <w:rPr>
          <w:rFonts w:ascii="Times New Roman" w:eastAsia="宋体" w:hAnsi="Times New Roman"/>
          <w:sz w:val="20"/>
          <w:szCs w:val="20"/>
        </w:rPr>
        <w:t>tity such as a pet (such entities are permitted on Facebook using a Page rather than a personal profile under our terms of service); and (2) violating accounts, which represent user profiles that we believe are intended to be used for purposes that violate</w:t>
      </w:r>
      <w:r>
        <w:rPr>
          <w:rFonts w:ascii="Times New Roman" w:eastAsia="宋体" w:hAnsi="Times New Roman"/>
          <w:sz w:val="20"/>
          <w:szCs w:val="20"/>
        </w:rPr>
        <w:t xml:space="preserve"> our terms of service, such as bots and spam. The estimates of duplicate and false accounts are based on an internal review of a limited sample of accounts, and we apply significant judgment in making this determination. For example, to identify duplicate </w:t>
      </w:r>
      <w:r>
        <w:rPr>
          <w:rFonts w:ascii="Times New Roman" w:eastAsia="宋体" w:hAnsi="Times New Roman"/>
          <w:sz w:val="20"/>
          <w:szCs w:val="20"/>
        </w:rPr>
        <w:t>accounts we use data signals such as identical IP addresses and similar user names, and to identify false accounts we look for names that appear to be fake or other behavior that appears inauthentic to the reviewers. Any loss of access to data signals we u</w:t>
      </w:r>
      <w:r>
        <w:rPr>
          <w:rFonts w:ascii="Times New Roman" w:eastAsia="宋体" w:hAnsi="Times New Roman"/>
          <w:sz w:val="20"/>
          <w:szCs w:val="20"/>
        </w:rPr>
        <w:t xml:space="preserve">se in this process, whether as a result of our own product decisions, actions by third-party browser or mobile platforms, regulatory or legislative requirements, limitations while our personnel work remotely during the COVID-19 pandemic, or other factors, </w:t>
      </w:r>
      <w:r>
        <w:rPr>
          <w:rFonts w:ascii="Times New Roman" w:eastAsia="宋体" w:hAnsi="Times New Roman"/>
          <w:sz w:val="20"/>
          <w:szCs w:val="20"/>
        </w:rPr>
        <w:t>also may impact the stability or accuracy of our estimates of duplicate and false accounts. Our estimates also may change as our methodologies evolve, including through the application of new data signals or technologies or product changes that may allow u</w:t>
      </w:r>
      <w:r>
        <w:rPr>
          <w:rFonts w:ascii="Times New Roman" w:eastAsia="宋体" w:hAnsi="Times New Roman"/>
          <w:sz w:val="20"/>
          <w:szCs w:val="20"/>
        </w:rPr>
        <w:t>s to identify previously undetected duplicate or false accounts and may improve our ability to evaluate a broader population of our users. Duplicate and false accounts are very difficult to measure at our scale, and it is possible that the actual number of</w:t>
      </w:r>
      <w:r>
        <w:rPr>
          <w:rFonts w:ascii="Times New Roman" w:eastAsia="宋体" w:hAnsi="Times New Roman"/>
          <w:sz w:val="20"/>
          <w:szCs w:val="20"/>
        </w:rPr>
        <w:t xml:space="preserve"> duplicate and false accounts may vary significantly from our estimates.</w:t>
      </w:r>
    </w:p>
    <w:p w14:paraId="4E5697F5" w14:textId="77777777" w:rsidR="00DF3E10" w:rsidRDefault="00DF3E10">
      <w:pPr>
        <w:spacing w:line="288" w:lineRule="auto"/>
        <w:ind w:firstLine="720"/>
        <w:jc w:val="both"/>
        <w:rPr>
          <w:rFonts w:ascii="Times New Roman" w:hAnsi="Times New Roman"/>
          <w:sz w:val="20"/>
          <w:szCs w:val="20"/>
        </w:rPr>
      </w:pPr>
    </w:p>
    <w:p w14:paraId="4E5697F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the fourth quarter of 2019, we estimated that duplicate accounts may have represented approximately 11% of our worldwide MAUs. We believe the percentage of duplicate accounts is m</w:t>
      </w:r>
      <w:r>
        <w:rPr>
          <w:rFonts w:ascii="Times New Roman" w:eastAsia="宋体" w:hAnsi="Times New Roman"/>
          <w:sz w:val="20"/>
          <w:szCs w:val="20"/>
        </w:rPr>
        <w:t>eaningfully higher in developing markets such as the Philippines and Vietnam, as compared to more developed markets. In the fourth quarter of 2019, we estimated that false accounts may have represented approximately 5% of our worldwide MAUs. Our estimation</w:t>
      </w:r>
      <w:r>
        <w:rPr>
          <w:rFonts w:ascii="Times New Roman" w:eastAsia="宋体" w:hAnsi="Times New Roman"/>
          <w:sz w:val="20"/>
          <w:szCs w:val="20"/>
        </w:rPr>
        <w:t xml:space="preserve"> of false accounts can vary as a result of episodic spikes in the creation of such accounts, which we have seen originate more frequently in specific countries such as Indonesia and Vietnam. From time to time, we disable certain user accounts, make product</w:t>
      </w:r>
      <w:r>
        <w:rPr>
          <w:rFonts w:ascii="Times New Roman" w:eastAsia="宋体" w:hAnsi="Times New Roman"/>
          <w:sz w:val="20"/>
          <w:szCs w:val="20"/>
        </w:rPr>
        <w:t xml:space="preserve"> changes, or take other actions to reduce the number of duplicate or false accounts among our users, which may also reduce our DAU and MAU estimates in a particular period. We intend to disclose our estimates of the number of duplicate and false accounts a</w:t>
      </w:r>
      <w:r>
        <w:rPr>
          <w:rFonts w:ascii="Times New Roman" w:eastAsia="宋体" w:hAnsi="Times New Roman"/>
          <w:sz w:val="20"/>
          <w:szCs w:val="20"/>
        </w:rPr>
        <w:t>mong our MAUs on an annual basis.</w:t>
      </w:r>
    </w:p>
    <w:p w14:paraId="4E5697F7" w14:textId="77777777" w:rsidR="00DF3E10" w:rsidRDefault="00DF3E10">
      <w:pPr>
        <w:rPr>
          <w:rFonts w:ascii="Times New Roman" w:hAnsi="Times New Roman"/>
          <w:sz w:val="20"/>
          <w:szCs w:val="20"/>
        </w:rPr>
      </w:pPr>
    </w:p>
    <w:p w14:paraId="4E5697F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w:t>
      </w:r>
    </w:p>
    <w:p w14:paraId="4E5697F9" w14:textId="77777777" w:rsidR="00DF3E10" w:rsidRDefault="006B6C28">
      <w:r>
        <w:rPr>
          <w:rFonts w:ascii="Times New Roman" w:hAnsi="Times New Roman"/>
          <w:sz w:val="20"/>
          <w:szCs w:val="20"/>
        </w:rPr>
        <w:pict w14:anchorId="4E56B751">
          <v:rect id="_x0000_i1028" style="width:415.3pt;height:1.5pt" o:hralign="center" o:hrstd="t" o:hr="t" fillcolor="#a0a0a0" stroked="f"/>
        </w:pict>
      </w:r>
    </w:p>
    <w:p w14:paraId="4E5697FA" w14:textId="77777777" w:rsidR="00DF3E10" w:rsidRDefault="006B6C28">
      <w:pPr>
        <w:spacing w:line="288" w:lineRule="auto"/>
        <w:rPr>
          <w:rFonts w:ascii="Times New Roman" w:hAnsi="Times New Roman"/>
          <w:sz w:val="20"/>
          <w:szCs w:val="20"/>
        </w:rPr>
      </w:pPr>
      <w:hyperlink r:id="rId46" w:anchor="sC1FF62F0D4D85317B5B2C71C7C94F269" w:history="1">
        <w:r>
          <w:rPr>
            <w:rStyle w:val="a5"/>
            <w:rFonts w:ascii="Times New Roman" w:eastAsia="宋体" w:hAnsi="Times New Roman"/>
            <w:sz w:val="20"/>
            <w:szCs w:val="20"/>
          </w:rPr>
          <w:t>Table of Contents</w:t>
        </w:r>
      </w:hyperlink>
    </w:p>
    <w:p w14:paraId="4E5697FB" w14:textId="77777777" w:rsidR="00DF3E10" w:rsidRDefault="00DF3E10">
      <w:pPr>
        <w:rPr>
          <w:rFonts w:ascii="Times New Roman" w:hAnsi="Times New Roman"/>
          <w:sz w:val="20"/>
          <w:szCs w:val="20"/>
        </w:rPr>
      </w:pPr>
    </w:p>
    <w:p w14:paraId="4E5697FC" w14:textId="77777777" w:rsidR="00DF3E10" w:rsidRDefault="00DF3E10">
      <w:pPr>
        <w:spacing w:line="288" w:lineRule="auto"/>
        <w:ind w:firstLine="720"/>
        <w:jc w:val="both"/>
        <w:rPr>
          <w:rFonts w:ascii="Times New Roman" w:hAnsi="Times New Roman"/>
          <w:sz w:val="20"/>
          <w:szCs w:val="20"/>
        </w:rPr>
      </w:pPr>
    </w:p>
    <w:p w14:paraId="4E5697F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DAUs and MAUs discussed in this Quarterly Report on Form 10-Q, as we</w:t>
      </w:r>
      <w:r>
        <w:rPr>
          <w:rFonts w:ascii="Times New Roman" w:eastAsia="宋体" w:hAnsi="Times New Roman"/>
          <w:sz w:val="20"/>
          <w:szCs w:val="20"/>
        </w:rPr>
        <w:t>ll as ARPU, do not include users on Instagram, WhatsApp, or our other products, unless they would otherwise qualify as DAUs or MAUs, respectively, based on their other activities on Facebook.</w:t>
      </w:r>
    </w:p>
    <w:p w14:paraId="4E5697FE" w14:textId="77777777" w:rsidR="00DF3E10" w:rsidRDefault="00DF3E10">
      <w:pPr>
        <w:spacing w:line="288" w:lineRule="auto"/>
        <w:ind w:firstLine="720"/>
        <w:jc w:val="both"/>
        <w:rPr>
          <w:rFonts w:ascii="Times New Roman" w:hAnsi="Times New Roman"/>
          <w:sz w:val="20"/>
          <w:szCs w:val="20"/>
        </w:rPr>
      </w:pPr>
    </w:p>
    <w:p w14:paraId="4E5697FF"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Family Metrics</w:t>
      </w:r>
    </w:p>
    <w:p w14:paraId="4E569800" w14:textId="77777777" w:rsidR="00DF3E10" w:rsidRDefault="00DF3E10">
      <w:pPr>
        <w:spacing w:line="288" w:lineRule="auto"/>
        <w:ind w:firstLine="720"/>
        <w:jc w:val="both"/>
        <w:rPr>
          <w:rFonts w:ascii="Times New Roman" w:hAnsi="Times New Roman"/>
          <w:sz w:val="20"/>
          <w:szCs w:val="20"/>
        </w:rPr>
      </w:pPr>
    </w:p>
    <w:p w14:paraId="4E56980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 user accounts</w:t>
      </w:r>
      <w:r>
        <w:rPr>
          <w:rFonts w:ascii="Times New Roman" w:eastAsia="宋体" w:hAnsi="Times New Roman"/>
          <w:sz w:val="20"/>
          <w:szCs w:val="20"/>
        </w:rPr>
        <w:t xml:space="preserve"> on more than one of our products, and some people have multiple user accounts within an individual product. Accordingly, for our Family metrics, we do not seek to count the total number of user accounts across our products because we believe that would no</w:t>
      </w:r>
      <w:r>
        <w:rPr>
          <w:rFonts w:ascii="Times New Roman" w:eastAsia="宋体" w:hAnsi="Times New Roman"/>
          <w:sz w:val="20"/>
          <w:szCs w:val="20"/>
        </w:rPr>
        <w:t>t reflect the actual size of our community. Rather, our Family metrics represent our estimates of the number of unique people using at least one of Facebook, Instagram, Messenger, and WhatsApp. We do not require people to use a common identifier or link th</w:t>
      </w:r>
      <w:r>
        <w:rPr>
          <w:rFonts w:ascii="Times New Roman" w:eastAsia="宋体" w:hAnsi="Times New Roman"/>
          <w:sz w:val="20"/>
          <w:szCs w:val="20"/>
        </w:rPr>
        <w:t>eir accounts to use multiple products in our Family, and therefore must seek to attribute multiple user accounts within and across products to individual people. To calculate these metrics, we rely upon complex techniques, algorithms and machine learning m</w:t>
      </w:r>
      <w:r>
        <w:rPr>
          <w:rFonts w:ascii="Times New Roman" w:eastAsia="宋体" w:hAnsi="Times New Roman"/>
          <w:sz w:val="20"/>
          <w:szCs w:val="20"/>
        </w:rPr>
        <w:t>odels that seek to count the individual people behind user accounts, including by matching multiple user accounts within an individual product and across multiple products when we believe they are attributable to a single person, and counting such group of</w:t>
      </w:r>
      <w:r>
        <w:rPr>
          <w:rFonts w:ascii="Times New Roman" w:eastAsia="宋体" w:hAnsi="Times New Roman"/>
          <w:sz w:val="20"/>
          <w:szCs w:val="20"/>
        </w:rPr>
        <w:t xml:space="preserve"> accounts as one person. These techniques and models require significant judgment, are subject to data and other limitations discussed below, and inherently are subject to statistical variances and uncertainties. We estimate the potential error in our Fami</w:t>
      </w:r>
      <w:r>
        <w:rPr>
          <w:rFonts w:ascii="Times New Roman" w:eastAsia="宋体" w:hAnsi="Times New Roman"/>
          <w:sz w:val="20"/>
          <w:szCs w:val="20"/>
        </w:rPr>
        <w:t xml:space="preserve">ly metrics primarily based on user survey data, which itself is subject to error as well. While we expect the error margin for our Family metrics to vary from period to period, we estimate that such margin generally will be approximately </w:t>
      </w:r>
      <w:r>
        <w:rPr>
          <w:rFonts w:ascii="Times New Roman" w:eastAsia="宋体" w:hAnsi="Times New Roman"/>
          <w:sz w:val="20"/>
          <w:szCs w:val="20"/>
          <w:shd w:val="clear" w:color="auto" w:fill="FFFFFF"/>
        </w:rPr>
        <w:t>3</w:t>
      </w:r>
      <w:r>
        <w:rPr>
          <w:rFonts w:ascii="Times New Roman" w:eastAsia="宋体" w:hAnsi="Times New Roman"/>
          <w:sz w:val="20"/>
          <w:szCs w:val="20"/>
        </w:rPr>
        <w:t xml:space="preserve">% of our </w:t>
      </w:r>
      <w:r>
        <w:rPr>
          <w:rFonts w:ascii="Times New Roman" w:eastAsia="宋体" w:hAnsi="Times New Roman"/>
          <w:sz w:val="20"/>
          <w:szCs w:val="20"/>
        </w:rPr>
        <w:t>worldwide MAP. At our scale, it is very difficult to attribute multiple user accounts within and across products to individual people, and it is possible that the actual numbers of unique people using our products may vary significantly from our estimates,</w:t>
      </w:r>
      <w:r>
        <w:rPr>
          <w:rFonts w:ascii="Times New Roman" w:eastAsia="宋体" w:hAnsi="Times New Roman"/>
          <w:sz w:val="20"/>
          <w:szCs w:val="20"/>
        </w:rPr>
        <w:t xml:space="preserve"> potentially beyond our estimated error margins. As a result, it is also possible that our Family metrics may indicate changes or trends in user numbers that do not match actual changes or trends.</w:t>
      </w:r>
    </w:p>
    <w:p w14:paraId="4E569802" w14:textId="77777777" w:rsidR="00DF3E10" w:rsidRDefault="00DF3E10">
      <w:pPr>
        <w:spacing w:line="288" w:lineRule="auto"/>
        <w:ind w:firstLine="720"/>
        <w:jc w:val="both"/>
        <w:rPr>
          <w:rFonts w:ascii="Times New Roman" w:hAnsi="Times New Roman"/>
          <w:sz w:val="20"/>
          <w:szCs w:val="20"/>
        </w:rPr>
      </w:pPr>
    </w:p>
    <w:p w14:paraId="4E56980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w:t>
      </w:r>
      <w:r>
        <w:rPr>
          <w:rFonts w:ascii="Times New Roman" w:eastAsia="宋体" w:hAnsi="Times New Roman"/>
          <w:sz w:val="20"/>
          <w:szCs w:val="20"/>
        </w:rPr>
        <w:t xml:space="preserve">ntly use a series of machine learning models that are developed based on internal reviews of limited samples of user accounts and calibrated against user survey data. We apply significant judgment in designing these models and calculating these estimates. </w:t>
      </w:r>
      <w:r>
        <w:rPr>
          <w:rFonts w:ascii="Times New Roman" w:eastAsia="宋体" w:hAnsi="Times New Roman"/>
          <w:sz w:val="20"/>
          <w:szCs w:val="20"/>
        </w:rPr>
        <w:t>For example, to match user accounts within individual products and across multiple products, we use data signals such as similar device information, IP addresses, and user names. We also calibrate our models against data from periodic user surveys of varyi</w:t>
      </w:r>
      <w:r>
        <w:rPr>
          <w:rFonts w:ascii="Times New Roman" w:eastAsia="宋体" w:hAnsi="Times New Roman"/>
          <w:sz w:val="20"/>
          <w:szCs w:val="20"/>
        </w:rPr>
        <w:t xml:space="preserve">ng sizes and frequency across our products, which are inherently subject to error. The timing and results of such user surveys have in the past contributed, and may in the future contribute, to changes in our reported Family metrics from period to period. </w:t>
      </w:r>
      <w:r>
        <w:rPr>
          <w:rFonts w:ascii="Times New Roman" w:eastAsia="宋体" w:hAnsi="Times New Roman"/>
          <w:sz w:val="20"/>
          <w:szCs w:val="20"/>
        </w:rPr>
        <w:t>In addition, our data limitations may affect our understanding of certain details of our business and increase the risk of error for our Family metrics estimates. Our techniques and models rely on a variety of data signals from different products, and we r</w:t>
      </w:r>
      <w:r>
        <w:rPr>
          <w:rFonts w:ascii="Times New Roman" w:eastAsia="宋体" w:hAnsi="Times New Roman"/>
          <w:sz w:val="20"/>
          <w:szCs w:val="20"/>
        </w:rPr>
        <w:t>ely on more limited data signals for some products compared to others. For example, as a result of limited visibility into encrypted products, we have fewer data signals from WhatsApp user accounts and primarily rely on phone numbers and device information</w:t>
      </w:r>
      <w:r>
        <w:rPr>
          <w:rFonts w:ascii="Times New Roman" w:eastAsia="宋体" w:hAnsi="Times New Roman"/>
          <w:sz w:val="20"/>
          <w:szCs w:val="20"/>
        </w:rPr>
        <w:t xml:space="preserve"> to match WhatsApp user accounts with accounts on our other products. Similarly, although Messenger Kids users are included in our Family metrics, we do not seek to match their accounts with accounts on our other applications for purposes of calculating DA</w:t>
      </w:r>
      <w:r>
        <w:rPr>
          <w:rFonts w:ascii="Times New Roman" w:eastAsia="宋体" w:hAnsi="Times New Roman"/>
          <w:sz w:val="20"/>
          <w:szCs w:val="20"/>
        </w:rPr>
        <w:t>P and MAP. Any loss of access to data signals we use in our process for calculating Family metrics, whether as a result of our own product decisions, actions by third-party browser or mobile platforms, regulatory or legislative requirements, limitations wh</w:t>
      </w:r>
      <w:r>
        <w:rPr>
          <w:rFonts w:ascii="Times New Roman" w:eastAsia="宋体" w:hAnsi="Times New Roman"/>
          <w:sz w:val="20"/>
          <w:szCs w:val="20"/>
        </w:rPr>
        <w:t>ile our personnel work remotely during the COVID-19 pandemic, or other factors, also may impact the stability or accuracy of our reported Family metrics. Our estimates of Family metrics also may change as our methodologies evolve, including through the app</w:t>
      </w:r>
      <w:r>
        <w:rPr>
          <w:rFonts w:ascii="Times New Roman" w:eastAsia="宋体" w:hAnsi="Times New Roman"/>
          <w:sz w:val="20"/>
          <w:szCs w:val="20"/>
        </w:rPr>
        <w:t>lication of new data signals or technologies, product changes, or other improvements in our user surveys, algorithms, or machine learning that may improve our ability to match accounts within and across our products or otherwise evaluate the broad populati</w:t>
      </w:r>
      <w:r>
        <w:rPr>
          <w:rFonts w:ascii="Times New Roman" w:eastAsia="宋体" w:hAnsi="Times New Roman"/>
          <w:sz w:val="20"/>
          <w:szCs w:val="20"/>
        </w:rPr>
        <w:t>on of our users. In addition, such evolution may allow us to identify previously undetected violating accounts (as defined below).</w:t>
      </w:r>
    </w:p>
    <w:p w14:paraId="4E569804" w14:textId="77777777" w:rsidR="00DF3E10" w:rsidRDefault="00DF3E10">
      <w:pPr>
        <w:spacing w:line="288" w:lineRule="auto"/>
        <w:ind w:firstLine="720"/>
        <w:jc w:val="both"/>
        <w:rPr>
          <w:rFonts w:ascii="Times New Roman" w:hAnsi="Times New Roman"/>
          <w:sz w:val="20"/>
          <w:szCs w:val="20"/>
        </w:rPr>
      </w:pPr>
    </w:p>
    <w:p w14:paraId="4E56980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w:t>
      </w:r>
      <w:r>
        <w:rPr>
          <w:rFonts w:ascii="Times New Roman" w:eastAsia="宋体" w:hAnsi="Times New Roman"/>
          <w:sz w:val="20"/>
          <w:szCs w:val="20"/>
        </w:rPr>
        <w:t xml:space="preserve"> define "violating" accounts as accounts which we believe are intended to be used for purposes that violate our terms of service, including bots and spam. In the fourth quarter of 2019, we estimated that approximately 3% of our worldwide MAP consisted sole</w:t>
      </w:r>
      <w:r>
        <w:rPr>
          <w:rFonts w:ascii="Times New Roman" w:eastAsia="宋体" w:hAnsi="Times New Roman"/>
          <w:sz w:val="20"/>
          <w:szCs w:val="20"/>
        </w:rPr>
        <w:t>ly of violating accounts. Such estimation is based on an internal review of a limited sample of accounts, and we apply significant judgment in making this determination. For example, we look for account information and behaviors associated with Facebook an</w:t>
      </w:r>
      <w:r>
        <w:rPr>
          <w:rFonts w:ascii="Times New Roman" w:eastAsia="宋体" w:hAnsi="Times New Roman"/>
          <w:sz w:val="20"/>
          <w:szCs w:val="20"/>
        </w:rPr>
        <w:t>d Instagram accounts that appear to be inauthentic to the reviewers, but we have limited visibility into WhatsApp user activity due to encryption. In addition, if we believe an individual person has one or more violating accounts, we do not include such pe</w:t>
      </w:r>
      <w:r>
        <w:rPr>
          <w:rFonts w:ascii="Times New Roman" w:eastAsia="宋体" w:hAnsi="Times New Roman"/>
          <w:sz w:val="20"/>
          <w:szCs w:val="20"/>
        </w:rPr>
        <w:t xml:space="preserve">rson in our violating accounts estimation as long as we believe they have one account that does not constitute a violating account. From time to time, we disable certain user accounts, make product changes, or take other actions to reduce </w:t>
      </w:r>
    </w:p>
    <w:p w14:paraId="4E569806" w14:textId="77777777" w:rsidR="00DF3E10" w:rsidRDefault="00DF3E10">
      <w:pPr>
        <w:rPr>
          <w:rFonts w:ascii="Times New Roman" w:hAnsi="Times New Roman"/>
          <w:sz w:val="20"/>
          <w:szCs w:val="20"/>
        </w:rPr>
      </w:pPr>
    </w:p>
    <w:p w14:paraId="4E569807"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w:t>
      </w:r>
    </w:p>
    <w:p w14:paraId="4E569808" w14:textId="77777777" w:rsidR="00DF3E10" w:rsidRDefault="006B6C28">
      <w:r>
        <w:rPr>
          <w:rFonts w:ascii="Times New Roman" w:hAnsi="Times New Roman"/>
          <w:sz w:val="20"/>
          <w:szCs w:val="20"/>
        </w:rPr>
        <w:pict w14:anchorId="4E56B752">
          <v:rect id="_x0000_i1029" style="width:415.3pt;height:1.5pt" o:hralign="center" o:hrstd="t" o:hr="t" fillcolor="#a0a0a0" stroked="f"/>
        </w:pict>
      </w:r>
    </w:p>
    <w:p w14:paraId="4E569809" w14:textId="77777777" w:rsidR="00DF3E10" w:rsidRDefault="006B6C28">
      <w:pPr>
        <w:spacing w:line="288" w:lineRule="auto"/>
        <w:rPr>
          <w:rFonts w:ascii="Times New Roman" w:hAnsi="Times New Roman"/>
          <w:sz w:val="20"/>
          <w:szCs w:val="20"/>
        </w:rPr>
      </w:pPr>
      <w:hyperlink r:id="rId47" w:anchor="sC1FF62F0D4D85317B5B2C71C7C94F269" w:history="1">
        <w:r>
          <w:rPr>
            <w:rStyle w:val="a5"/>
            <w:rFonts w:ascii="Times New Roman" w:eastAsia="宋体" w:hAnsi="Times New Roman"/>
            <w:sz w:val="20"/>
            <w:szCs w:val="20"/>
          </w:rPr>
          <w:t>Table of Contents</w:t>
        </w:r>
      </w:hyperlink>
    </w:p>
    <w:p w14:paraId="4E56980A" w14:textId="77777777" w:rsidR="00DF3E10" w:rsidRDefault="00DF3E10">
      <w:pPr>
        <w:rPr>
          <w:rFonts w:ascii="Times New Roman" w:hAnsi="Times New Roman"/>
          <w:sz w:val="20"/>
          <w:szCs w:val="20"/>
        </w:rPr>
      </w:pPr>
    </w:p>
    <w:p w14:paraId="4E56980B"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the number of violating accounts among our users, which may also reduce our DAP and MAP estimat</w:t>
      </w:r>
      <w:r>
        <w:rPr>
          <w:rFonts w:ascii="Times New Roman" w:eastAsia="宋体" w:hAnsi="Times New Roman"/>
          <w:sz w:val="20"/>
          <w:szCs w:val="20"/>
        </w:rPr>
        <w:t>es in a particular period. We intend to disclose our estimates of the percentage of our MAP consisting solely of violating accounts on an annual basis. Violating accounts are very difficult to measure at our scale, and it is possible that the actual number</w:t>
      </w:r>
      <w:r>
        <w:rPr>
          <w:rFonts w:ascii="Times New Roman" w:eastAsia="宋体" w:hAnsi="Times New Roman"/>
          <w:sz w:val="20"/>
          <w:szCs w:val="20"/>
        </w:rPr>
        <w:t xml:space="preserve"> of violating accounts may vary significantly from our estimates.</w:t>
      </w:r>
    </w:p>
    <w:p w14:paraId="4E56980C" w14:textId="77777777" w:rsidR="00DF3E10" w:rsidRDefault="00DF3E10">
      <w:pPr>
        <w:spacing w:line="288" w:lineRule="auto"/>
        <w:ind w:firstLine="720"/>
        <w:jc w:val="both"/>
        <w:rPr>
          <w:rFonts w:ascii="Times New Roman" w:hAnsi="Times New Roman"/>
          <w:sz w:val="20"/>
          <w:szCs w:val="20"/>
        </w:rPr>
      </w:pPr>
    </w:p>
    <w:p w14:paraId="4E56980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Family DAP and MAP discussed in this Quarterly Report on Form 10-Q, as well as ARPP, do not include users on our other products, unless they would otherwise qualify as DAP or</w:t>
      </w:r>
      <w:r>
        <w:rPr>
          <w:rFonts w:ascii="Times New Roman" w:eastAsia="宋体" w:hAnsi="Times New Roman"/>
          <w:sz w:val="20"/>
          <w:szCs w:val="20"/>
        </w:rPr>
        <w:t xml:space="preserve"> MAP, respectively, based on their other activities on our Family products.</w:t>
      </w:r>
    </w:p>
    <w:p w14:paraId="4E56980E" w14:textId="77777777" w:rsidR="00DF3E10" w:rsidRDefault="00DF3E10">
      <w:pPr>
        <w:spacing w:line="288" w:lineRule="auto"/>
        <w:ind w:firstLine="720"/>
        <w:jc w:val="both"/>
        <w:rPr>
          <w:rFonts w:ascii="Times New Roman" w:hAnsi="Times New Roman"/>
          <w:sz w:val="20"/>
          <w:szCs w:val="20"/>
        </w:rPr>
      </w:pPr>
    </w:p>
    <w:p w14:paraId="4E56980F"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User Geography</w:t>
      </w:r>
    </w:p>
    <w:p w14:paraId="4E569810" w14:textId="77777777" w:rsidR="00DF3E10" w:rsidRDefault="00DF3E10">
      <w:pPr>
        <w:spacing w:line="288" w:lineRule="auto"/>
        <w:rPr>
          <w:rFonts w:ascii="Times New Roman" w:hAnsi="Times New Roman"/>
          <w:sz w:val="20"/>
          <w:szCs w:val="20"/>
        </w:rPr>
      </w:pPr>
    </w:p>
    <w:p w14:paraId="4E56981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data regarding the geographic location of our users is estimated based on a number of factors, such as the user's IP address and self-disclosed </w:t>
      </w:r>
      <w:r>
        <w:rPr>
          <w:rFonts w:ascii="Times New Roman" w:eastAsia="宋体" w:hAnsi="Times New Roman"/>
          <w:sz w:val="20"/>
          <w:szCs w:val="20"/>
        </w:rPr>
        <w:t>location. These factors may not always accurately reflect the user's actual location. For example, a user may appear to be accessing Facebook from the location of the proxy server that the user connects to rather than from the user's actual location. The m</w:t>
      </w:r>
      <w:r>
        <w:rPr>
          <w:rFonts w:ascii="Times New Roman" w:eastAsia="宋体" w:hAnsi="Times New Roman"/>
          <w:sz w:val="20"/>
          <w:szCs w:val="20"/>
        </w:rPr>
        <w:t>ethodologies used to measure our metrics are also susceptible to algorithm or other technical errors, and our estimates for revenue by user location and revenue by user device are also affected by these factors.</w:t>
      </w:r>
    </w:p>
    <w:p w14:paraId="4E569812" w14:textId="77777777" w:rsidR="00DF3E10" w:rsidRDefault="00DF3E10">
      <w:pPr>
        <w:spacing w:line="288" w:lineRule="auto"/>
        <w:ind w:firstLine="720"/>
        <w:jc w:val="both"/>
        <w:rPr>
          <w:rFonts w:ascii="Times New Roman" w:hAnsi="Times New Roman"/>
          <w:sz w:val="20"/>
          <w:szCs w:val="20"/>
        </w:rPr>
      </w:pPr>
    </w:p>
    <w:p w14:paraId="4E569813" w14:textId="77777777" w:rsidR="00DF3E10" w:rsidRDefault="00DF3E10">
      <w:pPr>
        <w:rPr>
          <w:rFonts w:ascii="Times New Roman" w:hAnsi="Times New Roman"/>
          <w:sz w:val="20"/>
          <w:szCs w:val="20"/>
        </w:rPr>
      </w:pPr>
    </w:p>
    <w:p w14:paraId="4E569814"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w:t>
      </w:r>
    </w:p>
    <w:p w14:paraId="4E569815" w14:textId="77777777" w:rsidR="00DF3E10" w:rsidRDefault="006B6C28">
      <w:r>
        <w:rPr>
          <w:rFonts w:ascii="Times New Roman" w:hAnsi="Times New Roman"/>
          <w:sz w:val="20"/>
          <w:szCs w:val="20"/>
        </w:rPr>
        <w:pict w14:anchorId="4E56B753">
          <v:rect id="_x0000_i1030" style="width:415.3pt;height:1.5pt" o:hralign="center" o:hrstd="t" o:hr="t" fillcolor="#a0a0a0" stroked="f"/>
        </w:pict>
      </w:r>
    </w:p>
    <w:p w14:paraId="4E569816" w14:textId="77777777" w:rsidR="00DF3E10" w:rsidRDefault="006B6C28">
      <w:pPr>
        <w:spacing w:line="288" w:lineRule="auto"/>
        <w:rPr>
          <w:rFonts w:ascii="Times New Roman" w:hAnsi="Times New Roman"/>
          <w:sz w:val="20"/>
          <w:szCs w:val="20"/>
        </w:rPr>
      </w:pPr>
      <w:hyperlink r:id="rId48" w:anchor="sC1FF62F0D4D85317B5B2C71C7C94F269" w:history="1">
        <w:r>
          <w:rPr>
            <w:rStyle w:val="a5"/>
            <w:rFonts w:ascii="Times New Roman" w:eastAsia="宋体" w:hAnsi="Times New Roman"/>
            <w:sz w:val="20"/>
            <w:szCs w:val="20"/>
          </w:rPr>
          <w:t>Table of Contents</w:t>
        </w:r>
      </w:hyperlink>
    </w:p>
    <w:p w14:paraId="4E569817" w14:textId="77777777" w:rsidR="00DF3E10" w:rsidRDefault="00DF3E10">
      <w:pPr>
        <w:rPr>
          <w:rFonts w:ascii="Times New Roman" w:hAnsi="Times New Roman"/>
          <w:sz w:val="20"/>
          <w:szCs w:val="20"/>
        </w:rPr>
      </w:pPr>
    </w:p>
    <w:p w14:paraId="4E569818"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PART I—FINANCIAL INFORMATION</w:t>
      </w:r>
    </w:p>
    <w:tbl>
      <w:tblPr>
        <w:tblW w:w="0" w:type="auto"/>
        <w:tblCellSpacing w:w="0" w:type="dxa"/>
        <w:tblCellMar>
          <w:top w:w="120" w:type="dxa"/>
          <w:left w:w="0" w:type="dxa"/>
          <w:right w:w="0" w:type="dxa"/>
        </w:tblCellMar>
        <w:tblLook w:val="04A0" w:firstRow="1" w:lastRow="0" w:firstColumn="1" w:lastColumn="0" w:noHBand="0" w:noVBand="1"/>
      </w:tblPr>
      <w:tblGrid>
        <w:gridCol w:w="960"/>
        <w:gridCol w:w="1795"/>
      </w:tblGrid>
      <w:tr w:rsidR="00DF3E10" w14:paraId="4E56981B" w14:textId="77777777">
        <w:trPr>
          <w:tblCellSpacing w:w="0" w:type="dxa"/>
        </w:trPr>
        <w:tc>
          <w:tcPr>
            <w:tcW w:w="960" w:type="dxa"/>
            <w:shd w:val="clear" w:color="auto" w:fill="auto"/>
            <w:vAlign w:val="center"/>
          </w:tcPr>
          <w:p w14:paraId="4E569819" w14:textId="77777777" w:rsidR="00DF3E10" w:rsidRDefault="00DF3E10">
            <w:pPr>
              <w:rPr>
                <w:rFonts w:ascii="Times New Roman" w:hAnsi="Times New Roman"/>
                <w:sz w:val="20"/>
                <w:szCs w:val="20"/>
              </w:rPr>
            </w:pPr>
          </w:p>
        </w:tc>
        <w:tc>
          <w:tcPr>
            <w:tcW w:w="0" w:type="auto"/>
            <w:shd w:val="clear" w:color="auto" w:fill="auto"/>
            <w:vAlign w:val="center"/>
          </w:tcPr>
          <w:p w14:paraId="4E56981A" w14:textId="77777777" w:rsidR="00DF3E10" w:rsidRDefault="00DF3E10">
            <w:pPr>
              <w:rPr>
                <w:rFonts w:ascii="Times New Roman" w:hAnsi="Times New Roman"/>
                <w:sz w:val="20"/>
                <w:szCs w:val="20"/>
              </w:rPr>
            </w:pPr>
          </w:p>
        </w:tc>
      </w:tr>
      <w:tr w:rsidR="00DF3E10" w14:paraId="4E56981E" w14:textId="77777777">
        <w:trPr>
          <w:tblCellSpacing w:w="0" w:type="dxa"/>
        </w:trPr>
        <w:tc>
          <w:tcPr>
            <w:tcW w:w="0" w:type="auto"/>
            <w:shd w:val="clear" w:color="auto" w:fill="auto"/>
          </w:tcPr>
          <w:p w14:paraId="4E56981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4E56981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w:t>
            </w:r>
          </w:p>
        </w:tc>
      </w:tr>
    </w:tbl>
    <w:p w14:paraId="4E56981F"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820"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BALANCE SHEETS</w:t>
      </w:r>
    </w:p>
    <w:p w14:paraId="4E569821"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 xml:space="preserve">(In </w:t>
      </w:r>
      <w:r>
        <w:rPr>
          <w:rFonts w:ascii="Times New Roman" w:eastAsia="宋体" w:hAnsi="Times New Roman"/>
          <w:i/>
          <w:iCs/>
          <w:sz w:val="18"/>
          <w:szCs w:val="18"/>
        </w:rPr>
        <w:t>millions, except for number of shares and par value)</w:t>
      </w:r>
    </w:p>
    <w:p w14:paraId="4E569822"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5986"/>
        <w:gridCol w:w="140"/>
        <w:gridCol w:w="837"/>
        <w:gridCol w:w="107"/>
        <w:gridCol w:w="130"/>
        <w:gridCol w:w="141"/>
        <w:gridCol w:w="858"/>
        <w:gridCol w:w="107"/>
      </w:tblGrid>
      <w:tr w:rsidR="00DF3E10" w14:paraId="4E569824" w14:textId="77777777">
        <w:trPr>
          <w:jc w:val="center"/>
        </w:trPr>
        <w:tc>
          <w:tcPr>
            <w:tcW w:w="0" w:type="auto"/>
            <w:gridSpan w:val="8"/>
            <w:shd w:val="clear" w:color="auto" w:fill="auto"/>
            <w:vAlign w:val="center"/>
          </w:tcPr>
          <w:p w14:paraId="4E569823" w14:textId="77777777" w:rsidR="00DF3E10" w:rsidRDefault="00DF3E10">
            <w:pPr>
              <w:rPr>
                <w:rFonts w:ascii="Times New Roman" w:hAnsi="Times New Roman"/>
                <w:sz w:val="20"/>
                <w:szCs w:val="20"/>
              </w:rPr>
            </w:pPr>
          </w:p>
        </w:tc>
      </w:tr>
      <w:tr w:rsidR="00DF3E10" w14:paraId="4E56982D" w14:textId="77777777">
        <w:trPr>
          <w:jc w:val="center"/>
        </w:trPr>
        <w:tc>
          <w:tcPr>
            <w:tcW w:w="3650" w:type="pct"/>
            <w:shd w:val="clear" w:color="auto" w:fill="auto"/>
            <w:vAlign w:val="center"/>
          </w:tcPr>
          <w:p w14:paraId="4E569825" w14:textId="77777777" w:rsidR="00DF3E10" w:rsidRDefault="00DF3E10">
            <w:pPr>
              <w:rPr>
                <w:rFonts w:ascii="Times New Roman" w:hAnsi="Times New Roman"/>
                <w:sz w:val="20"/>
                <w:szCs w:val="20"/>
              </w:rPr>
            </w:pPr>
          </w:p>
        </w:tc>
        <w:tc>
          <w:tcPr>
            <w:tcW w:w="50" w:type="pct"/>
            <w:shd w:val="clear" w:color="auto" w:fill="auto"/>
            <w:vAlign w:val="center"/>
          </w:tcPr>
          <w:p w14:paraId="4E569826" w14:textId="77777777" w:rsidR="00DF3E10" w:rsidRDefault="00DF3E10">
            <w:pPr>
              <w:rPr>
                <w:rFonts w:ascii="Times New Roman" w:hAnsi="Times New Roman"/>
                <w:sz w:val="20"/>
                <w:szCs w:val="20"/>
              </w:rPr>
            </w:pPr>
          </w:p>
        </w:tc>
        <w:tc>
          <w:tcPr>
            <w:tcW w:w="550" w:type="pct"/>
            <w:shd w:val="clear" w:color="auto" w:fill="auto"/>
            <w:vAlign w:val="center"/>
          </w:tcPr>
          <w:p w14:paraId="4E569827" w14:textId="77777777" w:rsidR="00DF3E10" w:rsidRDefault="00DF3E10">
            <w:pPr>
              <w:rPr>
                <w:rFonts w:ascii="Times New Roman" w:hAnsi="Times New Roman"/>
                <w:sz w:val="20"/>
                <w:szCs w:val="20"/>
              </w:rPr>
            </w:pPr>
          </w:p>
        </w:tc>
        <w:tc>
          <w:tcPr>
            <w:tcW w:w="50" w:type="pct"/>
            <w:shd w:val="clear" w:color="auto" w:fill="auto"/>
            <w:vAlign w:val="center"/>
          </w:tcPr>
          <w:p w14:paraId="4E569828" w14:textId="77777777" w:rsidR="00DF3E10" w:rsidRDefault="00DF3E10">
            <w:pPr>
              <w:rPr>
                <w:rFonts w:ascii="Times New Roman" w:hAnsi="Times New Roman"/>
                <w:sz w:val="20"/>
                <w:szCs w:val="20"/>
              </w:rPr>
            </w:pPr>
          </w:p>
        </w:tc>
        <w:tc>
          <w:tcPr>
            <w:tcW w:w="50" w:type="pct"/>
            <w:shd w:val="clear" w:color="auto" w:fill="auto"/>
            <w:vAlign w:val="center"/>
          </w:tcPr>
          <w:p w14:paraId="4E569829" w14:textId="77777777" w:rsidR="00DF3E10" w:rsidRDefault="00DF3E10">
            <w:pPr>
              <w:rPr>
                <w:rFonts w:ascii="Times New Roman" w:hAnsi="Times New Roman"/>
                <w:sz w:val="20"/>
                <w:szCs w:val="20"/>
              </w:rPr>
            </w:pPr>
          </w:p>
        </w:tc>
        <w:tc>
          <w:tcPr>
            <w:tcW w:w="50" w:type="pct"/>
            <w:shd w:val="clear" w:color="auto" w:fill="auto"/>
            <w:vAlign w:val="center"/>
          </w:tcPr>
          <w:p w14:paraId="4E56982A" w14:textId="77777777" w:rsidR="00DF3E10" w:rsidRDefault="00DF3E10">
            <w:pPr>
              <w:rPr>
                <w:rFonts w:ascii="Times New Roman" w:hAnsi="Times New Roman"/>
                <w:sz w:val="20"/>
                <w:szCs w:val="20"/>
              </w:rPr>
            </w:pPr>
          </w:p>
        </w:tc>
        <w:tc>
          <w:tcPr>
            <w:tcW w:w="550" w:type="pct"/>
            <w:shd w:val="clear" w:color="auto" w:fill="auto"/>
            <w:vAlign w:val="center"/>
          </w:tcPr>
          <w:p w14:paraId="4E56982B" w14:textId="77777777" w:rsidR="00DF3E10" w:rsidRDefault="00DF3E10">
            <w:pPr>
              <w:rPr>
                <w:rFonts w:ascii="Times New Roman" w:hAnsi="Times New Roman"/>
                <w:sz w:val="20"/>
                <w:szCs w:val="20"/>
              </w:rPr>
            </w:pPr>
          </w:p>
        </w:tc>
        <w:tc>
          <w:tcPr>
            <w:tcW w:w="50" w:type="pct"/>
            <w:shd w:val="clear" w:color="auto" w:fill="auto"/>
            <w:vAlign w:val="center"/>
          </w:tcPr>
          <w:p w14:paraId="4E56982C" w14:textId="77777777" w:rsidR="00DF3E10" w:rsidRDefault="00DF3E10">
            <w:pPr>
              <w:rPr>
                <w:rFonts w:ascii="Times New Roman" w:hAnsi="Times New Roman"/>
                <w:sz w:val="20"/>
                <w:szCs w:val="20"/>
              </w:rPr>
            </w:pPr>
          </w:p>
        </w:tc>
      </w:tr>
      <w:tr w:rsidR="00DF3E10" w14:paraId="4E569832" w14:textId="77777777">
        <w:trPr>
          <w:jc w:val="center"/>
        </w:trPr>
        <w:tc>
          <w:tcPr>
            <w:tcW w:w="0" w:type="auto"/>
            <w:shd w:val="clear" w:color="auto" w:fill="auto"/>
            <w:tcMar>
              <w:top w:w="40" w:type="dxa"/>
              <w:left w:w="40" w:type="dxa"/>
              <w:bottom w:w="40" w:type="dxa"/>
              <w:right w:w="40" w:type="dxa"/>
            </w:tcMar>
            <w:vAlign w:val="bottom"/>
          </w:tcPr>
          <w:p w14:paraId="4E5698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982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June 30, </w:t>
            </w:r>
            <w:r>
              <w:rPr>
                <w:rFonts w:ascii="Times New Roman" w:eastAsia="宋体" w:hAnsi="Times New Roman"/>
                <w:b/>
                <w:bCs/>
                <w:sz w:val="16"/>
                <w:szCs w:val="16"/>
              </w:rPr>
              <w:br/>
              <w:t>2020</w:t>
            </w:r>
          </w:p>
        </w:tc>
        <w:tc>
          <w:tcPr>
            <w:tcW w:w="0" w:type="auto"/>
            <w:shd w:val="clear" w:color="auto" w:fill="auto"/>
            <w:tcMar>
              <w:top w:w="40" w:type="dxa"/>
              <w:left w:w="40" w:type="dxa"/>
              <w:bottom w:w="40" w:type="dxa"/>
              <w:right w:w="40" w:type="dxa"/>
            </w:tcMar>
            <w:vAlign w:val="bottom"/>
          </w:tcPr>
          <w:p w14:paraId="4E5698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983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r>
              <w:rPr>
                <w:rFonts w:ascii="Times New Roman" w:eastAsia="宋体" w:hAnsi="Times New Roman"/>
                <w:b/>
                <w:bCs/>
                <w:sz w:val="16"/>
                <w:szCs w:val="16"/>
              </w:rPr>
              <w:br/>
              <w:t>2019</w:t>
            </w:r>
          </w:p>
        </w:tc>
      </w:tr>
      <w:tr w:rsidR="00DF3E10" w14:paraId="4E569837" w14:textId="77777777">
        <w:trPr>
          <w:jc w:val="center"/>
        </w:trPr>
        <w:tc>
          <w:tcPr>
            <w:tcW w:w="0" w:type="auto"/>
            <w:shd w:val="clear" w:color="auto" w:fill="CCEEFF"/>
            <w:tcMar>
              <w:top w:w="40" w:type="dxa"/>
              <w:left w:w="40" w:type="dxa"/>
              <w:bottom w:w="40" w:type="dxa"/>
              <w:right w:w="40" w:type="dxa"/>
            </w:tcMar>
          </w:tcPr>
          <w:p w14:paraId="4E569833"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4E5698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8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83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3C" w14:textId="77777777">
        <w:trPr>
          <w:jc w:val="center"/>
        </w:trPr>
        <w:tc>
          <w:tcPr>
            <w:tcW w:w="0" w:type="auto"/>
            <w:shd w:val="clear" w:color="auto" w:fill="auto"/>
            <w:tcMar>
              <w:top w:w="40" w:type="dxa"/>
              <w:left w:w="40" w:type="dxa"/>
              <w:bottom w:w="40" w:type="dxa"/>
              <w:right w:w="40" w:type="dxa"/>
            </w:tcMar>
          </w:tcPr>
          <w:p w14:paraId="4E56983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14:paraId="4E5698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8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8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45" w14:textId="77777777">
        <w:trPr>
          <w:jc w:val="center"/>
        </w:trPr>
        <w:tc>
          <w:tcPr>
            <w:tcW w:w="0" w:type="auto"/>
            <w:shd w:val="clear" w:color="auto" w:fill="CCEEFF"/>
            <w:tcMar>
              <w:top w:w="40" w:type="dxa"/>
              <w:left w:w="560" w:type="dxa"/>
              <w:bottom w:w="40" w:type="dxa"/>
              <w:right w:w="40" w:type="dxa"/>
            </w:tcMar>
          </w:tcPr>
          <w:p w14:paraId="4E56983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4E5698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83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21,045</w:t>
            </w:r>
          </w:p>
        </w:tc>
        <w:tc>
          <w:tcPr>
            <w:tcW w:w="0" w:type="auto"/>
            <w:shd w:val="clear" w:color="auto" w:fill="CCEEFF"/>
            <w:vAlign w:val="bottom"/>
          </w:tcPr>
          <w:p w14:paraId="4E56984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8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84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shd w:val="clear" w:color="auto" w:fill="CCEEFF"/>
            <w:vAlign w:val="bottom"/>
          </w:tcPr>
          <w:p w14:paraId="4E569844" w14:textId="77777777" w:rsidR="00DF3E10" w:rsidRDefault="00DF3E10">
            <w:pPr>
              <w:textAlignment w:val="bottom"/>
              <w:rPr>
                <w:rFonts w:ascii="Times New Roman" w:hAnsi="Times New Roman"/>
                <w:sz w:val="20"/>
                <w:szCs w:val="20"/>
              </w:rPr>
            </w:pPr>
          </w:p>
        </w:tc>
      </w:tr>
      <w:tr w:rsidR="00DF3E10" w14:paraId="4E56984C" w14:textId="77777777">
        <w:trPr>
          <w:jc w:val="center"/>
        </w:trPr>
        <w:tc>
          <w:tcPr>
            <w:tcW w:w="0" w:type="auto"/>
            <w:shd w:val="clear" w:color="auto" w:fill="auto"/>
            <w:tcMar>
              <w:top w:w="40" w:type="dxa"/>
              <w:left w:w="560" w:type="dxa"/>
              <w:bottom w:w="40" w:type="dxa"/>
              <w:right w:w="40" w:type="dxa"/>
            </w:tcMar>
          </w:tcPr>
          <w:p w14:paraId="4E56984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gridSpan w:val="2"/>
            <w:shd w:val="clear" w:color="auto" w:fill="auto"/>
            <w:tcMar>
              <w:top w:w="40" w:type="dxa"/>
              <w:left w:w="40" w:type="dxa"/>
              <w:bottom w:w="40" w:type="dxa"/>
            </w:tcMar>
            <w:vAlign w:val="bottom"/>
          </w:tcPr>
          <w:p w14:paraId="4E56984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37,195</w:t>
            </w:r>
          </w:p>
        </w:tc>
        <w:tc>
          <w:tcPr>
            <w:tcW w:w="0" w:type="auto"/>
            <w:shd w:val="clear" w:color="auto" w:fill="auto"/>
            <w:vAlign w:val="bottom"/>
          </w:tcPr>
          <w:p w14:paraId="4E56984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shd w:val="clear" w:color="auto" w:fill="auto"/>
            <w:vAlign w:val="bottom"/>
          </w:tcPr>
          <w:p w14:paraId="4E56984B" w14:textId="77777777" w:rsidR="00DF3E10" w:rsidRDefault="00DF3E10">
            <w:pPr>
              <w:textAlignment w:val="bottom"/>
              <w:rPr>
                <w:rFonts w:ascii="Times New Roman" w:hAnsi="Times New Roman"/>
                <w:sz w:val="20"/>
                <w:szCs w:val="20"/>
              </w:rPr>
            </w:pPr>
          </w:p>
        </w:tc>
      </w:tr>
      <w:tr w:rsidR="00DF3E10" w14:paraId="4E569853" w14:textId="77777777">
        <w:trPr>
          <w:jc w:val="center"/>
        </w:trPr>
        <w:tc>
          <w:tcPr>
            <w:tcW w:w="0" w:type="auto"/>
            <w:shd w:val="clear" w:color="auto" w:fill="CCEEFF"/>
            <w:tcMar>
              <w:top w:w="40" w:type="dxa"/>
              <w:left w:w="560" w:type="dxa"/>
              <w:bottom w:w="40" w:type="dxa"/>
              <w:right w:w="40" w:type="dxa"/>
            </w:tcMar>
          </w:tcPr>
          <w:p w14:paraId="4E56984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Accounts receivable, net of allowances of $365 and $206 as of June 30, 2020 and December 31, 2019, respectively</w:t>
            </w:r>
          </w:p>
        </w:tc>
        <w:tc>
          <w:tcPr>
            <w:tcW w:w="0" w:type="auto"/>
            <w:gridSpan w:val="2"/>
            <w:shd w:val="clear" w:color="auto" w:fill="CCEEFF"/>
            <w:tcMar>
              <w:top w:w="40" w:type="dxa"/>
              <w:left w:w="40" w:type="dxa"/>
              <w:bottom w:w="40" w:type="dxa"/>
            </w:tcMar>
            <w:vAlign w:val="bottom"/>
          </w:tcPr>
          <w:p w14:paraId="4E56984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7,483</w:t>
            </w:r>
          </w:p>
        </w:tc>
        <w:tc>
          <w:tcPr>
            <w:tcW w:w="0" w:type="auto"/>
            <w:shd w:val="clear" w:color="auto" w:fill="CCEEFF"/>
            <w:vAlign w:val="bottom"/>
          </w:tcPr>
          <w:p w14:paraId="4E56984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5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9,518</w:t>
            </w:r>
          </w:p>
        </w:tc>
        <w:tc>
          <w:tcPr>
            <w:tcW w:w="0" w:type="auto"/>
            <w:shd w:val="clear" w:color="auto" w:fill="CCEEFF"/>
            <w:vAlign w:val="bottom"/>
          </w:tcPr>
          <w:p w14:paraId="4E569852" w14:textId="77777777" w:rsidR="00DF3E10" w:rsidRDefault="00DF3E10">
            <w:pPr>
              <w:textAlignment w:val="bottom"/>
              <w:rPr>
                <w:rFonts w:ascii="Times New Roman" w:hAnsi="Times New Roman"/>
                <w:sz w:val="20"/>
                <w:szCs w:val="20"/>
              </w:rPr>
            </w:pPr>
          </w:p>
        </w:tc>
      </w:tr>
      <w:tr w:rsidR="00DF3E10" w14:paraId="4E56985A" w14:textId="77777777">
        <w:trPr>
          <w:jc w:val="center"/>
        </w:trPr>
        <w:tc>
          <w:tcPr>
            <w:tcW w:w="0" w:type="auto"/>
            <w:shd w:val="clear" w:color="auto" w:fill="auto"/>
            <w:tcMar>
              <w:top w:w="40" w:type="dxa"/>
              <w:left w:w="560" w:type="dxa"/>
              <w:bottom w:w="40" w:type="dxa"/>
              <w:right w:w="40" w:type="dxa"/>
            </w:tcMar>
          </w:tcPr>
          <w:p w14:paraId="4E56985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Prepaid expenses and 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4E56985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tcBorders>
              <w:bottom w:val="single" w:sz="8" w:space="0" w:color="000000"/>
            </w:tcBorders>
            <w:shd w:val="clear" w:color="auto" w:fill="auto"/>
            <w:vAlign w:val="bottom"/>
          </w:tcPr>
          <w:p w14:paraId="4E56985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85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1,852</w:t>
            </w:r>
          </w:p>
        </w:tc>
        <w:tc>
          <w:tcPr>
            <w:tcW w:w="0" w:type="auto"/>
            <w:tcBorders>
              <w:bottom w:val="single" w:sz="8" w:space="0" w:color="000000"/>
            </w:tcBorders>
            <w:shd w:val="clear" w:color="auto" w:fill="auto"/>
            <w:vAlign w:val="bottom"/>
          </w:tcPr>
          <w:p w14:paraId="4E569859" w14:textId="77777777" w:rsidR="00DF3E10" w:rsidRDefault="00DF3E10">
            <w:pPr>
              <w:textAlignment w:val="bottom"/>
              <w:rPr>
                <w:rFonts w:ascii="Times New Roman" w:hAnsi="Times New Roman"/>
                <w:sz w:val="20"/>
                <w:szCs w:val="20"/>
              </w:rPr>
            </w:pPr>
          </w:p>
        </w:tc>
      </w:tr>
      <w:tr w:rsidR="00DF3E10" w14:paraId="4E569861" w14:textId="77777777">
        <w:trPr>
          <w:jc w:val="center"/>
        </w:trPr>
        <w:tc>
          <w:tcPr>
            <w:tcW w:w="0" w:type="auto"/>
            <w:shd w:val="clear" w:color="auto" w:fill="CCEEFF"/>
            <w:tcMar>
              <w:top w:w="40" w:type="dxa"/>
              <w:left w:w="1040" w:type="dxa"/>
              <w:bottom w:w="40" w:type="dxa"/>
              <w:right w:w="40" w:type="dxa"/>
            </w:tcMar>
          </w:tcPr>
          <w:p w14:paraId="4E56985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current assets</w:t>
            </w:r>
          </w:p>
        </w:tc>
        <w:tc>
          <w:tcPr>
            <w:tcW w:w="0" w:type="auto"/>
            <w:gridSpan w:val="2"/>
            <w:shd w:val="clear" w:color="auto" w:fill="CCEEFF"/>
            <w:tcMar>
              <w:top w:w="40" w:type="dxa"/>
              <w:left w:w="40" w:type="dxa"/>
              <w:bottom w:w="40" w:type="dxa"/>
            </w:tcMar>
            <w:vAlign w:val="bottom"/>
          </w:tcPr>
          <w:p w14:paraId="4E5698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68,130</w:t>
            </w:r>
          </w:p>
        </w:tc>
        <w:tc>
          <w:tcPr>
            <w:tcW w:w="0" w:type="auto"/>
            <w:shd w:val="clear" w:color="auto" w:fill="CCEEFF"/>
            <w:vAlign w:val="bottom"/>
          </w:tcPr>
          <w:p w14:paraId="4E56985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66,225</w:t>
            </w:r>
          </w:p>
        </w:tc>
        <w:tc>
          <w:tcPr>
            <w:tcW w:w="0" w:type="auto"/>
            <w:shd w:val="clear" w:color="auto" w:fill="CCEEFF"/>
            <w:vAlign w:val="bottom"/>
          </w:tcPr>
          <w:p w14:paraId="4E569860" w14:textId="77777777" w:rsidR="00DF3E10" w:rsidRDefault="00DF3E10">
            <w:pPr>
              <w:textAlignment w:val="bottom"/>
              <w:rPr>
                <w:rFonts w:ascii="Times New Roman" w:hAnsi="Times New Roman"/>
                <w:sz w:val="20"/>
                <w:szCs w:val="20"/>
              </w:rPr>
            </w:pPr>
          </w:p>
        </w:tc>
      </w:tr>
      <w:tr w:rsidR="00DF3E10" w14:paraId="4E569868" w14:textId="77777777">
        <w:trPr>
          <w:jc w:val="center"/>
        </w:trPr>
        <w:tc>
          <w:tcPr>
            <w:tcW w:w="0" w:type="auto"/>
            <w:shd w:val="clear" w:color="auto" w:fill="auto"/>
            <w:tcMar>
              <w:top w:w="40" w:type="dxa"/>
              <w:left w:w="40" w:type="dxa"/>
              <w:bottom w:w="40" w:type="dxa"/>
              <w:right w:w="40" w:type="dxa"/>
            </w:tcMar>
          </w:tcPr>
          <w:p w14:paraId="4E56986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Property and </w:t>
            </w:r>
            <w:r>
              <w:rPr>
                <w:rFonts w:ascii="Times New Roman" w:eastAsia="宋体" w:hAnsi="Times New Roman"/>
                <w:sz w:val="20"/>
                <w:szCs w:val="20"/>
              </w:rPr>
              <w:t>equipment, net</w:t>
            </w:r>
          </w:p>
        </w:tc>
        <w:tc>
          <w:tcPr>
            <w:tcW w:w="0" w:type="auto"/>
            <w:gridSpan w:val="2"/>
            <w:shd w:val="clear" w:color="auto" w:fill="auto"/>
            <w:tcMar>
              <w:top w:w="40" w:type="dxa"/>
              <w:left w:w="40" w:type="dxa"/>
              <w:bottom w:w="40" w:type="dxa"/>
            </w:tcMar>
            <w:vAlign w:val="bottom"/>
          </w:tcPr>
          <w:p w14:paraId="4E56986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39,006</w:t>
            </w:r>
          </w:p>
        </w:tc>
        <w:tc>
          <w:tcPr>
            <w:tcW w:w="0" w:type="auto"/>
            <w:shd w:val="clear" w:color="auto" w:fill="auto"/>
            <w:vAlign w:val="bottom"/>
          </w:tcPr>
          <w:p w14:paraId="4E56986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6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shd w:val="clear" w:color="auto" w:fill="auto"/>
            <w:vAlign w:val="bottom"/>
          </w:tcPr>
          <w:p w14:paraId="4E569867" w14:textId="77777777" w:rsidR="00DF3E10" w:rsidRDefault="00DF3E10">
            <w:pPr>
              <w:textAlignment w:val="bottom"/>
              <w:rPr>
                <w:rFonts w:ascii="Times New Roman" w:hAnsi="Times New Roman"/>
                <w:sz w:val="20"/>
                <w:szCs w:val="20"/>
              </w:rPr>
            </w:pPr>
          </w:p>
        </w:tc>
      </w:tr>
      <w:tr w:rsidR="00DF3E10" w14:paraId="4E56986F" w14:textId="77777777">
        <w:trPr>
          <w:jc w:val="center"/>
        </w:trPr>
        <w:tc>
          <w:tcPr>
            <w:tcW w:w="0" w:type="auto"/>
            <w:shd w:val="clear" w:color="auto" w:fill="CCEEFF"/>
            <w:tcMar>
              <w:top w:w="40" w:type="dxa"/>
              <w:left w:w="40" w:type="dxa"/>
              <w:bottom w:w="40" w:type="dxa"/>
              <w:right w:w="40" w:type="dxa"/>
            </w:tcMar>
            <w:vAlign w:val="bottom"/>
          </w:tcPr>
          <w:p w14:paraId="4E5698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Operating lease right-of-use assets, net</w:t>
            </w:r>
          </w:p>
        </w:tc>
        <w:tc>
          <w:tcPr>
            <w:tcW w:w="0" w:type="auto"/>
            <w:gridSpan w:val="2"/>
            <w:shd w:val="clear" w:color="auto" w:fill="CCEEFF"/>
            <w:tcMar>
              <w:top w:w="40" w:type="dxa"/>
              <w:left w:w="40" w:type="dxa"/>
              <w:bottom w:w="40" w:type="dxa"/>
            </w:tcMar>
            <w:vAlign w:val="bottom"/>
          </w:tcPr>
          <w:p w14:paraId="4E56986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9,429</w:t>
            </w:r>
          </w:p>
        </w:tc>
        <w:tc>
          <w:tcPr>
            <w:tcW w:w="0" w:type="auto"/>
            <w:shd w:val="clear" w:color="auto" w:fill="CCEEFF"/>
            <w:vAlign w:val="bottom"/>
          </w:tcPr>
          <w:p w14:paraId="4E56986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6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9,460</w:t>
            </w:r>
          </w:p>
        </w:tc>
        <w:tc>
          <w:tcPr>
            <w:tcW w:w="0" w:type="auto"/>
            <w:shd w:val="clear" w:color="auto" w:fill="CCEEFF"/>
            <w:vAlign w:val="bottom"/>
          </w:tcPr>
          <w:p w14:paraId="4E56986E" w14:textId="77777777" w:rsidR="00DF3E10" w:rsidRDefault="00DF3E10">
            <w:pPr>
              <w:textAlignment w:val="bottom"/>
              <w:rPr>
                <w:rFonts w:ascii="Times New Roman" w:hAnsi="Times New Roman"/>
                <w:sz w:val="20"/>
                <w:szCs w:val="20"/>
              </w:rPr>
            </w:pPr>
          </w:p>
        </w:tc>
      </w:tr>
      <w:tr w:rsidR="00DF3E10" w14:paraId="4E569876" w14:textId="77777777">
        <w:trPr>
          <w:jc w:val="center"/>
        </w:trPr>
        <w:tc>
          <w:tcPr>
            <w:tcW w:w="0" w:type="auto"/>
            <w:shd w:val="clear" w:color="auto" w:fill="auto"/>
            <w:tcMar>
              <w:top w:w="40" w:type="dxa"/>
              <w:left w:w="40" w:type="dxa"/>
              <w:bottom w:w="40" w:type="dxa"/>
              <w:right w:w="40" w:type="dxa"/>
            </w:tcMar>
          </w:tcPr>
          <w:p w14:paraId="4E56987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auto"/>
            <w:tcMar>
              <w:top w:w="40" w:type="dxa"/>
              <w:left w:w="40" w:type="dxa"/>
              <w:bottom w:w="40" w:type="dxa"/>
            </w:tcMar>
            <w:vAlign w:val="bottom"/>
          </w:tcPr>
          <w:p w14:paraId="4E56987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859</w:t>
            </w:r>
          </w:p>
        </w:tc>
        <w:tc>
          <w:tcPr>
            <w:tcW w:w="0" w:type="auto"/>
            <w:shd w:val="clear" w:color="auto" w:fill="auto"/>
            <w:vAlign w:val="bottom"/>
          </w:tcPr>
          <w:p w14:paraId="4E56987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7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shd w:val="clear" w:color="auto" w:fill="auto"/>
            <w:vAlign w:val="bottom"/>
          </w:tcPr>
          <w:p w14:paraId="4E569875" w14:textId="77777777" w:rsidR="00DF3E10" w:rsidRDefault="00DF3E10">
            <w:pPr>
              <w:textAlignment w:val="bottom"/>
              <w:rPr>
                <w:rFonts w:ascii="Times New Roman" w:hAnsi="Times New Roman"/>
                <w:sz w:val="20"/>
                <w:szCs w:val="20"/>
              </w:rPr>
            </w:pPr>
          </w:p>
        </w:tc>
      </w:tr>
      <w:tr w:rsidR="00DF3E10" w14:paraId="4E56987D" w14:textId="77777777">
        <w:trPr>
          <w:jc w:val="center"/>
        </w:trPr>
        <w:tc>
          <w:tcPr>
            <w:tcW w:w="0" w:type="auto"/>
            <w:shd w:val="clear" w:color="auto" w:fill="CCEEFF"/>
            <w:tcMar>
              <w:top w:w="40" w:type="dxa"/>
              <w:left w:w="40" w:type="dxa"/>
              <w:bottom w:w="40" w:type="dxa"/>
              <w:right w:w="40" w:type="dxa"/>
            </w:tcMar>
          </w:tcPr>
          <w:p w14:paraId="4E56987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CCEEFF"/>
            <w:tcMar>
              <w:top w:w="40" w:type="dxa"/>
              <w:left w:w="40" w:type="dxa"/>
              <w:bottom w:w="40" w:type="dxa"/>
            </w:tcMar>
            <w:vAlign w:val="bottom"/>
          </w:tcPr>
          <w:p w14:paraId="4E5698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19,029</w:t>
            </w:r>
          </w:p>
        </w:tc>
        <w:tc>
          <w:tcPr>
            <w:tcW w:w="0" w:type="auto"/>
            <w:shd w:val="clear" w:color="auto" w:fill="CCEEFF"/>
            <w:vAlign w:val="bottom"/>
          </w:tcPr>
          <w:p w14:paraId="4E56987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4E56987C" w14:textId="77777777" w:rsidR="00DF3E10" w:rsidRDefault="00DF3E10">
            <w:pPr>
              <w:textAlignment w:val="bottom"/>
              <w:rPr>
                <w:rFonts w:ascii="Times New Roman" w:hAnsi="Times New Roman"/>
                <w:sz w:val="20"/>
                <w:szCs w:val="20"/>
              </w:rPr>
            </w:pPr>
          </w:p>
        </w:tc>
      </w:tr>
      <w:tr w:rsidR="00DF3E10" w14:paraId="4E569884" w14:textId="77777777">
        <w:trPr>
          <w:jc w:val="center"/>
        </w:trPr>
        <w:tc>
          <w:tcPr>
            <w:tcW w:w="0" w:type="auto"/>
            <w:shd w:val="clear" w:color="auto" w:fill="auto"/>
            <w:tcMar>
              <w:top w:w="40" w:type="dxa"/>
              <w:left w:w="40" w:type="dxa"/>
              <w:bottom w:w="40" w:type="dxa"/>
              <w:right w:w="40" w:type="dxa"/>
            </w:tcMar>
          </w:tcPr>
          <w:p w14:paraId="4E56987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4E56987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3,238</w:t>
            </w:r>
          </w:p>
        </w:tc>
        <w:tc>
          <w:tcPr>
            <w:tcW w:w="0" w:type="auto"/>
            <w:tcBorders>
              <w:bottom w:val="single" w:sz="8" w:space="0" w:color="000000"/>
            </w:tcBorders>
            <w:shd w:val="clear" w:color="auto" w:fill="auto"/>
            <w:vAlign w:val="bottom"/>
          </w:tcPr>
          <w:p w14:paraId="4E56988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8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2,759</w:t>
            </w:r>
          </w:p>
        </w:tc>
        <w:tc>
          <w:tcPr>
            <w:tcW w:w="0" w:type="auto"/>
            <w:tcBorders>
              <w:bottom w:val="single" w:sz="8" w:space="0" w:color="000000"/>
            </w:tcBorders>
            <w:shd w:val="clear" w:color="auto" w:fill="auto"/>
            <w:vAlign w:val="bottom"/>
          </w:tcPr>
          <w:p w14:paraId="4E569883" w14:textId="77777777" w:rsidR="00DF3E10" w:rsidRDefault="00DF3E10">
            <w:pPr>
              <w:textAlignment w:val="bottom"/>
              <w:rPr>
                <w:rFonts w:ascii="Times New Roman" w:hAnsi="Times New Roman"/>
                <w:sz w:val="20"/>
                <w:szCs w:val="20"/>
              </w:rPr>
            </w:pPr>
          </w:p>
        </w:tc>
      </w:tr>
      <w:tr w:rsidR="00DF3E10" w14:paraId="4E56988D" w14:textId="77777777">
        <w:trPr>
          <w:jc w:val="center"/>
        </w:trPr>
        <w:tc>
          <w:tcPr>
            <w:tcW w:w="0" w:type="auto"/>
            <w:shd w:val="clear" w:color="auto" w:fill="CCEEFF"/>
            <w:tcMar>
              <w:top w:w="40" w:type="dxa"/>
              <w:left w:w="40" w:type="dxa"/>
              <w:bottom w:w="40" w:type="dxa"/>
              <w:right w:w="40" w:type="dxa"/>
            </w:tcMar>
          </w:tcPr>
          <w:p w14:paraId="4E569885"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Total assets</w:t>
            </w:r>
          </w:p>
        </w:tc>
        <w:tc>
          <w:tcPr>
            <w:tcW w:w="0" w:type="auto"/>
            <w:tcBorders>
              <w:bottom w:val="double" w:sz="6" w:space="0" w:color="000000"/>
            </w:tcBorders>
            <w:shd w:val="clear" w:color="auto" w:fill="CCEEFF"/>
            <w:tcMar>
              <w:top w:w="40" w:type="dxa"/>
              <w:left w:w="40" w:type="dxa"/>
              <w:bottom w:w="40" w:type="dxa"/>
            </w:tcMar>
            <w:vAlign w:val="bottom"/>
          </w:tcPr>
          <w:p w14:paraId="4E5698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88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139,691</w:t>
            </w:r>
          </w:p>
        </w:tc>
        <w:tc>
          <w:tcPr>
            <w:tcW w:w="0" w:type="auto"/>
            <w:tcBorders>
              <w:bottom w:val="double" w:sz="6" w:space="0" w:color="000000"/>
            </w:tcBorders>
            <w:shd w:val="clear" w:color="auto" w:fill="CCEEFF"/>
            <w:vAlign w:val="bottom"/>
          </w:tcPr>
          <w:p w14:paraId="4E56988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8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98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88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CCEEFF"/>
            <w:vAlign w:val="bottom"/>
          </w:tcPr>
          <w:p w14:paraId="4E56988C" w14:textId="77777777" w:rsidR="00DF3E10" w:rsidRDefault="00DF3E10">
            <w:pPr>
              <w:textAlignment w:val="bottom"/>
              <w:rPr>
                <w:rFonts w:ascii="Times New Roman" w:hAnsi="Times New Roman"/>
                <w:sz w:val="20"/>
                <w:szCs w:val="20"/>
              </w:rPr>
            </w:pPr>
          </w:p>
        </w:tc>
      </w:tr>
      <w:tr w:rsidR="00DF3E10" w14:paraId="4E569892" w14:textId="77777777">
        <w:trPr>
          <w:jc w:val="center"/>
        </w:trPr>
        <w:tc>
          <w:tcPr>
            <w:tcW w:w="0" w:type="auto"/>
            <w:shd w:val="clear" w:color="auto" w:fill="auto"/>
            <w:tcMar>
              <w:top w:w="40" w:type="dxa"/>
              <w:left w:w="40" w:type="dxa"/>
              <w:bottom w:w="40" w:type="dxa"/>
              <w:right w:w="40" w:type="dxa"/>
            </w:tcMar>
            <w:vAlign w:val="bottom"/>
          </w:tcPr>
          <w:p w14:paraId="4E5698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8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8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8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97" w14:textId="77777777">
        <w:trPr>
          <w:jc w:val="center"/>
        </w:trPr>
        <w:tc>
          <w:tcPr>
            <w:tcW w:w="0" w:type="auto"/>
            <w:shd w:val="clear" w:color="auto" w:fill="CCEEFF"/>
            <w:tcMar>
              <w:top w:w="40" w:type="dxa"/>
              <w:left w:w="40" w:type="dxa"/>
              <w:bottom w:w="40" w:type="dxa"/>
              <w:right w:w="40" w:type="dxa"/>
            </w:tcMar>
          </w:tcPr>
          <w:p w14:paraId="4E569893"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 xml:space="preserve">Liabilities and </w:t>
            </w:r>
            <w:r>
              <w:rPr>
                <w:rFonts w:ascii="Times New Roman" w:eastAsia="宋体" w:hAnsi="Times New Roman"/>
                <w:b/>
                <w:bCs/>
                <w:sz w:val="20"/>
                <w:szCs w:val="20"/>
              </w:rPr>
              <w:t>stockholders' equity</w:t>
            </w:r>
          </w:p>
        </w:tc>
        <w:tc>
          <w:tcPr>
            <w:tcW w:w="0" w:type="auto"/>
            <w:gridSpan w:val="3"/>
            <w:shd w:val="clear" w:color="auto" w:fill="CCEEFF"/>
            <w:tcMar>
              <w:top w:w="40" w:type="dxa"/>
              <w:left w:w="40" w:type="dxa"/>
              <w:bottom w:w="40" w:type="dxa"/>
              <w:right w:w="40" w:type="dxa"/>
            </w:tcMar>
            <w:vAlign w:val="bottom"/>
          </w:tcPr>
          <w:p w14:paraId="4E5698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8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8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9C" w14:textId="77777777">
        <w:trPr>
          <w:jc w:val="center"/>
        </w:trPr>
        <w:tc>
          <w:tcPr>
            <w:tcW w:w="0" w:type="auto"/>
            <w:shd w:val="clear" w:color="auto" w:fill="auto"/>
            <w:tcMar>
              <w:top w:w="40" w:type="dxa"/>
              <w:left w:w="40" w:type="dxa"/>
              <w:bottom w:w="40" w:type="dxa"/>
              <w:right w:w="40" w:type="dxa"/>
            </w:tcMar>
          </w:tcPr>
          <w:p w14:paraId="4E56989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Current liabilities:</w:t>
            </w:r>
          </w:p>
        </w:tc>
        <w:tc>
          <w:tcPr>
            <w:tcW w:w="0" w:type="auto"/>
            <w:gridSpan w:val="3"/>
            <w:shd w:val="clear" w:color="auto" w:fill="auto"/>
            <w:tcMar>
              <w:top w:w="40" w:type="dxa"/>
              <w:left w:w="40" w:type="dxa"/>
              <w:bottom w:w="40" w:type="dxa"/>
              <w:right w:w="40" w:type="dxa"/>
            </w:tcMar>
            <w:vAlign w:val="bottom"/>
          </w:tcPr>
          <w:p w14:paraId="4E5698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8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8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A5" w14:textId="77777777">
        <w:trPr>
          <w:jc w:val="center"/>
        </w:trPr>
        <w:tc>
          <w:tcPr>
            <w:tcW w:w="0" w:type="auto"/>
            <w:shd w:val="clear" w:color="auto" w:fill="CCEEFF"/>
            <w:tcMar>
              <w:top w:w="40" w:type="dxa"/>
              <w:left w:w="560" w:type="dxa"/>
              <w:bottom w:w="40" w:type="dxa"/>
              <w:right w:w="40" w:type="dxa"/>
            </w:tcMar>
          </w:tcPr>
          <w:p w14:paraId="4E56989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Accounts payable</w:t>
            </w:r>
          </w:p>
        </w:tc>
        <w:tc>
          <w:tcPr>
            <w:tcW w:w="0" w:type="auto"/>
            <w:shd w:val="clear" w:color="auto" w:fill="CCEEFF"/>
            <w:tcMar>
              <w:top w:w="40" w:type="dxa"/>
              <w:left w:w="40" w:type="dxa"/>
              <w:bottom w:w="40" w:type="dxa"/>
            </w:tcMar>
            <w:vAlign w:val="bottom"/>
          </w:tcPr>
          <w:p w14:paraId="4E5698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8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920</w:t>
            </w:r>
          </w:p>
        </w:tc>
        <w:tc>
          <w:tcPr>
            <w:tcW w:w="0" w:type="auto"/>
            <w:shd w:val="clear" w:color="auto" w:fill="CCEEFF"/>
            <w:vAlign w:val="bottom"/>
          </w:tcPr>
          <w:p w14:paraId="4E5698A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8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8A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4E5698A4" w14:textId="77777777" w:rsidR="00DF3E10" w:rsidRDefault="00DF3E10">
            <w:pPr>
              <w:textAlignment w:val="bottom"/>
              <w:rPr>
                <w:rFonts w:ascii="Times New Roman" w:hAnsi="Times New Roman"/>
                <w:sz w:val="20"/>
                <w:szCs w:val="20"/>
              </w:rPr>
            </w:pPr>
          </w:p>
        </w:tc>
      </w:tr>
      <w:tr w:rsidR="00DF3E10" w14:paraId="4E5698AC" w14:textId="77777777">
        <w:trPr>
          <w:jc w:val="center"/>
        </w:trPr>
        <w:tc>
          <w:tcPr>
            <w:tcW w:w="0" w:type="auto"/>
            <w:shd w:val="clear" w:color="auto" w:fill="auto"/>
            <w:tcMar>
              <w:top w:w="40" w:type="dxa"/>
              <w:left w:w="560" w:type="dxa"/>
              <w:bottom w:w="40" w:type="dxa"/>
              <w:right w:w="40" w:type="dxa"/>
            </w:tcMar>
          </w:tcPr>
          <w:p w14:paraId="4E5698A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Partners payable</w:t>
            </w:r>
          </w:p>
        </w:tc>
        <w:tc>
          <w:tcPr>
            <w:tcW w:w="0" w:type="auto"/>
            <w:gridSpan w:val="2"/>
            <w:shd w:val="clear" w:color="auto" w:fill="auto"/>
            <w:tcMar>
              <w:top w:w="40" w:type="dxa"/>
              <w:left w:w="40" w:type="dxa"/>
              <w:bottom w:w="40" w:type="dxa"/>
            </w:tcMar>
            <w:vAlign w:val="bottom"/>
          </w:tcPr>
          <w:p w14:paraId="4E5698A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729</w:t>
            </w:r>
          </w:p>
        </w:tc>
        <w:tc>
          <w:tcPr>
            <w:tcW w:w="0" w:type="auto"/>
            <w:shd w:val="clear" w:color="auto" w:fill="auto"/>
            <w:vAlign w:val="bottom"/>
          </w:tcPr>
          <w:p w14:paraId="4E5698A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A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886</w:t>
            </w:r>
          </w:p>
        </w:tc>
        <w:tc>
          <w:tcPr>
            <w:tcW w:w="0" w:type="auto"/>
            <w:shd w:val="clear" w:color="auto" w:fill="auto"/>
            <w:vAlign w:val="bottom"/>
          </w:tcPr>
          <w:p w14:paraId="4E5698AB" w14:textId="77777777" w:rsidR="00DF3E10" w:rsidRDefault="00DF3E10">
            <w:pPr>
              <w:textAlignment w:val="bottom"/>
              <w:rPr>
                <w:rFonts w:ascii="Times New Roman" w:hAnsi="Times New Roman"/>
                <w:sz w:val="20"/>
                <w:szCs w:val="20"/>
              </w:rPr>
            </w:pPr>
          </w:p>
        </w:tc>
      </w:tr>
      <w:tr w:rsidR="00DF3E10" w14:paraId="4E5698B3" w14:textId="77777777">
        <w:trPr>
          <w:jc w:val="center"/>
        </w:trPr>
        <w:tc>
          <w:tcPr>
            <w:tcW w:w="0" w:type="auto"/>
            <w:shd w:val="clear" w:color="auto" w:fill="CCEEFF"/>
            <w:tcMar>
              <w:top w:w="40" w:type="dxa"/>
              <w:left w:w="560" w:type="dxa"/>
              <w:bottom w:w="40" w:type="dxa"/>
              <w:right w:w="40" w:type="dxa"/>
            </w:tcMar>
            <w:vAlign w:val="bottom"/>
          </w:tcPr>
          <w:p w14:paraId="4E5698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Operating lease liabilities, current</w:t>
            </w:r>
          </w:p>
        </w:tc>
        <w:tc>
          <w:tcPr>
            <w:tcW w:w="0" w:type="auto"/>
            <w:gridSpan w:val="2"/>
            <w:shd w:val="clear" w:color="auto" w:fill="CCEEFF"/>
            <w:tcMar>
              <w:top w:w="40" w:type="dxa"/>
              <w:left w:w="40" w:type="dxa"/>
              <w:bottom w:w="40" w:type="dxa"/>
            </w:tcMar>
            <w:vAlign w:val="bottom"/>
          </w:tcPr>
          <w:p w14:paraId="4E5698A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899</w:t>
            </w:r>
          </w:p>
        </w:tc>
        <w:tc>
          <w:tcPr>
            <w:tcW w:w="0" w:type="auto"/>
            <w:shd w:val="clear" w:color="auto" w:fill="CCEEFF"/>
            <w:vAlign w:val="bottom"/>
          </w:tcPr>
          <w:p w14:paraId="4E5698A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B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800</w:t>
            </w:r>
          </w:p>
        </w:tc>
        <w:tc>
          <w:tcPr>
            <w:tcW w:w="0" w:type="auto"/>
            <w:shd w:val="clear" w:color="auto" w:fill="CCEEFF"/>
            <w:vAlign w:val="bottom"/>
          </w:tcPr>
          <w:p w14:paraId="4E5698B2" w14:textId="77777777" w:rsidR="00DF3E10" w:rsidRDefault="00DF3E10">
            <w:pPr>
              <w:textAlignment w:val="bottom"/>
              <w:rPr>
                <w:rFonts w:ascii="Times New Roman" w:hAnsi="Times New Roman"/>
                <w:sz w:val="20"/>
                <w:szCs w:val="20"/>
              </w:rPr>
            </w:pPr>
          </w:p>
        </w:tc>
      </w:tr>
      <w:tr w:rsidR="00DF3E10" w14:paraId="4E5698BA" w14:textId="77777777">
        <w:trPr>
          <w:jc w:val="center"/>
        </w:trPr>
        <w:tc>
          <w:tcPr>
            <w:tcW w:w="0" w:type="auto"/>
            <w:shd w:val="clear" w:color="auto" w:fill="auto"/>
            <w:tcMar>
              <w:top w:w="40" w:type="dxa"/>
              <w:left w:w="560" w:type="dxa"/>
              <w:bottom w:w="40" w:type="dxa"/>
              <w:right w:w="40" w:type="dxa"/>
            </w:tcMar>
          </w:tcPr>
          <w:p w14:paraId="4E5698B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Accrued expenses and other current liabilities</w:t>
            </w:r>
          </w:p>
        </w:tc>
        <w:tc>
          <w:tcPr>
            <w:tcW w:w="0" w:type="auto"/>
            <w:gridSpan w:val="2"/>
            <w:shd w:val="clear" w:color="auto" w:fill="auto"/>
            <w:tcMar>
              <w:top w:w="40" w:type="dxa"/>
              <w:left w:w="40" w:type="dxa"/>
              <w:bottom w:w="40" w:type="dxa"/>
            </w:tcMar>
            <w:vAlign w:val="bottom"/>
          </w:tcPr>
          <w:p w14:paraId="4E5698B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8,496</w:t>
            </w:r>
          </w:p>
        </w:tc>
        <w:tc>
          <w:tcPr>
            <w:tcW w:w="0" w:type="auto"/>
            <w:shd w:val="clear" w:color="auto" w:fill="auto"/>
            <w:vAlign w:val="bottom"/>
          </w:tcPr>
          <w:p w14:paraId="4E5698B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B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11,735</w:t>
            </w:r>
          </w:p>
        </w:tc>
        <w:tc>
          <w:tcPr>
            <w:tcW w:w="0" w:type="auto"/>
            <w:shd w:val="clear" w:color="auto" w:fill="auto"/>
            <w:vAlign w:val="bottom"/>
          </w:tcPr>
          <w:p w14:paraId="4E5698B9" w14:textId="77777777" w:rsidR="00DF3E10" w:rsidRDefault="00DF3E10">
            <w:pPr>
              <w:textAlignment w:val="bottom"/>
              <w:rPr>
                <w:rFonts w:ascii="Times New Roman" w:hAnsi="Times New Roman"/>
                <w:sz w:val="20"/>
                <w:szCs w:val="20"/>
              </w:rPr>
            </w:pPr>
          </w:p>
        </w:tc>
      </w:tr>
      <w:tr w:rsidR="00DF3E10" w14:paraId="4E5698C1" w14:textId="77777777">
        <w:trPr>
          <w:jc w:val="center"/>
        </w:trPr>
        <w:tc>
          <w:tcPr>
            <w:tcW w:w="0" w:type="auto"/>
            <w:shd w:val="clear" w:color="auto" w:fill="CCEEFF"/>
            <w:tcMar>
              <w:top w:w="40" w:type="dxa"/>
              <w:left w:w="560" w:type="dxa"/>
              <w:bottom w:w="40" w:type="dxa"/>
              <w:right w:w="40" w:type="dxa"/>
            </w:tcMar>
          </w:tcPr>
          <w:p w14:paraId="4E5698B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Deferred </w:t>
            </w:r>
            <w:r>
              <w:rPr>
                <w:rFonts w:ascii="Times New Roman" w:eastAsia="宋体" w:hAnsi="Times New Roman"/>
                <w:sz w:val="20"/>
                <w:szCs w:val="20"/>
              </w:rPr>
              <w:t>revenue and deposits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8B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tcBorders>
              <w:bottom w:val="single" w:sz="8" w:space="0" w:color="000000"/>
            </w:tcBorders>
            <w:shd w:val="clear" w:color="auto" w:fill="CCEEFF"/>
            <w:vAlign w:val="bottom"/>
          </w:tcPr>
          <w:p w14:paraId="4E5698B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8B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CCEEFF"/>
            <w:vAlign w:val="bottom"/>
          </w:tcPr>
          <w:p w14:paraId="4E5698C0" w14:textId="77777777" w:rsidR="00DF3E10" w:rsidRDefault="00DF3E10">
            <w:pPr>
              <w:textAlignment w:val="bottom"/>
              <w:rPr>
                <w:rFonts w:ascii="Times New Roman" w:hAnsi="Times New Roman"/>
                <w:sz w:val="20"/>
                <w:szCs w:val="20"/>
              </w:rPr>
            </w:pPr>
          </w:p>
        </w:tc>
      </w:tr>
      <w:tr w:rsidR="00DF3E10" w14:paraId="4E5698C8" w14:textId="77777777">
        <w:trPr>
          <w:jc w:val="center"/>
        </w:trPr>
        <w:tc>
          <w:tcPr>
            <w:tcW w:w="0" w:type="auto"/>
            <w:shd w:val="clear" w:color="auto" w:fill="auto"/>
            <w:tcMar>
              <w:top w:w="40" w:type="dxa"/>
              <w:left w:w="1040" w:type="dxa"/>
              <w:bottom w:w="40" w:type="dxa"/>
              <w:right w:w="40" w:type="dxa"/>
            </w:tcMar>
          </w:tcPr>
          <w:p w14:paraId="4E5698C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shd w:val="clear" w:color="auto" w:fill="auto"/>
            <w:tcMar>
              <w:top w:w="40" w:type="dxa"/>
              <w:left w:w="40" w:type="dxa"/>
              <w:bottom w:w="40" w:type="dxa"/>
            </w:tcMar>
            <w:vAlign w:val="bottom"/>
          </w:tcPr>
          <w:p w14:paraId="4E5698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11,308</w:t>
            </w:r>
          </w:p>
        </w:tc>
        <w:tc>
          <w:tcPr>
            <w:tcW w:w="0" w:type="auto"/>
            <w:shd w:val="clear" w:color="auto" w:fill="auto"/>
            <w:vAlign w:val="bottom"/>
          </w:tcPr>
          <w:p w14:paraId="4E5698C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15,053</w:t>
            </w:r>
          </w:p>
        </w:tc>
        <w:tc>
          <w:tcPr>
            <w:tcW w:w="0" w:type="auto"/>
            <w:shd w:val="clear" w:color="auto" w:fill="auto"/>
            <w:vAlign w:val="bottom"/>
          </w:tcPr>
          <w:p w14:paraId="4E5698C7" w14:textId="77777777" w:rsidR="00DF3E10" w:rsidRDefault="00DF3E10">
            <w:pPr>
              <w:textAlignment w:val="bottom"/>
              <w:rPr>
                <w:rFonts w:ascii="Times New Roman" w:hAnsi="Times New Roman"/>
                <w:sz w:val="20"/>
                <w:szCs w:val="20"/>
              </w:rPr>
            </w:pPr>
          </w:p>
        </w:tc>
      </w:tr>
      <w:tr w:rsidR="00DF3E10" w14:paraId="4E5698CF" w14:textId="77777777">
        <w:trPr>
          <w:jc w:val="center"/>
        </w:trPr>
        <w:tc>
          <w:tcPr>
            <w:tcW w:w="0" w:type="auto"/>
            <w:shd w:val="clear" w:color="auto" w:fill="CCEEFF"/>
            <w:tcMar>
              <w:top w:w="40" w:type="dxa"/>
              <w:left w:w="40" w:type="dxa"/>
              <w:bottom w:w="40" w:type="dxa"/>
              <w:right w:w="40" w:type="dxa"/>
            </w:tcMar>
          </w:tcPr>
          <w:p w14:paraId="4E5698C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Operating lease liabilities, non-current</w:t>
            </w:r>
          </w:p>
        </w:tc>
        <w:tc>
          <w:tcPr>
            <w:tcW w:w="0" w:type="auto"/>
            <w:gridSpan w:val="2"/>
            <w:shd w:val="clear" w:color="auto" w:fill="CCEEFF"/>
            <w:tcMar>
              <w:top w:w="40" w:type="dxa"/>
              <w:left w:w="40" w:type="dxa"/>
              <w:bottom w:w="40" w:type="dxa"/>
            </w:tcMar>
            <w:vAlign w:val="bottom"/>
          </w:tcPr>
          <w:p w14:paraId="4E5698C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9,633</w:t>
            </w:r>
          </w:p>
        </w:tc>
        <w:tc>
          <w:tcPr>
            <w:tcW w:w="0" w:type="auto"/>
            <w:shd w:val="clear" w:color="auto" w:fill="CCEEFF"/>
            <w:vAlign w:val="bottom"/>
          </w:tcPr>
          <w:p w14:paraId="4E5698C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C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9,524</w:t>
            </w:r>
          </w:p>
        </w:tc>
        <w:tc>
          <w:tcPr>
            <w:tcW w:w="0" w:type="auto"/>
            <w:shd w:val="clear" w:color="auto" w:fill="CCEEFF"/>
            <w:vAlign w:val="bottom"/>
          </w:tcPr>
          <w:p w14:paraId="4E5698CE" w14:textId="77777777" w:rsidR="00DF3E10" w:rsidRDefault="00DF3E10">
            <w:pPr>
              <w:textAlignment w:val="bottom"/>
              <w:rPr>
                <w:rFonts w:ascii="Times New Roman" w:hAnsi="Times New Roman"/>
                <w:sz w:val="20"/>
                <w:szCs w:val="20"/>
              </w:rPr>
            </w:pPr>
          </w:p>
        </w:tc>
      </w:tr>
      <w:tr w:rsidR="00DF3E10" w14:paraId="4E5698D6" w14:textId="77777777">
        <w:trPr>
          <w:jc w:val="center"/>
        </w:trPr>
        <w:tc>
          <w:tcPr>
            <w:tcW w:w="0" w:type="auto"/>
            <w:shd w:val="clear" w:color="auto" w:fill="auto"/>
            <w:tcMar>
              <w:top w:w="40" w:type="dxa"/>
              <w:left w:w="40" w:type="dxa"/>
              <w:bottom w:w="40" w:type="dxa"/>
              <w:right w:w="40" w:type="dxa"/>
            </w:tcMar>
          </w:tcPr>
          <w:p w14:paraId="4E5698D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4E5698D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8,303</w:t>
            </w:r>
          </w:p>
        </w:tc>
        <w:tc>
          <w:tcPr>
            <w:tcW w:w="0" w:type="auto"/>
            <w:tcBorders>
              <w:bottom w:val="single" w:sz="8" w:space="0" w:color="000000"/>
            </w:tcBorders>
            <w:shd w:val="clear" w:color="auto" w:fill="auto"/>
            <w:vAlign w:val="bottom"/>
          </w:tcPr>
          <w:p w14:paraId="4E5698D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8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7,745</w:t>
            </w:r>
          </w:p>
        </w:tc>
        <w:tc>
          <w:tcPr>
            <w:tcW w:w="0" w:type="auto"/>
            <w:tcBorders>
              <w:bottom w:val="single" w:sz="8" w:space="0" w:color="000000"/>
            </w:tcBorders>
            <w:shd w:val="clear" w:color="auto" w:fill="auto"/>
            <w:vAlign w:val="bottom"/>
          </w:tcPr>
          <w:p w14:paraId="4E5698D5" w14:textId="77777777" w:rsidR="00DF3E10" w:rsidRDefault="00DF3E10">
            <w:pPr>
              <w:textAlignment w:val="bottom"/>
              <w:rPr>
                <w:rFonts w:ascii="Times New Roman" w:hAnsi="Times New Roman"/>
                <w:sz w:val="20"/>
                <w:szCs w:val="20"/>
              </w:rPr>
            </w:pPr>
          </w:p>
        </w:tc>
      </w:tr>
      <w:tr w:rsidR="00DF3E10" w14:paraId="4E5698DD" w14:textId="77777777">
        <w:trPr>
          <w:jc w:val="center"/>
        </w:trPr>
        <w:tc>
          <w:tcPr>
            <w:tcW w:w="0" w:type="auto"/>
            <w:shd w:val="clear" w:color="auto" w:fill="CCEEFF"/>
            <w:tcMar>
              <w:top w:w="40" w:type="dxa"/>
              <w:left w:w="1040" w:type="dxa"/>
              <w:bottom w:w="40" w:type="dxa"/>
              <w:right w:w="40" w:type="dxa"/>
            </w:tcMar>
          </w:tcPr>
          <w:p w14:paraId="4E5698D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8D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29,244</w:t>
            </w:r>
          </w:p>
        </w:tc>
        <w:tc>
          <w:tcPr>
            <w:tcW w:w="0" w:type="auto"/>
            <w:tcBorders>
              <w:bottom w:val="single" w:sz="8" w:space="0" w:color="000000"/>
            </w:tcBorders>
            <w:shd w:val="clear" w:color="auto" w:fill="CCEEFF"/>
            <w:vAlign w:val="bottom"/>
          </w:tcPr>
          <w:p w14:paraId="4E5698D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8D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32,322</w:t>
            </w:r>
          </w:p>
        </w:tc>
        <w:tc>
          <w:tcPr>
            <w:tcW w:w="0" w:type="auto"/>
            <w:tcBorders>
              <w:bottom w:val="single" w:sz="8" w:space="0" w:color="000000"/>
            </w:tcBorders>
            <w:shd w:val="clear" w:color="auto" w:fill="CCEEFF"/>
            <w:vAlign w:val="bottom"/>
          </w:tcPr>
          <w:p w14:paraId="4E5698DC" w14:textId="77777777" w:rsidR="00DF3E10" w:rsidRDefault="00DF3E10">
            <w:pPr>
              <w:textAlignment w:val="bottom"/>
              <w:rPr>
                <w:rFonts w:ascii="Times New Roman" w:hAnsi="Times New Roman"/>
                <w:sz w:val="20"/>
                <w:szCs w:val="20"/>
              </w:rPr>
            </w:pPr>
          </w:p>
        </w:tc>
      </w:tr>
      <w:tr w:rsidR="00DF3E10" w14:paraId="4E5698E2" w14:textId="77777777">
        <w:trPr>
          <w:jc w:val="center"/>
        </w:trPr>
        <w:tc>
          <w:tcPr>
            <w:tcW w:w="0" w:type="auto"/>
            <w:shd w:val="clear" w:color="auto" w:fill="auto"/>
            <w:tcMar>
              <w:top w:w="40" w:type="dxa"/>
              <w:left w:w="40" w:type="dxa"/>
              <w:bottom w:w="40" w:type="dxa"/>
              <w:right w:w="40" w:type="dxa"/>
            </w:tcMar>
          </w:tcPr>
          <w:p w14:paraId="4E5698D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Commitments and contingencies</w:t>
            </w:r>
          </w:p>
        </w:tc>
        <w:tc>
          <w:tcPr>
            <w:tcW w:w="0" w:type="auto"/>
            <w:gridSpan w:val="3"/>
            <w:shd w:val="clear" w:color="auto" w:fill="auto"/>
            <w:tcMar>
              <w:top w:w="40" w:type="dxa"/>
              <w:left w:w="40" w:type="dxa"/>
              <w:bottom w:w="40" w:type="dxa"/>
              <w:right w:w="40" w:type="dxa"/>
            </w:tcMar>
            <w:vAlign w:val="bottom"/>
          </w:tcPr>
          <w:p w14:paraId="4E5698D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E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8E1" w14:textId="77777777" w:rsidR="00DF3E10" w:rsidRDefault="00DF3E10">
            <w:pPr>
              <w:textAlignment w:val="bottom"/>
              <w:rPr>
                <w:rFonts w:ascii="Times New Roman" w:hAnsi="Times New Roman"/>
                <w:sz w:val="20"/>
                <w:szCs w:val="20"/>
              </w:rPr>
            </w:pPr>
          </w:p>
        </w:tc>
      </w:tr>
      <w:tr w:rsidR="00DF3E10" w14:paraId="4E5698E7" w14:textId="77777777">
        <w:trPr>
          <w:jc w:val="center"/>
        </w:trPr>
        <w:tc>
          <w:tcPr>
            <w:tcW w:w="0" w:type="auto"/>
            <w:shd w:val="clear" w:color="auto" w:fill="CCEEFF"/>
            <w:tcMar>
              <w:top w:w="40" w:type="dxa"/>
              <w:left w:w="40" w:type="dxa"/>
              <w:bottom w:w="40" w:type="dxa"/>
              <w:right w:w="40" w:type="dxa"/>
            </w:tcMar>
          </w:tcPr>
          <w:p w14:paraId="4E5698E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Stockholders' equity:</w:t>
            </w:r>
          </w:p>
        </w:tc>
        <w:tc>
          <w:tcPr>
            <w:tcW w:w="0" w:type="auto"/>
            <w:gridSpan w:val="3"/>
            <w:shd w:val="clear" w:color="auto" w:fill="CCEEFF"/>
            <w:tcMar>
              <w:top w:w="40" w:type="dxa"/>
              <w:left w:w="40" w:type="dxa"/>
              <w:bottom w:w="40" w:type="dxa"/>
              <w:right w:w="40" w:type="dxa"/>
            </w:tcMar>
            <w:vAlign w:val="bottom"/>
          </w:tcPr>
          <w:p w14:paraId="4E5698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8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8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8EE" w14:textId="77777777">
        <w:trPr>
          <w:jc w:val="center"/>
        </w:trPr>
        <w:tc>
          <w:tcPr>
            <w:tcW w:w="0" w:type="auto"/>
            <w:shd w:val="clear" w:color="auto" w:fill="auto"/>
            <w:tcMar>
              <w:top w:w="40" w:type="dxa"/>
              <w:left w:w="560" w:type="dxa"/>
              <w:bottom w:w="40" w:type="dxa"/>
              <w:right w:w="40" w:type="dxa"/>
            </w:tcMar>
          </w:tcPr>
          <w:p w14:paraId="4E5698E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Common stock, $0.000006 par value; 5,000 million Class A shares authorized, 2,406 million and 2,407 million shares issued and outstanding, as of June 30, 2020 and December 31, 2019, respectively; 4,141 million Class B shares au</w:t>
            </w:r>
            <w:r>
              <w:rPr>
                <w:rFonts w:ascii="Times New Roman" w:eastAsia="宋体" w:hAnsi="Times New Roman"/>
                <w:sz w:val="20"/>
                <w:szCs w:val="20"/>
              </w:rPr>
              <w:t>thorized, 444 million and 445 million shares issued and outstanding, as of June 30, 2020 and December 31, 2019, respectively</w:t>
            </w:r>
          </w:p>
        </w:tc>
        <w:tc>
          <w:tcPr>
            <w:tcW w:w="0" w:type="auto"/>
            <w:gridSpan w:val="2"/>
            <w:shd w:val="clear" w:color="auto" w:fill="auto"/>
            <w:tcMar>
              <w:top w:w="40" w:type="dxa"/>
              <w:left w:w="40" w:type="dxa"/>
              <w:bottom w:w="40" w:type="dxa"/>
            </w:tcMar>
            <w:vAlign w:val="bottom"/>
          </w:tcPr>
          <w:p w14:paraId="4E5698E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98E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8E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E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98ED" w14:textId="77777777" w:rsidR="00DF3E10" w:rsidRDefault="00DF3E10">
            <w:pPr>
              <w:textAlignment w:val="bottom"/>
              <w:rPr>
                <w:rFonts w:ascii="Times New Roman" w:hAnsi="Times New Roman"/>
                <w:sz w:val="20"/>
                <w:szCs w:val="20"/>
              </w:rPr>
            </w:pPr>
          </w:p>
        </w:tc>
      </w:tr>
      <w:tr w:rsidR="00DF3E10" w14:paraId="4E5698F5" w14:textId="77777777">
        <w:trPr>
          <w:jc w:val="center"/>
        </w:trPr>
        <w:tc>
          <w:tcPr>
            <w:tcW w:w="0" w:type="auto"/>
            <w:shd w:val="clear" w:color="auto" w:fill="CCEEFF"/>
            <w:tcMar>
              <w:top w:w="40" w:type="dxa"/>
              <w:left w:w="560" w:type="dxa"/>
              <w:bottom w:w="40" w:type="dxa"/>
              <w:right w:w="40" w:type="dxa"/>
            </w:tcMar>
          </w:tcPr>
          <w:p w14:paraId="4E5698E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2"/>
            <w:shd w:val="clear" w:color="auto" w:fill="CCEEFF"/>
            <w:tcMar>
              <w:top w:w="40" w:type="dxa"/>
              <w:left w:w="40" w:type="dxa"/>
              <w:bottom w:w="40" w:type="dxa"/>
            </w:tcMar>
            <w:vAlign w:val="bottom"/>
          </w:tcPr>
          <w:p w14:paraId="4E5698F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47,805</w:t>
            </w:r>
          </w:p>
        </w:tc>
        <w:tc>
          <w:tcPr>
            <w:tcW w:w="0" w:type="auto"/>
            <w:shd w:val="clear" w:color="auto" w:fill="CCEEFF"/>
            <w:vAlign w:val="bottom"/>
          </w:tcPr>
          <w:p w14:paraId="4E5698F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8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8F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shd w:val="clear" w:color="auto" w:fill="CCEEFF"/>
            <w:vAlign w:val="bottom"/>
          </w:tcPr>
          <w:p w14:paraId="4E5698F4" w14:textId="77777777" w:rsidR="00DF3E10" w:rsidRDefault="00DF3E10">
            <w:pPr>
              <w:textAlignment w:val="bottom"/>
              <w:rPr>
                <w:rFonts w:ascii="Times New Roman" w:hAnsi="Times New Roman"/>
                <w:sz w:val="20"/>
                <w:szCs w:val="20"/>
              </w:rPr>
            </w:pPr>
          </w:p>
        </w:tc>
      </w:tr>
      <w:tr w:rsidR="00DF3E10" w14:paraId="4E5698FC" w14:textId="77777777">
        <w:trPr>
          <w:jc w:val="center"/>
        </w:trPr>
        <w:tc>
          <w:tcPr>
            <w:tcW w:w="0" w:type="auto"/>
            <w:shd w:val="clear" w:color="auto" w:fill="auto"/>
            <w:tcMar>
              <w:top w:w="40" w:type="dxa"/>
              <w:left w:w="560" w:type="dxa"/>
              <w:bottom w:w="40" w:type="dxa"/>
              <w:right w:w="40" w:type="dxa"/>
            </w:tcMar>
          </w:tcPr>
          <w:p w14:paraId="4E5698F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shd w:val="clear" w:color="auto" w:fill="auto"/>
            <w:tcMar>
              <w:top w:w="40" w:type="dxa"/>
              <w:left w:w="40" w:type="dxa"/>
              <w:bottom w:w="40" w:type="dxa"/>
            </w:tcMar>
            <w:vAlign w:val="bottom"/>
          </w:tcPr>
          <w:p w14:paraId="4E5698F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tcMar>
              <w:top w:w="40" w:type="dxa"/>
              <w:bottom w:w="40" w:type="dxa"/>
              <w:right w:w="40" w:type="dxa"/>
            </w:tcMar>
            <w:vAlign w:val="bottom"/>
          </w:tcPr>
          <w:p w14:paraId="4E5698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8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8F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shd w:val="clear" w:color="auto" w:fill="auto"/>
            <w:tcMar>
              <w:top w:w="40" w:type="dxa"/>
              <w:bottom w:w="40" w:type="dxa"/>
              <w:right w:w="40" w:type="dxa"/>
            </w:tcMar>
            <w:vAlign w:val="bottom"/>
          </w:tcPr>
          <w:p w14:paraId="4E5698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903" w14:textId="77777777">
        <w:trPr>
          <w:jc w:val="center"/>
        </w:trPr>
        <w:tc>
          <w:tcPr>
            <w:tcW w:w="0" w:type="auto"/>
            <w:shd w:val="clear" w:color="auto" w:fill="CCEEFF"/>
            <w:tcMar>
              <w:top w:w="40" w:type="dxa"/>
              <w:left w:w="560" w:type="dxa"/>
              <w:bottom w:w="40" w:type="dxa"/>
              <w:right w:w="40" w:type="dxa"/>
            </w:tcMar>
          </w:tcPr>
          <w:p w14:paraId="4E5698F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Retained </w:t>
            </w:r>
            <w:r>
              <w:rPr>
                <w:rFonts w:ascii="Times New Roman" w:eastAsia="宋体" w:hAnsi="Times New Roman"/>
                <w:sz w:val="20"/>
                <w:szCs w:val="20"/>
              </w:rPr>
              <w:t>earnings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8F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62,784</w:t>
            </w:r>
          </w:p>
        </w:tc>
        <w:tc>
          <w:tcPr>
            <w:tcW w:w="0" w:type="auto"/>
            <w:tcBorders>
              <w:bottom w:val="single" w:sz="8" w:space="0" w:color="000000"/>
            </w:tcBorders>
            <w:shd w:val="clear" w:color="auto" w:fill="CCEEFF"/>
            <w:vAlign w:val="bottom"/>
          </w:tcPr>
          <w:p w14:paraId="4E5698F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0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55,692</w:t>
            </w:r>
          </w:p>
        </w:tc>
        <w:tc>
          <w:tcPr>
            <w:tcW w:w="0" w:type="auto"/>
            <w:tcBorders>
              <w:bottom w:val="single" w:sz="8" w:space="0" w:color="000000"/>
            </w:tcBorders>
            <w:shd w:val="clear" w:color="auto" w:fill="CCEEFF"/>
            <w:vAlign w:val="bottom"/>
          </w:tcPr>
          <w:p w14:paraId="4E569902" w14:textId="77777777" w:rsidR="00DF3E10" w:rsidRDefault="00DF3E10">
            <w:pPr>
              <w:textAlignment w:val="bottom"/>
              <w:rPr>
                <w:rFonts w:ascii="Times New Roman" w:hAnsi="Times New Roman"/>
                <w:sz w:val="20"/>
                <w:szCs w:val="20"/>
              </w:rPr>
            </w:pPr>
          </w:p>
        </w:tc>
      </w:tr>
      <w:tr w:rsidR="00DF3E10" w14:paraId="4E56990A" w14:textId="77777777">
        <w:trPr>
          <w:jc w:val="center"/>
        </w:trPr>
        <w:tc>
          <w:tcPr>
            <w:tcW w:w="0" w:type="auto"/>
            <w:shd w:val="clear" w:color="auto" w:fill="auto"/>
            <w:tcMar>
              <w:top w:w="40" w:type="dxa"/>
              <w:left w:w="1040" w:type="dxa"/>
              <w:bottom w:w="40" w:type="dxa"/>
              <w:right w:w="40" w:type="dxa"/>
            </w:tcMar>
          </w:tcPr>
          <w:p w14:paraId="4E56990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stockholders' equity</w:t>
            </w:r>
          </w:p>
        </w:tc>
        <w:tc>
          <w:tcPr>
            <w:tcW w:w="0" w:type="auto"/>
            <w:gridSpan w:val="2"/>
            <w:tcBorders>
              <w:bottom w:val="single" w:sz="8" w:space="0" w:color="000000"/>
            </w:tcBorders>
            <w:shd w:val="clear" w:color="auto" w:fill="auto"/>
            <w:tcMar>
              <w:top w:w="40" w:type="dxa"/>
              <w:left w:w="40" w:type="dxa"/>
              <w:bottom w:w="40" w:type="dxa"/>
            </w:tcMar>
            <w:vAlign w:val="bottom"/>
          </w:tcPr>
          <w:p w14:paraId="4E56990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110,447</w:t>
            </w:r>
          </w:p>
        </w:tc>
        <w:tc>
          <w:tcPr>
            <w:tcW w:w="0" w:type="auto"/>
            <w:tcBorders>
              <w:bottom w:val="single" w:sz="8" w:space="0" w:color="000000"/>
            </w:tcBorders>
            <w:shd w:val="clear" w:color="auto" w:fill="auto"/>
            <w:vAlign w:val="bottom"/>
          </w:tcPr>
          <w:p w14:paraId="4E56990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90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tcBorders>
              <w:bottom w:val="single" w:sz="8" w:space="0" w:color="000000"/>
            </w:tcBorders>
            <w:shd w:val="clear" w:color="auto" w:fill="auto"/>
            <w:vAlign w:val="bottom"/>
          </w:tcPr>
          <w:p w14:paraId="4E569909" w14:textId="77777777" w:rsidR="00DF3E10" w:rsidRDefault="00DF3E10">
            <w:pPr>
              <w:textAlignment w:val="bottom"/>
              <w:rPr>
                <w:rFonts w:ascii="Times New Roman" w:hAnsi="Times New Roman"/>
                <w:sz w:val="20"/>
                <w:szCs w:val="20"/>
              </w:rPr>
            </w:pPr>
          </w:p>
        </w:tc>
      </w:tr>
      <w:tr w:rsidR="00DF3E10" w14:paraId="4E569913" w14:textId="77777777">
        <w:trPr>
          <w:jc w:val="center"/>
        </w:trPr>
        <w:tc>
          <w:tcPr>
            <w:tcW w:w="0" w:type="auto"/>
            <w:shd w:val="clear" w:color="auto" w:fill="CCEEFF"/>
            <w:tcMar>
              <w:top w:w="40" w:type="dxa"/>
              <w:left w:w="40" w:type="dxa"/>
              <w:bottom w:w="40" w:type="dxa"/>
              <w:right w:w="40" w:type="dxa"/>
            </w:tcMar>
          </w:tcPr>
          <w:p w14:paraId="4E56990B"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Total liabilities and stockholders' equity</w:t>
            </w:r>
          </w:p>
        </w:tc>
        <w:tc>
          <w:tcPr>
            <w:tcW w:w="0" w:type="auto"/>
            <w:tcBorders>
              <w:bottom w:val="double" w:sz="6" w:space="0" w:color="000000"/>
            </w:tcBorders>
            <w:shd w:val="clear" w:color="auto" w:fill="CCEEFF"/>
            <w:tcMar>
              <w:top w:w="40" w:type="dxa"/>
              <w:left w:w="40" w:type="dxa"/>
              <w:bottom w:w="40" w:type="dxa"/>
            </w:tcMar>
            <w:vAlign w:val="bottom"/>
          </w:tcPr>
          <w:p w14:paraId="4E5699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9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139,691</w:t>
            </w:r>
          </w:p>
        </w:tc>
        <w:tc>
          <w:tcPr>
            <w:tcW w:w="0" w:type="auto"/>
            <w:tcBorders>
              <w:bottom w:val="double" w:sz="6" w:space="0" w:color="000000"/>
            </w:tcBorders>
            <w:shd w:val="clear" w:color="auto" w:fill="CCEEFF"/>
            <w:vAlign w:val="bottom"/>
          </w:tcPr>
          <w:p w14:paraId="4E56990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991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91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CCEEFF"/>
            <w:vAlign w:val="bottom"/>
          </w:tcPr>
          <w:p w14:paraId="4E569912" w14:textId="77777777" w:rsidR="00DF3E10" w:rsidRDefault="00DF3E10">
            <w:pPr>
              <w:textAlignment w:val="bottom"/>
              <w:rPr>
                <w:rFonts w:ascii="Times New Roman" w:hAnsi="Times New Roman"/>
                <w:sz w:val="20"/>
                <w:szCs w:val="20"/>
              </w:rPr>
            </w:pPr>
          </w:p>
        </w:tc>
      </w:tr>
    </w:tbl>
    <w:p w14:paraId="4E569914"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4E569915" w14:textId="77777777" w:rsidR="00DF3E10" w:rsidRDefault="00DF3E10">
      <w:pPr>
        <w:rPr>
          <w:rFonts w:ascii="Times New Roman" w:hAnsi="Times New Roman"/>
          <w:sz w:val="20"/>
          <w:szCs w:val="20"/>
        </w:rPr>
      </w:pPr>
    </w:p>
    <w:p w14:paraId="4E56991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w:t>
      </w:r>
    </w:p>
    <w:p w14:paraId="4E569917" w14:textId="77777777" w:rsidR="00DF3E10" w:rsidRDefault="006B6C28">
      <w:r>
        <w:rPr>
          <w:rFonts w:ascii="Times New Roman" w:hAnsi="Times New Roman"/>
          <w:sz w:val="20"/>
          <w:szCs w:val="20"/>
        </w:rPr>
        <w:pict w14:anchorId="4E56B754">
          <v:rect id="_x0000_i1031" style="width:415.3pt;height:1.5pt" o:hralign="center" o:hrstd="t" o:hr="t" fillcolor="#a0a0a0" stroked="f"/>
        </w:pict>
      </w:r>
    </w:p>
    <w:p w14:paraId="4E569918" w14:textId="77777777" w:rsidR="00DF3E10" w:rsidRDefault="006B6C28">
      <w:pPr>
        <w:spacing w:line="288" w:lineRule="auto"/>
        <w:rPr>
          <w:rFonts w:ascii="Times New Roman" w:hAnsi="Times New Roman"/>
          <w:sz w:val="20"/>
          <w:szCs w:val="20"/>
        </w:rPr>
      </w:pPr>
      <w:hyperlink r:id="rId49" w:anchor="sC1FF62F0D4D85317B5B2C71C7C94F269" w:history="1">
        <w:r>
          <w:rPr>
            <w:rStyle w:val="a5"/>
            <w:rFonts w:ascii="Times New Roman" w:eastAsia="宋体" w:hAnsi="Times New Roman"/>
            <w:sz w:val="20"/>
            <w:szCs w:val="20"/>
          </w:rPr>
          <w:t>Table of Contents</w:t>
        </w:r>
      </w:hyperlink>
    </w:p>
    <w:p w14:paraId="4E569919" w14:textId="77777777" w:rsidR="00DF3E10" w:rsidRDefault="00DF3E10">
      <w:pPr>
        <w:rPr>
          <w:rFonts w:ascii="Times New Roman" w:hAnsi="Times New Roman"/>
          <w:sz w:val="20"/>
          <w:szCs w:val="20"/>
        </w:rPr>
      </w:pPr>
    </w:p>
    <w:p w14:paraId="4E56991A"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91B"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w:t>
      </w:r>
    </w:p>
    <w:p w14:paraId="4E56991C"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 xml:space="preserve">(In millions, </w:t>
      </w:r>
      <w:r>
        <w:rPr>
          <w:rFonts w:ascii="Times New Roman" w:eastAsia="宋体" w:hAnsi="Times New Roman"/>
          <w:i/>
          <w:iCs/>
          <w:sz w:val="18"/>
          <w:szCs w:val="18"/>
        </w:rPr>
        <w:t>except per share amounts)</w:t>
      </w:r>
    </w:p>
    <w:p w14:paraId="4E56991D"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4E56991E" w14:textId="77777777" w:rsidR="00DF3E10" w:rsidRDefault="006B6C28">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696"/>
        <w:gridCol w:w="140"/>
        <w:gridCol w:w="873"/>
        <w:gridCol w:w="42"/>
        <w:gridCol w:w="130"/>
        <w:gridCol w:w="140"/>
        <w:gridCol w:w="873"/>
        <w:gridCol w:w="42"/>
        <w:gridCol w:w="130"/>
        <w:gridCol w:w="140"/>
        <w:gridCol w:w="873"/>
        <w:gridCol w:w="42"/>
        <w:gridCol w:w="130"/>
        <w:gridCol w:w="140"/>
        <w:gridCol w:w="873"/>
        <w:gridCol w:w="42"/>
      </w:tblGrid>
      <w:tr w:rsidR="00DF3E10" w14:paraId="4E569920" w14:textId="77777777">
        <w:tc>
          <w:tcPr>
            <w:tcW w:w="0" w:type="auto"/>
            <w:gridSpan w:val="16"/>
            <w:shd w:val="clear" w:color="auto" w:fill="auto"/>
            <w:vAlign w:val="center"/>
          </w:tcPr>
          <w:p w14:paraId="4E56991F" w14:textId="77777777" w:rsidR="00DF3E10" w:rsidRDefault="00DF3E10">
            <w:pPr>
              <w:rPr>
                <w:rFonts w:ascii="Times New Roman" w:hAnsi="Times New Roman"/>
                <w:sz w:val="20"/>
                <w:szCs w:val="20"/>
              </w:rPr>
            </w:pPr>
          </w:p>
        </w:tc>
      </w:tr>
      <w:tr w:rsidR="00DF3E10" w14:paraId="4E569931" w14:textId="77777777">
        <w:tc>
          <w:tcPr>
            <w:tcW w:w="2250" w:type="pct"/>
            <w:shd w:val="clear" w:color="auto" w:fill="auto"/>
            <w:vAlign w:val="center"/>
          </w:tcPr>
          <w:p w14:paraId="4E569921" w14:textId="77777777" w:rsidR="00DF3E10" w:rsidRDefault="00DF3E10">
            <w:pPr>
              <w:rPr>
                <w:rFonts w:ascii="Times New Roman" w:hAnsi="Times New Roman"/>
                <w:sz w:val="20"/>
                <w:szCs w:val="20"/>
              </w:rPr>
            </w:pPr>
          </w:p>
        </w:tc>
        <w:tc>
          <w:tcPr>
            <w:tcW w:w="50" w:type="pct"/>
            <w:shd w:val="clear" w:color="auto" w:fill="auto"/>
            <w:vAlign w:val="center"/>
          </w:tcPr>
          <w:p w14:paraId="4E569922" w14:textId="77777777" w:rsidR="00DF3E10" w:rsidRDefault="00DF3E10">
            <w:pPr>
              <w:rPr>
                <w:rFonts w:ascii="Times New Roman" w:hAnsi="Times New Roman"/>
                <w:sz w:val="20"/>
                <w:szCs w:val="20"/>
              </w:rPr>
            </w:pPr>
          </w:p>
        </w:tc>
        <w:tc>
          <w:tcPr>
            <w:tcW w:w="550" w:type="pct"/>
            <w:shd w:val="clear" w:color="auto" w:fill="auto"/>
            <w:vAlign w:val="center"/>
          </w:tcPr>
          <w:p w14:paraId="4E569923" w14:textId="77777777" w:rsidR="00DF3E10" w:rsidRDefault="00DF3E10">
            <w:pPr>
              <w:rPr>
                <w:rFonts w:ascii="Times New Roman" w:hAnsi="Times New Roman"/>
                <w:sz w:val="20"/>
                <w:szCs w:val="20"/>
              </w:rPr>
            </w:pPr>
          </w:p>
        </w:tc>
        <w:tc>
          <w:tcPr>
            <w:tcW w:w="50" w:type="pct"/>
            <w:shd w:val="clear" w:color="auto" w:fill="auto"/>
            <w:vAlign w:val="center"/>
          </w:tcPr>
          <w:p w14:paraId="4E569924" w14:textId="77777777" w:rsidR="00DF3E10" w:rsidRDefault="00DF3E10">
            <w:pPr>
              <w:rPr>
                <w:rFonts w:ascii="Times New Roman" w:hAnsi="Times New Roman"/>
                <w:sz w:val="20"/>
                <w:szCs w:val="20"/>
              </w:rPr>
            </w:pPr>
          </w:p>
        </w:tc>
        <w:tc>
          <w:tcPr>
            <w:tcW w:w="50" w:type="pct"/>
            <w:shd w:val="clear" w:color="auto" w:fill="auto"/>
            <w:vAlign w:val="center"/>
          </w:tcPr>
          <w:p w14:paraId="4E569925" w14:textId="77777777" w:rsidR="00DF3E10" w:rsidRDefault="00DF3E10">
            <w:pPr>
              <w:rPr>
                <w:rFonts w:ascii="Times New Roman" w:hAnsi="Times New Roman"/>
                <w:sz w:val="20"/>
                <w:szCs w:val="20"/>
              </w:rPr>
            </w:pPr>
          </w:p>
        </w:tc>
        <w:tc>
          <w:tcPr>
            <w:tcW w:w="50" w:type="pct"/>
            <w:shd w:val="clear" w:color="auto" w:fill="auto"/>
            <w:vAlign w:val="center"/>
          </w:tcPr>
          <w:p w14:paraId="4E569926" w14:textId="77777777" w:rsidR="00DF3E10" w:rsidRDefault="00DF3E10">
            <w:pPr>
              <w:rPr>
                <w:rFonts w:ascii="Times New Roman" w:hAnsi="Times New Roman"/>
                <w:sz w:val="20"/>
                <w:szCs w:val="20"/>
              </w:rPr>
            </w:pPr>
          </w:p>
        </w:tc>
        <w:tc>
          <w:tcPr>
            <w:tcW w:w="550" w:type="pct"/>
            <w:shd w:val="clear" w:color="auto" w:fill="auto"/>
            <w:vAlign w:val="center"/>
          </w:tcPr>
          <w:p w14:paraId="4E569927" w14:textId="77777777" w:rsidR="00DF3E10" w:rsidRDefault="00DF3E10">
            <w:pPr>
              <w:rPr>
                <w:rFonts w:ascii="Times New Roman" w:hAnsi="Times New Roman"/>
                <w:sz w:val="20"/>
                <w:szCs w:val="20"/>
              </w:rPr>
            </w:pPr>
          </w:p>
        </w:tc>
        <w:tc>
          <w:tcPr>
            <w:tcW w:w="50" w:type="pct"/>
            <w:shd w:val="clear" w:color="auto" w:fill="auto"/>
            <w:vAlign w:val="center"/>
          </w:tcPr>
          <w:p w14:paraId="4E569928" w14:textId="77777777" w:rsidR="00DF3E10" w:rsidRDefault="00DF3E10">
            <w:pPr>
              <w:rPr>
                <w:rFonts w:ascii="Times New Roman" w:hAnsi="Times New Roman"/>
                <w:sz w:val="20"/>
                <w:szCs w:val="20"/>
              </w:rPr>
            </w:pPr>
          </w:p>
        </w:tc>
        <w:tc>
          <w:tcPr>
            <w:tcW w:w="50" w:type="pct"/>
            <w:shd w:val="clear" w:color="auto" w:fill="auto"/>
            <w:vAlign w:val="center"/>
          </w:tcPr>
          <w:p w14:paraId="4E569929" w14:textId="77777777" w:rsidR="00DF3E10" w:rsidRDefault="00DF3E10">
            <w:pPr>
              <w:rPr>
                <w:rFonts w:ascii="Times New Roman" w:hAnsi="Times New Roman"/>
                <w:sz w:val="20"/>
                <w:szCs w:val="20"/>
              </w:rPr>
            </w:pPr>
          </w:p>
        </w:tc>
        <w:tc>
          <w:tcPr>
            <w:tcW w:w="50" w:type="pct"/>
            <w:shd w:val="clear" w:color="auto" w:fill="auto"/>
            <w:vAlign w:val="center"/>
          </w:tcPr>
          <w:p w14:paraId="4E56992A" w14:textId="77777777" w:rsidR="00DF3E10" w:rsidRDefault="00DF3E10">
            <w:pPr>
              <w:rPr>
                <w:rFonts w:ascii="Times New Roman" w:hAnsi="Times New Roman"/>
                <w:sz w:val="20"/>
                <w:szCs w:val="20"/>
              </w:rPr>
            </w:pPr>
          </w:p>
        </w:tc>
        <w:tc>
          <w:tcPr>
            <w:tcW w:w="550" w:type="pct"/>
            <w:shd w:val="clear" w:color="auto" w:fill="auto"/>
            <w:vAlign w:val="center"/>
          </w:tcPr>
          <w:p w14:paraId="4E56992B" w14:textId="77777777" w:rsidR="00DF3E10" w:rsidRDefault="00DF3E10">
            <w:pPr>
              <w:rPr>
                <w:rFonts w:ascii="Times New Roman" w:hAnsi="Times New Roman"/>
                <w:sz w:val="20"/>
                <w:szCs w:val="20"/>
              </w:rPr>
            </w:pPr>
          </w:p>
        </w:tc>
        <w:tc>
          <w:tcPr>
            <w:tcW w:w="50" w:type="pct"/>
            <w:shd w:val="clear" w:color="auto" w:fill="auto"/>
            <w:vAlign w:val="center"/>
          </w:tcPr>
          <w:p w14:paraId="4E56992C" w14:textId="77777777" w:rsidR="00DF3E10" w:rsidRDefault="00DF3E10">
            <w:pPr>
              <w:rPr>
                <w:rFonts w:ascii="Times New Roman" w:hAnsi="Times New Roman"/>
                <w:sz w:val="20"/>
                <w:szCs w:val="20"/>
              </w:rPr>
            </w:pPr>
          </w:p>
        </w:tc>
        <w:tc>
          <w:tcPr>
            <w:tcW w:w="50" w:type="pct"/>
            <w:shd w:val="clear" w:color="auto" w:fill="auto"/>
            <w:vAlign w:val="center"/>
          </w:tcPr>
          <w:p w14:paraId="4E56992D" w14:textId="77777777" w:rsidR="00DF3E10" w:rsidRDefault="00DF3E10">
            <w:pPr>
              <w:rPr>
                <w:rFonts w:ascii="Times New Roman" w:hAnsi="Times New Roman"/>
                <w:sz w:val="20"/>
                <w:szCs w:val="20"/>
              </w:rPr>
            </w:pPr>
          </w:p>
        </w:tc>
        <w:tc>
          <w:tcPr>
            <w:tcW w:w="50" w:type="pct"/>
            <w:shd w:val="clear" w:color="auto" w:fill="auto"/>
            <w:vAlign w:val="center"/>
          </w:tcPr>
          <w:p w14:paraId="4E56992E" w14:textId="77777777" w:rsidR="00DF3E10" w:rsidRDefault="00DF3E10">
            <w:pPr>
              <w:rPr>
                <w:rFonts w:ascii="Times New Roman" w:hAnsi="Times New Roman"/>
                <w:sz w:val="20"/>
                <w:szCs w:val="20"/>
              </w:rPr>
            </w:pPr>
          </w:p>
        </w:tc>
        <w:tc>
          <w:tcPr>
            <w:tcW w:w="550" w:type="pct"/>
            <w:shd w:val="clear" w:color="auto" w:fill="auto"/>
            <w:vAlign w:val="center"/>
          </w:tcPr>
          <w:p w14:paraId="4E56992F" w14:textId="77777777" w:rsidR="00DF3E10" w:rsidRDefault="00DF3E10">
            <w:pPr>
              <w:rPr>
                <w:rFonts w:ascii="Times New Roman" w:hAnsi="Times New Roman"/>
                <w:sz w:val="20"/>
                <w:szCs w:val="20"/>
              </w:rPr>
            </w:pPr>
          </w:p>
        </w:tc>
        <w:tc>
          <w:tcPr>
            <w:tcW w:w="50" w:type="pct"/>
            <w:shd w:val="clear" w:color="auto" w:fill="auto"/>
            <w:vAlign w:val="center"/>
          </w:tcPr>
          <w:p w14:paraId="4E569930" w14:textId="77777777" w:rsidR="00DF3E10" w:rsidRDefault="00DF3E10">
            <w:pPr>
              <w:rPr>
                <w:rFonts w:ascii="Times New Roman" w:hAnsi="Times New Roman"/>
                <w:sz w:val="20"/>
                <w:szCs w:val="20"/>
              </w:rPr>
            </w:pPr>
          </w:p>
        </w:tc>
      </w:tr>
      <w:tr w:rsidR="00DF3E10" w14:paraId="4E569936" w14:textId="77777777">
        <w:tc>
          <w:tcPr>
            <w:tcW w:w="0" w:type="auto"/>
            <w:shd w:val="clear" w:color="auto" w:fill="auto"/>
            <w:tcMar>
              <w:top w:w="40" w:type="dxa"/>
              <w:left w:w="40" w:type="dxa"/>
              <w:bottom w:w="40" w:type="dxa"/>
              <w:right w:w="40" w:type="dxa"/>
            </w:tcMar>
            <w:vAlign w:val="bottom"/>
          </w:tcPr>
          <w:p w14:paraId="4E56993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93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99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93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993F" w14:textId="77777777">
        <w:tc>
          <w:tcPr>
            <w:tcW w:w="0" w:type="auto"/>
            <w:shd w:val="clear" w:color="auto" w:fill="auto"/>
            <w:tcMar>
              <w:top w:w="40" w:type="dxa"/>
              <w:left w:w="40" w:type="dxa"/>
              <w:bottom w:w="40" w:type="dxa"/>
              <w:right w:w="40" w:type="dxa"/>
            </w:tcMar>
            <w:vAlign w:val="bottom"/>
          </w:tcPr>
          <w:p w14:paraId="4E569937"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93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9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93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99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93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9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93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9950" w14:textId="77777777">
        <w:tc>
          <w:tcPr>
            <w:tcW w:w="0" w:type="auto"/>
            <w:shd w:val="clear" w:color="auto" w:fill="CCEEFF"/>
            <w:tcMar>
              <w:top w:w="40" w:type="dxa"/>
              <w:left w:w="40" w:type="dxa"/>
              <w:bottom w:w="40" w:type="dxa"/>
              <w:right w:w="40" w:type="dxa"/>
            </w:tcMar>
          </w:tcPr>
          <w:p w14:paraId="4E569940"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Revenue</w:t>
            </w:r>
          </w:p>
        </w:tc>
        <w:tc>
          <w:tcPr>
            <w:tcW w:w="0" w:type="auto"/>
            <w:shd w:val="clear" w:color="auto" w:fill="CCEEFF"/>
            <w:tcMar>
              <w:top w:w="40" w:type="dxa"/>
              <w:left w:w="40" w:type="dxa"/>
              <w:bottom w:w="40" w:type="dxa"/>
            </w:tcMar>
            <w:vAlign w:val="bottom"/>
          </w:tcPr>
          <w:p w14:paraId="4E5699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94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18,687</w:t>
            </w:r>
          </w:p>
        </w:tc>
        <w:tc>
          <w:tcPr>
            <w:tcW w:w="0" w:type="auto"/>
            <w:shd w:val="clear" w:color="auto" w:fill="CCEEFF"/>
            <w:vAlign w:val="bottom"/>
          </w:tcPr>
          <w:p w14:paraId="4E56994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9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9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shd w:val="clear" w:color="auto" w:fill="CCEEFF"/>
            <w:vAlign w:val="bottom"/>
          </w:tcPr>
          <w:p w14:paraId="4E56994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9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9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36,423</w:t>
            </w:r>
          </w:p>
        </w:tc>
        <w:tc>
          <w:tcPr>
            <w:tcW w:w="0" w:type="auto"/>
            <w:shd w:val="clear" w:color="auto" w:fill="CCEEFF"/>
            <w:vAlign w:val="bottom"/>
          </w:tcPr>
          <w:p w14:paraId="4E56994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9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94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31,963</w:t>
            </w:r>
          </w:p>
        </w:tc>
        <w:tc>
          <w:tcPr>
            <w:tcW w:w="0" w:type="auto"/>
            <w:shd w:val="clear" w:color="auto" w:fill="CCEEFF"/>
            <w:vAlign w:val="bottom"/>
          </w:tcPr>
          <w:p w14:paraId="4E56994F" w14:textId="77777777" w:rsidR="00DF3E10" w:rsidRDefault="00DF3E10">
            <w:pPr>
              <w:textAlignment w:val="bottom"/>
              <w:rPr>
                <w:rFonts w:ascii="Times New Roman" w:hAnsi="Times New Roman"/>
                <w:sz w:val="20"/>
                <w:szCs w:val="20"/>
              </w:rPr>
            </w:pPr>
          </w:p>
        </w:tc>
      </w:tr>
      <w:tr w:rsidR="00DF3E10" w14:paraId="4E569959" w14:textId="77777777">
        <w:tc>
          <w:tcPr>
            <w:tcW w:w="0" w:type="auto"/>
            <w:shd w:val="clear" w:color="auto" w:fill="auto"/>
            <w:tcMar>
              <w:top w:w="40" w:type="dxa"/>
              <w:left w:w="40" w:type="dxa"/>
              <w:bottom w:w="40" w:type="dxa"/>
              <w:right w:w="40" w:type="dxa"/>
            </w:tcMar>
          </w:tcPr>
          <w:p w14:paraId="4E569951"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Costs and expenses:</w:t>
            </w:r>
          </w:p>
        </w:tc>
        <w:tc>
          <w:tcPr>
            <w:tcW w:w="0" w:type="auto"/>
            <w:gridSpan w:val="3"/>
            <w:shd w:val="clear" w:color="auto" w:fill="auto"/>
            <w:tcMar>
              <w:top w:w="40" w:type="dxa"/>
              <w:left w:w="40" w:type="dxa"/>
              <w:bottom w:w="40" w:type="dxa"/>
              <w:right w:w="40" w:type="dxa"/>
            </w:tcMar>
            <w:vAlign w:val="bottom"/>
          </w:tcPr>
          <w:p w14:paraId="4E5699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9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9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9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9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9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9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966" w14:textId="77777777">
        <w:tc>
          <w:tcPr>
            <w:tcW w:w="0" w:type="auto"/>
            <w:shd w:val="clear" w:color="auto" w:fill="CCEEFF"/>
            <w:tcMar>
              <w:top w:w="40" w:type="dxa"/>
              <w:left w:w="560" w:type="dxa"/>
              <w:bottom w:w="40" w:type="dxa"/>
              <w:right w:w="40" w:type="dxa"/>
            </w:tcMar>
          </w:tcPr>
          <w:p w14:paraId="4E56995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Cost of </w:t>
            </w:r>
            <w:r>
              <w:rPr>
                <w:rFonts w:ascii="Times New Roman" w:eastAsia="宋体" w:hAnsi="Times New Roman"/>
                <w:sz w:val="20"/>
                <w:szCs w:val="20"/>
              </w:rPr>
              <w:t>revenue</w:t>
            </w:r>
          </w:p>
        </w:tc>
        <w:tc>
          <w:tcPr>
            <w:tcW w:w="0" w:type="auto"/>
            <w:gridSpan w:val="2"/>
            <w:shd w:val="clear" w:color="auto" w:fill="CCEEFF"/>
            <w:tcMar>
              <w:top w:w="40" w:type="dxa"/>
              <w:left w:w="40" w:type="dxa"/>
              <w:bottom w:w="40" w:type="dxa"/>
            </w:tcMar>
            <w:vAlign w:val="bottom"/>
          </w:tcPr>
          <w:p w14:paraId="4E56995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3,829</w:t>
            </w:r>
          </w:p>
        </w:tc>
        <w:tc>
          <w:tcPr>
            <w:tcW w:w="0" w:type="auto"/>
            <w:shd w:val="clear" w:color="auto" w:fill="CCEEFF"/>
            <w:vAlign w:val="bottom"/>
          </w:tcPr>
          <w:p w14:paraId="4E56995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5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3,307</w:t>
            </w:r>
          </w:p>
        </w:tc>
        <w:tc>
          <w:tcPr>
            <w:tcW w:w="0" w:type="auto"/>
            <w:shd w:val="clear" w:color="auto" w:fill="CCEEFF"/>
            <w:vAlign w:val="bottom"/>
          </w:tcPr>
          <w:p w14:paraId="4E56995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6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shd w:val="clear" w:color="auto" w:fill="CCEEFF"/>
            <w:vAlign w:val="bottom"/>
          </w:tcPr>
          <w:p w14:paraId="4E56996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6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6,123</w:t>
            </w:r>
          </w:p>
        </w:tc>
        <w:tc>
          <w:tcPr>
            <w:tcW w:w="0" w:type="auto"/>
            <w:shd w:val="clear" w:color="auto" w:fill="CCEEFF"/>
            <w:vAlign w:val="bottom"/>
          </w:tcPr>
          <w:p w14:paraId="4E569965" w14:textId="77777777" w:rsidR="00DF3E10" w:rsidRDefault="00DF3E10">
            <w:pPr>
              <w:textAlignment w:val="bottom"/>
              <w:rPr>
                <w:rFonts w:ascii="Times New Roman" w:hAnsi="Times New Roman"/>
                <w:sz w:val="20"/>
                <w:szCs w:val="20"/>
              </w:rPr>
            </w:pPr>
          </w:p>
        </w:tc>
      </w:tr>
      <w:tr w:rsidR="00DF3E10" w14:paraId="4E569973" w14:textId="77777777">
        <w:tc>
          <w:tcPr>
            <w:tcW w:w="0" w:type="auto"/>
            <w:shd w:val="clear" w:color="auto" w:fill="auto"/>
            <w:tcMar>
              <w:top w:w="40" w:type="dxa"/>
              <w:left w:w="560" w:type="dxa"/>
              <w:bottom w:w="40" w:type="dxa"/>
              <w:right w:w="40" w:type="dxa"/>
            </w:tcMar>
          </w:tcPr>
          <w:p w14:paraId="4E56996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4E5699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4,462</w:t>
            </w:r>
          </w:p>
        </w:tc>
        <w:tc>
          <w:tcPr>
            <w:tcW w:w="0" w:type="auto"/>
            <w:shd w:val="clear" w:color="auto" w:fill="auto"/>
            <w:vAlign w:val="bottom"/>
          </w:tcPr>
          <w:p w14:paraId="4E56996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6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3,315</w:t>
            </w:r>
          </w:p>
        </w:tc>
        <w:tc>
          <w:tcPr>
            <w:tcW w:w="0" w:type="auto"/>
            <w:shd w:val="clear" w:color="auto" w:fill="auto"/>
            <w:vAlign w:val="bottom"/>
          </w:tcPr>
          <w:p w14:paraId="4E56996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6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8,477</w:t>
            </w:r>
          </w:p>
        </w:tc>
        <w:tc>
          <w:tcPr>
            <w:tcW w:w="0" w:type="auto"/>
            <w:shd w:val="clear" w:color="auto" w:fill="auto"/>
            <w:vAlign w:val="bottom"/>
          </w:tcPr>
          <w:p w14:paraId="4E56996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7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6,175</w:t>
            </w:r>
          </w:p>
        </w:tc>
        <w:tc>
          <w:tcPr>
            <w:tcW w:w="0" w:type="auto"/>
            <w:shd w:val="clear" w:color="auto" w:fill="auto"/>
            <w:vAlign w:val="bottom"/>
          </w:tcPr>
          <w:p w14:paraId="4E569972" w14:textId="77777777" w:rsidR="00DF3E10" w:rsidRDefault="00DF3E10">
            <w:pPr>
              <w:textAlignment w:val="bottom"/>
              <w:rPr>
                <w:rFonts w:ascii="Times New Roman" w:hAnsi="Times New Roman"/>
                <w:sz w:val="20"/>
                <w:szCs w:val="20"/>
              </w:rPr>
            </w:pPr>
          </w:p>
        </w:tc>
      </w:tr>
      <w:tr w:rsidR="00DF3E10" w14:paraId="4E569980" w14:textId="77777777">
        <w:tc>
          <w:tcPr>
            <w:tcW w:w="0" w:type="auto"/>
            <w:shd w:val="clear" w:color="auto" w:fill="CCEEFF"/>
            <w:tcMar>
              <w:top w:w="40" w:type="dxa"/>
              <w:left w:w="560" w:type="dxa"/>
              <w:bottom w:w="40" w:type="dxa"/>
              <w:right w:w="40" w:type="dxa"/>
            </w:tcMar>
          </w:tcPr>
          <w:p w14:paraId="4E56997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4E56997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2,840</w:t>
            </w:r>
          </w:p>
        </w:tc>
        <w:tc>
          <w:tcPr>
            <w:tcW w:w="0" w:type="auto"/>
            <w:shd w:val="clear" w:color="auto" w:fill="CCEEFF"/>
            <w:vAlign w:val="bottom"/>
          </w:tcPr>
          <w:p w14:paraId="4E56997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2,414</w:t>
            </w:r>
          </w:p>
        </w:tc>
        <w:tc>
          <w:tcPr>
            <w:tcW w:w="0" w:type="auto"/>
            <w:shd w:val="clear" w:color="auto" w:fill="CCEEFF"/>
            <w:vAlign w:val="bottom"/>
          </w:tcPr>
          <w:p w14:paraId="4E56997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5,627</w:t>
            </w:r>
          </w:p>
        </w:tc>
        <w:tc>
          <w:tcPr>
            <w:tcW w:w="0" w:type="auto"/>
            <w:shd w:val="clear" w:color="auto" w:fill="CCEEFF"/>
            <w:vAlign w:val="bottom"/>
          </w:tcPr>
          <w:p w14:paraId="4E56997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97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4,434</w:t>
            </w:r>
          </w:p>
        </w:tc>
        <w:tc>
          <w:tcPr>
            <w:tcW w:w="0" w:type="auto"/>
            <w:shd w:val="clear" w:color="auto" w:fill="CCEEFF"/>
            <w:vAlign w:val="bottom"/>
          </w:tcPr>
          <w:p w14:paraId="4E56997F" w14:textId="77777777" w:rsidR="00DF3E10" w:rsidRDefault="00DF3E10">
            <w:pPr>
              <w:textAlignment w:val="bottom"/>
              <w:rPr>
                <w:rFonts w:ascii="Times New Roman" w:hAnsi="Times New Roman"/>
                <w:sz w:val="20"/>
                <w:szCs w:val="20"/>
              </w:rPr>
            </w:pPr>
          </w:p>
        </w:tc>
      </w:tr>
      <w:tr w:rsidR="00DF3E10" w14:paraId="4E56998D" w14:textId="77777777">
        <w:tc>
          <w:tcPr>
            <w:tcW w:w="0" w:type="auto"/>
            <w:shd w:val="clear" w:color="auto" w:fill="auto"/>
            <w:tcMar>
              <w:top w:w="40" w:type="dxa"/>
              <w:left w:w="560" w:type="dxa"/>
              <w:bottom w:w="40" w:type="dxa"/>
              <w:right w:w="40" w:type="dxa"/>
            </w:tcMar>
          </w:tcPr>
          <w:p w14:paraId="4E56998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4E5699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1,593</w:t>
            </w:r>
          </w:p>
        </w:tc>
        <w:tc>
          <w:tcPr>
            <w:tcW w:w="0" w:type="auto"/>
            <w:tcBorders>
              <w:bottom w:val="single" w:sz="8" w:space="0" w:color="000000"/>
            </w:tcBorders>
            <w:shd w:val="clear" w:color="auto" w:fill="auto"/>
            <w:vAlign w:val="bottom"/>
          </w:tcPr>
          <w:p w14:paraId="4E5699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9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3,224</w:t>
            </w:r>
          </w:p>
        </w:tc>
        <w:tc>
          <w:tcPr>
            <w:tcW w:w="0" w:type="auto"/>
            <w:tcBorders>
              <w:bottom w:val="single" w:sz="8" w:space="0" w:color="000000"/>
            </w:tcBorders>
            <w:shd w:val="clear" w:color="auto" w:fill="auto"/>
            <w:vAlign w:val="bottom"/>
          </w:tcPr>
          <w:p w14:paraId="4E56998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9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3,175</w:t>
            </w:r>
          </w:p>
        </w:tc>
        <w:tc>
          <w:tcPr>
            <w:tcW w:w="0" w:type="auto"/>
            <w:tcBorders>
              <w:bottom w:val="single" w:sz="8" w:space="0" w:color="000000"/>
            </w:tcBorders>
            <w:shd w:val="clear" w:color="auto" w:fill="auto"/>
            <w:vAlign w:val="bottom"/>
          </w:tcPr>
          <w:p w14:paraId="4E56998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98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tcBorders>
              <w:bottom w:val="single" w:sz="8" w:space="0" w:color="000000"/>
            </w:tcBorders>
            <w:shd w:val="clear" w:color="auto" w:fill="auto"/>
            <w:vAlign w:val="bottom"/>
          </w:tcPr>
          <w:p w14:paraId="4E56998C" w14:textId="77777777" w:rsidR="00DF3E10" w:rsidRDefault="00DF3E10">
            <w:pPr>
              <w:textAlignment w:val="bottom"/>
              <w:rPr>
                <w:rFonts w:ascii="Times New Roman" w:hAnsi="Times New Roman"/>
                <w:sz w:val="20"/>
                <w:szCs w:val="20"/>
              </w:rPr>
            </w:pPr>
          </w:p>
        </w:tc>
      </w:tr>
      <w:tr w:rsidR="00DF3E10" w14:paraId="4E56999A" w14:textId="77777777">
        <w:tc>
          <w:tcPr>
            <w:tcW w:w="0" w:type="auto"/>
            <w:shd w:val="clear" w:color="auto" w:fill="CCEEFF"/>
            <w:tcMar>
              <w:top w:w="40" w:type="dxa"/>
              <w:left w:w="880" w:type="dxa"/>
              <w:bottom w:w="40" w:type="dxa"/>
              <w:right w:w="40" w:type="dxa"/>
            </w:tcMar>
          </w:tcPr>
          <w:p w14:paraId="4E56998E"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Total costs and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12,724</w:t>
            </w:r>
          </w:p>
        </w:tc>
        <w:tc>
          <w:tcPr>
            <w:tcW w:w="0" w:type="auto"/>
            <w:tcBorders>
              <w:bottom w:val="single" w:sz="8" w:space="0" w:color="000000"/>
            </w:tcBorders>
            <w:shd w:val="clear" w:color="auto" w:fill="CCEEFF"/>
            <w:vAlign w:val="bottom"/>
          </w:tcPr>
          <w:p w14:paraId="4E56999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9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12,260</w:t>
            </w:r>
          </w:p>
        </w:tc>
        <w:tc>
          <w:tcPr>
            <w:tcW w:w="0" w:type="auto"/>
            <w:tcBorders>
              <w:bottom w:val="single" w:sz="8" w:space="0" w:color="000000"/>
            </w:tcBorders>
            <w:shd w:val="clear" w:color="auto" w:fill="CCEEFF"/>
            <w:vAlign w:val="bottom"/>
          </w:tcPr>
          <w:p w14:paraId="4E56999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99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24,567</w:t>
            </w:r>
          </w:p>
        </w:tc>
        <w:tc>
          <w:tcPr>
            <w:tcW w:w="0" w:type="auto"/>
            <w:tcBorders>
              <w:top w:val="single" w:sz="8" w:space="0" w:color="000000"/>
              <w:bottom w:val="single" w:sz="8" w:space="0" w:color="000000"/>
            </w:tcBorders>
            <w:shd w:val="clear" w:color="auto" w:fill="CCEEFF"/>
            <w:vAlign w:val="bottom"/>
          </w:tcPr>
          <w:p w14:paraId="4E56999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9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24,020</w:t>
            </w:r>
          </w:p>
        </w:tc>
        <w:tc>
          <w:tcPr>
            <w:tcW w:w="0" w:type="auto"/>
            <w:tcBorders>
              <w:bottom w:val="single" w:sz="8" w:space="0" w:color="000000"/>
            </w:tcBorders>
            <w:shd w:val="clear" w:color="auto" w:fill="CCEEFF"/>
            <w:vAlign w:val="bottom"/>
          </w:tcPr>
          <w:p w14:paraId="4E569999" w14:textId="77777777" w:rsidR="00DF3E10" w:rsidRDefault="00DF3E10">
            <w:pPr>
              <w:textAlignment w:val="bottom"/>
              <w:rPr>
                <w:rFonts w:ascii="Times New Roman" w:hAnsi="Times New Roman"/>
                <w:sz w:val="20"/>
                <w:szCs w:val="20"/>
              </w:rPr>
            </w:pPr>
          </w:p>
        </w:tc>
      </w:tr>
      <w:tr w:rsidR="00DF3E10" w14:paraId="4E5699A7" w14:textId="77777777">
        <w:tc>
          <w:tcPr>
            <w:tcW w:w="0" w:type="auto"/>
            <w:shd w:val="clear" w:color="auto" w:fill="auto"/>
            <w:tcMar>
              <w:top w:w="40" w:type="dxa"/>
              <w:left w:w="40" w:type="dxa"/>
              <w:bottom w:w="40" w:type="dxa"/>
              <w:right w:w="40" w:type="dxa"/>
            </w:tcMar>
          </w:tcPr>
          <w:p w14:paraId="4E56999B"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Income from operations</w:t>
            </w:r>
          </w:p>
        </w:tc>
        <w:tc>
          <w:tcPr>
            <w:tcW w:w="0" w:type="auto"/>
            <w:gridSpan w:val="2"/>
            <w:shd w:val="clear" w:color="auto" w:fill="auto"/>
            <w:tcMar>
              <w:top w:w="40" w:type="dxa"/>
              <w:left w:w="40" w:type="dxa"/>
              <w:bottom w:w="40" w:type="dxa"/>
            </w:tcMar>
            <w:vAlign w:val="bottom"/>
          </w:tcPr>
          <w:p w14:paraId="4E56999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5,963</w:t>
            </w:r>
          </w:p>
        </w:tc>
        <w:tc>
          <w:tcPr>
            <w:tcW w:w="0" w:type="auto"/>
            <w:shd w:val="clear" w:color="auto" w:fill="auto"/>
            <w:vAlign w:val="bottom"/>
          </w:tcPr>
          <w:p w14:paraId="4E56999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4,626</w:t>
            </w:r>
          </w:p>
        </w:tc>
        <w:tc>
          <w:tcPr>
            <w:tcW w:w="0" w:type="auto"/>
            <w:shd w:val="clear" w:color="auto" w:fill="auto"/>
            <w:vAlign w:val="bottom"/>
          </w:tcPr>
          <w:p w14:paraId="4E5699A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A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11,856</w:t>
            </w:r>
          </w:p>
        </w:tc>
        <w:tc>
          <w:tcPr>
            <w:tcW w:w="0" w:type="auto"/>
            <w:shd w:val="clear" w:color="auto" w:fill="auto"/>
            <w:vAlign w:val="bottom"/>
          </w:tcPr>
          <w:p w14:paraId="4E5699A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9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7,943</w:t>
            </w:r>
          </w:p>
        </w:tc>
        <w:tc>
          <w:tcPr>
            <w:tcW w:w="0" w:type="auto"/>
            <w:shd w:val="clear" w:color="auto" w:fill="auto"/>
            <w:vAlign w:val="bottom"/>
          </w:tcPr>
          <w:p w14:paraId="4E5699A6" w14:textId="77777777" w:rsidR="00DF3E10" w:rsidRDefault="00DF3E10">
            <w:pPr>
              <w:textAlignment w:val="bottom"/>
              <w:rPr>
                <w:rFonts w:ascii="Times New Roman" w:hAnsi="Times New Roman"/>
                <w:sz w:val="20"/>
                <w:szCs w:val="20"/>
              </w:rPr>
            </w:pPr>
          </w:p>
        </w:tc>
      </w:tr>
      <w:tr w:rsidR="00DF3E10" w14:paraId="4E5699B4" w14:textId="77777777">
        <w:tc>
          <w:tcPr>
            <w:tcW w:w="0" w:type="auto"/>
            <w:shd w:val="clear" w:color="auto" w:fill="CCEEFF"/>
            <w:tcMar>
              <w:top w:w="40" w:type="dxa"/>
              <w:left w:w="40" w:type="dxa"/>
              <w:bottom w:w="40" w:type="dxa"/>
              <w:right w:w="40" w:type="dxa"/>
            </w:tcMar>
          </w:tcPr>
          <w:p w14:paraId="4E5699A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tcBorders>
              <w:bottom w:val="single" w:sz="8" w:space="0" w:color="000000"/>
            </w:tcBorders>
            <w:shd w:val="clear" w:color="auto" w:fill="CCEEFF"/>
            <w:vAlign w:val="bottom"/>
          </w:tcPr>
          <w:p w14:paraId="4E5699A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tcBorders>
              <w:bottom w:val="single" w:sz="8" w:space="0" w:color="000000"/>
            </w:tcBorders>
            <w:shd w:val="clear" w:color="auto" w:fill="CCEEFF"/>
            <w:vAlign w:val="bottom"/>
          </w:tcPr>
          <w:p w14:paraId="4E5699A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bottom w:val="single" w:sz="8" w:space="0" w:color="000000"/>
            </w:tcBorders>
            <w:shd w:val="clear" w:color="auto" w:fill="CCEEFF"/>
            <w:vAlign w:val="bottom"/>
          </w:tcPr>
          <w:p w14:paraId="4E5699B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B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tcBorders>
              <w:bottom w:val="single" w:sz="8" w:space="0" w:color="000000"/>
            </w:tcBorders>
            <w:shd w:val="clear" w:color="auto" w:fill="CCEEFF"/>
            <w:vAlign w:val="bottom"/>
          </w:tcPr>
          <w:p w14:paraId="4E5699B3" w14:textId="77777777" w:rsidR="00DF3E10" w:rsidRDefault="00DF3E10">
            <w:pPr>
              <w:textAlignment w:val="bottom"/>
              <w:rPr>
                <w:rFonts w:ascii="Times New Roman" w:hAnsi="Times New Roman"/>
                <w:sz w:val="20"/>
                <w:szCs w:val="20"/>
              </w:rPr>
            </w:pPr>
          </w:p>
        </w:tc>
      </w:tr>
      <w:tr w:rsidR="00DF3E10" w14:paraId="4E5699C1" w14:textId="77777777">
        <w:tc>
          <w:tcPr>
            <w:tcW w:w="0" w:type="auto"/>
            <w:shd w:val="clear" w:color="auto" w:fill="auto"/>
            <w:tcMar>
              <w:top w:w="40" w:type="dxa"/>
              <w:left w:w="40" w:type="dxa"/>
              <w:bottom w:w="40" w:type="dxa"/>
              <w:right w:w="40" w:type="dxa"/>
            </w:tcMar>
          </w:tcPr>
          <w:p w14:paraId="4E5699B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tcBorders>
              <w:top w:val="single" w:sz="8" w:space="0" w:color="000000"/>
            </w:tcBorders>
            <w:shd w:val="clear" w:color="auto" w:fill="auto"/>
            <w:tcMar>
              <w:top w:w="40" w:type="dxa"/>
              <w:left w:w="40" w:type="dxa"/>
              <w:bottom w:w="40" w:type="dxa"/>
            </w:tcMar>
            <w:vAlign w:val="bottom"/>
          </w:tcPr>
          <w:p w14:paraId="4E5699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6,131</w:t>
            </w:r>
          </w:p>
        </w:tc>
        <w:tc>
          <w:tcPr>
            <w:tcW w:w="0" w:type="auto"/>
            <w:tcBorders>
              <w:top w:val="single" w:sz="8" w:space="0" w:color="000000"/>
            </w:tcBorders>
            <w:shd w:val="clear" w:color="auto" w:fill="auto"/>
            <w:vAlign w:val="bottom"/>
          </w:tcPr>
          <w:p w14:paraId="4E5699B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E5699B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4,832</w:t>
            </w:r>
          </w:p>
        </w:tc>
        <w:tc>
          <w:tcPr>
            <w:tcW w:w="0" w:type="auto"/>
            <w:tcBorders>
              <w:top w:val="single" w:sz="8" w:space="0" w:color="000000"/>
            </w:tcBorders>
            <w:shd w:val="clear" w:color="auto" w:fill="auto"/>
            <w:vAlign w:val="bottom"/>
          </w:tcPr>
          <w:p w14:paraId="4E5699B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E5699B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11,992</w:t>
            </w:r>
          </w:p>
        </w:tc>
        <w:tc>
          <w:tcPr>
            <w:tcW w:w="0" w:type="auto"/>
            <w:tcBorders>
              <w:top w:val="single" w:sz="8" w:space="0" w:color="000000"/>
            </w:tcBorders>
            <w:shd w:val="clear" w:color="auto" w:fill="auto"/>
            <w:vAlign w:val="bottom"/>
          </w:tcPr>
          <w:p w14:paraId="4E5699B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E5699B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8,314</w:t>
            </w:r>
          </w:p>
        </w:tc>
        <w:tc>
          <w:tcPr>
            <w:tcW w:w="0" w:type="auto"/>
            <w:tcBorders>
              <w:top w:val="single" w:sz="8" w:space="0" w:color="000000"/>
            </w:tcBorders>
            <w:shd w:val="clear" w:color="auto" w:fill="auto"/>
            <w:vAlign w:val="bottom"/>
          </w:tcPr>
          <w:p w14:paraId="4E5699C0" w14:textId="77777777" w:rsidR="00DF3E10" w:rsidRDefault="00DF3E10">
            <w:pPr>
              <w:textAlignment w:val="bottom"/>
              <w:rPr>
                <w:rFonts w:ascii="Times New Roman" w:hAnsi="Times New Roman"/>
                <w:sz w:val="20"/>
                <w:szCs w:val="20"/>
              </w:rPr>
            </w:pPr>
          </w:p>
        </w:tc>
      </w:tr>
      <w:tr w:rsidR="00DF3E10" w14:paraId="4E5699CE" w14:textId="77777777">
        <w:tc>
          <w:tcPr>
            <w:tcW w:w="0" w:type="auto"/>
            <w:shd w:val="clear" w:color="auto" w:fill="CCEEFF"/>
            <w:tcMar>
              <w:top w:w="40" w:type="dxa"/>
              <w:left w:w="40" w:type="dxa"/>
              <w:bottom w:w="40" w:type="dxa"/>
              <w:right w:w="40" w:type="dxa"/>
            </w:tcMar>
          </w:tcPr>
          <w:p w14:paraId="4E5699C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Provision for </w:t>
            </w:r>
            <w:r>
              <w:rPr>
                <w:rFonts w:ascii="Times New Roman" w:eastAsia="宋体" w:hAnsi="Times New Roman"/>
                <w:sz w:val="20"/>
                <w:szCs w:val="20"/>
              </w:rPr>
              <w:t>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tcBorders>
              <w:bottom w:val="single" w:sz="8" w:space="0" w:color="000000"/>
            </w:tcBorders>
            <w:shd w:val="clear" w:color="auto" w:fill="CCEEFF"/>
            <w:vAlign w:val="bottom"/>
          </w:tcPr>
          <w:p w14:paraId="4E5699C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2,216</w:t>
            </w:r>
          </w:p>
        </w:tc>
        <w:tc>
          <w:tcPr>
            <w:tcW w:w="0" w:type="auto"/>
            <w:tcBorders>
              <w:bottom w:val="single" w:sz="8" w:space="0" w:color="000000"/>
            </w:tcBorders>
            <w:shd w:val="clear" w:color="auto" w:fill="CCEEFF"/>
            <w:vAlign w:val="bottom"/>
          </w:tcPr>
          <w:p w14:paraId="4E5699C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C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1,911</w:t>
            </w:r>
          </w:p>
        </w:tc>
        <w:tc>
          <w:tcPr>
            <w:tcW w:w="0" w:type="auto"/>
            <w:tcBorders>
              <w:bottom w:val="single" w:sz="8" w:space="0" w:color="000000"/>
            </w:tcBorders>
            <w:shd w:val="clear" w:color="auto" w:fill="CCEEFF"/>
            <w:vAlign w:val="bottom"/>
          </w:tcPr>
          <w:p w14:paraId="4E5699C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9C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3,269</w:t>
            </w:r>
          </w:p>
        </w:tc>
        <w:tc>
          <w:tcPr>
            <w:tcW w:w="0" w:type="auto"/>
            <w:tcBorders>
              <w:bottom w:val="single" w:sz="8" w:space="0" w:color="000000"/>
            </w:tcBorders>
            <w:shd w:val="clear" w:color="auto" w:fill="CCEEFF"/>
            <w:vAlign w:val="bottom"/>
          </w:tcPr>
          <w:p w14:paraId="4E5699CD" w14:textId="77777777" w:rsidR="00DF3E10" w:rsidRDefault="00DF3E10">
            <w:pPr>
              <w:textAlignment w:val="bottom"/>
              <w:rPr>
                <w:rFonts w:ascii="Times New Roman" w:hAnsi="Times New Roman"/>
                <w:sz w:val="20"/>
                <w:szCs w:val="20"/>
              </w:rPr>
            </w:pPr>
          </w:p>
        </w:tc>
      </w:tr>
      <w:tr w:rsidR="00DF3E10" w14:paraId="4E5699DF" w14:textId="77777777">
        <w:tc>
          <w:tcPr>
            <w:tcW w:w="0" w:type="auto"/>
            <w:shd w:val="clear" w:color="auto" w:fill="auto"/>
            <w:tcMar>
              <w:top w:w="40" w:type="dxa"/>
              <w:left w:w="40" w:type="dxa"/>
              <w:bottom w:w="40" w:type="dxa"/>
              <w:right w:w="40" w:type="dxa"/>
            </w:tcMar>
          </w:tcPr>
          <w:p w14:paraId="4E5699CF"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9D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9D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5,178</w:t>
            </w:r>
          </w:p>
        </w:tc>
        <w:tc>
          <w:tcPr>
            <w:tcW w:w="0" w:type="auto"/>
            <w:tcBorders>
              <w:top w:val="single" w:sz="8" w:space="0" w:color="000000"/>
              <w:bottom w:val="double" w:sz="6" w:space="0" w:color="000000"/>
            </w:tcBorders>
            <w:shd w:val="clear" w:color="auto" w:fill="auto"/>
            <w:vAlign w:val="bottom"/>
          </w:tcPr>
          <w:p w14:paraId="4E5699D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9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9D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bottom w:val="double" w:sz="6" w:space="0" w:color="000000"/>
            </w:tcBorders>
            <w:shd w:val="clear" w:color="auto" w:fill="auto"/>
            <w:vAlign w:val="bottom"/>
          </w:tcPr>
          <w:p w14:paraId="4E5699D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9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9D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10,081</w:t>
            </w:r>
          </w:p>
        </w:tc>
        <w:tc>
          <w:tcPr>
            <w:tcW w:w="0" w:type="auto"/>
            <w:tcBorders>
              <w:top w:val="single" w:sz="8" w:space="0" w:color="000000"/>
              <w:bottom w:val="double" w:sz="6" w:space="0" w:color="000000"/>
            </w:tcBorders>
            <w:shd w:val="clear" w:color="auto" w:fill="auto"/>
            <w:vAlign w:val="bottom"/>
          </w:tcPr>
          <w:p w14:paraId="4E5699D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D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9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9D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5,045</w:t>
            </w:r>
          </w:p>
        </w:tc>
        <w:tc>
          <w:tcPr>
            <w:tcW w:w="0" w:type="auto"/>
            <w:tcBorders>
              <w:top w:val="single" w:sz="8" w:space="0" w:color="000000"/>
              <w:bottom w:val="double" w:sz="6" w:space="0" w:color="000000"/>
            </w:tcBorders>
            <w:shd w:val="clear" w:color="auto" w:fill="auto"/>
            <w:vAlign w:val="bottom"/>
          </w:tcPr>
          <w:p w14:paraId="4E5699DE" w14:textId="77777777" w:rsidR="00DF3E10" w:rsidRDefault="00DF3E10">
            <w:pPr>
              <w:textAlignment w:val="bottom"/>
              <w:rPr>
                <w:rFonts w:ascii="Times New Roman" w:hAnsi="Times New Roman"/>
                <w:sz w:val="20"/>
                <w:szCs w:val="20"/>
              </w:rPr>
            </w:pPr>
          </w:p>
        </w:tc>
      </w:tr>
      <w:tr w:rsidR="00DF3E10" w14:paraId="4E5699E8" w14:textId="77777777">
        <w:tc>
          <w:tcPr>
            <w:tcW w:w="0" w:type="auto"/>
            <w:shd w:val="clear" w:color="auto" w:fill="CCEEFF"/>
            <w:tcMar>
              <w:top w:w="40" w:type="dxa"/>
              <w:left w:w="40" w:type="dxa"/>
              <w:bottom w:w="40" w:type="dxa"/>
              <w:right w:w="40" w:type="dxa"/>
            </w:tcMar>
          </w:tcPr>
          <w:p w14:paraId="4E5699E0"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Earnings per share attributable to Class A and Class B common stockholders:</w:t>
            </w:r>
          </w:p>
        </w:tc>
        <w:tc>
          <w:tcPr>
            <w:tcW w:w="0" w:type="auto"/>
            <w:gridSpan w:val="3"/>
            <w:shd w:val="clear" w:color="auto" w:fill="CCEEFF"/>
            <w:tcMar>
              <w:top w:w="40" w:type="dxa"/>
              <w:left w:w="40" w:type="dxa"/>
              <w:bottom w:w="40" w:type="dxa"/>
              <w:right w:w="40" w:type="dxa"/>
            </w:tcMar>
            <w:vAlign w:val="bottom"/>
          </w:tcPr>
          <w:p w14:paraId="4E5699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9E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9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9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9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9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9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9F9" w14:textId="77777777">
        <w:tc>
          <w:tcPr>
            <w:tcW w:w="0" w:type="auto"/>
            <w:shd w:val="clear" w:color="auto" w:fill="auto"/>
            <w:tcMar>
              <w:top w:w="40" w:type="dxa"/>
              <w:left w:w="560" w:type="dxa"/>
              <w:bottom w:w="40" w:type="dxa"/>
              <w:right w:w="40" w:type="dxa"/>
            </w:tcMar>
          </w:tcPr>
          <w:p w14:paraId="4E5699E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auto"/>
            <w:tcMar>
              <w:top w:w="40" w:type="dxa"/>
              <w:left w:w="40" w:type="dxa"/>
              <w:bottom w:w="40" w:type="dxa"/>
            </w:tcMar>
            <w:vAlign w:val="bottom"/>
          </w:tcPr>
          <w:p w14:paraId="4E5699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9E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bottom w:val="double" w:sz="6" w:space="0" w:color="000000"/>
            </w:tcBorders>
            <w:shd w:val="clear" w:color="auto" w:fill="auto"/>
            <w:vAlign w:val="bottom"/>
          </w:tcPr>
          <w:p w14:paraId="4E5699E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9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9E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0.92</w:t>
            </w:r>
          </w:p>
        </w:tc>
        <w:tc>
          <w:tcPr>
            <w:tcW w:w="0" w:type="auto"/>
            <w:tcBorders>
              <w:bottom w:val="double" w:sz="6" w:space="0" w:color="000000"/>
            </w:tcBorders>
            <w:shd w:val="clear" w:color="auto" w:fill="auto"/>
            <w:vAlign w:val="bottom"/>
          </w:tcPr>
          <w:p w14:paraId="4E5699F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9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9F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tcBorders>
              <w:bottom w:val="double" w:sz="6" w:space="0" w:color="000000"/>
            </w:tcBorders>
            <w:shd w:val="clear" w:color="auto" w:fill="auto"/>
            <w:vAlign w:val="bottom"/>
          </w:tcPr>
          <w:p w14:paraId="4E5699F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9F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9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9F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bottom w:val="double" w:sz="6" w:space="0" w:color="000000"/>
            </w:tcBorders>
            <w:shd w:val="clear" w:color="auto" w:fill="auto"/>
            <w:vAlign w:val="bottom"/>
          </w:tcPr>
          <w:p w14:paraId="4E5699F8" w14:textId="77777777" w:rsidR="00DF3E10" w:rsidRDefault="00DF3E10">
            <w:pPr>
              <w:textAlignment w:val="bottom"/>
              <w:rPr>
                <w:rFonts w:ascii="Times New Roman" w:hAnsi="Times New Roman"/>
                <w:sz w:val="20"/>
                <w:szCs w:val="20"/>
              </w:rPr>
            </w:pPr>
          </w:p>
        </w:tc>
      </w:tr>
      <w:tr w:rsidR="00DF3E10" w14:paraId="4E569A0A" w14:textId="77777777">
        <w:tc>
          <w:tcPr>
            <w:tcW w:w="0" w:type="auto"/>
            <w:shd w:val="clear" w:color="auto" w:fill="CCEEFF"/>
            <w:tcMar>
              <w:top w:w="40" w:type="dxa"/>
              <w:left w:w="560" w:type="dxa"/>
              <w:bottom w:w="40" w:type="dxa"/>
              <w:right w:w="40" w:type="dxa"/>
            </w:tcMar>
          </w:tcPr>
          <w:p w14:paraId="4E5699F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Diluted</w:t>
            </w:r>
          </w:p>
        </w:tc>
        <w:tc>
          <w:tcPr>
            <w:tcW w:w="0" w:type="auto"/>
            <w:tcBorders>
              <w:bottom w:val="double" w:sz="6" w:space="0" w:color="000000"/>
            </w:tcBorders>
            <w:shd w:val="clear" w:color="auto" w:fill="CCEEFF"/>
            <w:tcMar>
              <w:top w:w="40" w:type="dxa"/>
              <w:left w:w="40" w:type="dxa"/>
              <w:bottom w:w="40" w:type="dxa"/>
            </w:tcMar>
            <w:vAlign w:val="bottom"/>
          </w:tcPr>
          <w:p w14:paraId="4E5699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9F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bottom w:val="double" w:sz="6" w:space="0" w:color="000000"/>
            </w:tcBorders>
            <w:shd w:val="clear" w:color="auto" w:fill="CCEEFF"/>
            <w:vAlign w:val="bottom"/>
          </w:tcPr>
          <w:p w14:paraId="4E5699F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9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99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A0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0.91</w:t>
            </w:r>
          </w:p>
        </w:tc>
        <w:tc>
          <w:tcPr>
            <w:tcW w:w="0" w:type="auto"/>
            <w:tcBorders>
              <w:bottom w:val="double" w:sz="6" w:space="0" w:color="000000"/>
            </w:tcBorders>
            <w:shd w:val="clear" w:color="auto" w:fill="CCEEFF"/>
            <w:vAlign w:val="bottom"/>
          </w:tcPr>
          <w:p w14:paraId="4E569A0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0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9A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A0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3.51</w:t>
            </w:r>
          </w:p>
        </w:tc>
        <w:tc>
          <w:tcPr>
            <w:tcW w:w="0" w:type="auto"/>
            <w:tcBorders>
              <w:bottom w:val="double" w:sz="6" w:space="0" w:color="000000"/>
            </w:tcBorders>
            <w:shd w:val="clear" w:color="auto" w:fill="CCEEFF"/>
            <w:vAlign w:val="bottom"/>
          </w:tcPr>
          <w:p w14:paraId="4E569A0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9A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A0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bottom w:val="double" w:sz="6" w:space="0" w:color="000000"/>
            </w:tcBorders>
            <w:shd w:val="clear" w:color="auto" w:fill="CCEEFF"/>
            <w:vAlign w:val="bottom"/>
          </w:tcPr>
          <w:p w14:paraId="4E569A09" w14:textId="77777777" w:rsidR="00DF3E10" w:rsidRDefault="00DF3E10">
            <w:pPr>
              <w:textAlignment w:val="bottom"/>
              <w:rPr>
                <w:rFonts w:ascii="Times New Roman" w:hAnsi="Times New Roman"/>
                <w:sz w:val="20"/>
                <w:szCs w:val="20"/>
              </w:rPr>
            </w:pPr>
          </w:p>
        </w:tc>
      </w:tr>
      <w:tr w:rsidR="00DF3E10" w14:paraId="4E569A13" w14:textId="77777777">
        <w:tc>
          <w:tcPr>
            <w:tcW w:w="0" w:type="auto"/>
            <w:shd w:val="clear" w:color="auto" w:fill="auto"/>
            <w:tcMar>
              <w:top w:w="40" w:type="dxa"/>
              <w:left w:w="40" w:type="dxa"/>
              <w:bottom w:w="40" w:type="dxa"/>
              <w:right w:w="40" w:type="dxa"/>
            </w:tcMar>
          </w:tcPr>
          <w:p w14:paraId="4E569A0B"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Weighted-average shares used to compute earnings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4E569A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0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1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A20" w14:textId="77777777">
        <w:tc>
          <w:tcPr>
            <w:tcW w:w="0" w:type="auto"/>
            <w:shd w:val="clear" w:color="auto" w:fill="CCEEFF"/>
            <w:tcMar>
              <w:top w:w="40" w:type="dxa"/>
              <w:left w:w="560" w:type="dxa"/>
              <w:bottom w:w="40" w:type="dxa"/>
              <w:right w:w="40" w:type="dxa"/>
            </w:tcMar>
          </w:tcPr>
          <w:p w14:paraId="4E569A1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CCEEFF"/>
            <w:tcMar>
              <w:top w:w="40" w:type="dxa"/>
              <w:left w:w="40" w:type="dxa"/>
              <w:bottom w:w="40" w:type="dxa"/>
            </w:tcMar>
            <w:vAlign w:val="bottom"/>
          </w:tcPr>
          <w:p w14:paraId="4E569A1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2,850</w:t>
            </w:r>
          </w:p>
        </w:tc>
        <w:tc>
          <w:tcPr>
            <w:tcW w:w="0" w:type="auto"/>
            <w:tcBorders>
              <w:bottom w:val="double" w:sz="6" w:space="0" w:color="000000"/>
            </w:tcBorders>
            <w:shd w:val="clear" w:color="auto" w:fill="CCEEFF"/>
            <w:vAlign w:val="bottom"/>
          </w:tcPr>
          <w:p w14:paraId="4E569A1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4E569A1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2,855</w:t>
            </w:r>
          </w:p>
        </w:tc>
        <w:tc>
          <w:tcPr>
            <w:tcW w:w="0" w:type="auto"/>
            <w:tcBorders>
              <w:bottom w:val="double" w:sz="6" w:space="0" w:color="000000"/>
            </w:tcBorders>
            <w:shd w:val="clear" w:color="auto" w:fill="CCEEFF"/>
            <w:vAlign w:val="bottom"/>
          </w:tcPr>
          <w:p w14:paraId="4E569A1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4E569A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2,851</w:t>
            </w:r>
          </w:p>
        </w:tc>
        <w:tc>
          <w:tcPr>
            <w:tcW w:w="0" w:type="auto"/>
            <w:tcBorders>
              <w:bottom w:val="double" w:sz="6" w:space="0" w:color="000000"/>
            </w:tcBorders>
            <w:shd w:val="clear" w:color="auto" w:fill="CCEEFF"/>
            <w:vAlign w:val="bottom"/>
          </w:tcPr>
          <w:p w14:paraId="4E569A1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4E569A1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2,855</w:t>
            </w:r>
          </w:p>
        </w:tc>
        <w:tc>
          <w:tcPr>
            <w:tcW w:w="0" w:type="auto"/>
            <w:tcBorders>
              <w:bottom w:val="double" w:sz="6" w:space="0" w:color="000000"/>
            </w:tcBorders>
            <w:shd w:val="clear" w:color="auto" w:fill="CCEEFF"/>
            <w:vAlign w:val="bottom"/>
          </w:tcPr>
          <w:p w14:paraId="4E569A1F" w14:textId="77777777" w:rsidR="00DF3E10" w:rsidRDefault="00DF3E10">
            <w:pPr>
              <w:textAlignment w:val="bottom"/>
              <w:rPr>
                <w:rFonts w:ascii="Times New Roman" w:hAnsi="Times New Roman"/>
                <w:sz w:val="20"/>
                <w:szCs w:val="20"/>
              </w:rPr>
            </w:pPr>
          </w:p>
        </w:tc>
      </w:tr>
      <w:tr w:rsidR="00DF3E10" w14:paraId="4E569A2D" w14:textId="77777777">
        <w:tc>
          <w:tcPr>
            <w:tcW w:w="0" w:type="auto"/>
            <w:shd w:val="clear" w:color="auto" w:fill="auto"/>
            <w:tcMar>
              <w:top w:w="40" w:type="dxa"/>
              <w:left w:w="560" w:type="dxa"/>
              <w:bottom w:w="40" w:type="dxa"/>
              <w:right w:w="40" w:type="dxa"/>
            </w:tcMar>
          </w:tcPr>
          <w:p w14:paraId="4E569A2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4E569A2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2,879</w:t>
            </w:r>
          </w:p>
        </w:tc>
        <w:tc>
          <w:tcPr>
            <w:tcW w:w="0" w:type="auto"/>
            <w:tcBorders>
              <w:bottom w:val="double" w:sz="6" w:space="0" w:color="000000"/>
            </w:tcBorders>
            <w:shd w:val="clear" w:color="auto" w:fill="auto"/>
            <w:vAlign w:val="bottom"/>
          </w:tcPr>
          <w:p w14:paraId="4E569A2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4E569A2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tcBorders>
              <w:bottom w:val="double" w:sz="6" w:space="0" w:color="000000"/>
            </w:tcBorders>
            <w:shd w:val="clear" w:color="auto" w:fill="auto"/>
            <w:vAlign w:val="bottom"/>
          </w:tcPr>
          <w:p w14:paraId="4E569A2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4E569A2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2,876</w:t>
            </w:r>
          </w:p>
        </w:tc>
        <w:tc>
          <w:tcPr>
            <w:tcW w:w="0" w:type="auto"/>
            <w:tcBorders>
              <w:bottom w:val="double" w:sz="6" w:space="0" w:color="000000"/>
            </w:tcBorders>
            <w:shd w:val="clear" w:color="auto" w:fill="auto"/>
            <w:vAlign w:val="bottom"/>
          </w:tcPr>
          <w:p w14:paraId="4E569A2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4E569A2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2,873</w:t>
            </w:r>
          </w:p>
        </w:tc>
        <w:tc>
          <w:tcPr>
            <w:tcW w:w="0" w:type="auto"/>
            <w:tcBorders>
              <w:bottom w:val="double" w:sz="6" w:space="0" w:color="000000"/>
            </w:tcBorders>
            <w:shd w:val="clear" w:color="auto" w:fill="auto"/>
            <w:vAlign w:val="bottom"/>
          </w:tcPr>
          <w:p w14:paraId="4E569A2C" w14:textId="77777777" w:rsidR="00DF3E10" w:rsidRDefault="00DF3E10">
            <w:pPr>
              <w:textAlignment w:val="bottom"/>
              <w:rPr>
                <w:rFonts w:ascii="Times New Roman" w:hAnsi="Times New Roman"/>
                <w:sz w:val="20"/>
                <w:szCs w:val="20"/>
              </w:rPr>
            </w:pPr>
          </w:p>
        </w:tc>
      </w:tr>
      <w:tr w:rsidR="00DF3E10" w14:paraId="4E569A36" w14:textId="77777777">
        <w:tc>
          <w:tcPr>
            <w:tcW w:w="0" w:type="auto"/>
            <w:shd w:val="clear" w:color="auto" w:fill="CCEEFF"/>
            <w:tcMar>
              <w:top w:w="40" w:type="dxa"/>
              <w:left w:w="40" w:type="dxa"/>
              <w:bottom w:w="40" w:type="dxa"/>
              <w:right w:w="40" w:type="dxa"/>
            </w:tcMar>
          </w:tcPr>
          <w:p w14:paraId="4E569A2E"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Share-based compensation expense included in costs and expenses:</w:t>
            </w:r>
          </w:p>
        </w:tc>
        <w:tc>
          <w:tcPr>
            <w:tcW w:w="0" w:type="auto"/>
            <w:gridSpan w:val="3"/>
            <w:shd w:val="clear" w:color="auto" w:fill="CCEEFF"/>
            <w:tcMar>
              <w:top w:w="40" w:type="dxa"/>
              <w:left w:w="40" w:type="dxa"/>
              <w:bottom w:w="40" w:type="dxa"/>
              <w:right w:w="40" w:type="dxa"/>
            </w:tcMar>
            <w:vAlign w:val="bottom"/>
          </w:tcPr>
          <w:p w14:paraId="4E569A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A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A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A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A3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A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A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A47" w14:textId="77777777">
        <w:tc>
          <w:tcPr>
            <w:tcW w:w="0" w:type="auto"/>
            <w:shd w:val="clear" w:color="auto" w:fill="auto"/>
            <w:tcMar>
              <w:top w:w="40" w:type="dxa"/>
              <w:left w:w="560" w:type="dxa"/>
              <w:bottom w:w="40" w:type="dxa"/>
              <w:right w:w="40" w:type="dxa"/>
            </w:tcMar>
          </w:tcPr>
          <w:p w14:paraId="4E569A3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auto"/>
            <w:tcMar>
              <w:top w:w="40" w:type="dxa"/>
              <w:left w:w="40" w:type="dxa"/>
              <w:bottom w:w="40" w:type="dxa"/>
            </w:tcMar>
            <w:vAlign w:val="bottom"/>
          </w:tcPr>
          <w:p w14:paraId="4E569A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A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auto"/>
            <w:vAlign w:val="bottom"/>
          </w:tcPr>
          <w:p w14:paraId="4E569A3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A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A3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vAlign w:val="bottom"/>
          </w:tcPr>
          <w:p w14:paraId="4E569A3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A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A4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vAlign w:val="bottom"/>
          </w:tcPr>
          <w:p w14:paraId="4E569A4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A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A4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shd w:val="clear" w:color="auto" w:fill="auto"/>
            <w:vAlign w:val="bottom"/>
          </w:tcPr>
          <w:p w14:paraId="4E569A46" w14:textId="77777777" w:rsidR="00DF3E10" w:rsidRDefault="00DF3E10">
            <w:pPr>
              <w:textAlignment w:val="bottom"/>
              <w:rPr>
                <w:rFonts w:ascii="Times New Roman" w:hAnsi="Times New Roman"/>
                <w:sz w:val="20"/>
                <w:szCs w:val="20"/>
              </w:rPr>
            </w:pPr>
          </w:p>
        </w:tc>
      </w:tr>
      <w:tr w:rsidR="00DF3E10" w14:paraId="4E569A54" w14:textId="77777777">
        <w:tc>
          <w:tcPr>
            <w:tcW w:w="0" w:type="auto"/>
            <w:shd w:val="clear" w:color="auto" w:fill="CCEEFF"/>
            <w:tcMar>
              <w:top w:w="40" w:type="dxa"/>
              <w:left w:w="560" w:type="dxa"/>
              <w:bottom w:w="40" w:type="dxa"/>
              <w:right w:w="40" w:type="dxa"/>
            </w:tcMar>
          </w:tcPr>
          <w:p w14:paraId="4E569A4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4E569A4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1,261</w:t>
            </w:r>
          </w:p>
        </w:tc>
        <w:tc>
          <w:tcPr>
            <w:tcW w:w="0" w:type="auto"/>
            <w:shd w:val="clear" w:color="auto" w:fill="CCEEFF"/>
            <w:vAlign w:val="bottom"/>
          </w:tcPr>
          <w:p w14:paraId="4E569A4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927</w:t>
            </w:r>
          </w:p>
        </w:tc>
        <w:tc>
          <w:tcPr>
            <w:tcW w:w="0" w:type="auto"/>
            <w:shd w:val="clear" w:color="auto" w:fill="CCEEFF"/>
            <w:vAlign w:val="bottom"/>
          </w:tcPr>
          <w:p w14:paraId="4E569A4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4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2,260</w:t>
            </w:r>
          </w:p>
        </w:tc>
        <w:tc>
          <w:tcPr>
            <w:tcW w:w="0" w:type="auto"/>
            <w:shd w:val="clear" w:color="auto" w:fill="CCEEFF"/>
            <w:vAlign w:val="bottom"/>
          </w:tcPr>
          <w:p w14:paraId="4E569A5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5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1,650</w:t>
            </w:r>
          </w:p>
        </w:tc>
        <w:tc>
          <w:tcPr>
            <w:tcW w:w="0" w:type="auto"/>
            <w:shd w:val="clear" w:color="auto" w:fill="CCEEFF"/>
            <w:vAlign w:val="bottom"/>
          </w:tcPr>
          <w:p w14:paraId="4E569A53" w14:textId="77777777" w:rsidR="00DF3E10" w:rsidRDefault="00DF3E10">
            <w:pPr>
              <w:textAlignment w:val="bottom"/>
              <w:rPr>
                <w:rFonts w:ascii="Times New Roman" w:hAnsi="Times New Roman"/>
                <w:sz w:val="20"/>
                <w:szCs w:val="20"/>
              </w:rPr>
            </w:pPr>
          </w:p>
        </w:tc>
      </w:tr>
      <w:tr w:rsidR="00DF3E10" w14:paraId="4E569A61" w14:textId="77777777">
        <w:tc>
          <w:tcPr>
            <w:tcW w:w="0" w:type="auto"/>
            <w:shd w:val="clear" w:color="auto" w:fill="auto"/>
            <w:tcMar>
              <w:top w:w="40" w:type="dxa"/>
              <w:left w:w="560" w:type="dxa"/>
              <w:bottom w:w="40" w:type="dxa"/>
              <w:right w:w="40" w:type="dxa"/>
            </w:tcMar>
          </w:tcPr>
          <w:p w14:paraId="4E569A5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auto"/>
            <w:tcMar>
              <w:top w:w="40" w:type="dxa"/>
              <w:left w:w="40" w:type="dxa"/>
              <w:bottom w:w="40" w:type="dxa"/>
            </w:tcMar>
            <w:vAlign w:val="bottom"/>
          </w:tcPr>
          <w:p w14:paraId="4E569A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187</w:t>
            </w:r>
          </w:p>
        </w:tc>
        <w:tc>
          <w:tcPr>
            <w:tcW w:w="0" w:type="auto"/>
            <w:shd w:val="clear" w:color="auto" w:fill="auto"/>
            <w:vAlign w:val="bottom"/>
          </w:tcPr>
          <w:p w14:paraId="4E569A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auto"/>
            <w:vAlign w:val="bottom"/>
          </w:tcPr>
          <w:p w14:paraId="4E569A5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shd w:val="clear" w:color="auto" w:fill="auto"/>
            <w:vAlign w:val="bottom"/>
          </w:tcPr>
          <w:p w14:paraId="4E569A5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273</w:t>
            </w:r>
          </w:p>
        </w:tc>
        <w:tc>
          <w:tcPr>
            <w:tcW w:w="0" w:type="auto"/>
            <w:shd w:val="clear" w:color="auto" w:fill="auto"/>
            <w:vAlign w:val="bottom"/>
          </w:tcPr>
          <w:p w14:paraId="4E569A60" w14:textId="77777777" w:rsidR="00DF3E10" w:rsidRDefault="00DF3E10">
            <w:pPr>
              <w:textAlignment w:val="bottom"/>
              <w:rPr>
                <w:rFonts w:ascii="Times New Roman" w:hAnsi="Times New Roman"/>
                <w:sz w:val="20"/>
                <w:szCs w:val="20"/>
              </w:rPr>
            </w:pPr>
          </w:p>
        </w:tc>
      </w:tr>
      <w:tr w:rsidR="00DF3E10" w14:paraId="4E569A6E" w14:textId="77777777">
        <w:tc>
          <w:tcPr>
            <w:tcW w:w="0" w:type="auto"/>
            <w:shd w:val="clear" w:color="auto" w:fill="CCEEFF"/>
            <w:tcMar>
              <w:top w:w="40" w:type="dxa"/>
              <w:left w:w="560" w:type="dxa"/>
              <w:bottom w:w="40" w:type="dxa"/>
              <w:right w:w="40" w:type="dxa"/>
            </w:tcMar>
          </w:tcPr>
          <w:p w14:paraId="4E569A6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General and </w:t>
            </w:r>
            <w:r>
              <w:rPr>
                <w:rFonts w:ascii="Times New Roman" w:eastAsia="宋体" w:hAnsi="Times New Roman"/>
                <w:sz w:val="20"/>
                <w:szCs w:val="20"/>
              </w:rPr>
              <w:t>administrative</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A6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bottom w:val="single" w:sz="8" w:space="0" w:color="000000"/>
            </w:tcBorders>
            <w:shd w:val="clear" w:color="auto" w:fill="CCEEFF"/>
            <w:vAlign w:val="bottom"/>
          </w:tcPr>
          <w:p w14:paraId="4E569A6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A6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tcBorders>
              <w:bottom w:val="single" w:sz="8" w:space="0" w:color="000000"/>
            </w:tcBorders>
            <w:shd w:val="clear" w:color="auto" w:fill="CCEEFF"/>
            <w:vAlign w:val="bottom"/>
          </w:tcPr>
          <w:p w14:paraId="4E569A6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A6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tcBorders>
              <w:bottom w:val="single" w:sz="8" w:space="0" w:color="000000"/>
            </w:tcBorders>
            <w:shd w:val="clear" w:color="auto" w:fill="CCEEFF"/>
            <w:vAlign w:val="bottom"/>
          </w:tcPr>
          <w:p w14:paraId="4E569A6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A6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tcBorders>
              <w:bottom w:val="single" w:sz="8" w:space="0" w:color="000000"/>
            </w:tcBorders>
            <w:shd w:val="clear" w:color="auto" w:fill="CCEEFF"/>
            <w:vAlign w:val="bottom"/>
          </w:tcPr>
          <w:p w14:paraId="4E569A6D" w14:textId="77777777" w:rsidR="00DF3E10" w:rsidRDefault="00DF3E10">
            <w:pPr>
              <w:textAlignment w:val="bottom"/>
              <w:rPr>
                <w:rFonts w:ascii="Times New Roman" w:hAnsi="Times New Roman"/>
                <w:sz w:val="20"/>
                <w:szCs w:val="20"/>
              </w:rPr>
            </w:pPr>
          </w:p>
        </w:tc>
      </w:tr>
      <w:tr w:rsidR="00DF3E10" w14:paraId="4E569A7F" w14:textId="77777777">
        <w:tc>
          <w:tcPr>
            <w:tcW w:w="0" w:type="auto"/>
            <w:shd w:val="clear" w:color="auto" w:fill="auto"/>
            <w:tcMar>
              <w:top w:w="40" w:type="dxa"/>
              <w:left w:w="880" w:type="dxa"/>
              <w:bottom w:w="40" w:type="dxa"/>
              <w:right w:w="40" w:type="dxa"/>
            </w:tcMar>
          </w:tcPr>
          <w:p w14:paraId="4E569A6F"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Total share-based compensation expense</w:t>
            </w:r>
          </w:p>
        </w:tc>
        <w:tc>
          <w:tcPr>
            <w:tcW w:w="0" w:type="auto"/>
            <w:tcBorders>
              <w:bottom w:val="double" w:sz="6" w:space="0" w:color="000000"/>
            </w:tcBorders>
            <w:shd w:val="clear" w:color="auto" w:fill="auto"/>
            <w:tcMar>
              <w:top w:w="40" w:type="dxa"/>
              <w:left w:w="40" w:type="dxa"/>
              <w:bottom w:w="40" w:type="dxa"/>
            </w:tcMar>
            <w:vAlign w:val="bottom"/>
          </w:tcPr>
          <w:p w14:paraId="4E569A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A7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1,695</w:t>
            </w:r>
          </w:p>
        </w:tc>
        <w:tc>
          <w:tcPr>
            <w:tcW w:w="0" w:type="auto"/>
            <w:tcBorders>
              <w:bottom w:val="double" w:sz="6" w:space="0" w:color="000000"/>
            </w:tcBorders>
            <w:shd w:val="clear" w:color="auto" w:fill="auto"/>
            <w:vAlign w:val="bottom"/>
          </w:tcPr>
          <w:p w14:paraId="4E569A7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A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A7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1,303</w:t>
            </w:r>
          </w:p>
        </w:tc>
        <w:tc>
          <w:tcPr>
            <w:tcW w:w="0" w:type="auto"/>
            <w:tcBorders>
              <w:bottom w:val="double" w:sz="6" w:space="0" w:color="000000"/>
            </w:tcBorders>
            <w:shd w:val="clear" w:color="auto" w:fill="auto"/>
            <w:vAlign w:val="bottom"/>
          </w:tcPr>
          <w:p w14:paraId="4E569A7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A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A7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3,030</w:t>
            </w:r>
          </w:p>
        </w:tc>
        <w:tc>
          <w:tcPr>
            <w:tcW w:w="0" w:type="auto"/>
            <w:tcBorders>
              <w:bottom w:val="double" w:sz="6" w:space="0" w:color="000000"/>
            </w:tcBorders>
            <w:shd w:val="clear" w:color="auto" w:fill="auto"/>
            <w:vAlign w:val="bottom"/>
          </w:tcPr>
          <w:p w14:paraId="4E569A7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A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A7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2,313</w:t>
            </w:r>
          </w:p>
        </w:tc>
        <w:tc>
          <w:tcPr>
            <w:tcW w:w="0" w:type="auto"/>
            <w:tcBorders>
              <w:bottom w:val="double" w:sz="6" w:space="0" w:color="000000"/>
            </w:tcBorders>
            <w:shd w:val="clear" w:color="auto" w:fill="auto"/>
            <w:vAlign w:val="bottom"/>
          </w:tcPr>
          <w:p w14:paraId="4E569A7E" w14:textId="77777777" w:rsidR="00DF3E10" w:rsidRDefault="00DF3E10">
            <w:pPr>
              <w:textAlignment w:val="bottom"/>
              <w:rPr>
                <w:rFonts w:ascii="Times New Roman" w:hAnsi="Times New Roman"/>
                <w:sz w:val="20"/>
                <w:szCs w:val="20"/>
              </w:rPr>
            </w:pPr>
          </w:p>
        </w:tc>
      </w:tr>
    </w:tbl>
    <w:p w14:paraId="4E569A80"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w:t>
      </w:r>
      <w:r>
        <w:rPr>
          <w:rFonts w:ascii="Times New Roman" w:eastAsia="宋体" w:hAnsi="Times New Roman"/>
          <w:i/>
          <w:iCs/>
          <w:sz w:val="18"/>
          <w:szCs w:val="18"/>
        </w:rPr>
        <w:t>mpanying Notes to Condensed Consolidated Financial Statements.</w:t>
      </w:r>
    </w:p>
    <w:p w14:paraId="4E569A81" w14:textId="77777777" w:rsidR="00DF3E10" w:rsidRDefault="00DF3E10">
      <w:pPr>
        <w:rPr>
          <w:rFonts w:ascii="Times New Roman" w:hAnsi="Times New Roman"/>
          <w:sz w:val="20"/>
          <w:szCs w:val="20"/>
        </w:rPr>
      </w:pPr>
    </w:p>
    <w:p w14:paraId="4E569A8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8</w:t>
      </w:r>
    </w:p>
    <w:p w14:paraId="4E569A83" w14:textId="77777777" w:rsidR="00DF3E10" w:rsidRDefault="006B6C28">
      <w:r>
        <w:rPr>
          <w:rFonts w:ascii="Times New Roman" w:hAnsi="Times New Roman"/>
          <w:sz w:val="20"/>
          <w:szCs w:val="20"/>
        </w:rPr>
        <w:pict w14:anchorId="4E56B755">
          <v:rect id="_x0000_i1032" style="width:415.3pt;height:1.5pt" o:hralign="center" o:hrstd="t" o:hr="t" fillcolor="#a0a0a0" stroked="f"/>
        </w:pict>
      </w:r>
    </w:p>
    <w:p w14:paraId="4E569A84" w14:textId="77777777" w:rsidR="00DF3E10" w:rsidRDefault="006B6C28">
      <w:pPr>
        <w:spacing w:line="288" w:lineRule="auto"/>
        <w:rPr>
          <w:rFonts w:ascii="Times New Roman" w:hAnsi="Times New Roman"/>
          <w:sz w:val="20"/>
          <w:szCs w:val="20"/>
        </w:rPr>
      </w:pPr>
      <w:hyperlink r:id="rId50" w:anchor="sC1FF62F0D4D85317B5B2C71C7C94F269" w:history="1">
        <w:r>
          <w:rPr>
            <w:rStyle w:val="a5"/>
            <w:rFonts w:ascii="Times New Roman" w:eastAsia="宋体" w:hAnsi="Times New Roman"/>
            <w:sz w:val="20"/>
            <w:szCs w:val="20"/>
          </w:rPr>
          <w:t>Table of Contents</w:t>
        </w:r>
      </w:hyperlink>
    </w:p>
    <w:p w14:paraId="4E569A85" w14:textId="77777777" w:rsidR="00DF3E10" w:rsidRDefault="00DF3E10">
      <w:pPr>
        <w:rPr>
          <w:rFonts w:ascii="Times New Roman" w:hAnsi="Times New Roman"/>
          <w:sz w:val="20"/>
          <w:szCs w:val="20"/>
        </w:rPr>
      </w:pPr>
    </w:p>
    <w:p w14:paraId="4E569A86"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A87"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w:t>
      </w:r>
      <w:r>
        <w:rPr>
          <w:rFonts w:ascii="Times New Roman" w:eastAsia="宋体" w:hAnsi="Times New Roman"/>
          <w:b/>
          <w:bCs/>
          <w:sz w:val="20"/>
          <w:szCs w:val="20"/>
        </w:rPr>
        <w:t>ONDENSED CONSOLIDATED STATEMENTS OF COMPREHENSIVE INCOME</w:t>
      </w:r>
    </w:p>
    <w:p w14:paraId="4E569A88"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(In millions)</w:t>
      </w:r>
    </w:p>
    <w:p w14:paraId="4E569A89"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4E569A8A" w14:textId="77777777" w:rsidR="00DF3E10" w:rsidRDefault="006B6C28">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678"/>
        <w:gridCol w:w="140"/>
        <w:gridCol w:w="854"/>
        <w:gridCol w:w="23"/>
        <w:gridCol w:w="130"/>
        <w:gridCol w:w="140"/>
        <w:gridCol w:w="854"/>
        <w:gridCol w:w="23"/>
        <w:gridCol w:w="130"/>
        <w:gridCol w:w="140"/>
        <w:gridCol w:w="855"/>
        <w:gridCol w:w="107"/>
        <w:gridCol w:w="130"/>
        <w:gridCol w:w="140"/>
        <w:gridCol w:w="855"/>
        <w:gridCol w:w="107"/>
      </w:tblGrid>
      <w:tr w:rsidR="00DF3E10" w14:paraId="4E569A8C" w14:textId="77777777">
        <w:tc>
          <w:tcPr>
            <w:tcW w:w="0" w:type="auto"/>
            <w:gridSpan w:val="16"/>
            <w:shd w:val="clear" w:color="auto" w:fill="auto"/>
            <w:vAlign w:val="center"/>
          </w:tcPr>
          <w:p w14:paraId="4E569A8B" w14:textId="77777777" w:rsidR="00DF3E10" w:rsidRDefault="00DF3E10">
            <w:pPr>
              <w:rPr>
                <w:rFonts w:ascii="Times New Roman" w:hAnsi="Times New Roman"/>
                <w:sz w:val="20"/>
                <w:szCs w:val="20"/>
              </w:rPr>
            </w:pPr>
          </w:p>
        </w:tc>
      </w:tr>
      <w:tr w:rsidR="00DF3E10" w14:paraId="4E569A9D" w14:textId="77777777">
        <w:tc>
          <w:tcPr>
            <w:tcW w:w="2250" w:type="pct"/>
            <w:shd w:val="clear" w:color="auto" w:fill="auto"/>
            <w:vAlign w:val="center"/>
          </w:tcPr>
          <w:p w14:paraId="4E569A8D" w14:textId="77777777" w:rsidR="00DF3E10" w:rsidRDefault="00DF3E10">
            <w:pPr>
              <w:rPr>
                <w:rFonts w:ascii="Times New Roman" w:hAnsi="Times New Roman"/>
                <w:sz w:val="20"/>
                <w:szCs w:val="20"/>
              </w:rPr>
            </w:pPr>
          </w:p>
        </w:tc>
        <w:tc>
          <w:tcPr>
            <w:tcW w:w="50" w:type="pct"/>
            <w:shd w:val="clear" w:color="auto" w:fill="auto"/>
            <w:vAlign w:val="center"/>
          </w:tcPr>
          <w:p w14:paraId="4E569A8E" w14:textId="77777777" w:rsidR="00DF3E10" w:rsidRDefault="00DF3E10">
            <w:pPr>
              <w:rPr>
                <w:rFonts w:ascii="Times New Roman" w:hAnsi="Times New Roman"/>
                <w:sz w:val="20"/>
                <w:szCs w:val="20"/>
              </w:rPr>
            </w:pPr>
          </w:p>
        </w:tc>
        <w:tc>
          <w:tcPr>
            <w:tcW w:w="550" w:type="pct"/>
            <w:shd w:val="clear" w:color="auto" w:fill="auto"/>
            <w:vAlign w:val="center"/>
          </w:tcPr>
          <w:p w14:paraId="4E569A8F" w14:textId="77777777" w:rsidR="00DF3E10" w:rsidRDefault="00DF3E10">
            <w:pPr>
              <w:rPr>
                <w:rFonts w:ascii="Times New Roman" w:hAnsi="Times New Roman"/>
                <w:sz w:val="20"/>
                <w:szCs w:val="20"/>
              </w:rPr>
            </w:pPr>
          </w:p>
        </w:tc>
        <w:tc>
          <w:tcPr>
            <w:tcW w:w="50" w:type="pct"/>
            <w:shd w:val="clear" w:color="auto" w:fill="auto"/>
            <w:vAlign w:val="center"/>
          </w:tcPr>
          <w:p w14:paraId="4E569A90" w14:textId="77777777" w:rsidR="00DF3E10" w:rsidRDefault="00DF3E10">
            <w:pPr>
              <w:rPr>
                <w:rFonts w:ascii="Times New Roman" w:hAnsi="Times New Roman"/>
                <w:sz w:val="20"/>
                <w:szCs w:val="20"/>
              </w:rPr>
            </w:pPr>
          </w:p>
        </w:tc>
        <w:tc>
          <w:tcPr>
            <w:tcW w:w="50" w:type="pct"/>
            <w:shd w:val="clear" w:color="auto" w:fill="auto"/>
            <w:vAlign w:val="center"/>
          </w:tcPr>
          <w:p w14:paraId="4E569A91" w14:textId="77777777" w:rsidR="00DF3E10" w:rsidRDefault="00DF3E10">
            <w:pPr>
              <w:rPr>
                <w:rFonts w:ascii="Times New Roman" w:hAnsi="Times New Roman"/>
                <w:sz w:val="20"/>
                <w:szCs w:val="20"/>
              </w:rPr>
            </w:pPr>
          </w:p>
        </w:tc>
        <w:tc>
          <w:tcPr>
            <w:tcW w:w="50" w:type="pct"/>
            <w:shd w:val="clear" w:color="auto" w:fill="auto"/>
            <w:vAlign w:val="center"/>
          </w:tcPr>
          <w:p w14:paraId="4E569A92" w14:textId="77777777" w:rsidR="00DF3E10" w:rsidRDefault="00DF3E10">
            <w:pPr>
              <w:rPr>
                <w:rFonts w:ascii="Times New Roman" w:hAnsi="Times New Roman"/>
                <w:sz w:val="20"/>
                <w:szCs w:val="20"/>
              </w:rPr>
            </w:pPr>
          </w:p>
        </w:tc>
        <w:tc>
          <w:tcPr>
            <w:tcW w:w="550" w:type="pct"/>
            <w:shd w:val="clear" w:color="auto" w:fill="auto"/>
            <w:vAlign w:val="center"/>
          </w:tcPr>
          <w:p w14:paraId="4E569A93" w14:textId="77777777" w:rsidR="00DF3E10" w:rsidRDefault="00DF3E10">
            <w:pPr>
              <w:rPr>
                <w:rFonts w:ascii="Times New Roman" w:hAnsi="Times New Roman"/>
                <w:sz w:val="20"/>
                <w:szCs w:val="20"/>
              </w:rPr>
            </w:pPr>
          </w:p>
        </w:tc>
        <w:tc>
          <w:tcPr>
            <w:tcW w:w="50" w:type="pct"/>
            <w:shd w:val="clear" w:color="auto" w:fill="auto"/>
            <w:vAlign w:val="center"/>
          </w:tcPr>
          <w:p w14:paraId="4E569A94" w14:textId="77777777" w:rsidR="00DF3E10" w:rsidRDefault="00DF3E10">
            <w:pPr>
              <w:rPr>
                <w:rFonts w:ascii="Times New Roman" w:hAnsi="Times New Roman"/>
                <w:sz w:val="20"/>
                <w:szCs w:val="20"/>
              </w:rPr>
            </w:pPr>
          </w:p>
        </w:tc>
        <w:tc>
          <w:tcPr>
            <w:tcW w:w="50" w:type="pct"/>
            <w:shd w:val="clear" w:color="auto" w:fill="auto"/>
            <w:vAlign w:val="center"/>
          </w:tcPr>
          <w:p w14:paraId="4E569A95" w14:textId="77777777" w:rsidR="00DF3E10" w:rsidRDefault="00DF3E10">
            <w:pPr>
              <w:rPr>
                <w:rFonts w:ascii="Times New Roman" w:hAnsi="Times New Roman"/>
                <w:sz w:val="20"/>
                <w:szCs w:val="20"/>
              </w:rPr>
            </w:pPr>
          </w:p>
        </w:tc>
        <w:tc>
          <w:tcPr>
            <w:tcW w:w="50" w:type="pct"/>
            <w:shd w:val="clear" w:color="auto" w:fill="auto"/>
            <w:vAlign w:val="center"/>
          </w:tcPr>
          <w:p w14:paraId="4E569A96" w14:textId="77777777" w:rsidR="00DF3E10" w:rsidRDefault="00DF3E10">
            <w:pPr>
              <w:rPr>
                <w:rFonts w:ascii="Times New Roman" w:hAnsi="Times New Roman"/>
                <w:sz w:val="20"/>
                <w:szCs w:val="20"/>
              </w:rPr>
            </w:pPr>
          </w:p>
        </w:tc>
        <w:tc>
          <w:tcPr>
            <w:tcW w:w="550" w:type="pct"/>
            <w:shd w:val="clear" w:color="auto" w:fill="auto"/>
            <w:vAlign w:val="center"/>
          </w:tcPr>
          <w:p w14:paraId="4E569A97" w14:textId="77777777" w:rsidR="00DF3E10" w:rsidRDefault="00DF3E10">
            <w:pPr>
              <w:rPr>
                <w:rFonts w:ascii="Times New Roman" w:hAnsi="Times New Roman"/>
                <w:sz w:val="20"/>
                <w:szCs w:val="20"/>
              </w:rPr>
            </w:pPr>
          </w:p>
        </w:tc>
        <w:tc>
          <w:tcPr>
            <w:tcW w:w="50" w:type="pct"/>
            <w:shd w:val="clear" w:color="auto" w:fill="auto"/>
            <w:vAlign w:val="center"/>
          </w:tcPr>
          <w:p w14:paraId="4E569A98" w14:textId="77777777" w:rsidR="00DF3E10" w:rsidRDefault="00DF3E10">
            <w:pPr>
              <w:rPr>
                <w:rFonts w:ascii="Times New Roman" w:hAnsi="Times New Roman"/>
                <w:sz w:val="20"/>
                <w:szCs w:val="20"/>
              </w:rPr>
            </w:pPr>
          </w:p>
        </w:tc>
        <w:tc>
          <w:tcPr>
            <w:tcW w:w="50" w:type="pct"/>
            <w:shd w:val="clear" w:color="auto" w:fill="auto"/>
            <w:vAlign w:val="center"/>
          </w:tcPr>
          <w:p w14:paraId="4E569A99" w14:textId="77777777" w:rsidR="00DF3E10" w:rsidRDefault="00DF3E10">
            <w:pPr>
              <w:rPr>
                <w:rFonts w:ascii="Times New Roman" w:hAnsi="Times New Roman"/>
                <w:sz w:val="20"/>
                <w:szCs w:val="20"/>
              </w:rPr>
            </w:pPr>
          </w:p>
        </w:tc>
        <w:tc>
          <w:tcPr>
            <w:tcW w:w="50" w:type="pct"/>
            <w:shd w:val="clear" w:color="auto" w:fill="auto"/>
            <w:vAlign w:val="center"/>
          </w:tcPr>
          <w:p w14:paraId="4E569A9A" w14:textId="77777777" w:rsidR="00DF3E10" w:rsidRDefault="00DF3E10">
            <w:pPr>
              <w:rPr>
                <w:rFonts w:ascii="Times New Roman" w:hAnsi="Times New Roman"/>
                <w:sz w:val="20"/>
                <w:szCs w:val="20"/>
              </w:rPr>
            </w:pPr>
          </w:p>
        </w:tc>
        <w:tc>
          <w:tcPr>
            <w:tcW w:w="550" w:type="pct"/>
            <w:shd w:val="clear" w:color="auto" w:fill="auto"/>
            <w:vAlign w:val="center"/>
          </w:tcPr>
          <w:p w14:paraId="4E569A9B" w14:textId="77777777" w:rsidR="00DF3E10" w:rsidRDefault="00DF3E10">
            <w:pPr>
              <w:rPr>
                <w:rFonts w:ascii="Times New Roman" w:hAnsi="Times New Roman"/>
                <w:sz w:val="20"/>
                <w:szCs w:val="20"/>
              </w:rPr>
            </w:pPr>
          </w:p>
        </w:tc>
        <w:tc>
          <w:tcPr>
            <w:tcW w:w="50" w:type="pct"/>
            <w:shd w:val="clear" w:color="auto" w:fill="auto"/>
            <w:vAlign w:val="center"/>
          </w:tcPr>
          <w:p w14:paraId="4E569A9C" w14:textId="77777777" w:rsidR="00DF3E10" w:rsidRDefault="00DF3E10">
            <w:pPr>
              <w:rPr>
                <w:rFonts w:ascii="Times New Roman" w:hAnsi="Times New Roman"/>
                <w:sz w:val="20"/>
                <w:szCs w:val="20"/>
              </w:rPr>
            </w:pPr>
          </w:p>
        </w:tc>
      </w:tr>
      <w:tr w:rsidR="00DF3E10" w14:paraId="4E569AA2" w14:textId="77777777">
        <w:tc>
          <w:tcPr>
            <w:tcW w:w="0" w:type="auto"/>
            <w:shd w:val="clear" w:color="auto" w:fill="auto"/>
            <w:tcMar>
              <w:top w:w="40" w:type="dxa"/>
              <w:left w:w="40" w:type="dxa"/>
              <w:bottom w:w="40" w:type="dxa"/>
              <w:right w:w="40" w:type="dxa"/>
            </w:tcMar>
            <w:vAlign w:val="bottom"/>
          </w:tcPr>
          <w:p w14:paraId="4E569A9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A9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9A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AA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9AAB" w14:textId="77777777">
        <w:tc>
          <w:tcPr>
            <w:tcW w:w="0" w:type="auto"/>
            <w:shd w:val="clear" w:color="auto" w:fill="auto"/>
            <w:tcMar>
              <w:top w:w="40" w:type="dxa"/>
              <w:left w:w="40" w:type="dxa"/>
              <w:bottom w:w="40" w:type="dxa"/>
              <w:right w:w="40" w:type="dxa"/>
            </w:tcMar>
            <w:vAlign w:val="bottom"/>
          </w:tcPr>
          <w:p w14:paraId="4E569AA3"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AA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A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AA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9A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AA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A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AA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9ABC" w14:textId="77777777">
        <w:tc>
          <w:tcPr>
            <w:tcW w:w="0" w:type="auto"/>
            <w:shd w:val="clear" w:color="auto" w:fill="CCEEFF"/>
            <w:tcMar>
              <w:top w:w="40" w:type="dxa"/>
              <w:left w:w="40" w:type="dxa"/>
              <w:bottom w:w="40" w:type="dxa"/>
              <w:right w:w="40" w:type="dxa"/>
            </w:tcMar>
          </w:tcPr>
          <w:p w14:paraId="4E569AAC"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tcBorders>
            <w:shd w:val="clear" w:color="auto" w:fill="CCEEFF"/>
            <w:tcMar>
              <w:top w:w="40" w:type="dxa"/>
              <w:left w:w="40" w:type="dxa"/>
              <w:bottom w:w="40" w:type="dxa"/>
            </w:tcMar>
            <w:vAlign w:val="bottom"/>
          </w:tcPr>
          <w:p w14:paraId="4E569A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9AA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5,178</w:t>
            </w:r>
          </w:p>
        </w:tc>
        <w:tc>
          <w:tcPr>
            <w:tcW w:w="0" w:type="auto"/>
            <w:tcBorders>
              <w:top w:val="single" w:sz="8" w:space="0" w:color="000000"/>
            </w:tcBorders>
            <w:shd w:val="clear" w:color="auto" w:fill="CCEEFF"/>
            <w:vAlign w:val="bottom"/>
          </w:tcPr>
          <w:p w14:paraId="4E569AA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A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9AB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tcBorders>
            <w:shd w:val="clear" w:color="auto" w:fill="CCEEFF"/>
            <w:vAlign w:val="bottom"/>
          </w:tcPr>
          <w:p w14:paraId="4E569AB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A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9A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10,081</w:t>
            </w:r>
          </w:p>
        </w:tc>
        <w:tc>
          <w:tcPr>
            <w:tcW w:w="0" w:type="auto"/>
            <w:tcBorders>
              <w:top w:val="single" w:sz="8" w:space="0" w:color="000000"/>
            </w:tcBorders>
            <w:shd w:val="clear" w:color="auto" w:fill="CCEEFF"/>
            <w:vAlign w:val="bottom"/>
          </w:tcPr>
          <w:p w14:paraId="4E569AB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A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9AB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5,045</w:t>
            </w:r>
          </w:p>
        </w:tc>
        <w:tc>
          <w:tcPr>
            <w:tcW w:w="0" w:type="auto"/>
            <w:tcBorders>
              <w:top w:val="single" w:sz="8" w:space="0" w:color="000000"/>
            </w:tcBorders>
            <w:shd w:val="clear" w:color="auto" w:fill="CCEEFF"/>
            <w:vAlign w:val="bottom"/>
          </w:tcPr>
          <w:p w14:paraId="4E569ABB" w14:textId="77777777" w:rsidR="00DF3E10" w:rsidRDefault="00DF3E10">
            <w:pPr>
              <w:textAlignment w:val="bottom"/>
              <w:rPr>
                <w:rFonts w:ascii="Times New Roman" w:hAnsi="Times New Roman"/>
                <w:sz w:val="20"/>
                <w:szCs w:val="20"/>
              </w:rPr>
            </w:pPr>
          </w:p>
        </w:tc>
      </w:tr>
      <w:tr w:rsidR="00DF3E10" w14:paraId="4E569AC5" w14:textId="77777777">
        <w:tc>
          <w:tcPr>
            <w:tcW w:w="0" w:type="auto"/>
            <w:shd w:val="clear" w:color="auto" w:fill="auto"/>
            <w:tcMar>
              <w:top w:w="40" w:type="dxa"/>
              <w:left w:w="40" w:type="dxa"/>
              <w:bottom w:w="40" w:type="dxa"/>
              <w:right w:w="40" w:type="dxa"/>
            </w:tcMar>
          </w:tcPr>
          <w:p w14:paraId="4E569ABD"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14:paraId="4E569A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A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A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AD2" w14:textId="77777777">
        <w:tc>
          <w:tcPr>
            <w:tcW w:w="0" w:type="auto"/>
            <w:shd w:val="clear" w:color="auto" w:fill="CCEEFF"/>
            <w:tcMar>
              <w:top w:w="40" w:type="dxa"/>
              <w:left w:w="560" w:type="dxa"/>
              <w:bottom w:w="40" w:type="dxa"/>
              <w:right w:w="40" w:type="dxa"/>
            </w:tcMar>
          </w:tcPr>
          <w:p w14:paraId="4E569AC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Change in foreign currency translation adjustment, net of tax</w:t>
            </w:r>
          </w:p>
        </w:tc>
        <w:tc>
          <w:tcPr>
            <w:tcW w:w="0" w:type="auto"/>
            <w:gridSpan w:val="2"/>
            <w:shd w:val="clear" w:color="auto" w:fill="CCEEFF"/>
            <w:tcMar>
              <w:top w:w="40" w:type="dxa"/>
              <w:left w:w="40" w:type="dxa"/>
              <w:bottom w:w="40" w:type="dxa"/>
            </w:tcMar>
            <w:vAlign w:val="bottom"/>
          </w:tcPr>
          <w:p w14:paraId="4E569AC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247</w:t>
            </w:r>
          </w:p>
        </w:tc>
        <w:tc>
          <w:tcPr>
            <w:tcW w:w="0" w:type="auto"/>
            <w:shd w:val="clear" w:color="auto" w:fill="CCEEFF"/>
            <w:vAlign w:val="bottom"/>
          </w:tcPr>
          <w:p w14:paraId="4E569AC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C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4E569AC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C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CCEEFF"/>
            <w:tcMar>
              <w:top w:w="40" w:type="dxa"/>
              <w:bottom w:w="40" w:type="dxa"/>
              <w:right w:w="40" w:type="dxa"/>
            </w:tcMar>
            <w:vAlign w:val="bottom"/>
          </w:tcPr>
          <w:p w14:paraId="4E569A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A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AD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shd w:val="clear" w:color="auto" w:fill="CCEEFF"/>
            <w:tcMar>
              <w:top w:w="40" w:type="dxa"/>
              <w:bottom w:w="40" w:type="dxa"/>
              <w:right w:w="40" w:type="dxa"/>
            </w:tcMar>
            <w:vAlign w:val="bottom"/>
          </w:tcPr>
          <w:p w14:paraId="4E569A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ADF" w14:textId="77777777">
        <w:tc>
          <w:tcPr>
            <w:tcW w:w="0" w:type="auto"/>
            <w:shd w:val="clear" w:color="auto" w:fill="auto"/>
            <w:tcMar>
              <w:top w:w="40" w:type="dxa"/>
              <w:left w:w="560" w:type="dxa"/>
              <w:bottom w:w="40" w:type="dxa"/>
              <w:right w:w="40" w:type="dxa"/>
            </w:tcMar>
          </w:tcPr>
          <w:p w14:paraId="4E569AD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Change in unrealized gain/loss on available-for-sale investments and other, net of tax</w:t>
            </w:r>
          </w:p>
        </w:tc>
        <w:tc>
          <w:tcPr>
            <w:tcW w:w="0" w:type="auto"/>
            <w:gridSpan w:val="2"/>
            <w:tcBorders>
              <w:bottom w:val="single" w:sz="8" w:space="0" w:color="000000"/>
            </w:tcBorders>
            <w:shd w:val="clear" w:color="auto" w:fill="auto"/>
            <w:tcMar>
              <w:top w:w="40" w:type="dxa"/>
              <w:left w:w="40" w:type="dxa"/>
              <w:bottom w:w="40" w:type="dxa"/>
            </w:tcMar>
            <w:vAlign w:val="bottom"/>
          </w:tcPr>
          <w:p w14:paraId="4E569A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tcBorders>
              <w:bottom w:val="single" w:sz="8" w:space="0" w:color="000000"/>
            </w:tcBorders>
            <w:shd w:val="clear" w:color="auto" w:fill="auto"/>
            <w:vAlign w:val="bottom"/>
          </w:tcPr>
          <w:p w14:paraId="4E569AD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D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208</w:t>
            </w:r>
          </w:p>
        </w:tc>
        <w:tc>
          <w:tcPr>
            <w:tcW w:w="0" w:type="auto"/>
            <w:shd w:val="clear" w:color="auto" w:fill="auto"/>
            <w:vAlign w:val="bottom"/>
          </w:tcPr>
          <w:p w14:paraId="4E569AD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D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476</w:t>
            </w:r>
          </w:p>
        </w:tc>
        <w:tc>
          <w:tcPr>
            <w:tcW w:w="0" w:type="auto"/>
            <w:shd w:val="clear" w:color="auto" w:fill="auto"/>
            <w:vAlign w:val="bottom"/>
          </w:tcPr>
          <w:p w14:paraId="4E569AD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A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AD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362</w:t>
            </w:r>
          </w:p>
        </w:tc>
        <w:tc>
          <w:tcPr>
            <w:tcW w:w="0" w:type="auto"/>
            <w:shd w:val="clear" w:color="auto" w:fill="auto"/>
            <w:vAlign w:val="bottom"/>
          </w:tcPr>
          <w:p w14:paraId="4E569ADE" w14:textId="77777777" w:rsidR="00DF3E10" w:rsidRDefault="00DF3E10">
            <w:pPr>
              <w:textAlignment w:val="bottom"/>
              <w:rPr>
                <w:rFonts w:ascii="Times New Roman" w:hAnsi="Times New Roman"/>
                <w:sz w:val="20"/>
                <w:szCs w:val="20"/>
              </w:rPr>
            </w:pPr>
          </w:p>
        </w:tc>
      </w:tr>
      <w:tr w:rsidR="00DF3E10" w14:paraId="4E569AF0" w14:textId="77777777">
        <w:tc>
          <w:tcPr>
            <w:tcW w:w="0" w:type="auto"/>
            <w:shd w:val="clear" w:color="auto" w:fill="CCEEFF"/>
            <w:tcMar>
              <w:top w:w="40" w:type="dxa"/>
              <w:left w:w="40" w:type="dxa"/>
              <w:bottom w:w="40" w:type="dxa"/>
              <w:right w:w="40" w:type="dxa"/>
            </w:tcMar>
          </w:tcPr>
          <w:p w14:paraId="4E569AE0"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Comprehensive income</w:t>
            </w:r>
          </w:p>
        </w:tc>
        <w:tc>
          <w:tcPr>
            <w:tcW w:w="0" w:type="auto"/>
            <w:tcBorders>
              <w:bottom w:val="double" w:sz="6" w:space="0" w:color="000000"/>
            </w:tcBorders>
            <w:shd w:val="clear" w:color="auto" w:fill="CCEEFF"/>
            <w:tcMar>
              <w:top w:w="40" w:type="dxa"/>
              <w:left w:w="40" w:type="dxa"/>
              <w:bottom w:w="40" w:type="dxa"/>
            </w:tcMar>
            <w:vAlign w:val="bottom"/>
          </w:tcPr>
          <w:p w14:paraId="4E569A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9AE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5,580</w:t>
            </w:r>
          </w:p>
        </w:tc>
        <w:tc>
          <w:tcPr>
            <w:tcW w:w="0" w:type="auto"/>
            <w:tcBorders>
              <w:bottom w:val="double" w:sz="6" w:space="0" w:color="000000"/>
            </w:tcBorders>
            <w:shd w:val="clear" w:color="auto" w:fill="CCEEFF"/>
            <w:vAlign w:val="bottom"/>
          </w:tcPr>
          <w:p w14:paraId="4E569AE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9A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9AE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2,914</w:t>
            </w:r>
          </w:p>
        </w:tc>
        <w:tc>
          <w:tcPr>
            <w:tcW w:w="0" w:type="auto"/>
            <w:tcBorders>
              <w:top w:val="single" w:sz="8" w:space="0" w:color="000000"/>
              <w:bottom w:val="double" w:sz="6" w:space="0" w:color="000000"/>
            </w:tcBorders>
            <w:shd w:val="clear" w:color="auto" w:fill="CCEEFF"/>
            <w:vAlign w:val="bottom"/>
          </w:tcPr>
          <w:p w14:paraId="4E569AE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E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9AE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9AE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10,428</w:t>
            </w:r>
          </w:p>
        </w:tc>
        <w:tc>
          <w:tcPr>
            <w:tcW w:w="0" w:type="auto"/>
            <w:tcBorders>
              <w:top w:val="single" w:sz="8" w:space="0" w:color="000000"/>
              <w:bottom w:val="double" w:sz="6" w:space="0" w:color="000000"/>
            </w:tcBorders>
            <w:shd w:val="clear" w:color="auto" w:fill="CCEEFF"/>
            <w:vAlign w:val="bottom"/>
          </w:tcPr>
          <w:p w14:paraId="4E569AE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AE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9A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9AE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5,322</w:t>
            </w:r>
          </w:p>
        </w:tc>
        <w:tc>
          <w:tcPr>
            <w:tcW w:w="0" w:type="auto"/>
            <w:tcBorders>
              <w:top w:val="single" w:sz="8" w:space="0" w:color="000000"/>
              <w:bottom w:val="double" w:sz="6" w:space="0" w:color="000000"/>
            </w:tcBorders>
            <w:shd w:val="clear" w:color="auto" w:fill="CCEEFF"/>
            <w:vAlign w:val="bottom"/>
          </w:tcPr>
          <w:p w14:paraId="4E569AEF" w14:textId="77777777" w:rsidR="00DF3E10" w:rsidRDefault="00DF3E10">
            <w:pPr>
              <w:textAlignment w:val="bottom"/>
              <w:rPr>
                <w:rFonts w:ascii="Times New Roman" w:hAnsi="Times New Roman"/>
                <w:sz w:val="20"/>
                <w:szCs w:val="20"/>
              </w:rPr>
            </w:pPr>
          </w:p>
        </w:tc>
      </w:tr>
    </w:tbl>
    <w:p w14:paraId="4E569AF1"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4E569AF2" w14:textId="77777777" w:rsidR="00DF3E10" w:rsidRDefault="00DF3E10">
      <w:pPr>
        <w:rPr>
          <w:rFonts w:ascii="Times New Roman" w:hAnsi="Times New Roman"/>
          <w:sz w:val="20"/>
          <w:szCs w:val="20"/>
        </w:rPr>
      </w:pPr>
    </w:p>
    <w:p w14:paraId="4E569AF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9</w:t>
      </w:r>
    </w:p>
    <w:p w14:paraId="4E569AF4" w14:textId="77777777" w:rsidR="00DF3E10" w:rsidRDefault="006B6C28">
      <w:r>
        <w:rPr>
          <w:rFonts w:ascii="Times New Roman" w:hAnsi="Times New Roman"/>
          <w:sz w:val="20"/>
          <w:szCs w:val="20"/>
        </w:rPr>
        <w:pict w14:anchorId="4E56B756">
          <v:rect id="_x0000_i1033" style="width:415.3pt;height:1.5pt" o:hralign="center" o:hrstd="t" o:hr="t" fillcolor="#a0a0a0" stroked="f"/>
        </w:pict>
      </w:r>
    </w:p>
    <w:p w14:paraId="4E569AF5" w14:textId="77777777" w:rsidR="00DF3E10" w:rsidRDefault="006B6C28">
      <w:pPr>
        <w:spacing w:line="288" w:lineRule="auto"/>
        <w:rPr>
          <w:rFonts w:ascii="Times New Roman" w:hAnsi="Times New Roman"/>
          <w:sz w:val="20"/>
          <w:szCs w:val="20"/>
        </w:rPr>
      </w:pPr>
      <w:hyperlink r:id="rId51" w:anchor="sC1FF62F0D4D85317B5B2C71C7C94F269" w:history="1">
        <w:r>
          <w:rPr>
            <w:rStyle w:val="a5"/>
            <w:rFonts w:ascii="Times New Roman" w:eastAsia="宋体" w:hAnsi="Times New Roman"/>
            <w:sz w:val="20"/>
            <w:szCs w:val="20"/>
          </w:rPr>
          <w:t>Table of Contents</w:t>
        </w:r>
      </w:hyperlink>
    </w:p>
    <w:p w14:paraId="4E569AF6" w14:textId="77777777" w:rsidR="00DF3E10" w:rsidRDefault="00DF3E10">
      <w:pPr>
        <w:rPr>
          <w:rFonts w:ascii="Times New Roman" w:hAnsi="Times New Roman"/>
          <w:sz w:val="20"/>
          <w:szCs w:val="20"/>
        </w:rPr>
      </w:pPr>
    </w:p>
    <w:p w14:paraId="4E569AF7"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AF8"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STOCKHOLDERS' EQUITY</w:t>
      </w:r>
    </w:p>
    <w:p w14:paraId="4E569AF9"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(In million</w:t>
      </w:r>
      <w:r>
        <w:rPr>
          <w:rFonts w:ascii="Times New Roman" w:eastAsia="宋体" w:hAnsi="Times New Roman"/>
          <w:i/>
          <w:iCs/>
          <w:sz w:val="18"/>
          <w:szCs w:val="18"/>
        </w:rPr>
        <w:t>s)</w:t>
      </w:r>
    </w:p>
    <w:p w14:paraId="4E569AFA"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(Unaudited)</w:t>
      </w:r>
      <w:r>
        <w:rPr>
          <w:rFonts w:ascii="Times New Roman" w:eastAsia="宋体" w:hAnsi="Times New Roman"/>
          <w:sz w:val="18"/>
          <w:szCs w:val="18"/>
        </w:rPr>
        <w:t> </w:t>
      </w:r>
    </w:p>
    <w:tbl>
      <w:tblPr>
        <w:tblW w:w="4985" w:type="pct"/>
        <w:jc w:val="center"/>
        <w:tblCellMar>
          <w:left w:w="0" w:type="dxa"/>
          <w:right w:w="0" w:type="dxa"/>
        </w:tblCellMar>
        <w:tblLook w:val="04A0" w:firstRow="1" w:lastRow="0" w:firstColumn="1" w:lastColumn="0" w:noHBand="0" w:noVBand="1"/>
      </w:tblPr>
      <w:tblGrid>
        <w:gridCol w:w="746"/>
        <w:gridCol w:w="303"/>
        <w:gridCol w:w="82"/>
        <w:gridCol w:w="110"/>
        <w:gridCol w:w="110"/>
        <w:gridCol w:w="146"/>
        <w:gridCol w:w="73"/>
        <w:gridCol w:w="111"/>
        <w:gridCol w:w="114"/>
        <w:gridCol w:w="331"/>
        <w:gridCol w:w="98"/>
        <w:gridCol w:w="111"/>
        <w:gridCol w:w="111"/>
        <w:gridCol w:w="546"/>
        <w:gridCol w:w="93"/>
        <w:gridCol w:w="111"/>
        <w:gridCol w:w="111"/>
        <w:gridCol w:w="303"/>
        <w:gridCol w:w="77"/>
        <w:gridCol w:w="111"/>
        <w:gridCol w:w="111"/>
        <w:gridCol w:w="466"/>
        <w:gridCol w:w="93"/>
        <w:gridCol w:w="111"/>
        <w:gridCol w:w="304"/>
        <w:gridCol w:w="83"/>
        <w:gridCol w:w="111"/>
        <w:gridCol w:w="111"/>
        <w:gridCol w:w="147"/>
        <w:gridCol w:w="73"/>
        <w:gridCol w:w="111"/>
        <w:gridCol w:w="114"/>
        <w:gridCol w:w="331"/>
        <w:gridCol w:w="98"/>
        <w:gridCol w:w="111"/>
        <w:gridCol w:w="111"/>
        <w:gridCol w:w="546"/>
        <w:gridCol w:w="93"/>
        <w:gridCol w:w="111"/>
        <w:gridCol w:w="111"/>
        <w:gridCol w:w="303"/>
        <w:gridCol w:w="77"/>
        <w:gridCol w:w="111"/>
        <w:gridCol w:w="111"/>
        <w:gridCol w:w="466"/>
        <w:gridCol w:w="93"/>
      </w:tblGrid>
      <w:tr w:rsidR="00DF3E10" w14:paraId="4E569AFC" w14:textId="77777777">
        <w:trPr>
          <w:jc w:val="center"/>
        </w:trPr>
        <w:tc>
          <w:tcPr>
            <w:tcW w:w="0" w:type="auto"/>
            <w:gridSpan w:val="46"/>
            <w:shd w:val="clear" w:color="auto" w:fill="auto"/>
            <w:vAlign w:val="center"/>
          </w:tcPr>
          <w:p w14:paraId="4E569AFB" w14:textId="77777777" w:rsidR="00DF3E10" w:rsidRDefault="00DF3E10">
            <w:pPr>
              <w:rPr>
                <w:rFonts w:ascii="Times New Roman" w:hAnsi="Times New Roman"/>
                <w:sz w:val="20"/>
                <w:szCs w:val="20"/>
              </w:rPr>
            </w:pPr>
          </w:p>
        </w:tc>
      </w:tr>
      <w:tr w:rsidR="00DF3E10" w14:paraId="4E569B2B" w14:textId="77777777">
        <w:trPr>
          <w:jc w:val="center"/>
        </w:trPr>
        <w:tc>
          <w:tcPr>
            <w:tcW w:w="650" w:type="pct"/>
            <w:shd w:val="clear" w:color="auto" w:fill="auto"/>
            <w:vAlign w:val="center"/>
          </w:tcPr>
          <w:p w14:paraId="4E569AFD" w14:textId="77777777" w:rsidR="00DF3E10" w:rsidRDefault="00DF3E10">
            <w:pPr>
              <w:rPr>
                <w:rFonts w:ascii="Times New Roman" w:hAnsi="Times New Roman"/>
                <w:sz w:val="20"/>
                <w:szCs w:val="20"/>
              </w:rPr>
            </w:pPr>
          </w:p>
        </w:tc>
        <w:tc>
          <w:tcPr>
            <w:tcW w:w="200" w:type="pct"/>
            <w:shd w:val="clear" w:color="auto" w:fill="auto"/>
            <w:vAlign w:val="center"/>
          </w:tcPr>
          <w:p w14:paraId="4E569AFE" w14:textId="77777777" w:rsidR="00DF3E10" w:rsidRDefault="00DF3E10">
            <w:pPr>
              <w:rPr>
                <w:rFonts w:ascii="Times New Roman" w:hAnsi="Times New Roman"/>
                <w:sz w:val="20"/>
                <w:szCs w:val="20"/>
              </w:rPr>
            </w:pPr>
          </w:p>
        </w:tc>
        <w:tc>
          <w:tcPr>
            <w:tcW w:w="50" w:type="pct"/>
            <w:shd w:val="clear" w:color="auto" w:fill="auto"/>
            <w:vAlign w:val="center"/>
          </w:tcPr>
          <w:p w14:paraId="4E569AFF" w14:textId="77777777" w:rsidR="00DF3E10" w:rsidRDefault="00DF3E10">
            <w:pPr>
              <w:rPr>
                <w:rFonts w:ascii="Times New Roman" w:hAnsi="Times New Roman"/>
                <w:sz w:val="20"/>
                <w:szCs w:val="20"/>
              </w:rPr>
            </w:pPr>
          </w:p>
        </w:tc>
        <w:tc>
          <w:tcPr>
            <w:tcW w:w="50" w:type="pct"/>
            <w:shd w:val="clear" w:color="auto" w:fill="auto"/>
            <w:vAlign w:val="center"/>
          </w:tcPr>
          <w:p w14:paraId="4E569B00" w14:textId="77777777" w:rsidR="00DF3E10" w:rsidRDefault="00DF3E10">
            <w:pPr>
              <w:rPr>
                <w:rFonts w:ascii="Times New Roman" w:hAnsi="Times New Roman"/>
                <w:sz w:val="20"/>
                <w:szCs w:val="20"/>
              </w:rPr>
            </w:pPr>
          </w:p>
        </w:tc>
        <w:tc>
          <w:tcPr>
            <w:tcW w:w="50" w:type="pct"/>
            <w:shd w:val="clear" w:color="auto" w:fill="auto"/>
            <w:vAlign w:val="center"/>
          </w:tcPr>
          <w:p w14:paraId="4E569B01" w14:textId="77777777" w:rsidR="00DF3E10" w:rsidRDefault="00DF3E10">
            <w:pPr>
              <w:rPr>
                <w:rFonts w:ascii="Times New Roman" w:hAnsi="Times New Roman"/>
                <w:sz w:val="20"/>
                <w:szCs w:val="20"/>
              </w:rPr>
            </w:pPr>
          </w:p>
        </w:tc>
        <w:tc>
          <w:tcPr>
            <w:tcW w:w="100" w:type="pct"/>
            <w:shd w:val="clear" w:color="auto" w:fill="auto"/>
            <w:vAlign w:val="center"/>
          </w:tcPr>
          <w:p w14:paraId="4E569B02" w14:textId="77777777" w:rsidR="00DF3E10" w:rsidRDefault="00DF3E10">
            <w:pPr>
              <w:rPr>
                <w:rFonts w:ascii="Times New Roman" w:hAnsi="Times New Roman"/>
                <w:sz w:val="20"/>
                <w:szCs w:val="20"/>
              </w:rPr>
            </w:pPr>
          </w:p>
        </w:tc>
        <w:tc>
          <w:tcPr>
            <w:tcW w:w="50" w:type="pct"/>
            <w:shd w:val="clear" w:color="auto" w:fill="auto"/>
            <w:vAlign w:val="center"/>
          </w:tcPr>
          <w:p w14:paraId="4E569B03" w14:textId="77777777" w:rsidR="00DF3E10" w:rsidRDefault="00DF3E10">
            <w:pPr>
              <w:rPr>
                <w:rFonts w:ascii="Times New Roman" w:hAnsi="Times New Roman"/>
                <w:sz w:val="20"/>
                <w:szCs w:val="20"/>
              </w:rPr>
            </w:pPr>
          </w:p>
        </w:tc>
        <w:tc>
          <w:tcPr>
            <w:tcW w:w="50" w:type="pct"/>
            <w:shd w:val="clear" w:color="auto" w:fill="auto"/>
            <w:vAlign w:val="center"/>
          </w:tcPr>
          <w:p w14:paraId="4E569B04" w14:textId="77777777" w:rsidR="00DF3E10" w:rsidRDefault="00DF3E10">
            <w:pPr>
              <w:rPr>
                <w:rFonts w:ascii="Times New Roman" w:hAnsi="Times New Roman"/>
                <w:sz w:val="20"/>
                <w:szCs w:val="20"/>
              </w:rPr>
            </w:pPr>
          </w:p>
        </w:tc>
        <w:tc>
          <w:tcPr>
            <w:tcW w:w="50" w:type="pct"/>
            <w:shd w:val="clear" w:color="auto" w:fill="auto"/>
            <w:vAlign w:val="center"/>
          </w:tcPr>
          <w:p w14:paraId="4E569B05" w14:textId="77777777" w:rsidR="00DF3E10" w:rsidRDefault="00DF3E10">
            <w:pPr>
              <w:rPr>
                <w:rFonts w:ascii="Times New Roman" w:hAnsi="Times New Roman"/>
                <w:sz w:val="20"/>
                <w:szCs w:val="20"/>
              </w:rPr>
            </w:pPr>
          </w:p>
        </w:tc>
        <w:tc>
          <w:tcPr>
            <w:tcW w:w="200" w:type="pct"/>
            <w:shd w:val="clear" w:color="auto" w:fill="auto"/>
            <w:vAlign w:val="center"/>
          </w:tcPr>
          <w:p w14:paraId="4E569B06" w14:textId="77777777" w:rsidR="00DF3E10" w:rsidRDefault="00DF3E10">
            <w:pPr>
              <w:rPr>
                <w:rFonts w:ascii="Times New Roman" w:hAnsi="Times New Roman"/>
                <w:sz w:val="20"/>
                <w:szCs w:val="20"/>
              </w:rPr>
            </w:pPr>
          </w:p>
        </w:tc>
        <w:tc>
          <w:tcPr>
            <w:tcW w:w="50" w:type="pct"/>
            <w:shd w:val="clear" w:color="auto" w:fill="auto"/>
            <w:vAlign w:val="center"/>
          </w:tcPr>
          <w:p w14:paraId="4E569B07" w14:textId="77777777" w:rsidR="00DF3E10" w:rsidRDefault="00DF3E10">
            <w:pPr>
              <w:rPr>
                <w:rFonts w:ascii="Times New Roman" w:hAnsi="Times New Roman"/>
                <w:sz w:val="20"/>
                <w:szCs w:val="20"/>
              </w:rPr>
            </w:pPr>
          </w:p>
        </w:tc>
        <w:tc>
          <w:tcPr>
            <w:tcW w:w="50" w:type="pct"/>
            <w:shd w:val="clear" w:color="auto" w:fill="auto"/>
            <w:vAlign w:val="center"/>
          </w:tcPr>
          <w:p w14:paraId="4E569B08" w14:textId="77777777" w:rsidR="00DF3E10" w:rsidRDefault="00DF3E10">
            <w:pPr>
              <w:rPr>
                <w:rFonts w:ascii="Times New Roman" w:hAnsi="Times New Roman"/>
                <w:sz w:val="20"/>
                <w:szCs w:val="20"/>
              </w:rPr>
            </w:pPr>
          </w:p>
        </w:tc>
        <w:tc>
          <w:tcPr>
            <w:tcW w:w="50" w:type="pct"/>
            <w:shd w:val="clear" w:color="auto" w:fill="auto"/>
            <w:vAlign w:val="center"/>
          </w:tcPr>
          <w:p w14:paraId="4E569B09" w14:textId="77777777" w:rsidR="00DF3E10" w:rsidRDefault="00DF3E10">
            <w:pPr>
              <w:rPr>
                <w:rFonts w:ascii="Times New Roman" w:hAnsi="Times New Roman"/>
                <w:sz w:val="20"/>
                <w:szCs w:val="20"/>
              </w:rPr>
            </w:pPr>
          </w:p>
        </w:tc>
        <w:tc>
          <w:tcPr>
            <w:tcW w:w="350" w:type="pct"/>
            <w:shd w:val="clear" w:color="auto" w:fill="auto"/>
            <w:vAlign w:val="center"/>
          </w:tcPr>
          <w:p w14:paraId="4E569B0A" w14:textId="77777777" w:rsidR="00DF3E10" w:rsidRDefault="00DF3E10">
            <w:pPr>
              <w:rPr>
                <w:rFonts w:ascii="Times New Roman" w:hAnsi="Times New Roman"/>
                <w:sz w:val="20"/>
                <w:szCs w:val="20"/>
              </w:rPr>
            </w:pPr>
          </w:p>
        </w:tc>
        <w:tc>
          <w:tcPr>
            <w:tcW w:w="50" w:type="pct"/>
            <w:shd w:val="clear" w:color="auto" w:fill="auto"/>
            <w:vAlign w:val="center"/>
          </w:tcPr>
          <w:p w14:paraId="4E569B0B" w14:textId="77777777" w:rsidR="00DF3E10" w:rsidRDefault="00DF3E10">
            <w:pPr>
              <w:rPr>
                <w:rFonts w:ascii="Times New Roman" w:hAnsi="Times New Roman"/>
                <w:sz w:val="20"/>
                <w:szCs w:val="20"/>
              </w:rPr>
            </w:pPr>
          </w:p>
        </w:tc>
        <w:tc>
          <w:tcPr>
            <w:tcW w:w="50" w:type="pct"/>
            <w:shd w:val="clear" w:color="auto" w:fill="auto"/>
            <w:vAlign w:val="center"/>
          </w:tcPr>
          <w:p w14:paraId="4E569B0C" w14:textId="77777777" w:rsidR="00DF3E10" w:rsidRDefault="00DF3E10">
            <w:pPr>
              <w:rPr>
                <w:rFonts w:ascii="Times New Roman" w:hAnsi="Times New Roman"/>
                <w:sz w:val="20"/>
                <w:szCs w:val="20"/>
              </w:rPr>
            </w:pPr>
          </w:p>
        </w:tc>
        <w:tc>
          <w:tcPr>
            <w:tcW w:w="50" w:type="pct"/>
            <w:shd w:val="clear" w:color="auto" w:fill="auto"/>
            <w:vAlign w:val="center"/>
          </w:tcPr>
          <w:p w14:paraId="4E569B0D" w14:textId="77777777" w:rsidR="00DF3E10" w:rsidRDefault="00DF3E10">
            <w:pPr>
              <w:rPr>
                <w:rFonts w:ascii="Times New Roman" w:hAnsi="Times New Roman"/>
                <w:sz w:val="20"/>
                <w:szCs w:val="20"/>
              </w:rPr>
            </w:pPr>
          </w:p>
        </w:tc>
        <w:tc>
          <w:tcPr>
            <w:tcW w:w="200" w:type="pct"/>
            <w:shd w:val="clear" w:color="auto" w:fill="auto"/>
            <w:vAlign w:val="center"/>
          </w:tcPr>
          <w:p w14:paraId="4E569B0E" w14:textId="77777777" w:rsidR="00DF3E10" w:rsidRDefault="00DF3E10">
            <w:pPr>
              <w:rPr>
                <w:rFonts w:ascii="Times New Roman" w:hAnsi="Times New Roman"/>
                <w:sz w:val="20"/>
                <w:szCs w:val="20"/>
              </w:rPr>
            </w:pPr>
          </w:p>
        </w:tc>
        <w:tc>
          <w:tcPr>
            <w:tcW w:w="50" w:type="pct"/>
            <w:shd w:val="clear" w:color="auto" w:fill="auto"/>
            <w:vAlign w:val="center"/>
          </w:tcPr>
          <w:p w14:paraId="4E569B0F" w14:textId="77777777" w:rsidR="00DF3E10" w:rsidRDefault="00DF3E10">
            <w:pPr>
              <w:rPr>
                <w:rFonts w:ascii="Times New Roman" w:hAnsi="Times New Roman"/>
                <w:sz w:val="20"/>
                <w:szCs w:val="20"/>
              </w:rPr>
            </w:pPr>
          </w:p>
        </w:tc>
        <w:tc>
          <w:tcPr>
            <w:tcW w:w="50" w:type="pct"/>
            <w:shd w:val="clear" w:color="auto" w:fill="auto"/>
            <w:vAlign w:val="center"/>
          </w:tcPr>
          <w:p w14:paraId="4E569B10" w14:textId="77777777" w:rsidR="00DF3E10" w:rsidRDefault="00DF3E10">
            <w:pPr>
              <w:rPr>
                <w:rFonts w:ascii="Times New Roman" w:hAnsi="Times New Roman"/>
                <w:sz w:val="20"/>
                <w:szCs w:val="20"/>
              </w:rPr>
            </w:pPr>
          </w:p>
        </w:tc>
        <w:tc>
          <w:tcPr>
            <w:tcW w:w="50" w:type="pct"/>
            <w:shd w:val="clear" w:color="auto" w:fill="auto"/>
            <w:vAlign w:val="center"/>
          </w:tcPr>
          <w:p w14:paraId="4E569B11" w14:textId="77777777" w:rsidR="00DF3E10" w:rsidRDefault="00DF3E10">
            <w:pPr>
              <w:rPr>
                <w:rFonts w:ascii="Times New Roman" w:hAnsi="Times New Roman"/>
                <w:sz w:val="20"/>
                <w:szCs w:val="20"/>
              </w:rPr>
            </w:pPr>
          </w:p>
        </w:tc>
        <w:tc>
          <w:tcPr>
            <w:tcW w:w="300" w:type="pct"/>
            <w:shd w:val="clear" w:color="auto" w:fill="auto"/>
            <w:vAlign w:val="center"/>
          </w:tcPr>
          <w:p w14:paraId="4E569B12" w14:textId="77777777" w:rsidR="00DF3E10" w:rsidRDefault="00DF3E10">
            <w:pPr>
              <w:rPr>
                <w:rFonts w:ascii="Times New Roman" w:hAnsi="Times New Roman"/>
                <w:sz w:val="20"/>
                <w:szCs w:val="20"/>
              </w:rPr>
            </w:pPr>
          </w:p>
        </w:tc>
        <w:tc>
          <w:tcPr>
            <w:tcW w:w="50" w:type="pct"/>
            <w:shd w:val="clear" w:color="auto" w:fill="auto"/>
            <w:vAlign w:val="center"/>
          </w:tcPr>
          <w:p w14:paraId="4E569B13" w14:textId="77777777" w:rsidR="00DF3E10" w:rsidRDefault="00DF3E10">
            <w:pPr>
              <w:rPr>
                <w:rFonts w:ascii="Times New Roman" w:hAnsi="Times New Roman"/>
                <w:sz w:val="20"/>
                <w:szCs w:val="20"/>
              </w:rPr>
            </w:pPr>
          </w:p>
        </w:tc>
        <w:tc>
          <w:tcPr>
            <w:tcW w:w="50" w:type="pct"/>
            <w:shd w:val="clear" w:color="auto" w:fill="auto"/>
            <w:vAlign w:val="center"/>
          </w:tcPr>
          <w:p w14:paraId="4E569B14" w14:textId="77777777" w:rsidR="00DF3E10" w:rsidRDefault="00DF3E10">
            <w:pPr>
              <w:rPr>
                <w:rFonts w:ascii="Times New Roman" w:hAnsi="Times New Roman"/>
                <w:sz w:val="20"/>
                <w:szCs w:val="20"/>
              </w:rPr>
            </w:pPr>
          </w:p>
        </w:tc>
        <w:tc>
          <w:tcPr>
            <w:tcW w:w="200" w:type="pct"/>
            <w:shd w:val="clear" w:color="auto" w:fill="auto"/>
            <w:vAlign w:val="center"/>
          </w:tcPr>
          <w:p w14:paraId="4E569B15" w14:textId="77777777" w:rsidR="00DF3E10" w:rsidRDefault="00DF3E10">
            <w:pPr>
              <w:rPr>
                <w:rFonts w:ascii="Times New Roman" w:hAnsi="Times New Roman"/>
                <w:sz w:val="20"/>
                <w:szCs w:val="20"/>
              </w:rPr>
            </w:pPr>
          </w:p>
        </w:tc>
        <w:tc>
          <w:tcPr>
            <w:tcW w:w="50" w:type="pct"/>
            <w:shd w:val="clear" w:color="auto" w:fill="auto"/>
            <w:vAlign w:val="center"/>
          </w:tcPr>
          <w:p w14:paraId="4E569B16" w14:textId="77777777" w:rsidR="00DF3E10" w:rsidRDefault="00DF3E10">
            <w:pPr>
              <w:rPr>
                <w:rFonts w:ascii="Times New Roman" w:hAnsi="Times New Roman"/>
                <w:sz w:val="20"/>
                <w:szCs w:val="20"/>
              </w:rPr>
            </w:pPr>
          </w:p>
        </w:tc>
        <w:tc>
          <w:tcPr>
            <w:tcW w:w="50" w:type="pct"/>
            <w:shd w:val="clear" w:color="auto" w:fill="auto"/>
            <w:vAlign w:val="center"/>
          </w:tcPr>
          <w:p w14:paraId="4E569B17" w14:textId="77777777" w:rsidR="00DF3E10" w:rsidRDefault="00DF3E10">
            <w:pPr>
              <w:rPr>
                <w:rFonts w:ascii="Times New Roman" w:hAnsi="Times New Roman"/>
                <w:sz w:val="20"/>
                <w:szCs w:val="20"/>
              </w:rPr>
            </w:pPr>
          </w:p>
        </w:tc>
        <w:tc>
          <w:tcPr>
            <w:tcW w:w="50" w:type="pct"/>
            <w:shd w:val="clear" w:color="auto" w:fill="auto"/>
            <w:vAlign w:val="center"/>
          </w:tcPr>
          <w:p w14:paraId="4E569B18" w14:textId="77777777" w:rsidR="00DF3E10" w:rsidRDefault="00DF3E10">
            <w:pPr>
              <w:rPr>
                <w:rFonts w:ascii="Times New Roman" w:hAnsi="Times New Roman"/>
                <w:sz w:val="20"/>
                <w:szCs w:val="20"/>
              </w:rPr>
            </w:pPr>
          </w:p>
        </w:tc>
        <w:tc>
          <w:tcPr>
            <w:tcW w:w="100" w:type="pct"/>
            <w:shd w:val="clear" w:color="auto" w:fill="auto"/>
            <w:vAlign w:val="center"/>
          </w:tcPr>
          <w:p w14:paraId="4E569B19" w14:textId="77777777" w:rsidR="00DF3E10" w:rsidRDefault="00DF3E10">
            <w:pPr>
              <w:rPr>
                <w:rFonts w:ascii="Times New Roman" w:hAnsi="Times New Roman"/>
                <w:sz w:val="20"/>
                <w:szCs w:val="20"/>
              </w:rPr>
            </w:pPr>
          </w:p>
        </w:tc>
        <w:tc>
          <w:tcPr>
            <w:tcW w:w="50" w:type="pct"/>
            <w:shd w:val="clear" w:color="auto" w:fill="auto"/>
            <w:vAlign w:val="center"/>
          </w:tcPr>
          <w:p w14:paraId="4E569B1A" w14:textId="77777777" w:rsidR="00DF3E10" w:rsidRDefault="00DF3E10">
            <w:pPr>
              <w:rPr>
                <w:rFonts w:ascii="Times New Roman" w:hAnsi="Times New Roman"/>
                <w:sz w:val="20"/>
                <w:szCs w:val="20"/>
              </w:rPr>
            </w:pPr>
          </w:p>
        </w:tc>
        <w:tc>
          <w:tcPr>
            <w:tcW w:w="50" w:type="pct"/>
            <w:shd w:val="clear" w:color="auto" w:fill="auto"/>
            <w:vAlign w:val="center"/>
          </w:tcPr>
          <w:p w14:paraId="4E569B1B" w14:textId="77777777" w:rsidR="00DF3E10" w:rsidRDefault="00DF3E10">
            <w:pPr>
              <w:rPr>
                <w:rFonts w:ascii="Times New Roman" w:hAnsi="Times New Roman"/>
                <w:sz w:val="20"/>
                <w:szCs w:val="20"/>
              </w:rPr>
            </w:pPr>
          </w:p>
        </w:tc>
        <w:tc>
          <w:tcPr>
            <w:tcW w:w="50" w:type="pct"/>
            <w:shd w:val="clear" w:color="auto" w:fill="auto"/>
            <w:vAlign w:val="center"/>
          </w:tcPr>
          <w:p w14:paraId="4E569B1C" w14:textId="77777777" w:rsidR="00DF3E10" w:rsidRDefault="00DF3E10">
            <w:pPr>
              <w:rPr>
                <w:rFonts w:ascii="Times New Roman" w:hAnsi="Times New Roman"/>
                <w:sz w:val="20"/>
                <w:szCs w:val="20"/>
              </w:rPr>
            </w:pPr>
          </w:p>
        </w:tc>
        <w:tc>
          <w:tcPr>
            <w:tcW w:w="200" w:type="pct"/>
            <w:shd w:val="clear" w:color="auto" w:fill="auto"/>
            <w:vAlign w:val="center"/>
          </w:tcPr>
          <w:p w14:paraId="4E569B1D" w14:textId="77777777" w:rsidR="00DF3E10" w:rsidRDefault="00DF3E10">
            <w:pPr>
              <w:rPr>
                <w:rFonts w:ascii="Times New Roman" w:hAnsi="Times New Roman"/>
                <w:sz w:val="20"/>
                <w:szCs w:val="20"/>
              </w:rPr>
            </w:pPr>
          </w:p>
        </w:tc>
        <w:tc>
          <w:tcPr>
            <w:tcW w:w="50" w:type="pct"/>
            <w:shd w:val="clear" w:color="auto" w:fill="auto"/>
            <w:vAlign w:val="center"/>
          </w:tcPr>
          <w:p w14:paraId="4E569B1E" w14:textId="77777777" w:rsidR="00DF3E10" w:rsidRDefault="00DF3E10">
            <w:pPr>
              <w:rPr>
                <w:rFonts w:ascii="Times New Roman" w:hAnsi="Times New Roman"/>
                <w:sz w:val="20"/>
                <w:szCs w:val="20"/>
              </w:rPr>
            </w:pPr>
          </w:p>
        </w:tc>
        <w:tc>
          <w:tcPr>
            <w:tcW w:w="50" w:type="pct"/>
            <w:shd w:val="clear" w:color="auto" w:fill="auto"/>
            <w:vAlign w:val="center"/>
          </w:tcPr>
          <w:p w14:paraId="4E569B1F" w14:textId="77777777" w:rsidR="00DF3E10" w:rsidRDefault="00DF3E10">
            <w:pPr>
              <w:rPr>
                <w:rFonts w:ascii="Times New Roman" w:hAnsi="Times New Roman"/>
                <w:sz w:val="20"/>
                <w:szCs w:val="20"/>
              </w:rPr>
            </w:pPr>
          </w:p>
        </w:tc>
        <w:tc>
          <w:tcPr>
            <w:tcW w:w="50" w:type="pct"/>
            <w:shd w:val="clear" w:color="auto" w:fill="auto"/>
            <w:vAlign w:val="center"/>
          </w:tcPr>
          <w:p w14:paraId="4E569B20" w14:textId="77777777" w:rsidR="00DF3E10" w:rsidRDefault="00DF3E10">
            <w:pPr>
              <w:rPr>
                <w:rFonts w:ascii="Times New Roman" w:hAnsi="Times New Roman"/>
                <w:sz w:val="20"/>
                <w:szCs w:val="20"/>
              </w:rPr>
            </w:pPr>
          </w:p>
        </w:tc>
        <w:tc>
          <w:tcPr>
            <w:tcW w:w="350" w:type="pct"/>
            <w:shd w:val="clear" w:color="auto" w:fill="auto"/>
            <w:vAlign w:val="center"/>
          </w:tcPr>
          <w:p w14:paraId="4E569B21" w14:textId="77777777" w:rsidR="00DF3E10" w:rsidRDefault="00DF3E10">
            <w:pPr>
              <w:rPr>
                <w:rFonts w:ascii="Times New Roman" w:hAnsi="Times New Roman"/>
                <w:sz w:val="20"/>
                <w:szCs w:val="20"/>
              </w:rPr>
            </w:pPr>
          </w:p>
        </w:tc>
        <w:tc>
          <w:tcPr>
            <w:tcW w:w="50" w:type="pct"/>
            <w:shd w:val="clear" w:color="auto" w:fill="auto"/>
            <w:vAlign w:val="center"/>
          </w:tcPr>
          <w:p w14:paraId="4E569B22" w14:textId="77777777" w:rsidR="00DF3E10" w:rsidRDefault="00DF3E10">
            <w:pPr>
              <w:rPr>
                <w:rFonts w:ascii="Times New Roman" w:hAnsi="Times New Roman"/>
                <w:sz w:val="20"/>
                <w:szCs w:val="20"/>
              </w:rPr>
            </w:pPr>
          </w:p>
        </w:tc>
        <w:tc>
          <w:tcPr>
            <w:tcW w:w="50" w:type="pct"/>
            <w:shd w:val="clear" w:color="auto" w:fill="auto"/>
            <w:vAlign w:val="center"/>
          </w:tcPr>
          <w:p w14:paraId="4E569B23" w14:textId="77777777" w:rsidR="00DF3E10" w:rsidRDefault="00DF3E10">
            <w:pPr>
              <w:rPr>
                <w:rFonts w:ascii="Times New Roman" w:hAnsi="Times New Roman"/>
                <w:sz w:val="20"/>
                <w:szCs w:val="20"/>
              </w:rPr>
            </w:pPr>
          </w:p>
        </w:tc>
        <w:tc>
          <w:tcPr>
            <w:tcW w:w="50" w:type="pct"/>
            <w:shd w:val="clear" w:color="auto" w:fill="auto"/>
            <w:vAlign w:val="center"/>
          </w:tcPr>
          <w:p w14:paraId="4E569B24" w14:textId="77777777" w:rsidR="00DF3E10" w:rsidRDefault="00DF3E10">
            <w:pPr>
              <w:rPr>
                <w:rFonts w:ascii="Times New Roman" w:hAnsi="Times New Roman"/>
                <w:sz w:val="20"/>
                <w:szCs w:val="20"/>
              </w:rPr>
            </w:pPr>
          </w:p>
        </w:tc>
        <w:tc>
          <w:tcPr>
            <w:tcW w:w="200" w:type="pct"/>
            <w:shd w:val="clear" w:color="auto" w:fill="auto"/>
            <w:vAlign w:val="center"/>
          </w:tcPr>
          <w:p w14:paraId="4E569B25" w14:textId="77777777" w:rsidR="00DF3E10" w:rsidRDefault="00DF3E10">
            <w:pPr>
              <w:rPr>
                <w:rFonts w:ascii="Times New Roman" w:hAnsi="Times New Roman"/>
                <w:sz w:val="20"/>
                <w:szCs w:val="20"/>
              </w:rPr>
            </w:pPr>
          </w:p>
        </w:tc>
        <w:tc>
          <w:tcPr>
            <w:tcW w:w="50" w:type="pct"/>
            <w:shd w:val="clear" w:color="auto" w:fill="auto"/>
            <w:vAlign w:val="center"/>
          </w:tcPr>
          <w:p w14:paraId="4E569B26" w14:textId="77777777" w:rsidR="00DF3E10" w:rsidRDefault="00DF3E10">
            <w:pPr>
              <w:rPr>
                <w:rFonts w:ascii="Times New Roman" w:hAnsi="Times New Roman"/>
                <w:sz w:val="20"/>
                <w:szCs w:val="20"/>
              </w:rPr>
            </w:pPr>
          </w:p>
        </w:tc>
        <w:tc>
          <w:tcPr>
            <w:tcW w:w="50" w:type="pct"/>
            <w:shd w:val="clear" w:color="auto" w:fill="auto"/>
            <w:vAlign w:val="center"/>
          </w:tcPr>
          <w:p w14:paraId="4E569B27" w14:textId="77777777" w:rsidR="00DF3E10" w:rsidRDefault="00DF3E10">
            <w:pPr>
              <w:rPr>
                <w:rFonts w:ascii="Times New Roman" w:hAnsi="Times New Roman"/>
                <w:sz w:val="20"/>
                <w:szCs w:val="20"/>
              </w:rPr>
            </w:pPr>
          </w:p>
        </w:tc>
        <w:tc>
          <w:tcPr>
            <w:tcW w:w="50" w:type="pct"/>
            <w:shd w:val="clear" w:color="auto" w:fill="auto"/>
            <w:vAlign w:val="center"/>
          </w:tcPr>
          <w:p w14:paraId="4E569B28" w14:textId="77777777" w:rsidR="00DF3E10" w:rsidRDefault="00DF3E10">
            <w:pPr>
              <w:rPr>
                <w:rFonts w:ascii="Times New Roman" w:hAnsi="Times New Roman"/>
                <w:sz w:val="20"/>
                <w:szCs w:val="20"/>
              </w:rPr>
            </w:pPr>
          </w:p>
        </w:tc>
        <w:tc>
          <w:tcPr>
            <w:tcW w:w="300" w:type="pct"/>
            <w:shd w:val="clear" w:color="auto" w:fill="auto"/>
            <w:vAlign w:val="center"/>
          </w:tcPr>
          <w:p w14:paraId="4E569B29" w14:textId="77777777" w:rsidR="00DF3E10" w:rsidRDefault="00DF3E10">
            <w:pPr>
              <w:rPr>
                <w:rFonts w:ascii="Times New Roman" w:hAnsi="Times New Roman"/>
                <w:sz w:val="20"/>
                <w:szCs w:val="20"/>
              </w:rPr>
            </w:pPr>
          </w:p>
        </w:tc>
        <w:tc>
          <w:tcPr>
            <w:tcW w:w="50" w:type="pct"/>
            <w:shd w:val="clear" w:color="auto" w:fill="auto"/>
            <w:vAlign w:val="center"/>
          </w:tcPr>
          <w:p w14:paraId="4E569B2A" w14:textId="77777777" w:rsidR="00DF3E10" w:rsidRDefault="00DF3E10">
            <w:pPr>
              <w:rPr>
                <w:rFonts w:ascii="Times New Roman" w:hAnsi="Times New Roman"/>
                <w:sz w:val="20"/>
                <w:szCs w:val="20"/>
              </w:rPr>
            </w:pPr>
          </w:p>
        </w:tc>
      </w:tr>
      <w:tr w:rsidR="00DF3E10" w14:paraId="4E569B30" w14:textId="77777777">
        <w:trPr>
          <w:jc w:val="center"/>
        </w:trPr>
        <w:tc>
          <w:tcPr>
            <w:tcW w:w="0" w:type="auto"/>
            <w:shd w:val="clear" w:color="auto" w:fill="auto"/>
            <w:tcMar>
              <w:top w:w="40" w:type="dxa"/>
              <w:left w:w="40" w:type="dxa"/>
              <w:bottom w:w="40" w:type="dxa"/>
              <w:right w:w="40" w:type="dxa"/>
            </w:tcMar>
            <w:vAlign w:val="bottom"/>
          </w:tcPr>
          <w:p w14:paraId="4E569B2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4E569B2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 2020</w:t>
            </w:r>
          </w:p>
        </w:tc>
        <w:tc>
          <w:tcPr>
            <w:tcW w:w="0" w:type="auto"/>
            <w:shd w:val="clear" w:color="auto" w:fill="auto"/>
            <w:tcMar>
              <w:top w:w="40" w:type="dxa"/>
              <w:left w:w="40" w:type="dxa"/>
              <w:bottom w:w="40" w:type="dxa"/>
              <w:right w:w="40" w:type="dxa"/>
            </w:tcMar>
            <w:vAlign w:val="bottom"/>
          </w:tcPr>
          <w:p w14:paraId="4E569B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4E569B2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 2019</w:t>
            </w:r>
          </w:p>
        </w:tc>
      </w:tr>
      <w:tr w:rsidR="00DF3E10" w14:paraId="4E569B46" w14:textId="77777777">
        <w:trPr>
          <w:jc w:val="center"/>
        </w:trPr>
        <w:tc>
          <w:tcPr>
            <w:tcW w:w="0" w:type="auto"/>
            <w:shd w:val="clear" w:color="auto" w:fill="auto"/>
            <w:tcMar>
              <w:top w:w="40" w:type="dxa"/>
              <w:left w:w="40" w:type="dxa"/>
              <w:bottom w:w="40" w:type="dxa"/>
              <w:right w:w="40" w:type="dxa"/>
            </w:tcMar>
            <w:vAlign w:val="bottom"/>
          </w:tcPr>
          <w:p w14:paraId="4E569B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E569B3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4E569B3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3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Additional </w:t>
            </w:r>
          </w:p>
          <w:p w14:paraId="4E569B3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Paid-In Capital</w:t>
            </w:r>
          </w:p>
        </w:tc>
        <w:tc>
          <w:tcPr>
            <w:tcW w:w="0" w:type="auto"/>
            <w:vMerge w:val="restart"/>
            <w:shd w:val="clear" w:color="auto" w:fill="auto"/>
            <w:tcMar>
              <w:top w:w="40" w:type="dxa"/>
              <w:left w:w="40" w:type="dxa"/>
              <w:bottom w:w="40" w:type="dxa"/>
              <w:right w:w="40" w:type="dxa"/>
            </w:tcMar>
            <w:vAlign w:val="bottom"/>
          </w:tcPr>
          <w:p w14:paraId="4E569B3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3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4E569B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3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4E569B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4E569B3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c>
          <w:tcPr>
            <w:tcW w:w="0" w:type="auto"/>
            <w:shd w:val="clear" w:color="auto" w:fill="auto"/>
            <w:tcMar>
              <w:top w:w="40" w:type="dxa"/>
              <w:left w:w="40" w:type="dxa"/>
              <w:bottom w:w="40" w:type="dxa"/>
              <w:right w:w="40" w:type="dxa"/>
            </w:tcMar>
            <w:vAlign w:val="bottom"/>
          </w:tcPr>
          <w:p w14:paraId="4E569B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E569B3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Class A and Class B </w:t>
            </w: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4E569B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3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4E569B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4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4E569B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B4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4E569B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4E569B4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DF3E10" w14:paraId="4E569B61" w14:textId="77777777">
        <w:trPr>
          <w:jc w:val="center"/>
        </w:trPr>
        <w:tc>
          <w:tcPr>
            <w:tcW w:w="0" w:type="auto"/>
            <w:shd w:val="clear" w:color="auto" w:fill="auto"/>
            <w:tcMar>
              <w:top w:w="40" w:type="dxa"/>
              <w:left w:w="40" w:type="dxa"/>
              <w:bottom w:w="40" w:type="dxa"/>
              <w:right w:w="40" w:type="dxa"/>
            </w:tcMar>
            <w:vAlign w:val="bottom"/>
          </w:tcPr>
          <w:p w14:paraId="4E569B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9B4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E569B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9B4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Par </w:t>
            </w:r>
          </w:p>
          <w:p w14:paraId="4E569B4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4E569B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4E569B4D"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4E"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B4F"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50"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B51"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52" w14:textId="77777777" w:rsidR="00DF3E10" w:rsidRDefault="00DF3E10">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4E569B53" w14:textId="77777777" w:rsidR="00DF3E10" w:rsidRDefault="00DF3E10">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9B5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E569B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B5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Par </w:t>
            </w:r>
          </w:p>
          <w:p w14:paraId="4E569B5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4E569B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4E569B5A"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5B"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B5C"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5D"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B5E"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B5F" w14:textId="77777777" w:rsidR="00DF3E10" w:rsidRDefault="00DF3E10">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4E569B60" w14:textId="77777777" w:rsidR="00DF3E10" w:rsidRDefault="00DF3E10">
            <w:pPr>
              <w:rPr>
                <w:rFonts w:ascii="Times New Roman" w:hAnsi="Times New Roman"/>
                <w:sz w:val="20"/>
                <w:szCs w:val="20"/>
              </w:rPr>
            </w:pPr>
          </w:p>
        </w:tc>
      </w:tr>
      <w:tr w:rsidR="006B6C28" w14:paraId="4E569B90" w14:textId="77777777">
        <w:trPr>
          <w:jc w:val="center"/>
        </w:trPr>
        <w:tc>
          <w:tcPr>
            <w:tcW w:w="0" w:type="auto"/>
            <w:shd w:val="clear" w:color="auto" w:fill="CCEEFF"/>
            <w:tcMar>
              <w:top w:w="40" w:type="dxa"/>
              <w:left w:w="40" w:type="dxa"/>
              <w:bottom w:w="40" w:type="dxa"/>
              <w:right w:w="40" w:type="dxa"/>
            </w:tcMar>
            <w:vAlign w:val="bottom"/>
          </w:tcPr>
          <w:p w14:paraId="4E569B6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Balances at beginning of period</w:t>
            </w:r>
          </w:p>
        </w:tc>
        <w:tc>
          <w:tcPr>
            <w:tcW w:w="0" w:type="auto"/>
            <w:tcBorders>
              <w:top w:val="single" w:sz="8" w:space="0" w:color="000000"/>
            </w:tcBorders>
            <w:shd w:val="clear" w:color="auto" w:fill="CCEEFF"/>
            <w:tcMar>
              <w:top w:w="40" w:type="dxa"/>
              <w:left w:w="40" w:type="dxa"/>
              <w:bottom w:w="40" w:type="dxa"/>
            </w:tcMar>
            <w:vAlign w:val="bottom"/>
          </w:tcPr>
          <w:p w14:paraId="4E569B6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2,851</w:t>
            </w:r>
          </w:p>
        </w:tc>
        <w:tc>
          <w:tcPr>
            <w:tcW w:w="0" w:type="auto"/>
            <w:tcBorders>
              <w:top w:val="single" w:sz="8" w:space="0" w:color="000000"/>
            </w:tcBorders>
            <w:shd w:val="clear" w:color="auto" w:fill="CCEEFF"/>
            <w:vAlign w:val="bottom"/>
          </w:tcPr>
          <w:p w14:paraId="4E569B6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6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6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4E569B6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6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6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46,688</w:t>
            </w:r>
          </w:p>
        </w:tc>
        <w:tc>
          <w:tcPr>
            <w:tcW w:w="0" w:type="auto"/>
            <w:tcBorders>
              <w:top w:val="single" w:sz="8" w:space="0" w:color="000000"/>
            </w:tcBorders>
            <w:shd w:val="clear" w:color="auto" w:fill="CCEEFF"/>
            <w:vAlign w:val="bottom"/>
          </w:tcPr>
          <w:p w14:paraId="4E569B6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6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6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(544</w:t>
            </w:r>
          </w:p>
        </w:tc>
        <w:tc>
          <w:tcPr>
            <w:tcW w:w="0" w:type="auto"/>
            <w:tcBorders>
              <w:top w:val="single" w:sz="8" w:space="0" w:color="000000"/>
            </w:tcBorders>
            <w:shd w:val="clear" w:color="auto" w:fill="CCEEFF"/>
            <w:tcMar>
              <w:top w:w="40" w:type="dxa"/>
              <w:bottom w:w="40" w:type="dxa"/>
              <w:right w:w="40" w:type="dxa"/>
            </w:tcMar>
            <w:vAlign w:val="bottom"/>
          </w:tcPr>
          <w:p w14:paraId="4E569B7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7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7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59,160</w:t>
            </w:r>
          </w:p>
        </w:tc>
        <w:tc>
          <w:tcPr>
            <w:tcW w:w="0" w:type="auto"/>
            <w:tcBorders>
              <w:top w:val="single" w:sz="8" w:space="0" w:color="000000"/>
            </w:tcBorders>
            <w:shd w:val="clear" w:color="auto" w:fill="CCEEFF"/>
            <w:vAlign w:val="bottom"/>
          </w:tcPr>
          <w:p w14:paraId="4E569B7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7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7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105,304</w:t>
            </w:r>
          </w:p>
        </w:tc>
        <w:tc>
          <w:tcPr>
            <w:tcW w:w="0" w:type="auto"/>
            <w:tcBorders>
              <w:top w:val="single" w:sz="8" w:space="0" w:color="000000"/>
            </w:tcBorders>
            <w:shd w:val="clear" w:color="auto" w:fill="CCEEFF"/>
            <w:vAlign w:val="bottom"/>
          </w:tcPr>
          <w:p w14:paraId="4E569B7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7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7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2,856</w:t>
            </w:r>
          </w:p>
        </w:tc>
        <w:tc>
          <w:tcPr>
            <w:tcW w:w="0" w:type="auto"/>
            <w:tcBorders>
              <w:top w:val="single" w:sz="8" w:space="0" w:color="000000"/>
            </w:tcBorders>
            <w:shd w:val="clear" w:color="auto" w:fill="CCEEFF"/>
            <w:vAlign w:val="bottom"/>
          </w:tcPr>
          <w:p w14:paraId="4E569B7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7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7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4E569B7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8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8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8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43,533</w:t>
            </w:r>
          </w:p>
        </w:tc>
        <w:tc>
          <w:tcPr>
            <w:tcW w:w="0" w:type="auto"/>
            <w:tcBorders>
              <w:top w:val="single" w:sz="8" w:space="0" w:color="000000"/>
            </w:tcBorders>
            <w:shd w:val="clear" w:color="auto" w:fill="CCEEFF"/>
            <w:vAlign w:val="bottom"/>
          </w:tcPr>
          <w:p w14:paraId="4E569B8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8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8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(781</w:t>
            </w:r>
          </w:p>
        </w:tc>
        <w:tc>
          <w:tcPr>
            <w:tcW w:w="0" w:type="auto"/>
            <w:tcBorders>
              <w:top w:val="single" w:sz="8" w:space="0" w:color="000000"/>
            </w:tcBorders>
            <w:shd w:val="clear" w:color="auto" w:fill="CCEEFF"/>
            <w:tcMar>
              <w:top w:w="40" w:type="dxa"/>
              <w:bottom w:w="40" w:type="dxa"/>
              <w:right w:w="40" w:type="dxa"/>
            </w:tcMar>
            <w:vAlign w:val="bottom"/>
          </w:tcPr>
          <w:p w14:paraId="4E569B87"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8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8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43,764</w:t>
            </w:r>
          </w:p>
        </w:tc>
        <w:tc>
          <w:tcPr>
            <w:tcW w:w="0" w:type="auto"/>
            <w:tcBorders>
              <w:top w:val="single" w:sz="8" w:space="0" w:color="000000"/>
            </w:tcBorders>
            <w:shd w:val="clear" w:color="auto" w:fill="CCEEFF"/>
            <w:vAlign w:val="bottom"/>
          </w:tcPr>
          <w:p w14:paraId="4E569B8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B8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B8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86,516</w:t>
            </w:r>
          </w:p>
        </w:tc>
        <w:tc>
          <w:tcPr>
            <w:tcW w:w="0" w:type="auto"/>
            <w:tcBorders>
              <w:top w:val="single" w:sz="8" w:space="0" w:color="000000"/>
            </w:tcBorders>
            <w:shd w:val="clear" w:color="auto" w:fill="CCEEFF"/>
            <w:vAlign w:val="bottom"/>
          </w:tcPr>
          <w:p w14:paraId="4E569B8F" w14:textId="77777777" w:rsidR="00DF3E10" w:rsidRDefault="00DF3E10">
            <w:pPr>
              <w:textAlignment w:val="bottom"/>
              <w:rPr>
                <w:rFonts w:ascii="Times New Roman" w:hAnsi="Times New Roman"/>
                <w:sz w:val="20"/>
                <w:szCs w:val="20"/>
              </w:rPr>
            </w:pPr>
          </w:p>
        </w:tc>
      </w:tr>
      <w:tr w:rsidR="00DF3E10" w14:paraId="4E569BB5" w14:textId="77777777">
        <w:trPr>
          <w:jc w:val="center"/>
        </w:trPr>
        <w:tc>
          <w:tcPr>
            <w:tcW w:w="0" w:type="auto"/>
            <w:shd w:val="clear" w:color="auto" w:fill="auto"/>
            <w:tcMar>
              <w:top w:w="40" w:type="dxa"/>
              <w:left w:w="40" w:type="dxa"/>
              <w:bottom w:w="40" w:type="dxa"/>
              <w:right w:w="40" w:type="dxa"/>
            </w:tcMar>
            <w:vAlign w:val="bottom"/>
          </w:tcPr>
          <w:p w14:paraId="4E569B9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Issuance of common stock</w:t>
            </w:r>
          </w:p>
        </w:tc>
        <w:tc>
          <w:tcPr>
            <w:tcW w:w="0" w:type="auto"/>
            <w:shd w:val="clear" w:color="auto" w:fill="auto"/>
            <w:tcMar>
              <w:top w:w="40" w:type="dxa"/>
              <w:left w:w="40" w:type="dxa"/>
              <w:bottom w:w="40" w:type="dxa"/>
            </w:tcMar>
            <w:vAlign w:val="bottom"/>
          </w:tcPr>
          <w:p w14:paraId="4E569B9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auto"/>
            <w:vAlign w:val="bottom"/>
          </w:tcPr>
          <w:p w14:paraId="4E569B9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9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9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9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9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9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9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9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9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A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A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BA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shd w:val="clear" w:color="auto" w:fill="auto"/>
            <w:vAlign w:val="bottom"/>
          </w:tcPr>
          <w:p w14:paraId="4E569BA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A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A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A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vAlign w:val="bottom"/>
          </w:tcPr>
          <w:p w14:paraId="4E569BA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A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A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B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B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B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vAlign w:val="bottom"/>
          </w:tcPr>
          <w:p w14:paraId="4E569BB4" w14:textId="77777777" w:rsidR="00DF3E10" w:rsidRDefault="00DF3E10">
            <w:pPr>
              <w:textAlignment w:val="bottom"/>
              <w:rPr>
                <w:rFonts w:ascii="Times New Roman" w:hAnsi="Times New Roman"/>
                <w:sz w:val="20"/>
                <w:szCs w:val="20"/>
              </w:rPr>
            </w:pPr>
          </w:p>
        </w:tc>
      </w:tr>
      <w:tr w:rsidR="006B6C28" w14:paraId="4E569BDA" w14:textId="77777777">
        <w:trPr>
          <w:jc w:val="center"/>
        </w:trPr>
        <w:tc>
          <w:tcPr>
            <w:tcW w:w="0" w:type="auto"/>
            <w:shd w:val="clear" w:color="auto" w:fill="CCEEFF"/>
            <w:tcMar>
              <w:top w:w="40" w:type="dxa"/>
              <w:left w:w="40" w:type="dxa"/>
              <w:bottom w:w="40" w:type="dxa"/>
              <w:right w:w="40" w:type="dxa"/>
            </w:tcMar>
            <w:vAlign w:val="bottom"/>
          </w:tcPr>
          <w:p w14:paraId="4E569BB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Shares withheld related to net share settlement and other</w:t>
            </w:r>
          </w:p>
        </w:tc>
        <w:tc>
          <w:tcPr>
            <w:tcW w:w="0" w:type="auto"/>
            <w:shd w:val="clear" w:color="auto" w:fill="CCEEFF"/>
            <w:tcMar>
              <w:top w:w="40" w:type="dxa"/>
              <w:left w:w="40" w:type="dxa"/>
              <w:bottom w:w="40" w:type="dxa"/>
            </w:tcMar>
            <w:vAlign w:val="bottom"/>
          </w:tcPr>
          <w:p w14:paraId="4E569BB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tcMar>
              <w:top w:w="40" w:type="dxa"/>
              <w:bottom w:w="40" w:type="dxa"/>
              <w:right w:w="40" w:type="dxa"/>
            </w:tcMar>
            <w:vAlign w:val="bottom"/>
          </w:tcPr>
          <w:p w14:paraId="4E569BB8"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B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BB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B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(578</w:t>
            </w:r>
          </w:p>
        </w:tc>
        <w:tc>
          <w:tcPr>
            <w:tcW w:w="0" w:type="auto"/>
            <w:shd w:val="clear" w:color="auto" w:fill="CCEEFF"/>
            <w:tcMar>
              <w:top w:w="40" w:type="dxa"/>
              <w:bottom w:w="40" w:type="dxa"/>
              <w:right w:w="40" w:type="dxa"/>
            </w:tcMar>
            <w:vAlign w:val="bottom"/>
          </w:tcPr>
          <w:p w14:paraId="4E569BB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C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BC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C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(175</w:t>
            </w:r>
          </w:p>
        </w:tc>
        <w:tc>
          <w:tcPr>
            <w:tcW w:w="0" w:type="auto"/>
            <w:shd w:val="clear" w:color="auto" w:fill="CCEEFF"/>
            <w:tcMar>
              <w:top w:w="40" w:type="dxa"/>
              <w:bottom w:w="40" w:type="dxa"/>
              <w:right w:w="40" w:type="dxa"/>
            </w:tcMar>
            <w:vAlign w:val="bottom"/>
          </w:tcPr>
          <w:p w14:paraId="4E569BC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C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(753</w:t>
            </w:r>
          </w:p>
        </w:tc>
        <w:tc>
          <w:tcPr>
            <w:tcW w:w="0" w:type="auto"/>
            <w:shd w:val="clear" w:color="auto" w:fill="CCEEFF"/>
            <w:tcMar>
              <w:top w:w="40" w:type="dxa"/>
              <w:bottom w:w="40" w:type="dxa"/>
              <w:right w:w="40" w:type="dxa"/>
            </w:tcMar>
            <w:vAlign w:val="bottom"/>
          </w:tcPr>
          <w:p w14:paraId="4E569BC7"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BC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tcMar>
              <w:top w:w="40" w:type="dxa"/>
              <w:bottom w:w="40" w:type="dxa"/>
              <w:right w:w="40" w:type="dxa"/>
            </w:tcMar>
            <w:vAlign w:val="bottom"/>
          </w:tcPr>
          <w:p w14:paraId="4E569BC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C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BC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C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(563</w:t>
            </w:r>
          </w:p>
        </w:tc>
        <w:tc>
          <w:tcPr>
            <w:tcW w:w="0" w:type="auto"/>
            <w:shd w:val="clear" w:color="auto" w:fill="CCEEFF"/>
            <w:tcMar>
              <w:top w:w="40" w:type="dxa"/>
              <w:bottom w:w="40" w:type="dxa"/>
              <w:right w:w="40" w:type="dxa"/>
            </w:tcMar>
            <w:vAlign w:val="bottom"/>
          </w:tcPr>
          <w:p w14:paraId="4E569BD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D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BD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B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D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(287</w:t>
            </w:r>
          </w:p>
        </w:tc>
        <w:tc>
          <w:tcPr>
            <w:tcW w:w="0" w:type="auto"/>
            <w:shd w:val="clear" w:color="auto" w:fill="CCEEFF"/>
            <w:tcMar>
              <w:top w:w="40" w:type="dxa"/>
              <w:bottom w:w="40" w:type="dxa"/>
              <w:right w:w="40" w:type="dxa"/>
            </w:tcMar>
            <w:vAlign w:val="bottom"/>
          </w:tcPr>
          <w:p w14:paraId="4E569BD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B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BD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(850</w:t>
            </w:r>
          </w:p>
        </w:tc>
        <w:tc>
          <w:tcPr>
            <w:tcW w:w="0" w:type="auto"/>
            <w:shd w:val="clear" w:color="auto" w:fill="CCEEFF"/>
            <w:tcMar>
              <w:top w:w="40" w:type="dxa"/>
              <w:bottom w:w="40" w:type="dxa"/>
              <w:right w:w="40" w:type="dxa"/>
            </w:tcMar>
            <w:vAlign w:val="bottom"/>
          </w:tcPr>
          <w:p w14:paraId="4E569BD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r>
      <w:tr w:rsidR="00DF3E10" w14:paraId="4E569BFF" w14:textId="77777777">
        <w:trPr>
          <w:jc w:val="center"/>
        </w:trPr>
        <w:tc>
          <w:tcPr>
            <w:tcW w:w="0" w:type="auto"/>
            <w:shd w:val="clear" w:color="auto" w:fill="auto"/>
            <w:tcMar>
              <w:top w:w="40" w:type="dxa"/>
              <w:left w:w="40" w:type="dxa"/>
              <w:bottom w:w="40" w:type="dxa"/>
              <w:right w:w="40" w:type="dxa"/>
            </w:tcMar>
            <w:vAlign w:val="bottom"/>
          </w:tcPr>
          <w:p w14:paraId="4E569BD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Share-based compensation</w:t>
            </w:r>
          </w:p>
        </w:tc>
        <w:tc>
          <w:tcPr>
            <w:tcW w:w="0" w:type="auto"/>
            <w:shd w:val="clear" w:color="auto" w:fill="auto"/>
            <w:tcMar>
              <w:top w:w="40" w:type="dxa"/>
              <w:left w:w="40" w:type="dxa"/>
              <w:bottom w:w="40" w:type="dxa"/>
            </w:tcMar>
            <w:vAlign w:val="bottom"/>
          </w:tcPr>
          <w:p w14:paraId="4E569BD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D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D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E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E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1,695</w:t>
            </w:r>
          </w:p>
        </w:tc>
        <w:tc>
          <w:tcPr>
            <w:tcW w:w="0" w:type="auto"/>
            <w:shd w:val="clear" w:color="auto" w:fill="auto"/>
            <w:vAlign w:val="bottom"/>
          </w:tcPr>
          <w:p w14:paraId="4E569BE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E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E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E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E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E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1,695</w:t>
            </w:r>
          </w:p>
        </w:tc>
        <w:tc>
          <w:tcPr>
            <w:tcW w:w="0" w:type="auto"/>
            <w:shd w:val="clear" w:color="auto" w:fill="auto"/>
            <w:vAlign w:val="bottom"/>
          </w:tcPr>
          <w:p w14:paraId="4E569BE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BE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E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F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F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F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F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1,303</w:t>
            </w:r>
          </w:p>
        </w:tc>
        <w:tc>
          <w:tcPr>
            <w:tcW w:w="0" w:type="auto"/>
            <w:shd w:val="clear" w:color="auto" w:fill="auto"/>
            <w:vAlign w:val="bottom"/>
          </w:tcPr>
          <w:p w14:paraId="4E569BF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F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F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F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BF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B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BF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1,303</w:t>
            </w:r>
          </w:p>
        </w:tc>
        <w:tc>
          <w:tcPr>
            <w:tcW w:w="0" w:type="auto"/>
            <w:shd w:val="clear" w:color="auto" w:fill="auto"/>
            <w:vAlign w:val="bottom"/>
          </w:tcPr>
          <w:p w14:paraId="4E569BFE" w14:textId="77777777" w:rsidR="00DF3E10" w:rsidRDefault="00DF3E10">
            <w:pPr>
              <w:textAlignment w:val="bottom"/>
              <w:rPr>
                <w:rFonts w:ascii="Times New Roman" w:hAnsi="Times New Roman"/>
                <w:sz w:val="20"/>
                <w:szCs w:val="20"/>
              </w:rPr>
            </w:pPr>
          </w:p>
        </w:tc>
      </w:tr>
      <w:tr w:rsidR="006B6C28" w14:paraId="4E569C24" w14:textId="77777777">
        <w:trPr>
          <w:jc w:val="center"/>
        </w:trPr>
        <w:tc>
          <w:tcPr>
            <w:tcW w:w="0" w:type="auto"/>
            <w:shd w:val="clear" w:color="auto" w:fill="CCEEFF"/>
            <w:tcMar>
              <w:top w:w="40" w:type="dxa"/>
              <w:left w:w="40" w:type="dxa"/>
              <w:bottom w:w="40" w:type="dxa"/>
              <w:right w:w="40" w:type="dxa"/>
            </w:tcMar>
            <w:vAlign w:val="bottom"/>
          </w:tcPr>
          <w:p w14:paraId="4E569C0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 repurchases</w:t>
            </w:r>
          </w:p>
        </w:tc>
        <w:tc>
          <w:tcPr>
            <w:tcW w:w="0" w:type="auto"/>
            <w:shd w:val="clear" w:color="auto" w:fill="CCEEFF"/>
            <w:tcMar>
              <w:top w:w="40" w:type="dxa"/>
              <w:left w:w="40" w:type="dxa"/>
              <w:bottom w:w="40" w:type="dxa"/>
            </w:tcMar>
            <w:vAlign w:val="bottom"/>
          </w:tcPr>
          <w:p w14:paraId="4E569C0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shd w:val="clear" w:color="auto" w:fill="CCEEFF"/>
            <w:tcMar>
              <w:top w:w="40" w:type="dxa"/>
              <w:bottom w:w="40" w:type="dxa"/>
              <w:right w:w="40" w:type="dxa"/>
            </w:tcMar>
            <w:vAlign w:val="bottom"/>
          </w:tcPr>
          <w:p w14:paraId="4E569C0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0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0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0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0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0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0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0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0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(1,379</w:t>
            </w:r>
          </w:p>
        </w:tc>
        <w:tc>
          <w:tcPr>
            <w:tcW w:w="0" w:type="auto"/>
            <w:shd w:val="clear" w:color="auto" w:fill="CCEEFF"/>
            <w:tcMar>
              <w:top w:w="40" w:type="dxa"/>
              <w:bottom w:w="40" w:type="dxa"/>
              <w:right w:w="40" w:type="dxa"/>
            </w:tcMar>
            <w:vAlign w:val="bottom"/>
          </w:tcPr>
          <w:p w14:paraId="4E569C0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1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(1,379</w:t>
            </w:r>
          </w:p>
        </w:tc>
        <w:tc>
          <w:tcPr>
            <w:tcW w:w="0" w:type="auto"/>
            <w:shd w:val="clear" w:color="auto" w:fill="CCEEFF"/>
            <w:tcMar>
              <w:top w:w="40" w:type="dxa"/>
              <w:bottom w:w="40" w:type="dxa"/>
              <w:right w:w="40" w:type="dxa"/>
            </w:tcMar>
            <w:vAlign w:val="bottom"/>
          </w:tcPr>
          <w:p w14:paraId="4E569C1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C1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shd w:val="clear" w:color="auto" w:fill="CCEEFF"/>
            <w:tcMar>
              <w:top w:w="40" w:type="dxa"/>
              <w:bottom w:w="40" w:type="dxa"/>
              <w:right w:w="40" w:type="dxa"/>
            </w:tcMar>
            <w:vAlign w:val="bottom"/>
          </w:tcPr>
          <w:p w14:paraId="4E569C1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1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1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1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1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1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C1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1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1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(1,125</w:t>
            </w:r>
          </w:p>
        </w:tc>
        <w:tc>
          <w:tcPr>
            <w:tcW w:w="0" w:type="auto"/>
            <w:shd w:val="clear" w:color="auto" w:fill="CCEEFF"/>
            <w:tcMar>
              <w:top w:w="40" w:type="dxa"/>
              <w:bottom w:w="40" w:type="dxa"/>
              <w:right w:w="40" w:type="dxa"/>
            </w:tcMar>
            <w:vAlign w:val="bottom"/>
          </w:tcPr>
          <w:p w14:paraId="4E569C2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2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(1,125</w:t>
            </w:r>
          </w:p>
        </w:tc>
        <w:tc>
          <w:tcPr>
            <w:tcW w:w="0" w:type="auto"/>
            <w:shd w:val="clear" w:color="auto" w:fill="CCEEFF"/>
            <w:tcMar>
              <w:top w:w="40" w:type="dxa"/>
              <w:bottom w:w="40" w:type="dxa"/>
              <w:right w:w="40" w:type="dxa"/>
            </w:tcMar>
            <w:vAlign w:val="bottom"/>
          </w:tcPr>
          <w:p w14:paraId="4E569C23"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r>
      <w:tr w:rsidR="00DF3E10" w14:paraId="4E569C49" w14:textId="77777777">
        <w:trPr>
          <w:jc w:val="center"/>
        </w:trPr>
        <w:tc>
          <w:tcPr>
            <w:tcW w:w="0" w:type="auto"/>
            <w:shd w:val="clear" w:color="auto" w:fill="auto"/>
            <w:tcMar>
              <w:top w:w="40" w:type="dxa"/>
              <w:left w:w="40" w:type="dxa"/>
              <w:bottom w:w="40" w:type="dxa"/>
              <w:right w:w="40" w:type="dxa"/>
            </w:tcMar>
            <w:vAlign w:val="bottom"/>
          </w:tcPr>
          <w:p w14:paraId="4E569C2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Other comprehensive income</w:t>
            </w:r>
          </w:p>
        </w:tc>
        <w:tc>
          <w:tcPr>
            <w:tcW w:w="0" w:type="auto"/>
            <w:shd w:val="clear" w:color="auto" w:fill="auto"/>
            <w:tcMar>
              <w:top w:w="40" w:type="dxa"/>
              <w:left w:w="40" w:type="dxa"/>
              <w:bottom w:w="40" w:type="dxa"/>
            </w:tcMar>
            <w:vAlign w:val="bottom"/>
          </w:tcPr>
          <w:p w14:paraId="4E569C2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2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2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2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2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2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2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402</w:t>
            </w:r>
          </w:p>
        </w:tc>
        <w:tc>
          <w:tcPr>
            <w:tcW w:w="0" w:type="auto"/>
            <w:shd w:val="clear" w:color="auto" w:fill="auto"/>
            <w:vAlign w:val="bottom"/>
          </w:tcPr>
          <w:p w14:paraId="4E569C3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3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3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402</w:t>
            </w:r>
          </w:p>
        </w:tc>
        <w:tc>
          <w:tcPr>
            <w:tcW w:w="0" w:type="auto"/>
            <w:shd w:val="clear" w:color="auto" w:fill="auto"/>
            <w:vAlign w:val="bottom"/>
          </w:tcPr>
          <w:p w14:paraId="4E569C3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C3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3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3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3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3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3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4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298</w:t>
            </w:r>
          </w:p>
        </w:tc>
        <w:tc>
          <w:tcPr>
            <w:tcW w:w="0" w:type="auto"/>
            <w:shd w:val="clear" w:color="auto" w:fill="auto"/>
            <w:vAlign w:val="bottom"/>
          </w:tcPr>
          <w:p w14:paraId="4E569C4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4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C4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4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C4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298</w:t>
            </w:r>
          </w:p>
        </w:tc>
        <w:tc>
          <w:tcPr>
            <w:tcW w:w="0" w:type="auto"/>
            <w:shd w:val="clear" w:color="auto" w:fill="auto"/>
            <w:vAlign w:val="bottom"/>
          </w:tcPr>
          <w:p w14:paraId="4E569C48" w14:textId="77777777" w:rsidR="00DF3E10" w:rsidRDefault="00DF3E10">
            <w:pPr>
              <w:textAlignment w:val="bottom"/>
              <w:rPr>
                <w:rFonts w:ascii="Times New Roman" w:hAnsi="Times New Roman"/>
                <w:sz w:val="20"/>
                <w:szCs w:val="20"/>
              </w:rPr>
            </w:pPr>
          </w:p>
        </w:tc>
      </w:tr>
      <w:tr w:rsidR="006B6C28" w14:paraId="4E569C6E" w14:textId="77777777">
        <w:trPr>
          <w:jc w:val="center"/>
        </w:trPr>
        <w:tc>
          <w:tcPr>
            <w:tcW w:w="0" w:type="auto"/>
            <w:shd w:val="clear" w:color="auto" w:fill="CCEEFF"/>
            <w:tcMar>
              <w:top w:w="40" w:type="dxa"/>
              <w:left w:w="40" w:type="dxa"/>
              <w:bottom w:w="40" w:type="dxa"/>
              <w:right w:w="40" w:type="dxa"/>
            </w:tcMar>
            <w:vAlign w:val="bottom"/>
          </w:tcPr>
          <w:p w14:paraId="4E569C4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Net income</w:t>
            </w:r>
          </w:p>
        </w:tc>
        <w:tc>
          <w:tcPr>
            <w:tcW w:w="0" w:type="auto"/>
            <w:tcBorders>
              <w:bottom w:val="single" w:sz="8" w:space="0" w:color="000000"/>
            </w:tcBorders>
            <w:shd w:val="clear" w:color="auto" w:fill="CCEEFF"/>
            <w:tcMar>
              <w:top w:w="40" w:type="dxa"/>
              <w:left w:w="40" w:type="dxa"/>
              <w:bottom w:w="40" w:type="dxa"/>
            </w:tcMar>
            <w:vAlign w:val="bottom"/>
          </w:tcPr>
          <w:p w14:paraId="4E569C4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4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4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4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5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5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5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5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5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5,178</w:t>
            </w:r>
          </w:p>
        </w:tc>
        <w:tc>
          <w:tcPr>
            <w:tcW w:w="0" w:type="auto"/>
            <w:tcBorders>
              <w:bottom w:val="single" w:sz="8" w:space="0" w:color="000000"/>
            </w:tcBorders>
            <w:shd w:val="clear" w:color="auto" w:fill="CCEEFF"/>
            <w:vAlign w:val="bottom"/>
          </w:tcPr>
          <w:p w14:paraId="4E569C5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5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5,178</w:t>
            </w:r>
          </w:p>
        </w:tc>
        <w:tc>
          <w:tcPr>
            <w:tcW w:w="0" w:type="auto"/>
            <w:shd w:val="clear" w:color="auto" w:fill="CCEEFF"/>
            <w:vAlign w:val="bottom"/>
          </w:tcPr>
          <w:p w14:paraId="4E569C5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9C5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5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6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6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6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6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6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4E569C6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C6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2,616</w:t>
            </w:r>
          </w:p>
        </w:tc>
        <w:tc>
          <w:tcPr>
            <w:tcW w:w="0" w:type="auto"/>
            <w:tcBorders>
              <w:bottom w:val="single" w:sz="8" w:space="0" w:color="000000"/>
            </w:tcBorders>
            <w:shd w:val="clear" w:color="auto" w:fill="CCEEFF"/>
            <w:vAlign w:val="bottom"/>
          </w:tcPr>
          <w:p w14:paraId="4E569C6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C6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2,616</w:t>
            </w:r>
          </w:p>
        </w:tc>
        <w:tc>
          <w:tcPr>
            <w:tcW w:w="0" w:type="auto"/>
            <w:shd w:val="clear" w:color="auto" w:fill="CCEEFF"/>
            <w:vAlign w:val="bottom"/>
          </w:tcPr>
          <w:p w14:paraId="4E569C6D" w14:textId="77777777" w:rsidR="00DF3E10" w:rsidRDefault="00DF3E10">
            <w:pPr>
              <w:textAlignment w:val="bottom"/>
              <w:rPr>
                <w:rFonts w:ascii="Times New Roman" w:hAnsi="Times New Roman"/>
                <w:sz w:val="20"/>
                <w:szCs w:val="20"/>
              </w:rPr>
            </w:pPr>
          </w:p>
        </w:tc>
      </w:tr>
      <w:tr w:rsidR="00DF3E10" w14:paraId="4E569C9D" w14:textId="77777777">
        <w:trPr>
          <w:jc w:val="center"/>
        </w:trPr>
        <w:tc>
          <w:tcPr>
            <w:tcW w:w="0" w:type="auto"/>
            <w:shd w:val="clear" w:color="auto" w:fill="auto"/>
            <w:tcMar>
              <w:top w:w="40" w:type="dxa"/>
              <w:left w:w="40" w:type="dxa"/>
              <w:bottom w:w="40" w:type="dxa"/>
              <w:right w:w="40" w:type="dxa"/>
            </w:tcMar>
            <w:vAlign w:val="bottom"/>
          </w:tcPr>
          <w:p w14:paraId="4E569C6F"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Ba</w:t>
            </w:r>
            <w:r>
              <w:rPr>
                <w:rFonts w:ascii="Times New Roman" w:eastAsia="宋体" w:hAnsi="Times New Roman"/>
                <w:sz w:val="18"/>
                <w:szCs w:val="18"/>
              </w:rPr>
              <w:t>lances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7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2,850</w:t>
            </w:r>
          </w:p>
        </w:tc>
        <w:tc>
          <w:tcPr>
            <w:tcW w:w="0" w:type="auto"/>
            <w:tcBorders>
              <w:top w:val="single" w:sz="8" w:space="0" w:color="000000"/>
              <w:bottom w:val="double" w:sz="6" w:space="0" w:color="000000"/>
            </w:tcBorders>
            <w:shd w:val="clear" w:color="auto" w:fill="auto"/>
            <w:vAlign w:val="bottom"/>
          </w:tcPr>
          <w:p w14:paraId="4E569C7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73"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7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4E569C7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77"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7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47,805</w:t>
            </w:r>
          </w:p>
        </w:tc>
        <w:tc>
          <w:tcPr>
            <w:tcW w:w="0" w:type="auto"/>
            <w:tcBorders>
              <w:top w:val="single" w:sz="8" w:space="0" w:color="000000"/>
              <w:bottom w:val="double" w:sz="6" w:space="0" w:color="000000"/>
            </w:tcBorders>
            <w:shd w:val="clear" w:color="auto" w:fill="auto"/>
            <w:vAlign w:val="bottom"/>
          </w:tcPr>
          <w:p w14:paraId="4E569C7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7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7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(142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9C7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4E569C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7F"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8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62,784</w:t>
            </w:r>
          </w:p>
        </w:tc>
        <w:tc>
          <w:tcPr>
            <w:tcW w:w="0" w:type="auto"/>
            <w:tcBorders>
              <w:top w:val="single" w:sz="8" w:space="0" w:color="000000"/>
              <w:bottom w:val="double" w:sz="6" w:space="0" w:color="000000"/>
            </w:tcBorders>
            <w:shd w:val="clear" w:color="auto" w:fill="auto"/>
            <w:vAlign w:val="bottom"/>
          </w:tcPr>
          <w:p w14:paraId="4E569C8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83"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8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110,447</w:t>
            </w:r>
          </w:p>
        </w:tc>
        <w:tc>
          <w:tcPr>
            <w:tcW w:w="0" w:type="auto"/>
            <w:tcBorders>
              <w:top w:val="single" w:sz="8" w:space="0" w:color="000000"/>
              <w:bottom w:val="double" w:sz="6" w:space="0" w:color="000000"/>
            </w:tcBorders>
            <w:shd w:val="clear" w:color="auto" w:fill="auto"/>
            <w:vAlign w:val="bottom"/>
          </w:tcPr>
          <w:p w14:paraId="4E569C8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8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bottom w:val="double" w:sz="6" w:space="0" w:color="000000"/>
            </w:tcBorders>
            <w:shd w:val="clear" w:color="auto" w:fill="auto"/>
            <w:vAlign w:val="bottom"/>
          </w:tcPr>
          <w:p w14:paraId="4E569C8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8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8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8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4E569C8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8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8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44,277</w:t>
            </w:r>
          </w:p>
        </w:tc>
        <w:tc>
          <w:tcPr>
            <w:tcW w:w="0" w:type="auto"/>
            <w:tcBorders>
              <w:top w:val="single" w:sz="8" w:space="0" w:color="000000"/>
              <w:bottom w:val="double" w:sz="6" w:space="0" w:color="000000"/>
            </w:tcBorders>
            <w:shd w:val="clear" w:color="auto" w:fill="auto"/>
            <w:vAlign w:val="bottom"/>
          </w:tcPr>
          <w:p w14:paraId="4E569C9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9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9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(483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9C9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4E569C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9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9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44,968</w:t>
            </w:r>
          </w:p>
        </w:tc>
        <w:tc>
          <w:tcPr>
            <w:tcW w:w="0" w:type="auto"/>
            <w:tcBorders>
              <w:top w:val="single" w:sz="8" w:space="0" w:color="000000"/>
              <w:bottom w:val="double" w:sz="6" w:space="0" w:color="000000"/>
            </w:tcBorders>
            <w:shd w:val="clear" w:color="auto" w:fill="auto"/>
            <w:vAlign w:val="bottom"/>
          </w:tcPr>
          <w:p w14:paraId="4E569C9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C9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C9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88,762</w:t>
            </w:r>
          </w:p>
        </w:tc>
        <w:tc>
          <w:tcPr>
            <w:tcW w:w="0" w:type="auto"/>
            <w:tcBorders>
              <w:top w:val="single" w:sz="8" w:space="0" w:color="000000"/>
              <w:bottom w:val="double" w:sz="6" w:space="0" w:color="000000"/>
            </w:tcBorders>
            <w:shd w:val="clear" w:color="auto" w:fill="auto"/>
            <w:vAlign w:val="bottom"/>
          </w:tcPr>
          <w:p w14:paraId="4E569C9C" w14:textId="77777777" w:rsidR="00DF3E10" w:rsidRDefault="00DF3E10">
            <w:pPr>
              <w:textAlignment w:val="bottom"/>
              <w:rPr>
                <w:rFonts w:ascii="Times New Roman" w:hAnsi="Times New Roman"/>
                <w:sz w:val="20"/>
                <w:szCs w:val="20"/>
              </w:rPr>
            </w:pPr>
          </w:p>
        </w:tc>
      </w:tr>
      <w:tr w:rsidR="00DF3E10" w14:paraId="4E569CB6" w14:textId="77777777">
        <w:trPr>
          <w:jc w:val="center"/>
        </w:trPr>
        <w:tc>
          <w:tcPr>
            <w:tcW w:w="0" w:type="auto"/>
            <w:shd w:val="clear" w:color="auto" w:fill="auto"/>
            <w:tcMar>
              <w:top w:w="40" w:type="dxa"/>
              <w:left w:w="40" w:type="dxa"/>
              <w:bottom w:w="40" w:type="dxa"/>
              <w:right w:w="40" w:type="dxa"/>
            </w:tcMar>
            <w:vAlign w:val="bottom"/>
          </w:tcPr>
          <w:p w14:paraId="4E569C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9C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9C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C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CBB" w14:textId="77777777">
        <w:trPr>
          <w:jc w:val="center"/>
        </w:trPr>
        <w:tc>
          <w:tcPr>
            <w:tcW w:w="0" w:type="auto"/>
            <w:shd w:val="clear" w:color="auto" w:fill="auto"/>
            <w:tcMar>
              <w:top w:w="40" w:type="dxa"/>
              <w:left w:w="40" w:type="dxa"/>
              <w:bottom w:w="40" w:type="dxa"/>
              <w:right w:w="40" w:type="dxa"/>
            </w:tcMar>
            <w:vAlign w:val="bottom"/>
          </w:tcPr>
          <w:p w14:paraId="4E569C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4E569CB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 2020</w:t>
            </w:r>
          </w:p>
        </w:tc>
        <w:tc>
          <w:tcPr>
            <w:tcW w:w="0" w:type="auto"/>
            <w:shd w:val="clear" w:color="auto" w:fill="auto"/>
            <w:tcMar>
              <w:top w:w="40" w:type="dxa"/>
              <w:left w:w="40" w:type="dxa"/>
              <w:bottom w:w="40" w:type="dxa"/>
              <w:right w:w="40" w:type="dxa"/>
            </w:tcMar>
            <w:vAlign w:val="bottom"/>
          </w:tcPr>
          <w:p w14:paraId="4E569C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4E569CB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 2019</w:t>
            </w:r>
          </w:p>
        </w:tc>
      </w:tr>
      <w:tr w:rsidR="00DF3E10" w14:paraId="4E569CD1" w14:textId="77777777">
        <w:trPr>
          <w:jc w:val="center"/>
        </w:trPr>
        <w:tc>
          <w:tcPr>
            <w:tcW w:w="0" w:type="auto"/>
            <w:shd w:val="clear" w:color="auto" w:fill="auto"/>
            <w:tcMar>
              <w:top w:w="40" w:type="dxa"/>
              <w:left w:w="40" w:type="dxa"/>
              <w:bottom w:w="40" w:type="dxa"/>
              <w:right w:w="40" w:type="dxa"/>
            </w:tcMar>
            <w:vAlign w:val="bottom"/>
          </w:tcPr>
          <w:p w14:paraId="4E569C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E569CB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4E569C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B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Additional </w:t>
            </w:r>
          </w:p>
          <w:p w14:paraId="4E569CC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Paid-In Capital</w:t>
            </w:r>
          </w:p>
        </w:tc>
        <w:tc>
          <w:tcPr>
            <w:tcW w:w="0" w:type="auto"/>
            <w:vMerge w:val="restart"/>
            <w:shd w:val="clear" w:color="auto" w:fill="auto"/>
            <w:tcMar>
              <w:top w:w="40" w:type="dxa"/>
              <w:left w:w="40" w:type="dxa"/>
              <w:bottom w:w="40" w:type="dxa"/>
              <w:right w:w="40" w:type="dxa"/>
            </w:tcMar>
            <w:vAlign w:val="bottom"/>
          </w:tcPr>
          <w:p w14:paraId="4E569C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C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4E569C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C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4E569C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4E569CC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c>
          <w:tcPr>
            <w:tcW w:w="0" w:type="auto"/>
            <w:shd w:val="clear" w:color="auto" w:fill="auto"/>
            <w:tcMar>
              <w:top w:w="40" w:type="dxa"/>
              <w:left w:w="40" w:type="dxa"/>
              <w:bottom w:w="40" w:type="dxa"/>
              <w:right w:w="40" w:type="dxa"/>
            </w:tcMar>
            <w:vAlign w:val="bottom"/>
          </w:tcPr>
          <w:p w14:paraId="4E569C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E569CC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Class A and </w:t>
            </w:r>
            <w:r>
              <w:rPr>
                <w:rFonts w:ascii="Times New Roman" w:eastAsia="宋体" w:hAnsi="Times New Roman"/>
                <w:b/>
                <w:bCs/>
                <w:sz w:val="16"/>
                <w:szCs w:val="16"/>
              </w:rPr>
              <w:t>Class B Common Stock</w:t>
            </w:r>
          </w:p>
        </w:tc>
        <w:tc>
          <w:tcPr>
            <w:tcW w:w="0" w:type="auto"/>
            <w:shd w:val="clear" w:color="auto" w:fill="auto"/>
            <w:tcMar>
              <w:top w:w="40" w:type="dxa"/>
              <w:left w:w="40" w:type="dxa"/>
              <w:bottom w:w="40" w:type="dxa"/>
              <w:right w:w="40" w:type="dxa"/>
            </w:tcMar>
            <w:vAlign w:val="bottom"/>
          </w:tcPr>
          <w:p w14:paraId="4E569C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C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4E569C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C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4E569C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4E569CC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4E569C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4E569CD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DF3E10" w14:paraId="4E569CEC" w14:textId="77777777">
        <w:trPr>
          <w:jc w:val="center"/>
        </w:trPr>
        <w:tc>
          <w:tcPr>
            <w:tcW w:w="0" w:type="auto"/>
            <w:shd w:val="clear" w:color="auto" w:fill="auto"/>
            <w:tcMar>
              <w:top w:w="40" w:type="dxa"/>
              <w:left w:w="40" w:type="dxa"/>
              <w:bottom w:w="40" w:type="dxa"/>
              <w:right w:w="40" w:type="dxa"/>
            </w:tcMar>
            <w:vAlign w:val="bottom"/>
          </w:tcPr>
          <w:p w14:paraId="4E569C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9CD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E569C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CD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Par </w:t>
            </w:r>
          </w:p>
          <w:p w14:paraId="4E569CD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4E569C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4E569CD8"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D9"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CDA"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DB"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CDC"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DD" w14:textId="77777777" w:rsidR="00DF3E10" w:rsidRDefault="00DF3E10">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4E569CDE" w14:textId="77777777" w:rsidR="00DF3E10" w:rsidRDefault="00DF3E10">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C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9CE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E569C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CE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Par </w:t>
            </w:r>
          </w:p>
          <w:p w14:paraId="4E569CE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4E569C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4E569CE5"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E6"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CE7"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E8" w14:textId="77777777" w:rsidR="00DF3E10" w:rsidRDefault="00DF3E10">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4E569CE9" w14:textId="77777777" w:rsidR="00DF3E10" w:rsidRDefault="00DF3E10">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4E569CEA" w14:textId="77777777" w:rsidR="00DF3E10" w:rsidRDefault="00DF3E10">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4E569CEB" w14:textId="77777777" w:rsidR="00DF3E10" w:rsidRDefault="00DF3E10">
            <w:pPr>
              <w:rPr>
                <w:rFonts w:ascii="Times New Roman" w:hAnsi="Times New Roman"/>
                <w:sz w:val="20"/>
                <w:szCs w:val="20"/>
              </w:rPr>
            </w:pPr>
          </w:p>
        </w:tc>
      </w:tr>
      <w:tr w:rsidR="006B6C28" w14:paraId="4E569D1B" w14:textId="77777777">
        <w:trPr>
          <w:jc w:val="center"/>
        </w:trPr>
        <w:tc>
          <w:tcPr>
            <w:tcW w:w="0" w:type="auto"/>
            <w:shd w:val="clear" w:color="auto" w:fill="CCEEFF"/>
            <w:tcMar>
              <w:top w:w="40" w:type="dxa"/>
              <w:left w:w="40" w:type="dxa"/>
              <w:bottom w:w="40" w:type="dxa"/>
              <w:right w:w="40" w:type="dxa"/>
            </w:tcMar>
            <w:vAlign w:val="bottom"/>
          </w:tcPr>
          <w:p w14:paraId="4E569CE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Balances at beginning of period</w:t>
            </w:r>
          </w:p>
        </w:tc>
        <w:tc>
          <w:tcPr>
            <w:tcW w:w="0" w:type="auto"/>
            <w:tcBorders>
              <w:top w:val="single" w:sz="8" w:space="0" w:color="000000"/>
            </w:tcBorders>
            <w:shd w:val="clear" w:color="auto" w:fill="CCEEFF"/>
            <w:tcMar>
              <w:top w:w="40" w:type="dxa"/>
              <w:left w:w="40" w:type="dxa"/>
              <w:bottom w:w="40" w:type="dxa"/>
            </w:tcMar>
            <w:vAlign w:val="bottom"/>
          </w:tcPr>
          <w:p w14:paraId="4E569CE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2,852</w:t>
            </w:r>
          </w:p>
        </w:tc>
        <w:tc>
          <w:tcPr>
            <w:tcW w:w="0" w:type="auto"/>
            <w:tcBorders>
              <w:top w:val="single" w:sz="8" w:space="0" w:color="000000"/>
            </w:tcBorders>
            <w:shd w:val="clear" w:color="auto" w:fill="CCEEFF"/>
            <w:vAlign w:val="bottom"/>
          </w:tcPr>
          <w:p w14:paraId="4E569CE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CF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CF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4E569CF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CF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CF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45,851</w:t>
            </w:r>
          </w:p>
        </w:tc>
        <w:tc>
          <w:tcPr>
            <w:tcW w:w="0" w:type="auto"/>
            <w:tcBorders>
              <w:top w:val="single" w:sz="8" w:space="0" w:color="000000"/>
            </w:tcBorders>
            <w:shd w:val="clear" w:color="auto" w:fill="CCEEFF"/>
            <w:vAlign w:val="bottom"/>
          </w:tcPr>
          <w:p w14:paraId="4E569CF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C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CF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CF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(489</w:t>
            </w:r>
          </w:p>
        </w:tc>
        <w:tc>
          <w:tcPr>
            <w:tcW w:w="0" w:type="auto"/>
            <w:tcBorders>
              <w:top w:val="single" w:sz="8" w:space="0" w:color="000000"/>
            </w:tcBorders>
            <w:shd w:val="clear" w:color="auto" w:fill="CCEEFF"/>
            <w:tcMar>
              <w:top w:w="40" w:type="dxa"/>
              <w:bottom w:w="40" w:type="dxa"/>
              <w:right w:w="40" w:type="dxa"/>
            </w:tcMar>
            <w:vAlign w:val="bottom"/>
          </w:tcPr>
          <w:p w14:paraId="4E569CF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C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CF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CF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55,692</w:t>
            </w:r>
          </w:p>
        </w:tc>
        <w:tc>
          <w:tcPr>
            <w:tcW w:w="0" w:type="auto"/>
            <w:tcBorders>
              <w:top w:val="single" w:sz="8" w:space="0" w:color="000000"/>
            </w:tcBorders>
            <w:shd w:val="clear" w:color="auto" w:fill="CCEEFF"/>
            <w:vAlign w:val="bottom"/>
          </w:tcPr>
          <w:p w14:paraId="4E569CF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0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0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101,054</w:t>
            </w:r>
          </w:p>
        </w:tc>
        <w:tc>
          <w:tcPr>
            <w:tcW w:w="0" w:type="auto"/>
            <w:tcBorders>
              <w:top w:val="single" w:sz="8" w:space="0" w:color="000000"/>
            </w:tcBorders>
            <w:shd w:val="clear" w:color="auto" w:fill="CCEEFF"/>
            <w:vAlign w:val="bottom"/>
          </w:tcPr>
          <w:p w14:paraId="4E569D0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0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tcBorders>
            <w:shd w:val="clear" w:color="auto" w:fill="CCEEFF"/>
            <w:vAlign w:val="bottom"/>
          </w:tcPr>
          <w:p w14:paraId="4E569D0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08"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0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4E569D0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0C"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0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42,906</w:t>
            </w:r>
          </w:p>
        </w:tc>
        <w:tc>
          <w:tcPr>
            <w:tcW w:w="0" w:type="auto"/>
            <w:tcBorders>
              <w:top w:val="single" w:sz="8" w:space="0" w:color="000000"/>
            </w:tcBorders>
            <w:shd w:val="clear" w:color="auto" w:fill="CCEEFF"/>
            <w:vAlign w:val="bottom"/>
          </w:tcPr>
          <w:p w14:paraId="4E569D0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1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1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(760</w:t>
            </w:r>
          </w:p>
        </w:tc>
        <w:tc>
          <w:tcPr>
            <w:tcW w:w="0" w:type="auto"/>
            <w:tcBorders>
              <w:top w:val="single" w:sz="8" w:space="0" w:color="000000"/>
            </w:tcBorders>
            <w:shd w:val="clear" w:color="auto" w:fill="CCEEFF"/>
            <w:tcMar>
              <w:top w:w="40" w:type="dxa"/>
              <w:bottom w:w="40" w:type="dxa"/>
              <w:right w:w="40" w:type="dxa"/>
            </w:tcMar>
            <w:vAlign w:val="bottom"/>
          </w:tcPr>
          <w:p w14:paraId="4E569D1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1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1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41,981</w:t>
            </w:r>
          </w:p>
        </w:tc>
        <w:tc>
          <w:tcPr>
            <w:tcW w:w="0" w:type="auto"/>
            <w:tcBorders>
              <w:top w:val="single" w:sz="8" w:space="0" w:color="000000"/>
            </w:tcBorders>
            <w:shd w:val="clear" w:color="auto" w:fill="CCEEFF"/>
            <w:vAlign w:val="bottom"/>
          </w:tcPr>
          <w:p w14:paraId="4E569D1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9D18"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4E569D1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84,127</w:t>
            </w:r>
          </w:p>
        </w:tc>
        <w:tc>
          <w:tcPr>
            <w:tcW w:w="0" w:type="auto"/>
            <w:tcBorders>
              <w:top w:val="single" w:sz="8" w:space="0" w:color="000000"/>
            </w:tcBorders>
            <w:shd w:val="clear" w:color="auto" w:fill="CCEEFF"/>
            <w:vAlign w:val="bottom"/>
          </w:tcPr>
          <w:p w14:paraId="4E569D1A" w14:textId="77777777" w:rsidR="00DF3E10" w:rsidRDefault="00DF3E10">
            <w:pPr>
              <w:textAlignment w:val="bottom"/>
              <w:rPr>
                <w:rFonts w:ascii="Times New Roman" w:hAnsi="Times New Roman"/>
                <w:sz w:val="20"/>
                <w:szCs w:val="20"/>
              </w:rPr>
            </w:pPr>
          </w:p>
        </w:tc>
      </w:tr>
      <w:tr w:rsidR="00DF3E10" w14:paraId="4E569D40" w14:textId="77777777">
        <w:trPr>
          <w:jc w:val="center"/>
        </w:trPr>
        <w:tc>
          <w:tcPr>
            <w:tcW w:w="0" w:type="auto"/>
            <w:shd w:val="clear" w:color="auto" w:fill="auto"/>
            <w:tcMar>
              <w:top w:w="40" w:type="dxa"/>
              <w:left w:w="40" w:type="dxa"/>
              <w:bottom w:w="40" w:type="dxa"/>
              <w:right w:w="40" w:type="dxa"/>
            </w:tcMar>
            <w:vAlign w:val="bottom"/>
          </w:tcPr>
          <w:p w14:paraId="4E569D1C"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Issuance of common stock</w:t>
            </w:r>
          </w:p>
        </w:tc>
        <w:tc>
          <w:tcPr>
            <w:tcW w:w="0" w:type="auto"/>
            <w:shd w:val="clear" w:color="auto" w:fill="auto"/>
            <w:tcMar>
              <w:top w:w="40" w:type="dxa"/>
              <w:left w:w="40" w:type="dxa"/>
              <w:bottom w:w="40" w:type="dxa"/>
            </w:tcMar>
            <w:vAlign w:val="bottom"/>
          </w:tcPr>
          <w:p w14:paraId="4E569D1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shd w:val="clear" w:color="auto" w:fill="auto"/>
            <w:vAlign w:val="bottom"/>
          </w:tcPr>
          <w:p w14:paraId="4E569D1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2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2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2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2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2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2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2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2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2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2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2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D2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16</w:t>
            </w:r>
          </w:p>
        </w:tc>
        <w:tc>
          <w:tcPr>
            <w:tcW w:w="0" w:type="auto"/>
            <w:shd w:val="clear" w:color="auto" w:fill="auto"/>
            <w:vAlign w:val="bottom"/>
          </w:tcPr>
          <w:p w14:paraId="4E569D3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3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3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auto"/>
            <w:vAlign w:val="bottom"/>
          </w:tcPr>
          <w:p w14:paraId="4E569D3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3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3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3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3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3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auto"/>
            <w:vAlign w:val="bottom"/>
          </w:tcPr>
          <w:p w14:paraId="4E569D3F" w14:textId="77777777" w:rsidR="00DF3E10" w:rsidRDefault="00DF3E10">
            <w:pPr>
              <w:textAlignment w:val="bottom"/>
              <w:rPr>
                <w:rFonts w:ascii="Times New Roman" w:hAnsi="Times New Roman"/>
                <w:sz w:val="20"/>
                <w:szCs w:val="20"/>
              </w:rPr>
            </w:pPr>
          </w:p>
        </w:tc>
      </w:tr>
      <w:tr w:rsidR="006B6C28" w14:paraId="4E569D65" w14:textId="77777777">
        <w:trPr>
          <w:jc w:val="center"/>
        </w:trPr>
        <w:tc>
          <w:tcPr>
            <w:tcW w:w="0" w:type="auto"/>
            <w:shd w:val="clear" w:color="auto" w:fill="CCEEFF"/>
            <w:tcMar>
              <w:top w:w="40" w:type="dxa"/>
              <w:left w:w="40" w:type="dxa"/>
              <w:bottom w:w="40" w:type="dxa"/>
              <w:right w:w="40" w:type="dxa"/>
            </w:tcMar>
            <w:vAlign w:val="bottom"/>
          </w:tcPr>
          <w:p w14:paraId="4E569D4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Shares withheld related to net share settlement and other</w:t>
            </w:r>
          </w:p>
        </w:tc>
        <w:tc>
          <w:tcPr>
            <w:tcW w:w="0" w:type="auto"/>
            <w:shd w:val="clear" w:color="auto" w:fill="CCEEFF"/>
            <w:tcMar>
              <w:top w:w="40" w:type="dxa"/>
              <w:left w:w="40" w:type="dxa"/>
              <w:bottom w:w="40" w:type="dxa"/>
            </w:tcMar>
            <w:vAlign w:val="bottom"/>
          </w:tcPr>
          <w:p w14:paraId="4E569D4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shd w:val="clear" w:color="auto" w:fill="CCEEFF"/>
            <w:tcMar>
              <w:top w:w="40" w:type="dxa"/>
              <w:bottom w:w="40" w:type="dxa"/>
              <w:right w:w="40" w:type="dxa"/>
            </w:tcMar>
            <w:vAlign w:val="bottom"/>
          </w:tcPr>
          <w:p w14:paraId="4E569D43"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4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4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4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(1,076</w:t>
            </w:r>
          </w:p>
        </w:tc>
        <w:tc>
          <w:tcPr>
            <w:tcW w:w="0" w:type="auto"/>
            <w:shd w:val="clear" w:color="auto" w:fill="CCEEFF"/>
            <w:tcMar>
              <w:top w:w="40" w:type="dxa"/>
              <w:bottom w:w="40" w:type="dxa"/>
              <w:right w:w="40" w:type="dxa"/>
            </w:tcMar>
            <w:vAlign w:val="bottom"/>
          </w:tcPr>
          <w:p w14:paraId="4E569D4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4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4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4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(368</w:t>
            </w:r>
          </w:p>
        </w:tc>
        <w:tc>
          <w:tcPr>
            <w:tcW w:w="0" w:type="auto"/>
            <w:shd w:val="clear" w:color="auto" w:fill="CCEEFF"/>
            <w:tcMar>
              <w:top w:w="40" w:type="dxa"/>
              <w:bottom w:w="40" w:type="dxa"/>
              <w:right w:w="40" w:type="dxa"/>
            </w:tcMar>
            <w:vAlign w:val="bottom"/>
          </w:tcPr>
          <w:p w14:paraId="4E569D4F"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5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(1,444</w:t>
            </w:r>
          </w:p>
        </w:tc>
        <w:tc>
          <w:tcPr>
            <w:tcW w:w="0" w:type="auto"/>
            <w:shd w:val="clear" w:color="auto" w:fill="CCEEFF"/>
            <w:tcMar>
              <w:top w:w="40" w:type="dxa"/>
              <w:bottom w:w="40" w:type="dxa"/>
              <w:right w:w="40" w:type="dxa"/>
            </w:tcMar>
            <w:vAlign w:val="bottom"/>
          </w:tcPr>
          <w:p w14:paraId="4E569D5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D5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shd w:val="clear" w:color="auto" w:fill="CCEEFF"/>
            <w:tcMar>
              <w:top w:w="40" w:type="dxa"/>
              <w:bottom w:w="40" w:type="dxa"/>
              <w:right w:w="40" w:type="dxa"/>
            </w:tcMar>
            <w:vAlign w:val="bottom"/>
          </w:tcPr>
          <w:p w14:paraId="4E569D5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5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5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5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(951</w:t>
            </w:r>
          </w:p>
        </w:tc>
        <w:tc>
          <w:tcPr>
            <w:tcW w:w="0" w:type="auto"/>
            <w:shd w:val="clear" w:color="auto" w:fill="CCEEFF"/>
            <w:tcMar>
              <w:top w:w="40" w:type="dxa"/>
              <w:bottom w:w="40" w:type="dxa"/>
              <w:right w:w="40" w:type="dxa"/>
            </w:tcMar>
            <w:vAlign w:val="bottom"/>
          </w:tcPr>
          <w:p w14:paraId="4E569D5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5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5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6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(411</w:t>
            </w:r>
          </w:p>
        </w:tc>
        <w:tc>
          <w:tcPr>
            <w:tcW w:w="0" w:type="auto"/>
            <w:shd w:val="clear" w:color="auto" w:fill="CCEEFF"/>
            <w:tcMar>
              <w:top w:w="40" w:type="dxa"/>
              <w:bottom w:w="40" w:type="dxa"/>
              <w:right w:w="40" w:type="dxa"/>
            </w:tcMar>
            <w:vAlign w:val="bottom"/>
          </w:tcPr>
          <w:p w14:paraId="4E569D6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6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(1,362</w:t>
            </w:r>
          </w:p>
        </w:tc>
        <w:tc>
          <w:tcPr>
            <w:tcW w:w="0" w:type="auto"/>
            <w:shd w:val="clear" w:color="auto" w:fill="CCEEFF"/>
            <w:tcMar>
              <w:top w:w="40" w:type="dxa"/>
              <w:bottom w:w="40" w:type="dxa"/>
              <w:right w:w="40" w:type="dxa"/>
            </w:tcMar>
            <w:vAlign w:val="bottom"/>
          </w:tcPr>
          <w:p w14:paraId="4E569D64"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r>
      <w:tr w:rsidR="00DF3E10" w14:paraId="4E569D8A" w14:textId="77777777">
        <w:trPr>
          <w:jc w:val="center"/>
        </w:trPr>
        <w:tc>
          <w:tcPr>
            <w:tcW w:w="0" w:type="auto"/>
            <w:shd w:val="clear" w:color="auto" w:fill="auto"/>
            <w:tcMar>
              <w:top w:w="40" w:type="dxa"/>
              <w:left w:w="40" w:type="dxa"/>
              <w:bottom w:w="40" w:type="dxa"/>
              <w:right w:w="40" w:type="dxa"/>
            </w:tcMar>
            <w:vAlign w:val="bottom"/>
          </w:tcPr>
          <w:p w14:paraId="4E569D6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Share-based compensation</w:t>
            </w:r>
          </w:p>
        </w:tc>
        <w:tc>
          <w:tcPr>
            <w:tcW w:w="0" w:type="auto"/>
            <w:shd w:val="clear" w:color="auto" w:fill="auto"/>
            <w:tcMar>
              <w:top w:w="40" w:type="dxa"/>
              <w:left w:w="40" w:type="dxa"/>
              <w:bottom w:w="40" w:type="dxa"/>
            </w:tcMar>
            <w:vAlign w:val="bottom"/>
          </w:tcPr>
          <w:p w14:paraId="4E569D6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6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6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6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6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3,030</w:t>
            </w:r>
          </w:p>
        </w:tc>
        <w:tc>
          <w:tcPr>
            <w:tcW w:w="0" w:type="auto"/>
            <w:shd w:val="clear" w:color="auto" w:fill="auto"/>
            <w:vAlign w:val="bottom"/>
          </w:tcPr>
          <w:p w14:paraId="4E569D6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7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7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7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7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7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3,030</w:t>
            </w:r>
          </w:p>
        </w:tc>
        <w:tc>
          <w:tcPr>
            <w:tcW w:w="0" w:type="auto"/>
            <w:shd w:val="clear" w:color="auto" w:fill="auto"/>
            <w:vAlign w:val="bottom"/>
          </w:tcPr>
          <w:p w14:paraId="4E569D7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D7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7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7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7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7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2,313</w:t>
            </w:r>
          </w:p>
        </w:tc>
        <w:tc>
          <w:tcPr>
            <w:tcW w:w="0" w:type="auto"/>
            <w:shd w:val="clear" w:color="auto" w:fill="auto"/>
            <w:vAlign w:val="bottom"/>
          </w:tcPr>
          <w:p w14:paraId="4E569D8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8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8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8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8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2,313</w:t>
            </w:r>
          </w:p>
        </w:tc>
        <w:tc>
          <w:tcPr>
            <w:tcW w:w="0" w:type="auto"/>
            <w:shd w:val="clear" w:color="auto" w:fill="auto"/>
            <w:vAlign w:val="bottom"/>
          </w:tcPr>
          <w:p w14:paraId="4E569D89" w14:textId="77777777" w:rsidR="00DF3E10" w:rsidRDefault="00DF3E10">
            <w:pPr>
              <w:textAlignment w:val="bottom"/>
              <w:rPr>
                <w:rFonts w:ascii="Times New Roman" w:hAnsi="Times New Roman"/>
                <w:sz w:val="20"/>
                <w:szCs w:val="20"/>
              </w:rPr>
            </w:pPr>
          </w:p>
        </w:tc>
      </w:tr>
      <w:tr w:rsidR="006B6C28" w14:paraId="4E569DAF" w14:textId="77777777">
        <w:trPr>
          <w:jc w:val="center"/>
        </w:trPr>
        <w:tc>
          <w:tcPr>
            <w:tcW w:w="0" w:type="auto"/>
            <w:shd w:val="clear" w:color="auto" w:fill="CCEEFF"/>
            <w:tcMar>
              <w:top w:w="40" w:type="dxa"/>
              <w:left w:w="40" w:type="dxa"/>
              <w:bottom w:w="40" w:type="dxa"/>
              <w:right w:w="40" w:type="dxa"/>
            </w:tcMar>
            <w:vAlign w:val="bottom"/>
          </w:tcPr>
          <w:p w14:paraId="4E569D8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Share repurchases</w:t>
            </w:r>
          </w:p>
        </w:tc>
        <w:tc>
          <w:tcPr>
            <w:tcW w:w="0" w:type="auto"/>
            <w:shd w:val="clear" w:color="auto" w:fill="CCEEFF"/>
            <w:tcMar>
              <w:top w:w="40" w:type="dxa"/>
              <w:left w:w="40" w:type="dxa"/>
              <w:bottom w:w="40" w:type="dxa"/>
            </w:tcMar>
            <w:vAlign w:val="bottom"/>
          </w:tcPr>
          <w:p w14:paraId="4E569D8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(13</w:t>
            </w:r>
          </w:p>
        </w:tc>
        <w:tc>
          <w:tcPr>
            <w:tcW w:w="0" w:type="auto"/>
            <w:shd w:val="clear" w:color="auto" w:fill="CCEEFF"/>
            <w:tcMar>
              <w:top w:w="40" w:type="dxa"/>
              <w:bottom w:w="40" w:type="dxa"/>
              <w:right w:w="40" w:type="dxa"/>
            </w:tcMar>
            <w:vAlign w:val="bottom"/>
          </w:tcPr>
          <w:p w14:paraId="4E569D8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8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9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9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9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9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9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9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(2,621</w:t>
            </w:r>
          </w:p>
        </w:tc>
        <w:tc>
          <w:tcPr>
            <w:tcW w:w="0" w:type="auto"/>
            <w:shd w:val="clear" w:color="auto" w:fill="CCEEFF"/>
            <w:tcMar>
              <w:top w:w="40" w:type="dxa"/>
              <w:bottom w:w="40" w:type="dxa"/>
              <w:right w:w="40" w:type="dxa"/>
            </w:tcMar>
            <w:vAlign w:val="bottom"/>
          </w:tcPr>
          <w:p w14:paraId="4E569D9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9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(2,621</w:t>
            </w:r>
          </w:p>
        </w:tc>
        <w:tc>
          <w:tcPr>
            <w:tcW w:w="0" w:type="auto"/>
            <w:shd w:val="clear" w:color="auto" w:fill="CCEEFF"/>
            <w:tcMar>
              <w:top w:w="40" w:type="dxa"/>
              <w:bottom w:w="40" w:type="dxa"/>
              <w:right w:w="40" w:type="dxa"/>
            </w:tcMar>
            <w:vAlign w:val="bottom"/>
          </w:tcPr>
          <w:p w14:paraId="4E569D9C"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D9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CCEEFF"/>
            <w:tcMar>
              <w:top w:w="40" w:type="dxa"/>
              <w:bottom w:w="40" w:type="dxa"/>
              <w:right w:w="40" w:type="dxa"/>
            </w:tcMar>
            <w:vAlign w:val="bottom"/>
          </w:tcPr>
          <w:p w14:paraId="4E569D9F"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A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A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A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A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A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A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A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(1,647</w:t>
            </w:r>
          </w:p>
        </w:tc>
        <w:tc>
          <w:tcPr>
            <w:tcW w:w="0" w:type="auto"/>
            <w:shd w:val="clear" w:color="auto" w:fill="CCEEFF"/>
            <w:tcMar>
              <w:top w:w="40" w:type="dxa"/>
              <w:bottom w:w="40" w:type="dxa"/>
              <w:right w:w="40" w:type="dxa"/>
            </w:tcMar>
            <w:vAlign w:val="bottom"/>
          </w:tcPr>
          <w:p w14:paraId="4E569DAB"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4E569D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A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(1,647</w:t>
            </w:r>
          </w:p>
        </w:tc>
        <w:tc>
          <w:tcPr>
            <w:tcW w:w="0" w:type="auto"/>
            <w:shd w:val="clear" w:color="auto" w:fill="CCEEFF"/>
            <w:tcMar>
              <w:top w:w="40" w:type="dxa"/>
              <w:bottom w:w="40" w:type="dxa"/>
              <w:right w:w="40" w:type="dxa"/>
            </w:tcMar>
            <w:vAlign w:val="bottom"/>
          </w:tcPr>
          <w:p w14:paraId="4E569DA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r>
      <w:tr w:rsidR="00DF3E10" w14:paraId="4E569DD4" w14:textId="77777777">
        <w:trPr>
          <w:jc w:val="center"/>
        </w:trPr>
        <w:tc>
          <w:tcPr>
            <w:tcW w:w="0" w:type="auto"/>
            <w:shd w:val="clear" w:color="auto" w:fill="auto"/>
            <w:tcMar>
              <w:top w:w="40" w:type="dxa"/>
              <w:left w:w="40" w:type="dxa"/>
              <w:bottom w:w="40" w:type="dxa"/>
              <w:right w:w="40" w:type="dxa"/>
            </w:tcMar>
            <w:vAlign w:val="bottom"/>
          </w:tcPr>
          <w:p w14:paraId="4E569DB0"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Other comprehensive incom</w:t>
            </w:r>
            <w:r>
              <w:rPr>
                <w:rFonts w:ascii="Times New Roman" w:eastAsia="宋体" w:hAnsi="Times New Roman"/>
                <w:sz w:val="18"/>
                <w:szCs w:val="18"/>
              </w:rPr>
              <w:t>e</w:t>
            </w:r>
          </w:p>
        </w:tc>
        <w:tc>
          <w:tcPr>
            <w:tcW w:w="0" w:type="auto"/>
            <w:shd w:val="clear" w:color="auto" w:fill="auto"/>
            <w:tcMar>
              <w:top w:w="40" w:type="dxa"/>
              <w:left w:w="40" w:type="dxa"/>
              <w:bottom w:w="40" w:type="dxa"/>
            </w:tcMar>
            <w:vAlign w:val="bottom"/>
          </w:tcPr>
          <w:p w14:paraId="4E569DB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B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B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B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B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B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B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347</w:t>
            </w:r>
          </w:p>
        </w:tc>
        <w:tc>
          <w:tcPr>
            <w:tcW w:w="0" w:type="auto"/>
            <w:shd w:val="clear" w:color="auto" w:fill="auto"/>
            <w:vAlign w:val="bottom"/>
          </w:tcPr>
          <w:p w14:paraId="4E569DB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BD"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B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C0"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347</w:t>
            </w:r>
          </w:p>
        </w:tc>
        <w:tc>
          <w:tcPr>
            <w:tcW w:w="0" w:type="auto"/>
            <w:shd w:val="clear" w:color="auto" w:fill="auto"/>
            <w:vAlign w:val="bottom"/>
          </w:tcPr>
          <w:p w14:paraId="4E569DC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DC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C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C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C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C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C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C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277</w:t>
            </w:r>
          </w:p>
        </w:tc>
        <w:tc>
          <w:tcPr>
            <w:tcW w:w="0" w:type="auto"/>
            <w:shd w:val="clear" w:color="auto" w:fill="auto"/>
            <w:vAlign w:val="bottom"/>
          </w:tcPr>
          <w:p w14:paraId="4E569DC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C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4E569DD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DD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277</w:t>
            </w:r>
          </w:p>
        </w:tc>
        <w:tc>
          <w:tcPr>
            <w:tcW w:w="0" w:type="auto"/>
            <w:shd w:val="clear" w:color="auto" w:fill="auto"/>
            <w:vAlign w:val="bottom"/>
          </w:tcPr>
          <w:p w14:paraId="4E569DD3" w14:textId="77777777" w:rsidR="00DF3E10" w:rsidRDefault="00DF3E10">
            <w:pPr>
              <w:textAlignment w:val="bottom"/>
              <w:rPr>
                <w:rFonts w:ascii="Times New Roman" w:hAnsi="Times New Roman"/>
                <w:sz w:val="20"/>
                <w:szCs w:val="20"/>
              </w:rPr>
            </w:pPr>
          </w:p>
        </w:tc>
      </w:tr>
      <w:tr w:rsidR="006B6C28" w14:paraId="4E569DF9" w14:textId="77777777">
        <w:trPr>
          <w:jc w:val="center"/>
        </w:trPr>
        <w:tc>
          <w:tcPr>
            <w:tcW w:w="0" w:type="auto"/>
            <w:shd w:val="clear" w:color="auto" w:fill="CCEEFF"/>
            <w:tcMar>
              <w:top w:w="40" w:type="dxa"/>
              <w:left w:w="40" w:type="dxa"/>
              <w:bottom w:w="40" w:type="dxa"/>
              <w:right w:w="40" w:type="dxa"/>
            </w:tcMar>
            <w:vAlign w:val="bottom"/>
          </w:tcPr>
          <w:p w14:paraId="4E569DD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 xml:space="preserve">Net income </w:t>
            </w:r>
          </w:p>
        </w:tc>
        <w:tc>
          <w:tcPr>
            <w:tcW w:w="0" w:type="auto"/>
            <w:shd w:val="clear" w:color="auto" w:fill="CCEEFF"/>
            <w:tcMar>
              <w:top w:w="40" w:type="dxa"/>
              <w:left w:w="40" w:type="dxa"/>
              <w:bottom w:w="40" w:type="dxa"/>
            </w:tcMar>
            <w:vAlign w:val="bottom"/>
          </w:tcPr>
          <w:p w14:paraId="4E569DD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D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D9"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D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D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DC"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D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D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E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E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10,081</w:t>
            </w:r>
          </w:p>
        </w:tc>
        <w:tc>
          <w:tcPr>
            <w:tcW w:w="0" w:type="auto"/>
            <w:shd w:val="clear" w:color="auto" w:fill="CCEEFF"/>
            <w:vAlign w:val="bottom"/>
          </w:tcPr>
          <w:p w14:paraId="4E569DE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E5"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10,081</w:t>
            </w:r>
          </w:p>
        </w:tc>
        <w:tc>
          <w:tcPr>
            <w:tcW w:w="0" w:type="auto"/>
            <w:shd w:val="clear" w:color="auto" w:fill="CCEEFF"/>
            <w:vAlign w:val="bottom"/>
          </w:tcPr>
          <w:p w14:paraId="4E569DE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DE8"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E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E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E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E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E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F1"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4E569DF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F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F4"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5,045</w:t>
            </w:r>
          </w:p>
        </w:tc>
        <w:tc>
          <w:tcPr>
            <w:tcW w:w="0" w:type="auto"/>
            <w:shd w:val="clear" w:color="auto" w:fill="CCEEFF"/>
            <w:vAlign w:val="bottom"/>
          </w:tcPr>
          <w:p w14:paraId="4E569DF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D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DF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5,045</w:t>
            </w:r>
          </w:p>
        </w:tc>
        <w:tc>
          <w:tcPr>
            <w:tcW w:w="0" w:type="auto"/>
            <w:shd w:val="clear" w:color="auto" w:fill="CCEEFF"/>
            <w:vAlign w:val="bottom"/>
          </w:tcPr>
          <w:p w14:paraId="4E569DF8" w14:textId="77777777" w:rsidR="00DF3E10" w:rsidRDefault="00DF3E10">
            <w:pPr>
              <w:textAlignment w:val="bottom"/>
              <w:rPr>
                <w:rFonts w:ascii="Times New Roman" w:hAnsi="Times New Roman"/>
                <w:sz w:val="20"/>
                <w:szCs w:val="20"/>
              </w:rPr>
            </w:pPr>
          </w:p>
        </w:tc>
      </w:tr>
      <w:tr w:rsidR="00DF3E10" w14:paraId="4E569E28" w14:textId="77777777">
        <w:trPr>
          <w:jc w:val="center"/>
        </w:trPr>
        <w:tc>
          <w:tcPr>
            <w:tcW w:w="0" w:type="auto"/>
            <w:shd w:val="clear" w:color="auto" w:fill="auto"/>
            <w:tcMar>
              <w:top w:w="40" w:type="dxa"/>
              <w:left w:w="40" w:type="dxa"/>
              <w:bottom w:w="40" w:type="dxa"/>
              <w:right w:w="40" w:type="dxa"/>
            </w:tcMar>
            <w:vAlign w:val="bottom"/>
          </w:tcPr>
          <w:p w14:paraId="4E569DF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Balances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DF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2,850</w:t>
            </w:r>
          </w:p>
        </w:tc>
        <w:tc>
          <w:tcPr>
            <w:tcW w:w="0" w:type="auto"/>
            <w:tcBorders>
              <w:top w:val="single" w:sz="8" w:space="0" w:color="000000"/>
              <w:bottom w:val="double" w:sz="6" w:space="0" w:color="000000"/>
            </w:tcBorders>
            <w:shd w:val="clear" w:color="auto" w:fill="auto"/>
            <w:vAlign w:val="bottom"/>
          </w:tcPr>
          <w:p w14:paraId="4E569DF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D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DF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DF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4E569E0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02"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03"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47,805</w:t>
            </w:r>
          </w:p>
        </w:tc>
        <w:tc>
          <w:tcPr>
            <w:tcW w:w="0" w:type="auto"/>
            <w:tcBorders>
              <w:top w:val="single" w:sz="8" w:space="0" w:color="000000"/>
              <w:bottom w:val="double" w:sz="6" w:space="0" w:color="000000"/>
            </w:tcBorders>
            <w:shd w:val="clear" w:color="auto" w:fill="auto"/>
            <w:vAlign w:val="bottom"/>
          </w:tcPr>
          <w:p w14:paraId="4E569E0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06"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07"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(142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9E08"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4E569E0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0A"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0B"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62,784</w:t>
            </w:r>
          </w:p>
        </w:tc>
        <w:tc>
          <w:tcPr>
            <w:tcW w:w="0" w:type="auto"/>
            <w:tcBorders>
              <w:top w:val="single" w:sz="8" w:space="0" w:color="000000"/>
              <w:bottom w:val="double" w:sz="6" w:space="0" w:color="000000"/>
            </w:tcBorders>
            <w:shd w:val="clear" w:color="auto" w:fill="auto"/>
            <w:vAlign w:val="bottom"/>
          </w:tcPr>
          <w:p w14:paraId="4E569E0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0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0E"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0F"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110,447</w:t>
            </w:r>
          </w:p>
        </w:tc>
        <w:tc>
          <w:tcPr>
            <w:tcW w:w="0" w:type="auto"/>
            <w:tcBorders>
              <w:top w:val="single" w:sz="8" w:space="0" w:color="000000"/>
              <w:bottom w:val="double" w:sz="6" w:space="0" w:color="000000"/>
            </w:tcBorders>
            <w:shd w:val="clear" w:color="auto" w:fill="auto"/>
            <w:vAlign w:val="bottom"/>
          </w:tcPr>
          <w:p w14:paraId="4E569E1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1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bottom w:val="double" w:sz="6" w:space="0" w:color="000000"/>
            </w:tcBorders>
            <w:shd w:val="clear" w:color="auto" w:fill="auto"/>
            <w:vAlign w:val="bottom"/>
          </w:tcPr>
          <w:p w14:paraId="4E569E1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1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1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1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4E569E1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19"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1A"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44,277</w:t>
            </w:r>
          </w:p>
        </w:tc>
        <w:tc>
          <w:tcPr>
            <w:tcW w:w="0" w:type="auto"/>
            <w:tcBorders>
              <w:top w:val="single" w:sz="8" w:space="0" w:color="000000"/>
              <w:bottom w:val="double" w:sz="6" w:space="0" w:color="000000"/>
            </w:tcBorders>
            <w:shd w:val="clear" w:color="auto" w:fill="auto"/>
            <w:vAlign w:val="bottom"/>
          </w:tcPr>
          <w:p w14:paraId="4E569E1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1D"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1E"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(483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9E1F"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4E569E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21"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22"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44,968</w:t>
            </w:r>
          </w:p>
        </w:tc>
        <w:tc>
          <w:tcPr>
            <w:tcW w:w="0" w:type="auto"/>
            <w:tcBorders>
              <w:top w:val="single" w:sz="8" w:space="0" w:color="000000"/>
              <w:bottom w:val="double" w:sz="6" w:space="0" w:color="000000"/>
            </w:tcBorders>
            <w:shd w:val="clear" w:color="auto" w:fill="auto"/>
            <w:vAlign w:val="bottom"/>
          </w:tcPr>
          <w:p w14:paraId="4E569E2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E25" w14:textId="77777777" w:rsidR="00DF3E10" w:rsidRDefault="006B6C28">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E26" w14:textId="77777777" w:rsidR="00DF3E10" w:rsidRDefault="006B6C28">
            <w:pPr>
              <w:jc w:val="right"/>
              <w:textAlignment w:val="bottom"/>
              <w:rPr>
                <w:rFonts w:ascii="Times New Roman" w:hAnsi="Times New Roman"/>
                <w:sz w:val="18"/>
                <w:szCs w:val="18"/>
              </w:rPr>
            </w:pPr>
            <w:r>
              <w:rPr>
                <w:rFonts w:ascii="Times New Roman" w:eastAsia="宋体" w:hAnsi="Times New Roman"/>
                <w:sz w:val="18"/>
                <w:szCs w:val="18"/>
              </w:rPr>
              <w:t>88,762</w:t>
            </w:r>
          </w:p>
        </w:tc>
        <w:tc>
          <w:tcPr>
            <w:tcW w:w="0" w:type="auto"/>
            <w:tcBorders>
              <w:top w:val="single" w:sz="8" w:space="0" w:color="000000"/>
              <w:bottom w:val="double" w:sz="6" w:space="0" w:color="000000"/>
            </w:tcBorders>
            <w:shd w:val="clear" w:color="auto" w:fill="auto"/>
            <w:vAlign w:val="bottom"/>
          </w:tcPr>
          <w:p w14:paraId="4E569E27" w14:textId="77777777" w:rsidR="00DF3E10" w:rsidRDefault="00DF3E10">
            <w:pPr>
              <w:textAlignment w:val="bottom"/>
              <w:rPr>
                <w:rFonts w:ascii="Times New Roman" w:hAnsi="Times New Roman"/>
                <w:sz w:val="20"/>
                <w:szCs w:val="20"/>
              </w:rPr>
            </w:pPr>
          </w:p>
        </w:tc>
      </w:tr>
    </w:tbl>
    <w:p w14:paraId="4E569E29"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w:t>
      </w:r>
      <w:r>
        <w:rPr>
          <w:rFonts w:ascii="Times New Roman" w:eastAsia="宋体" w:hAnsi="Times New Roman"/>
          <w:i/>
          <w:iCs/>
          <w:sz w:val="18"/>
          <w:szCs w:val="18"/>
        </w:rPr>
        <w:t>sed Consolidated Financial Statements.</w:t>
      </w:r>
    </w:p>
    <w:p w14:paraId="4E569E2A" w14:textId="77777777" w:rsidR="00DF3E10" w:rsidRDefault="00DF3E10">
      <w:pPr>
        <w:rPr>
          <w:rFonts w:ascii="Times New Roman" w:hAnsi="Times New Roman"/>
          <w:sz w:val="20"/>
          <w:szCs w:val="20"/>
        </w:rPr>
      </w:pPr>
    </w:p>
    <w:p w14:paraId="4E569E2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10</w:t>
      </w:r>
    </w:p>
    <w:p w14:paraId="4E569E2C" w14:textId="77777777" w:rsidR="00DF3E10" w:rsidRDefault="006B6C28">
      <w:r>
        <w:rPr>
          <w:rFonts w:ascii="Times New Roman" w:hAnsi="Times New Roman"/>
          <w:sz w:val="20"/>
          <w:szCs w:val="20"/>
        </w:rPr>
        <w:pict w14:anchorId="4E56B757">
          <v:rect id="_x0000_i1034" style="width:415.3pt;height:1.5pt" o:hralign="center" o:hrstd="t" o:hr="t" fillcolor="#a0a0a0" stroked="f"/>
        </w:pict>
      </w:r>
    </w:p>
    <w:p w14:paraId="4E569E2D" w14:textId="77777777" w:rsidR="00DF3E10" w:rsidRDefault="006B6C28">
      <w:pPr>
        <w:spacing w:line="288" w:lineRule="auto"/>
        <w:rPr>
          <w:rFonts w:ascii="Times New Roman" w:hAnsi="Times New Roman"/>
          <w:sz w:val="20"/>
          <w:szCs w:val="20"/>
        </w:rPr>
      </w:pPr>
      <w:hyperlink r:id="rId52" w:anchor="sC1FF62F0D4D85317B5B2C71C7C94F269" w:history="1">
        <w:r>
          <w:rPr>
            <w:rStyle w:val="a5"/>
            <w:rFonts w:ascii="Times New Roman" w:eastAsia="宋体" w:hAnsi="Times New Roman"/>
            <w:sz w:val="20"/>
            <w:szCs w:val="20"/>
          </w:rPr>
          <w:t>Table of Contents</w:t>
        </w:r>
      </w:hyperlink>
    </w:p>
    <w:p w14:paraId="4E569E2E" w14:textId="77777777" w:rsidR="00DF3E10" w:rsidRDefault="00DF3E10">
      <w:pPr>
        <w:rPr>
          <w:rFonts w:ascii="Times New Roman" w:hAnsi="Times New Roman"/>
          <w:sz w:val="20"/>
          <w:szCs w:val="20"/>
        </w:rPr>
      </w:pPr>
    </w:p>
    <w:p w14:paraId="4E569E2F"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E30"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w:t>
      </w:r>
      <w:r>
        <w:rPr>
          <w:rFonts w:ascii="Times New Roman" w:eastAsia="宋体" w:hAnsi="Times New Roman"/>
          <w:b/>
          <w:bCs/>
          <w:sz w:val="20"/>
          <w:szCs w:val="20"/>
        </w:rPr>
        <w:t>TATEMENTS OF CASH FLOWS</w:t>
      </w:r>
    </w:p>
    <w:p w14:paraId="4E569E31"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(In millions)</w:t>
      </w:r>
    </w:p>
    <w:p w14:paraId="4E569E32" w14:textId="77777777" w:rsidR="00DF3E10" w:rsidRDefault="006B6C28">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DF3E10" w14:paraId="4E569E34" w14:textId="77777777">
        <w:trPr>
          <w:jc w:val="center"/>
        </w:trPr>
        <w:tc>
          <w:tcPr>
            <w:tcW w:w="0" w:type="auto"/>
            <w:gridSpan w:val="8"/>
            <w:shd w:val="clear" w:color="auto" w:fill="auto"/>
            <w:vAlign w:val="center"/>
          </w:tcPr>
          <w:p w14:paraId="4E569E33" w14:textId="77777777" w:rsidR="00DF3E10" w:rsidRDefault="00DF3E10">
            <w:pPr>
              <w:rPr>
                <w:rFonts w:ascii="Times New Roman" w:hAnsi="Times New Roman"/>
                <w:sz w:val="20"/>
                <w:szCs w:val="20"/>
              </w:rPr>
            </w:pPr>
          </w:p>
        </w:tc>
      </w:tr>
      <w:tr w:rsidR="00DF3E10" w14:paraId="4E569E3D" w14:textId="77777777">
        <w:trPr>
          <w:jc w:val="center"/>
        </w:trPr>
        <w:tc>
          <w:tcPr>
            <w:tcW w:w="3650" w:type="pct"/>
            <w:shd w:val="clear" w:color="auto" w:fill="auto"/>
            <w:vAlign w:val="center"/>
          </w:tcPr>
          <w:p w14:paraId="4E569E35" w14:textId="77777777" w:rsidR="00DF3E10" w:rsidRDefault="00DF3E10">
            <w:pPr>
              <w:rPr>
                <w:rFonts w:ascii="Times New Roman" w:hAnsi="Times New Roman"/>
                <w:sz w:val="20"/>
                <w:szCs w:val="20"/>
              </w:rPr>
            </w:pPr>
          </w:p>
        </w:tc>
        <w:tc>
          <w:tcPr>
            <w:tcW w:w="50" w:type="pct"/>
            <w:shd w:val="clear" w:color="auto" w:fill="auto"/>
            <w:vAlign w:val="center"/>
          </w:tcPr>
          <w:p w14:paraId="4E569E36" w14:textId="77777777" w:rsidR="00DF3E10" w:rsidRDefault="00DF3E10">
            <w:pPr>
              <w:rPr>
                <w:rFonts w:ascii="Times New Roman" w:hAnsi="Times New Roman"/>
                <w:sz w:val="20"/>
                <w:szCs w:val="20"/>
              </w:rPr>
            </w:pPr>
          </w:p>
        </w:tc>
        <w:tc>
          <w:tcPr>
            <w:tcW w:w="550" w:type="pct"/>
            <w:shd w:val="clear" w:color="auto" w:fill="auto"/>
            <w:vAlign w:val="center"/>
          </w:tcPr>
          <w:p w14:paraId="4E569E37" w14:textId="77777777" w:rsidR="00DF3E10" w:rsidRDefault="00DF3E10">
            <w:pPr>
              <w:rPr>
                <w:rFonts w:ascii="Times New Roman" w:hAnsi="Times New Roman"/>
                <w:sz w:val="20"/>
                <w:szCs w:val="20"/>
              </w:rPr>
            </w:pPr>
          </w:p>
        </w:tc>
        <w:tc>
          <w:tcPr>
            <w:tcW w:w="50" w:type="pct"/>
            <w:shd w:val="clear" w:color="auto" w:fill="auto"/>
            <w:vAlign w:val="center"/>
          </w:tcPr>
          <w:p w14:paraId="4E569E38" w14:textId="77777777" w:rsidR="00DF3E10" w:rsidRDefault="00DF3E10">
            <w:pPr>
              <w:rPr>
                <w:rFonts w:ascii="Times New Roman" w:hAnsi="Times New Roman"/>
                <w:sz w:val="20"/>
                <w:szCs w:val="20"/>
              </w:rPr>
            </w:pPr>
          </w:p>
        </w:tc>
        <w:tc>
          <w:tcPr>
            <w:tcW w:w="50" w:type="pct"/>
            <w:shd w:val="clear" w:color="auto" w:fill="auto"/>
            <w:vAlign w:val="center"/>
          </w:tcPr>
          <w:p w14:paraId="4E569E39" w14:textId="77777777" w:rsidR="00DF3E10" w:rsidRDefault="00DF3E10">
            <w:pPr>
              <w:rPr>
                <w:rFonts w:ascii="Times New Roman" w:hAnsi="Times New Roman"/>
                <w:sz w:val="20"/>
                <w:szCs w:val="20"/>
              </w:rPr>
            </w:pPr>
          </w:p>
        </w:tc>
        <w:tc>
          <w:tcPr>
            <w:tcW w:w="50" w:type="pct"/>
            <w:shd w:val="clear" w:color="auto" w:fill="auto"/>
            <w:vAlign w:val="center"/>
          </w:tcPr>
          <w:p w14:paraId="4E569E3A" w14:textId="77777777" w:rsidR="00DF3E10" w:rsidRDefault="00DF3E10">
            <w:pPr>
              <w:rPr>
                <w:rFonts w:ascii="Times New Roman" w:hAnsi="Times New Roman"/>
                <w:sz w:val="20"/>
                <w:szCs w:val="20"/>
              </w:rPr>
            </w:pPr>
          </w:p>
        </w:tc>
        <w:tc>
          <w:tcPr>
            <w:tcW w:w="550" w:type="pct"/>
            <w:shd w:val="clear" w:color="auto" w:fill="auto"/>
            <w:vAlign w:val="center"/>
          </w:tcPr>
          <w:p w14:paraId="4E569E3B" w14:textId="77777777" w:rsidR="00DF3E10" w:rsidRDefault="00DF3E10">
            <w:pPr>
              <w:rPr>
                <w:rFonts w:ascii="Times New Roman" w:hAnsi="Times New Roman"/>
                <w:sz w:val="20"/>
                <w:szCs w:val="20"/>
              </w:rPr>
            </w:pPr>
          </w:p>
        </w:tc>
        <w:tc>
          <w:tcPr>
            <w:tcW w:w="50" w:type="pct"/>
            <w:shd w:val="clear" w:color="auto" w:fill="auto"/>
            <w:vAlign w:val="center"/>
          </w:tcPr>
          <w:p w14:paraId="4E569E3C" w14:textId="77777777" w:rsidR="00DF3E10" w:rsidRDefault="00DF3E10">
            <w:pPr>
              <w:rPr>
                <w:rFonts w:ascii="Times New Roman" w:hAnsi="Times New Roman"/>
                <w:sz w:val="20"/>
                <w:szCs w:val="20"/>
              </w:rPr>
            </w:pPr>
          </w:p>
        </w:tc>
      </w:tr>
      <w:tr w:rsidR="00DF3E10" w14:paraId="4E569E40" w14:textId="77777777">
        <w:trPr>
          <w:jc w:val="center"/>
        </w:trPr>
        <w:tc>
          <w:tcPr>
            <w:tcW w:w="0" w:type="auto"/>
            <w:shd w:val="clear" w:color="auto" w:fill="auto"/>
            <w:tcMar>
              <w:top w:w="40" w:type="dxa"/>
              <w:left w:w="40" w:type="dxa"/>
              <w:bottom w:w="40" w:type="dxa"/>
              <w:right w:w="40" w:type="dxa"/>
            </w:tcMar>
            <w:vAlign w:val="bottom"/>
          </w:tcPr>
          <w:p w14:paraId="4E569E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E3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9E45" w14:textId="77777777">
        <w:trPr>
          <w:jc w:val="center"/>
        </w:trPr>
        <w:tc>
          <w:tcPr>
            <w:tcW w:w="0" w:type="auto"/>
            <w:shd w:val="clear" w:color="auto" w:fill="auto"/>
            <w:tcMar>
              <w:top w:w="40" w:type="dxa"/>
              <w:left w:w="40" w:type="dxa"/>
              <w:bottom w:w="40" w:type="dxa"/>
              <w:right w:w="40" w:type="dxa"/>
            </w:tcMar>
            <w:vAlign w:val="bottom"/>
          </w:tcPr>
          <w:p w14:paraId="4E569E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E4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E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E4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9E4A" w14:textId="77777777">
        <w:trPr>
          <w:jc w:val="center"/>
        </w:trPr>
        <w:tc>
          <w:tcPr>
            <w:tcW w:w="0" w:type="auto"/>
            <w:shd w:val="clear" w:color="auto" w:fill="CCEEFF"/>
            <w:tcMar>
              <w:top w:w="40" w:type="dxa"/>
              <w:left w:w="40" w:type="dxa"/>
              <w:bottom w:w="40" w:type="dxa"/>
              <w:right w:w="40" w:type="dxa"/>
            </w:tcMar>
          </w:tcPr>
          <w:p w14:paraId="4E569E46"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4E569E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E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E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E53" w14:textId="77777777">
        <w:trPr>
          <w:jc w:val="center"/>
        </w:trPr>
        <w:tc>
          <w:tcPr>
            <w:tcW w:w="0" w:type="auto"/>
            <w:shd w:val="clear" w:color="auto" w:fill="auto"/>
            <w:tcMar>
              <w:top w:w="40" w:type="dxa"/>
              <w:left w:w="560" w:type="dxa"/>
              <w:bottom w:w="40" w:type="dxa"/>
              <w:right w:w="40" w:type="dxa"/>
            </w:tcMar>
          </w:tcPr>
          <w:p w14:paraId="4E569E4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4E569E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E4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10,081</w:t>
            </w:r>
          </w:p>
        </w:tc>
        <w:tc>
          <w:tcPr>
            <w:tcW w:w="0" w:type="auto"/>
            <w:shd w:val="clear" w:color="auto" w:fill="auto"/>
            <w:vAlign w:val="bottom"/>
          </w:tcPr>
          <w:p w14:paraId="4E569E4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E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E5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5,045</w:t>
            </w:r>
          </w:p>
        </w:tc>
        <w:tc>
          <w:tcPr>
            <w:tcW w:w="0" w:type="auto"/>
            <w:shd w:val="clear" w:color="auto" w:fill="auto"/>
            <w:vAlign w:val="bottom"/>
          </w:tcPr>
          <w:p w14:paraId="4E569E52" w14:textId="77777777" w:rsidR="00DF3E10" w:rsidRDefault="00DF3E10">
            <w:pPr>
              <w:textAlignment w:val="bottom"/>
              <w:rPr>
                <w:rFonts w:ascii="Times New Roman" w:hAnsi="Times New Roman"/>
                <w:sz w:val="20"/>
                <w:szCs w:val="20"/>
              </w:rPr>
            </w:pPr>
          </w:p>
        </w:tc>
      </w:tr>
      <w:tr w:rsidR="00DF3E10" w14:paraId="4E569E58" w14:textId="77777777">
        <w:trPr>
          <w:jc w:val="center"/>
        </w:trPr>
        <w:tc>
          <w:tcPr>
            <w:tcW w:w="0" w:type="auto"/>
            <w:shd w:val="clear" w:color="auto" w:fill="CCEEFF"/>
            <w:tcMar>
              <w:top w:w="40" w:type="dxa"/>
              <w:left w:w="560" w:type="dxa"/>
              <w:bottom w:w="40" w:type="dxa"/>
              <w:right w:w="40" w:type="dxa"/>
            </w:tcMar>
          </w:tcPr>
          <w:p w14:paraId="4E569E5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Adjustments to reconcile net income to net cash provided by </w:t>
            </w:r>
            <w:r>
              <w:rPr>
                <w:rFonts w:ascii="Times New Roman" w:eastAsia="宋体" w:hAnsi="Times New Roman"/>
                <w:sz w:val="20"/>
                <w:szCs w:val="20"/>
              </w:rPr>
              <w:t>operating activities:</w:t>
            </w:r>
          </w:p>
        </w:tc>
        <w:tc>
          <w:tcPr>
            <w:tcW w:w="0" w:type="auto"/>
            <w:gridSpan w:val="3"/>
            <w:shd w:val="clear" w:color="auto" w:fill="CCEEFF"/>
            <w:tcMar>
              <w:top w:w="40" w:type="dxa"/>
              <w:left w:w="40" w:type="dxa"/>
              <w:bottom w:w="40" w:type="dxa"/>
              <w:right w:w="40" w:type="dxa"/>
            </w:tcMar>
            <w:vAlign w:val="bottom"/>
          </w:tcPr>
          <w:p w14:paraId="4E569E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E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E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E5F" w14:textId="77777777">
        <w:trPr>
          <w:jc w:val="center"/>
        </w:trPr>
        <w:tc>
          <w:tcPr>
            <w:tcW w:w="0" w:type="auto"/>
            <w:shd w:val="clear" w:color="auto" w:fill="auto"/>
            <w:tcMar>
              <w:top w:w="40" w:type="dxa"/>
              <w:left w:w="720" w:type="dxa"/>
              <w:bottom w:w="40" w:type="dxa"/>
              <w:right w:w="40" w:type="dxa"/>
            </w:tcMar>
          </w:tcPr>
          <w:p w14:paraId="4E569E5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Depreciation and amortization</w:t>
            </w:r>
          </w:p>
        </w:tc>
        <w:tc>
          <w:tcPr>
            <w:tcW w:w="0" w:type="auto"/>
            <w:gridSpan w:val="2"/>
            <w:shd w:val="clear" w:color="auto" w:fill="auto"/>
            <w:tcMar>
              <w:top w:w="40" w:type="dxa"/>
              <w:left w:w="40" w:type="dxa"/>
              <w:bottom w:w="40" w:type="dxa"/>
            </w:tcMar>
            <w:vAlign w:val="bottom"/>
          </w:tcPr>
          <w:p w14:paraId="4E569E5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3,301</w:t>
            </w:r>
          </w:p>
        </w:tc>
        <w:tc>
          <w:tcPr>
            <w:tcW w:w="0" w:type="auto"/>
            <w:shd w:val="clear" w:color="auto" w:fill="auto"/>
            <w:vAlign w:val="bottom"/>
          </w:tcPr>
          <w:p w14:paraId="4E569E5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5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2,857</w:t>
            </w:r>
          </w:p>
        </w:tc>
        <w:tc>
          <w:tcPr>
            <w:tcW w:w="0" w:type="auto"/>
            <w:shd w:val="clear" w:color="auto" w:fill="auto"/>
            <w:vAlign w:val="bottom"/>
          </w:tcPr>
          <w:p w14:paraId="4E569E5E" w14:textId="77777777" w:rsidR="00DF3E10" w:rsidRDefault="00DF3E10">
            <w:pPr>
              <w:textAlignment w:val="bottom"/>
              <w:rPr>
                <w:rFonts w:ascii="Times New Roman" w:hAnsi="Times New Roman"/>
                <w:sz w:val="20"/>
                <w:szCs w:val="20"/>
              </w:rPr>
            </w:pPr>
          </w:p>
        </w:tc>
      </w:tr>
      <w:tr w:rsidR="00DF3E10" w14:paraId="4E569E66" w14:textId="77777777">
        <w:trPr>
          <w:jc w:val="center"/>
        </w:trPr>
        <w:tc>
          <w:tcPr>
            <w:tcW w:w="0" w:type="auto"/>
            <w:shd w:val="clear" w:color="auto" w:fill="CCEEFF"/>
            <w:tcMar>
              <w:top w:w="40" w:type="dxa"/>
              <w:left w:w="720" w:type="dxa"/>
              <w:bottom w:w="40" w:type="dxa"/>
              <w:right w:w="40" w:type="dxa"/>
            </w:tcMar>
          </w:tcPr>
          <w:p w14:paraId="4E569E6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Share-based compensation</w:t>
            </w:r>
          </w:p>
        </w:tc>
        <w:tc>
          <w:tcPr>
            <w:tcW w:w="0" w:type="auto"/>
            <w:gridSpan w:val="2"/>
            <w:shd w:val="clear" w:color="auto" w:fill="CCEEFF"/>
            <w:tcMar>
              <w:top w:w="40" w:type="dxa"/>
              <w:left w:w="40" w:type="dxa"/>
              <w:bottom w:w="40" w:type="dxa"/>
            </w:tcMar>
            <w:vAlign w:val="bottom"/>
          </w:tcPr>
          <w:p w14:paraId="4E569E6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3,030</w:t>
            </w:r>
          </w:p>
        </w:tc>
        <w:tc>
          <w:tcPr>
            <w:tcW w:w="0" w:type="auto"/>
            <w:shd w:val="clear" w:color="auto" w:fill="CCEEFF"/>
            <w:vAlign w:val="bottom"/>
          </w:tcPr>
          <w:p w14:paraId="4E569E6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E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6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2,313</w:t>
            </w:r>
          </w:p>
        </w:tc>
        <w:tc>
          <w:tcPr>
            <w:tcW w:w="0" w:type="auto"/>
            <w:shd w:val="clear" w:color="auto" w:fill="CCEEFF"/>
            <w:vAlign w:val="bottom"/>
          </w:tcPr>
          <w:p w14:paraId="4E569E65" w14:textId="77777777" w:rsidR="00DF3E10" w:rsidRDefault="00DF3E10">
            <w:pPr>
              <w:textAlignment w:val="bottom"/>
              <w:rPr>
                <w:rFonts w:ascii="Times New Roman" w:hAnsi="Times New Roman"/>
                <w:sz w:val="20"/>
                <w:szCs w:val="20"/>
              </w:rPr>
            </w:pPr>
          </w:p>
        </w:tc>
      </w:tr>
      <w:tr w:rsidR="00DF3E10" w14:paraId="4E569E6D" w14:textId="77777777">
        <w:trPr>
          <w:jc w:val="center"/>
        </w:trPr>
        <w:tc>
          <w:tcPr>
            <w:tcW w:w="0" w:type="auto"/>
            <w:shd w:val="clear" w:color="auto" w:fill="auto"/>
            <w:tcMar>
              <w:top w:w="40" w:type="dxa"/>
              <w:left w:w="720" w:type="dxa"/>
              <w:bottom w:w="40" w:type="dxa"/>
              <w:right w:w="40" w:type="dxa"/>
            </w:tcMar>
          </w:tcPr>
          <w:p w14:paraId="4E569E6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Deferred income taxes</w:t>
            </w:r>
          </w:p>
        </w:tc>
        <w:tc>
          <w:tcPr>
            <w:tcW w:w="0" w:type="auto"/>
            <w:gridSpan w:val="2"/>
            <w:shd w:val="clear" w:color="auto" w:fill="auto"/>
            <w:tcMar>
              <w:top w:w="40" w:type="dxa"/>
              <w:left w:w="40" w:type="dxa"/>
              <w:bottom w:w="40" w:type="dxa"/>
            </w:tcMar>
            <w:vAlign w:val="bottom"/>
          </w:tcPr>
          <w:p w14:paraId="4E569E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690</w:t>
            </w:r>
          </w:p>
        </w:tc>
        <w:tc>
          <w:tcPr>
            <w:tcW w:w="0" w:type="auto"/>
            <w:shd w:val="clear" w:color="auto" w:fill="auto"/>
            <w:vAlign w:val="bottom"/>
          </w:tcPr>
          <w:p w14:paraId="4E569E6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6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auto"/>
            <w:vAlign w:val="bottom"/>
          </w:tcPr>
          <w:p w14:paraId="4E569E6C" w14:textId="77777777" w:rsidR="00DF3E10" w:rsidRDefault="00DF3E10">
            <w:pPr>
              <w:textAlignment w:val="bottom"/>
              <w:rPr>
                <w:rFonts w:ascii="Times New Roman" w:hAnsi="Times New Roman"/>
                <w:sz w:val="20"/>
                <w:szCs w:val="20"/>
              </w:rPr>
            </w:pPr>
          </w:p>
        </w:tc>
      </w:tr>
      <w:tr w:rsidR="00DF3E10" w14:paraId="4E569E74" w14:textId="77777777">
        <w:trPr>
          <w:jc w:val="center"/>
        </w:trPr>
        <w:tc>
          <w:tcPr>
            <w:tcW w:w="0" w:type="auto"/>
            <w:shd w:val="clear" w:color="auto" w:fill="CCEEFF"/>
            <w:tcMar>
              <w:top w:w="40" w:type="dxa"/>
              <w:left w:w="720" w:type="dxa"/>
              <w:bottom w:w="40" w:type="dxa"/>
              <w:right w:w="40" w:type="dxa"/>
            </w:tcMar>
          </w:tcPr>
          <w:p w14:paraId="4E569E6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Other</w:t>
            </w:r>
          </w:p>
        </w:tc>
        <w:tc>
          <w:tcPr>
            <w:tcW w:w="0" w:type="auto"/>
            <w:gridSpan w:val="2"/>
            <w:shd w:val="clear" w:color="auto" w:fill="CCEEFF"/>
            <w:tcMar>
              <w:top w:w="40" w:type="dxa"/>
              <w:left w:w="40" w:type="dxa"/>
              <w:bottom w:w="40" w:type="dxa"/>
            </w:tcMar>
            <w:vAlign w:val="bottom"/>
          </w:tcPr>
          <w:p w14:paraId="4E569E6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CCEEFF"/>
            <w:vAlign w:val="bottom"/>
          </w:tcPr>
          <w:p w14:paraId="4E569E7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E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7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4E569E73" w14:textId="77777777" w:rsidR="00DF3E10" w:rsidRDefault="00DF3E10">
            <w:pPr>
              <w:textAlignment w:val="bottom"/>
              <w:rPr>
                <w:rFonts w:ascii="Times New Roman" w:hAnsi="Times New Roman"/>
                <w:sz w:val="20"/>
                <w:szCs w:val="20"/>
              </w:rPr>
            </w:pPr>
          </w:p>
        </w:tc>
      </w:tr>
      <w:tr w:rsidR="00DF3E10" w14:paraId="4E569E79" w14:textId="77777777">
        <w:trPr>
          <w:jc w:val="center"/>
        </w:trPr>
        <w:tc>
          <w:tcPr>
            <w:tcW w:w="0" w:type="auto"/>
            <w:shd w:val="clear" w:color="auto" w:fill="auto"/>
            <w:tcMar>
              <w:top w:w="40" w:type="dxa"/>
              <w:left w:w="560" w:type="dxa"/>
              <w:bottom w:w="40" w:type="dxa"/>
              <w:right w:w="40" w:type="dxa"/>
            </w:tcMar>
          </w:tcPr>
          <w:p w14:paraId="4E569E7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Changes in assets and liabilities:</w:t>
            </w:r>
          </w:p>
        </w:tc>
        <w:tc>
          <w:tcPr>
            <w:tcW w:w="0" w:type="auto"/>
            <w:gridSpan w:val="3"/>
            <w:shd w:val="clear" w:color="auto" w:fill="auto"/>
            <w:tcMar>
              <w:top w:w="40" w:type="dxa"/>
              <w:left w:w="40" w:type="dxa"/>
              <w:bottom w:w="40" w:type="dxa"/>
              <w:right w:w="40" w:type="dxa"/>
            </w:tcMar>
            <w:vAlign w:val="bottom"/>
          </w:tcPr>
          <w:p w14:paraId="4E569E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E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E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E80" w14:textId="77777777">
        <w:trPr>
          <w:jc w:val="center"/>
        </w:trPr>
        <w:tc>
          <w:tcPr>
            <w:tcW w:w="0" w:type="auto"/>
            <w:shd w:val="clear" w:color="auto" w:fill="CCEEFF"/>
            <w:tcMar>
              <w:top w:w="40" w:type="dxa"/>
              <w:left w:w="720" w:type="dxa"/>
              <w:bottom w:w="40" w:type="dxa"/>
              <w:right w:w="40" w:type="dxa"/>
            </w:tcMar>
          </w:tcPr>
          <w:p w14:paraId="4E569E7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Accounts receivable</w:t>
            </w:r>
          </w:p>
        </w:tc>
        <w:tc>
          <w:tcPr>
            <w:tcW w:w="0" w:type="auto"/>
            <w:gridSpan w:val="2"/>
            <w:shd w:val="clear" w:color="auto" w:fill="CCEEFF"/>
            <w:tcMar>
              <w:top w:w="40" w:type="dxa"/>
              <w:left w:w="40" w:type="dxa"/>
              <w:bottom w:w="40" w:type="dxa"/>
            </w:tcMar>
            <w:vAlign w:val="bottom"/>
          </w:tcPr>
          <w:p w14:paraId="4E569E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1,924</w:t>
            </w:r>
          </w:p>
        </w:tc>
        <w:tc>
          <w:tcPr>
            <w:tcW w:w="0" w:type="auto"/>
            <w:shd w:val="clear" w:color="auto" w:fill="CCEEFF"/>
            <w:vAlign w:val="bottom"/>
          </w:tcPr>
          <w:p w14:paraId="4E569E7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E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7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vAlign w:val="bottom"/>
          </w:tcPr>
          <w:p w14:paraId="4E569E7F" w14:textId="77777777" w:rsidR="00DF3E10" w:rsidRDefault="00DF3E10">
            <w:pPr>
              <w:textAlignment w:val="bottom"/>
              <w:rPr>
                <w:rFonts w:ascii="Times New Roman" w:hAnsi="Times New Roman"/>
                <w:sz w:val="20"/>
                <w:szCs w:val="20"/>
              </w:rPr>
            </w:pPr>
          </w:p>
        </w:tc>
      </w:tr>
      <w:tr w:rsidR="00DF3E10" w14:paraId="4E569E87" w14:textId="77777777">
        <w:trPr>
          <w:jc w:val="center"/>
        </w:trPr>
        <w:tc>
          <w:tcPr>
            <w:tcW w:w="0" w:type="auto"/>
            <w:shd w:val="clear" w:color="auto" w:fill="auto"/>
            <w:tcMar>
              <w:top w:w="40" w:type="dxa"/>
              <w:left w:w="720" w:type="dxa"/>
              <w:bottom w:w="40" w:type="dxa"/>
              <w:right w:w="40" w:type="dxa"/>
            </w:tcMar>
          </w:tcPr>
          <w:p w14:paraId="4E569E8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Prepaid expenses and other current assets</w:t>
            </w:r>
          </w:p>
        </w:tc>
        <w:tc>
          <w:tcPr>
            <w:tcW w:w="0" w:type="auto"/>
            <w:gridSpan w:val="2"/>
            <w:shd w:val="clear" w:color="auto" w:fill="auto"/>
            <w:tcMar>
              <w:top w:w="40" w:type="dxa"/>
              <w:left w:w="40" w:type="dxa"/>
              <w:bottom w:w="40" w:type="dxa"/>
            </w:tcMar>
            <w:vAlign w:val="bottom"/>
          </w:tcPr>
          <w:p w14:paraId="4E569E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(353</w:t>
            </w:r>
          </w:p>
        </w:tc>
        <w:tc>
          <w:tcPr>
            <w:tcW w:w="0" w:type="auto"/>
            <w:shd w:val="clear" w:color="auto" w:fill="auto"/>
            <w:tcMar>
              <w:top w:w="40" w:type="dxa"/>
              <w:bottom w:w="40" w:type="dxa"/>
              <w:right w:w="40" w:type="dxa"/>
            </w:tcMar>
            <w:vAlign w:val="bottom"/>
          </w:tcPr>
          <w:p w14:paraId="4E569E8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4E569E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8E" w14:textId="77777777">
        <w:trPr>
          <w:jc w:val="center"/>
        </w:trPr>
        <w:tc>
          <w:tcPr>
            <w:tcW w:w="0" w:type="auto"/>
            <w:shd w:val="clear" w:color="auto" w:fill="CCEEFF"/>
            <w:tcMar>
              <w:top w:w="40" w:type="dxa"/>
              <w:left w:w="720" w:type="dxa"/>
              <w:bottom w:w="40" w:type="dxa"/>
              <w:right w:w="40" w:type="dxa"/>
            </w:tcMar>
          </w:tcPr>
          <w:p w14:paraId="4E569E8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Other assets</w:t>
            </w:r>
          </w:p>
        </w:tc>
        <w:tc>
          <w:tcPr>
            <w:tcW w:w="0" w:type="auto"/>
            <w:gridSpan w:val="2"/>
            <w:shd w:val="clear" w:color="auto" w:fill="CCEEFF"/>
            <w:tcMar>
              <w:top w:w="40" w:type="dxa"/>
              <w:left w:w="40" w:type="dxa"/>
              <w:bottom w:w="40" w:type="dxa"/>
            </w:tcMar>
            <w:vAlign w:val="bottom"/>
          </w:tcPr>
          <w:p w14:paraId="4E569E8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4E569E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8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CCEEFF"/>
            <w:vAlign w:val="bottom"/>
          </w:tcPr>
          <w:p w14:paraId="4E569E8D" w14:textId="77777777" w:rsidR="00DF3E10" w:rsidRDefault="00DF3E10">
            <w:pPr>
              <w:textAlignment w:val="bottom"/>
              <w:rPr>
                <w:rFonts w:ascii="Times New Roman" w:hAnsi="Times New Roman"/>
                <w:sz w:val="20"/>
                <w:szCs w:val="20"/>
              </w:rPr>
            </w:pPr>
          </w:p>
        </w:tc>
      </w:tr>
      <w:tr w:rsidR="00DF3E10" w14:paraId="4E569E95" w14:textId="77777777">
        <w:trPr>
          <w:jc w:val="center"/>
        </w:trPr>
        <w:tc>
          <w:tcPr>
            <w:tcW w:w="0" w:type="auto"/>
            <w:shd w:val="clear" w:color="auto" w:fill="auto"/>
            <w:tcMar>
              <w:top w:w="40" w:type="dxa"/>
              <w:left w:w="720" w:type="dxa"/>
              <w:bottom w:w="40" w:type="dxa"/>
              <w:right w:w="40" w:type="dxa"/>
            </w:tcMar>
          </w:tcPr>
          <w:p w14:paraId="4E569E8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Accounts payable</w:t>
            </w:r>
          </w:p>
        </w:tc>
        <w:tc>
          <w:tcPr>
            <w:tcW w:w="0" w:type="auto"/>
            <w:gridSpan w:val="2"/>
            <w:shd w:val="clear" w:color="auto" w:fill="auto"/>
            <w:tcMar>
              <w:top w:w="40" w:type="dxa"/>
              <w:left w:w="40" w:type="dxa"/>
              <w:bottom w:w="40" w:type="dxa"/>
            </w:tcMar>
            <w:vAlign w:val="bottom"/>
          </w:tcPr>
          <w:p w14:paraId="4E569E9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auto"/>
            <w:tcMar>
              <w:top w:w="40" w:type="dxa"/>
              <w:bottom w:w="40" w:type="dxa"/>
              <w:right w:w="40" w:type="dxa"/>
            </w:tcMar>
            <w:vAlign w:val="bottom"/>
          </w:tcPr>
          <w:p w14:paraId="4E569E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9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auto"/>
            <w:tcMar>
              <w:top w:w="40" w:type="dxa"/>
              <w:bottom w:w="40" w:type="dxa"/>
              <w:right w:w="40" w:type="dxa"/>
            </w:tcMar>
            <w:vAlign w:val="bottom"/>
          </w:tcPr>
          <w:p w14:paraId="4E569E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9C" w14:textId="77777777">
        <w:trPr>
          <w:jc w:val="center"/>
        </w:trPr>
        <w:tc>
          <w:tcPr>
            <w:tcW w:w="0" w:type="auto"/>
            <w:shd w:val="clear" w:color="auto" w:fill="CCEEFF"/>
            <w:tcMar>
              <w:top w:w="40" w:type="dxa"/>
              <w:left w:w="720" w:type="dxa"/>
              <w:bottom w:w="40" w:type="dxa"/>
              <w:right w:w="40" w:type="dxa"/>
            </w:tcMar>
          </w:tcPr>
          <w:p w14:paraId="4E569E9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Partners payable</w:t>
            </w:r>
          </w:p>
        </w:tc>
        <w:tc>
          <w:tcPr>
            <w:tcW w:w="0" w:type="auto"/>
            <w:gridSpan w:val="2"/>
            <w:shd w:val="clear" w:color="auto" w:fill="CCEEFF"/>
            <w:tcMar>
              <w:top w:w="40" w:type="dxa"/>
              <w:left w:w="40" w:type="dxa"/>
              <w:bottom w:w="40" w:type="dxa"/>
            </w:tcMar>
            <w:vAlign w:val="bottom"/>
          </w:tcPr>
          <w:p w14:paraId="4E569E9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(158</w:t>
            </w:r>
          </w:p>
        </w:tc>
        <w:tc>
          <w:tcPr>
            <w:tcW w:w="0" w:type="auto"/>
            <w:shd w:val="clear" w:color="auto" w:fill="CCEEFF"/>
            <w:tcMar>
              <w:top w:w="40" w:type="dxa"/>
              <w:bottom w:w="40" w:type="dxa"/>
              <w:right w:w="40" w:type="dxa"/>
            </w:tcMar>
            <w:vAlign w:val="bottom"/>
          </w:tcPr>
          <w:p w14:paraId="4E569E9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9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4E569E9B" w14:textId="77777777" w:rsidR="00DF3E10" w:rsidRDefault="00DF3E10">
            <w:pPr>
              <w:textAlignment w:val="bottom"/>
              <w:rPr>
                <w:rFonts w:ascii="Times New Roman" w:hAnsi="Times New Roman"/>
                <w:sz w:val="20"/>
                <w:szCs w:val="20"/>
              </w:rPr>
            </w:pPr>
          </w:p>
        </w:tc>
      </w:tr>
      <w:tr w:rsidR="00DF3E10" w14:paraId="4E569EA3" w14:textId="77777777">
        <w:trPr>
          <w:jc w:val="center"/>
        </w:trPr>
        <w:tc>
          <w:tcPr>
            <w:tcW w:w="0" w:type="auto"/>
            <w:shd w:val="clear" w:color="auto" w:fill="auto"/>
            <w:tcMar>
              <w:top w:w="40" w:type="dxa"/>
              <w:left w:w="720" w:type="dxa"/>
              <w:bottom w:w="40" w:type="dxa"/>
              <w:right w:w="40" w:type="dxa"/>
            </w:tcMar>
          </w:tcPr>
          <w:p w14:paraId="4E569E9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Accrued expenses and other current liabilities</w:t>
            </w:r>
          </w:p>
        </w:tc>
        <w:tc>
          <w:tcPr>
            <w:tcW w:w="0" w:type="auto"/>
            <w:gridSpan w:val="2"/>
            <w:shd w:val="clear" w:color="auto" w:fill="auto"/>
            <w:tcMar>
              <w:top w:w="40" w:type="dxa"/>
              <w:left w:w="40" w:type="dxa"/>
              <w:bottom w:w="40" w:type="dxa"/>
            </w:tcMar>
            <w:vAlign w:val="bottom"/>
          </w:tcPr>
          <w:p w14:paraId="4E569E9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(3,016</w:t>
            </w:r>
          </w:p>
        </w:tc>
        <w:tc>
          <w:tcPr>
            <w:tcW w:w="0" w:type="auto"/>
            <w:shd w:val="clear" w:color="auto" w:fill="auto"/>
            <w:tcMar>
              <w:top w:w="40" w:type="dxa"/>
              <w:bottom w:w="40" w:type="dxa"/>
              <w:right w:w="40" w:type="dxa"/>
            </w:tcMar>
            <w:vAlign w:val="bottom"/>
          </w:tcPr>
          <w:p w14:paraId="4E569E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5,982</w:t>
            </w:r>
          </w:p>
        </w:tc>
        <w:tc>
          <w:tcPr>
            <w:tcW w:w="0" w:type="auto"/>
            <w:shd w:val="clear" w:color="auto" w:fill="auto"/>
            <w:vAlign w:val="bottom"/>
          </w:tcPr>
          <w:p w14:paraId="4E569EA2" w14:textId="77777777" w:rsidR="00DF3E10" w:rsidRDefault="00DF3E10">
            <w:pPr>
              <w:textAlignment w:val="bottom"/>
              <w:rPr>
                <w:rFonts w:ascii="Times New Roman" w:hAnsi="Times New Roman"/>
                <w:sz w:val="20"/>
                <w:szCs w:val="20"/>
              </w:rPr>
            </w:pPr>
          </w:p>
        </w:tc>
      </w:tr>
      <w:tr w:rsidR="00DF3E10" w14:paraId="4E569EAA" w14:textId="77777777">
        <w:trPr>
          <w:jc w:val="center"/>
        </w:trPr>
        <w:tc>
          <w:tcPr>
            <w:tcW w:w="0" w:type="auto"/>
            <w:shd w:val="clear" w:color="auto" w:fill="CCEEFF"/>
            <w:tcMar>
              <w:top w:w="40" w:type="dxa"/>
              <w:left w:w="720" w:type="dxa"/>
              <w:bottom w:w="40" w:type="dxa"/>
              <w:right w:w="40" w:type="dxa"/>
            </w:tcMar>
          </w:tcPr>
          <w:p w14:paraId="4E569EA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Deferred revenue and deposits</w:t>
            </w:r>
          </w:p>
        </w:tc>
        <w:tc>
          <w:tcPr>
            <w:tcW w:w="0" w:type="auto"/>
            <w:gridSpan w:val="2"/>
            <w:shd w:val="clear" w:color="auto" w:fill="CCEEFF"/>
            <w:tcMar>
              <w:top w:w="40" w:type="dxa"/>
              <w:left w:w="40" w:type="dxa"/>
              <w:bottom w:w="40" w:type="dxa"/>
            </w:tcMar>
            <w:vAlign w:val="bottom"/>
          </w:tcPr>
          <w:p w14:paraId="4E569E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4E569E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A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vAlign w:val="bottom"/>
          </w:tcPr>
          <w:p w14:paraId="4E569EA9" w14:textId="77777777" w:rsidR="00DF3E10" w:rsidRDefault="00DF3E10">
            <w:pPr>
              <w:textAlignment w:val="bottom"/>
              <w:rPr>
                <w:rFonts w:ascii="Times New Roman" w:hAnsi="Times New Roman"/>
                <w:sz w:val="20"/>
                <w:szCs w:val="20"/>
              </w:rPr>
            </w:pPr>
          </w:p>
        </w:tc>
      </w:tr>
      <w:tr w:rsidR="00DF3E10" w14:paraId="4E569EB1" w14:textId="77777777">
        <w:trPr>
          <w:jc w:val="center"/>
        </w:trPr>
        <w:tc>
          <w:tcPr>
            <w:tcW w:w="0" w:type="auto"/>
            <w:shd w:val="clear" w:color="auto" w:fill="auto"/>
            <w:tcMar>
              <w:top w:w="40" w:type="dxa"/>
              <w:left w:w="720" w:type="dxa"/>
              <w:bottom w:w="40" w:type="dxa"/>
              <w:right w:w="40" w:type="dxa"/>
            </w:tcMar>
          </w:tcPr>
          <w:p w14:paraId="4E569EA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4E569E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(554</w:t>
            </w:r>
          </w:p>
        </w:tc>
        <w:tc>
          <w:tcPr>
            <w:tcW w:w="0" w:type="auto"/>
            <w:tcBorders>
              <w:bottom w:val="single" w:sz="8" w:space="0" w:color="000000"/>
            </w:tcBorders>
            <w:shd w:val="clear" w:color="auto" w:fill="auto"/>
            <w:tcMar>
              <w:top w:w="40" w:type="dxa"/>
              <w:bottom w:w="40" w:type="dxa"/>
              <w:right w:w="40" w:type="dxa"/>
            </w:tcMar>
            <w:vAlign w:val="bottom"/>
          </w:tcPr>
          <w:p w14:paraId="4E569E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E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1,584</w:t>
            </w:r>
          </w:p>
        </w:tc>
        <w:tc>
          <w:tcPr>
            <w:tcW w:w="0" w:type="auto"/>
            <w:tcBorders>
              <w:bottom w:val="single" w:sz="8" w:space="0" w:color="000000"/>
            </w:tcBorders>
            <w:shd w:val="clear" w:color="auto" w:fill="auto"/>
            <w:vAlign w:val="bottom"/>
          </w:tcPr>
          <w:p w14:paraId="4E569EB0" w14:textId="77777777" w:rsidR="00DF3E10" w:rsidRDefault="00DF3E10">
            <w:pPr>
              <w:textAlignment w:val="bottom"/>
              <w:rPr>
                <w:rFonts w:ascii="Times New Roman" w:hAnsi="Times New Roman"/>
                <w:sz w:val="20"/>
                <w:szCs w:val="20"/>
              </w:rPr>
            </w:pPr>
          </w:p>
        </w:tc>
      </w:tr>
      <w:tr w:rsidR="00DF3E10" w14:paraId="4E569EB8" w14:textId="77777777">
        <w:trPr>
          <w:jc w:val="center"/>
        </w:trPr>
        <w:tc>
          <w:tcPr>
            <w:tcW w:w="0" w:type="auto"/>
            <w:shd w:val="clear" w:color="auto" w:fill="CCEEFF"/>
            <w:tcMar>
              <w:top w:w="40" w:type="dxa"/>
              <w:left w:w="560" w:type="dxa"/>
              <w:bottom w:w="40" w:type="dxa"/>
              <w:right w:w="40" w:type="dxa"/>
            </w:tcMar>
          </w:tcPr>
          <w:p w14:paraId="4E569EB2"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Net cash provided by operating activities</w:t>
            </w:r>
          </w:p>
        </w:tc>
        <w:tc>
          <w:tcPr>
            <w:tcW w:w="0" w:type="auto"/>
            <w:gridSpan w:val="2"/>
            <w:shd w:val="clear" w:color="auto" w:fill="CCEEFF"/>
            <w:tcMar>
              <w:top w:w="40" w:type="dxa"/>
              <w:left w:w="40" w:type="dxa"/>
              <w:bottom w:w="40" w:type="dxa"/>
            </w:tcMar>
            <w:vAlign w:val="bottom"/>
          </w:tcPr>
          <w:p w14:paraId="4E569EB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14,878</w:t>
            </w:r>
          </w:p>
        </w:tc>
        <w:tc>
          <w:tcPr>
            <w:tcW w:w="0" w:type="auto"/>
            <w:shd w:val="clear" w:color="auto" w:fill="CCEEFF"/>
            <w:vAlign w:val="bottom"/>
          </w:tcPr>
          <w:p w14:paraId="4E569EB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E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17,924</w:t>
            </w:r>
          </w:p>
        </w:tc>
        <w:tc>
          <w:tcPr>
            <w:tcW w:w="0" w:type="auto"/>
            <w:shd w:val="clear" w:color="auto" w:fill="CCEEFF"/>
            <w:vAlign w:val="bottom"/>
          </w:tcPr>
          <w:p w14:paraId="4E569EB7" w14:textId="77777777" w:rsidR="00DF3E10" w:rsidRDefault="00DF3E10">
            <w:pPr>
              <w:textAlignment w:val="bottom"/>
              <w:rPr>
                <w:rFonts w:ascii="Times New Roman" w:hAnsi="Times New Roman"/>
                <w:sz w:val="20"/>
                <w:szCs w:val="20"/>
              </w:rPr>
            </w:pPr>
          </w:p>
        </w:tc>
      </w:tr>
      <w:tr w:rsidR="00DF3E10" w14:paraId="4E569EBD" w14:textId="77777777">
        <w:trPr>
          <w:jc w:val="center"/>
        </w:trPr>
        <w:tc>
          <w:tcPr>
            <w:tcW w:w="0" w:type="auto"/>
            <w:shd w:val="clear" w:color="auto" w:fill="auto"/>
            <w:tcMar>
              <w:top w:w="40" w:type="dxa"/>
              <w:left w:w="40" w:type="dxa"/>
              <w:bottom w:w="40" w:type="dxa"/>
              <w:right w:w="40" w:type="dxa"/>
            </w:tcMar>
          </w:tcPr>
          <w:p w14:paraId="4E569EB9"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Cash flows from investing activities</w:t>
            </w:r>
          </w:p>
        </w:tc>
        <w:tc>
          <w:tcPr>
            <w:tcW w:w="0" w:type="auto"/>
            <w:gridSpan w:val="3"/>
            <w:shd w:val="clear" w:color="auto" w:fill="auto"/>
            <w:tcMar>
              <w:top w:w="40" w:type="dxa"/>
              <w:left w:w="40" w:type="dxa"/>
              <w:bottom w:w="40" w:type="dxa"/>
              <w:right w:w="40" w:type="dxa"/>
            </w:tcMar>
            <w:vAlign w:val="bottom"/>
          </w:tcPr>
          <w:p w14:paraId="4E569EB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E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E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EC4" w14:textId="77777777">
        <w:trPr>
          <w:jc w:val="center"/>
        </w:trPr>
        <w:tc>
          <w:tcPr>
            <w:tcW w:w="0" w:type="auto"/>
            <w:shd w:val="clear" w:color="auto" w:fill="CCEEFF"/>
            <w:tcMar>
              <w:top w:w="40" w:type="dxa"/>
              <w:left w:w="560" w:type="dxa"/>
              <w:bottom w:w="40" w:type="dxa"/>
              <w:right w:w="40" w:type="dxa"/>
            </w:tcMar>
          </w:tcPr>
          <w:p w14:paraId="4E569EB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Purchases of property and equipment, net</w:t>
            </w:r>
          </w:p>
        </w:tc>
        <w:tc>
          <w:tcPr>
            <w:tcW w:w="0" w:type="auto"/>
            <w:gridSpan w:val="2"/>
            <w:shd w:val="clear" w:color="auto" w:fill="CCEEFF"/>
            <w:tcMar>
              <w:top w:w="40" w:type="dxa"/>
              <w:left w:w="40" w:type="dxa"/>
              <w:bottom w:w="40" w:type="dxa"/>
            </w:tcMar>
            <w:vAlign w:val="bottom"/>
          </w:tcPr>
          <w:p w14:paraId="4E569EB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(6,813</w:t>
            </w:r>
          </w:p>
        </w:tc>
        <w:tc>
          <w:tcPr>
            <w:tcW w:w="0" w:type="auto"/>
            <w:shd w:val="clear" w:color="auto" w:fill="CCEEFF"/>
            <w:tcMar>
              <w:top w:w="40" w:type="dxa"/>
              <w:bottom w:w="40" w:type="dxa"/>
              <w:right w:w="40" w:type="dxa"/>
            </w:tcMar>
            <w:vAlign w:val="bottom"/>
          </w:tcPr>
          <w:p w14:paraId="4E569E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C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(7,470</w:t>
            </w:r>
          </w:p>
        </w:tc>
        <w:tc>
          <w:tcPr>
            <w:tcW w:w="0" w:type="auto"/>
            <w:shd w:val="clear" w:color="auto" w:fill="CCEEFF"/>
            <w:tcMar>
              <w:top w:w="40" w:type="dxa"/>
              <w:bottom w:w="40" w:type="dxa"/>
              <w:right w:w="40" w:type="dxa"/>
            </w:tcMar>
            <w:vAlign w:val="bottom"/>
          </w:tcPr>
          <w:p w14:paraId="4E569E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CB" w14:textId="77777777">
        <w:trPr>
          <w:jc w:val="center"/>
        </w:trPr>
        <w:tc>
          <w:tcPr>
            <w:tcW w:w="0" w:type="auto"/>
            <w:shd w:val="clear" w:color="auto" w:fill="auto"/>
            <w:tcMar>
              <w:top w:w="40" w:type="dxa"/>
              <w:left w:w="560" w:type="dxa"/>
              <w:bottom w:w="40" w:type="dxa"/>
              <w:right w:w="40" w:type="dxa"/>
            </w:tcMar>
          </w:tcPr>
          <w:p w14:paraId="4E569EC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Purchases of marketable securities</w:t>
            </w:r>
          </w:p>
        </w:tc>
        <w:tc>
          <w:tcPr>
            <w:tcW w:w="0" w:type="auto"/>
            <w:gridSpan w:val="2"/>
            <w:shd w:val="clear" w:color="auto" w:fill="auto"/>
            <w:tcMar>
              <w:top w:w="40" w:type="dxa"/>
              <w:left w:w="40" w:type="dxa"/>
              <w:bottom w:w="40" w:type="dxa"/>
            </w:tcMar>
            <w:vAlign w:val="bottom"/>
          </w:tcPr>
          <w:p w14:paraId="4E569E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(14,063</w:t>
            </w:r>
          </w:p>
        </w:tc>
        <w:tc>
          <w:tcPr>
            <w:tcW w:w="0" w:type="auto"/>
            <w:shd w:val="clear" w:color="auto" w:fill="auto"/>
            <w:tcMar>
              <w:top w:w="40" w:type="dxa"/>
              <w:bottom w:w="40" w:type="dxa"/>
              <w:right w:w="40" w:type="dxa"/>
            </w:tcMar>
            <w:vAlign w:val="bottom"/>
          </w:tcPr>
          <w:p w14:paraId="4E569E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C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(11,755</w:t>
            </w:r>
          </w:p>
        </w:tc>
        <w:tc>
          <w:tcPr>
            <w:tcW w:w="0" w:type="auto"/>
            <w:shd w:val="clear" w:color="auto" w:fill="auto"/>
            <w:tcMar>
              <w:top w:w="40" w:type="dxa"/>
              <w:bottom w:w="40" w:type="dxa"/>
              <w:right w:w="40" w:type="dxa"/>
            </w:tcMar>
            <w:vAlign w:val="bottom"/>
          </w:tcPr>
          <w:p w14:paraId="4E569E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D2" w14:textId="77777777">
        <w:trPr>
          <w:jc w:val="center"/>
        </w:trPr>
        <w:tc>
          <w:tcPr>
            <w:tcW w:w="0" w:type="auto"/>
            <w:shd w:val="clear" w:color="auto" w:fill="CCEEFF"/>
            <w:tcMar>
              <w:top w:w="40" w:type="dxa"/>
              <w:left w:w="560" w:type="dxa"/>
              <w:bottom w:w="40" w:type="dxa"/>
              <w:right w:w="40" w:type="dxa"/>
            </w:tcMar>
          </w:tcPr>
          <w:p w14:paraId="4E569EC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Sales of marketable securities</w:t>
            </w:r>
          </w:p>
        </w:tc>
        <w:tc>
          <w:tcPr>
            <w:tcW w:w="0" w:type="auto"/>
            <w:gridSpan w:val="2"/>
            <w:shd w:val="clear" w:color="auto" w:fill="CCEEFF"/>
            <w:tcMar>
              <w:top w:w="40" w:type="dxa"/>
              <w:left w:w="40" w:type="dxa"/>
              <w:bottom w:w="40" w:type="dxa"/>
            </w:tcMar>
            <w:vAlign w:val="bottom"/>
          </w:tcPr>
          <w:p w14:paraId="4E569EC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5,381</w:t>
            </w:r>
          </w:p>
        </w:tc>
        <w:tc>
          <w:tcPr>
            <w:tcW w:w="0" w:type="auto"/>
            <w:shd w:val="clear" w:color="auto" w:fill="CCEEFF"/>
            <w:vAlign w:val="bottom"/>
          </w:tcPr>
          <w:p w14:paraId="4E569EC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E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D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4,456</w:t>
            </w:r>
          </w:p>
        </w:tc>
        <w:tc>
          <w:tcPr>
            <w:tcW w:w="0" w:type="auto"/>
            <w:shd w:val="clear" w:color="auto" w:fill="CCEEFF"/>
            <w:vAlign w:val="bottom"/>
          </w:tcPr>
          <w:p w14:paraId="4E569ED1" w14:textId="77777777" w:rsidR="00DF3E10" w:rsidRDefault="00DF3E10">
            <w:pPr>
              <w:textAlignment w:val="bottom"/>
              <w:rPr>
                <w:rFonts w:ascii="Times New Roman" w:hAnsi="Times New Roman"/>
                <w:sz w:val="20"/>
                <w:szCs w:val="20"/>
              </w:rPr>
            </w:pPr>
          </w:p>
        </w:tc>
      </w:tr>
      <w:tr w:rsidR="00DF3E10" w14:paraId="4E569ED9" w14:textId="77777777">
        <w:trPr>
          <w:jc w:val="center"/>
        </w:trPr>
        <w:tc>
          <w:tcPr>
            <w:tcW w:w="0" w:type="auto"/>
            <w:shd w:val="clear" w:color="auto" w:fill="auto"/>
            <w:tcMar>
              <w:top w:w="40" w:type="dxa"/>
              <w:left w:w="560" w:type="dxa"/>
              <w:bottom w:w="40" w:type="dxa"/>
              <w:right w:w="40" w:type="dxa"/>
            </w:tcMar>
          </w:tcPr>
          <w:p w14:paraId="4E569ED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Maturities of marketable securities</w:t>
            </w:r>
          </w:p>
        </w:tc>
        <w:tc>
          <w:tcPr>
            <w:tcW w:w="0" w:type="auto"/>
            <w:gridSpan w:val="2"/>
            <w:shd w:val="clear" w:color="auto" w:fill="auto"/>
            <w:tcMar>
              <w:top w:w="40" w:type="dxa"/>
              <w:left w:w="40" w:type="dxa"/>
              <w:bottom w:w="40" w:type="dxa"/>
            </w:tcMar>
            <w:vAlign w:val="bottom"/>
          </w:tcPr>
          <w:p w14:paraId="4E569E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7,868</w:t>
            </w:r>
          </w:p>
        </w:tc>
        <w:tc>
          <w:tcPr>
            <w:tcW w:w="0" w:type="auto"/>
            <w:shd w:val="clear" w:color="auto" w:fill="auto"/>
            <w:vAlign w:val="bottom"/>
          </w:tcPr>
          <w:p w14:paraId="4E569ED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E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D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4,105</w:t>
            </w:r>
          </w:p>
        </w:tc>
        <w:tc>
          <w:tcPr>
            <w:tcW w:w="0" w:type="auto"/>
            <w:shd w:val="clear" w:color="auto" w:fill="auto"/>
            <w:vAlign w:val="bottom"/>
          </w:tcPr>
          <w:p w14:paraId="4E569ED8" w14:textId="77777777" w:rsidR="00DF3E10" w:rsidRDefault="00DF3E10">
            <w:pPr>
              <w:textAlignment w:val="bottom"/>
              <w:rPr>
                <w:rFonts w:ascii="Times New Roman" w:hAnsi="Times New Roman"/>
                <w:sz w:val="20"/>
                <w:szCs w:val="20"/>
              </w:rPr>
            </w:pPr>
          </w:p>
        </w:tc>
      </w:tr>
      <w:tr w:rsidR="00DF3E10" w14:paraId="4E569EE0" w14:textId="77777777">
        <w:trPr>
          <w:jc w:val="center"/>
        </w:trPr>
        <w:tc>
          <w:tcPr>
            <w:tcW w:w="0" w:type="auto"/>
            <w:shd w:val="clear" w:color="auto" w:fill="CCEEFF"/>
            <w:tcMar>
              <w:top w:w="40" w:type="dxa"/>
              <w:left w:w="560" w:type="dxa"/>
              <w:bottom w:w="40" w:type="dxa"/>
              <w:right w:w="40" w:type="dxa"/>
            </w:tcMar>
          </w:tcPr>
          <w:p w14:paraId="4E569ED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Acquisitions of businesses, net of cash acquired, and purchases of intangible assets</w:t>
            </w:r>
          </w:p>
        </w:tc>
        <w:tc>
          <w:tcPr>
            <w:tcW w:w="0" w:type="auto"/>
            <w:gridSpan w:val="2"/>
            <w:shd w:val="clear" w:color="auto" w:fill="CCEEFF"/>
            <w:tcMar>
              <w:top w:w="40" w:type="dxa"/>
              <w:left w:w="40" w:type="dxa"/>
              <w:bottom w:w="40" w:type="dxa"/>
            </w:tcMar>
            <w:vAlign w:val="bottom"/>
          </w:tcPr>
          <w:p w14:paraId="4E569ED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shd w:val="clear" w:color="auto" w:fill="CCEEFF"/>
            <w:tcMar>
              <w:top w:w="40" w:type="dxa"/>
              <w:bottom w:w="40" w:type="dxa"/>
              <w:right w:w="40" w:type="dxa"/>
            </w:tcMar>
            <w:vAlign w:val="bottom"/>
          </w:tcPr>
          <w:p w14:paraId="4E569E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D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D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tcMar>
              <w:top w:w="40" w:type="dxa"/>
              <w:bottom w:w="40" w:type="dxa"/>
              <w:right w:w="40" w:type="dxa"/>
            </w:tcMar>
            <w:vAlign w:val="bottom"/>
          </w:tcPr>
          <w:p w14:paraId="4E569E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E7" w14:textId="77777777">
        <w:trPr>
          <w:jc w:val="center"/>
        </w:trPr>
        <w:tc>
          <w:tcPr>
            <w:tcW w:w="0" w:type="auto"/>
            <w:shd w:val="clear" w:color="auto" w:fill="auto"/>
            <w:tcMar>
              <w:top w:w="40" w:type="dxa"/>
              <w:left w:w="560" w:type="dxa"/>
              <w:bottom w:w="40" w:type="dxa"/>
              <w:right w:w="40" w:type="dxa"/>
            </w:tcMar>
          </w:tcPr>
          <w:p w14:paraId="4E569EE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investing activities, net</w:t>
            </w:r>
          </w:p>
        </w:tc>
        <w:tc>
          <w:tcPr>
            <w:tcW w:w="0" w:type="auto"/>
            <w:gridSpan w:val="2"/>
            <w:tcBorders>
              <w:bottom w:val="single" w:sz="8" w:space="0" w:color="000000"/>
            </w:tcBorders>
            <w:shd w:val="clear" w:color="auto" w:fill="auto"/>
            <w:tcMar>
              <w:top w:w="40" w:type="dxa"/>
              <w:left w:w="40" w:type="dxa"/>
              <w:bottom w:w="40" w:type="dxa"/>
            </w:tcMar>
            <w:vAlign w:val="bottom"/>
          </w:tcPr>
          <w:p w14:paraId="4E569EE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(288</w:t>
            </w:r>
          </w:p>
        </w:tc>
        <w:tc>
          <w:tcPr>
            <w:tcW w:w="0" w:type="auto"/>
            <w:tcBorders>
              <w:bottom w:val="single" w:sz="8" w:space="0" w:color="000000"/>
            </w:tcBorders>
            <w:shd w:val="clear" w:color="auto" w:fill="auto"/>
            <w:tcMar>
              <w:top w:w="40" w:type="dxa"/>
              <w:bottom w:w="40" w:type="dxa"/>
              <w:right w:w="40" w:type="dxa"/>
            </w:tcMar>
            <w:vAlign w:val="bottom"/>
          </w:tcPr>
          <w:p w14:paraId="4E569E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9EE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tcBorders>
              <w:bottom w:val="single" w:sz="8" w:space="0" w:color="000000"/>
            </w:tcBorders>
            <w:shd w:val="clear" w:color="auto" w:fill="auto"/>
            <w:tcMar>
              <w:top w:w="40" w:type="dxa"/>
              <w:bottom w:w="40" w:type="dxa"/>
              <w:right w:w="40" w:type="dxa"/>
            </w:tcMar>
            <w:vAlign w:val="bottom"/>
          </w:tcPr>
          <w:p w14:paraId="4E569E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EE" w14:textId="77777777">
        <w:trPr>
          <w:jc w:val="center"/>
        </w:trPr>
        <w:tc>
          <w:tcPr>
            <w:tcW w:w="0" w:type="auto"/>
            <w:shd w:val="clear" w:color="auto" w:fill="CCEEFF"/>
            <w:tcMar>
              <w:top w:w="40" w:type="dxa"/>
              <w:left w:w="560" w:type="dxa"/>
              <w:bottom w:w="40" w:type="dxa"/>
              <w:right w:w="40" w:type="dxa"/>
            </w:tcMar>
          </w:tcPr>
          <w:p w14:paraId="4E569EE8"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Net cash used in investing activities</w:t>
            </w:r>
          </w:p>
        </w:tc>
        <w:tc>
          <w:tcPr>
            <w:tcW w:w="0" w:type="auto"/>
            <w:gridSpan w:val="2"/>
            <w:tcBorders>
              <w:top w:val="single" w:sz="8" w:space="0" w:color="000000"/>
            </w:tcBorders>
            <w:shd w:val="clear" w:color="auto" w:fill="CCEEFF"/>
            <w:tcMar>
              <w:top w:w="40" w:type="dxa"/>
              <w:left w:w="40" w:type="dxa"/>
              <w:bottom w:w="40" w:type="dxa"/>
            </w:tcMar>
            <w:vAlign w:val="bottom"/>
          </w:tcPr>
          <w:p w14:paraId="4E569EE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(8,287</w:t>
            </w:r>
          </w:p>
        </w:tc>
        <w:tc>
          <w:tcPr>
            <w:tcW w:w="0" w:type="auto"/>
            <w:tcBorders>
              <w:top w:val="single" w:sz="8" w:space="0" w:color="000000"/>
            </w:tcBorders>
            <w:shd w:val="clear" w:color="auto" w:fill="CCEEFF"/>
            <w:tcMar>
              <w:top w:w="40" w:type="dxa"/>
              <w:bottom w:w="40" w:type="dxa"/>
              <w:right w:w="40" w:type="dxa"/>
            </w:tcMar>
            <w:vAlign w:val="bottom"/>
          </w:tcPr>
          <w:p w14:paraId="4E569E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E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E569EE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(10,778</w:t>
            </w:r>
          </w:p>
        </w:tc>
        <w:tc>
          <w:tcPr>
            <w:tcW w:w="0" w:type="auto"/>
            <w:tcBorders>
              <w:top w:val="single" w:sz="8" w:space="0" w:color="000000"/>
            </w:tcBorders>
            <w:shd w:val="clear" w:color="auto" w:fill="CCEEFF"/>
            <w:tcMar>
              <w:top w:w="40" w:type="dxa"/>
              <w:bottom w:w="40" w:type="dxa"/>
              <w:right w:w="40" w:type="dxa"/>
            </w:tcMar>
            <w:vAlign w:val="bottom"/>
          </w:tcPr>
          <w:p w14:paraId="4E569E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EF3" w14:textId="77777777">
        <w:trPr>
          <w:jc w:val="center"/>
        </w:trPr>
        <w:tc>
          <w:tcPr>
            <w:tcW w:w="0" w:type="auto"/>
            <w:shd w:val="clear" w:color="auto" w:fill="auto"/>
            <w:tcMar>
              <w:top w:w="40" w:type="dxa"/>
              <w:left w:w="40" w:type="dxa"/>
              <w:bottom w:w="40" w:type="dxa"/>
              <w:right w:w="40" w:type="dxa"/>
            </w:tcMar>
          </w:tcPr>
          <w:p w14:paraId="4E569EEF"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Cash flows from financing activities</w:t>
            </w:r>
          </w:p>
        </w:tc>
        <w:tc>
          <w:tcPr>
            <w:tcW w:w="0" w:type="auto"/>
            <w:gridSpan w:val="3"/>
            <w:shd w:val="clear" w:color="auto" w:fill="auto"/>
            <w:tcMar>
              <w:top w:w="40" w:type="dxa"/>
              <w:left w:w="40" w:type="dxa"/>
              <w:bottom w:w="40" w:type="dxa"/>
              <w:right w:w="40" w:type="dxa"/>
            </w:tcMar>
            <w:vAlign w:val="bottom"/>
          </w:tcPr>
          <w:p w14:paraId="4E569E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E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E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EFA" w14:textId="77777777">
        <w:trPr>
          <w:jc w:val="center"/>
        </w:trPr>
        <w:tc>
          <w:tcPr>
            <w:tcW w:w="0" w:type="auto"/>
            <w:shd w:val="clear" w:color="auto" w:fill="CCEEFF"/>
            <w:tcMar>
              <w:top w:w="40" w:type="dxa"/>
              <w:left w:w="560" w:type="dxa"/>
              <w:bottom w:w="40" w:type="dxa"/>
              <w:right w:w="40" w:type="dxa"/>
            </w:tcMar>
          </w:tcPr>
          <w:p w14:paraId="4E569EF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Taxes paid related to net share settlement of equity awards</w:t>
            </w:r>
          </w:p>
        </w:tc>
        <w:tc>
          <w:tcPr>
            <w:tcW w:w="0" w:type="auto"/>
            <w:gridSpan w:val="2"/>
            <w:shd w:val="clear" w:color="auto" w:fill="CCEEFF"/>
            <w:tcMar>
              <w:top w:w="40" w:type="dxa"/>
              <w:left w:w="40" w:type="dxa"/>
              <w:bottom w:w="40" w:type="dxa"/>
            </w:tcMar>
            <w:vAlign w:val="bottom"/>
          </w:tcPr>
          <w:p w14:paraId="4E569EF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(1,444</w:t>
            </w:r>
          </w:p>
        </w:tc>
        <w:tc>
          <w:tcPr>
            <w:tcW w:w="0" w:type="auto"/>
            <w:shd w:val="clear" w:color="auto" w:fill="CCEEFF"/>
            <w:tcMar>
              <w:top w:w="40" w:type="dxa"/>
              <w:bottom w:w="40" w:type="dxa"/>
              <w:right w:w="40" w:type="dxa"/>
            </w:tcMar>
            <w:vAlign w:val="bottom"/>
          </w:tcPr>
          <w:p w14:paraId="4E569E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E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EF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(1,119</w:t>
            </w:r>
          </w:p>
        </w:tc>
        <w:tc>
          <w:tcPr>
            <w:tcW w:w="0" w:type="auto"/>
            <w:shd w:val="clear" w:color="auto" w:fill="CCEEFF"/>
            <w:tcMar>
              <w:top w:w="40" w:type="dxa"/>
              <w:bottom w:w="40" w:type="dxa"/>
              <w:right w:w="40" w:type="dxa"/>
            </w:tcMar>
            <w:vAlign w:val="bottom"/>
          </w:tcPr>
          <w:p w14:paraId="4E569E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01" w14:textId="77777777">
        <w:trPr>
          <w:jc w:val="center"/>
        </w:trPr>
        <w:tc>
          <w:tcPr>
            <w:tcW w:w="0" w:type="auto"/>
            <w:shd w:val="clear" w:color="auto" w:fill="auto"/>
            <w:tcMar>
              <w:top w:w="40" w:type="dxa"/>
              <w:left w:w="560" w:type="dxa"/>
              <w:bottom w:w="40" w:type="dxa"/>
              <w:right w:w="40" w:type="dxa"/>
            </w:tcMar>
          </w:tcPr>
          <w:p w14:paraId="4E569EF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Repurchases of Class A common stock</w:t>
            </w:r>
          </w:p>
        </w:tc>
        <w:tc>
          <w:tcPr>
            <w:tcW w:w="0" w:type="auto"/>
            <w:gridSpan w:val="2"/>
            <w:shd w:val="clear" w:color="auto" w:fill="auto"/>
            <w:tcMar>
              <w:top w:w="40" w:type="dxa"/>
              <w:left w:w="40" w:type="dxa"/>
              <w:bottom w:w="40" w:type="dxa"/>
            </w:tcMar>
            <w:vAlign w:val="bottom"/>
          </w:tcPr>
          <w:p w14:paraId="4E569EF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(2,618</w:t>
            </w:r>
          </w:p>
        </w:tc>
        <w:tc>
          <w:tcPr>
            <w:tcW w:w="0" w:type="auto"/>
            <w:shd w:val="clear" w:color="auto" w:fill="auto"/>
            <w:tcMar>
              <w:top w:w="40" w:type="dxa"/>
              <w:bottom w:w="40" w:type="dxa"/>
              <w:right w:w="40" w:type="dxa"/>
            </w:tcMar>
            <w:vAlign w:val="bottom"/>
          </w:tcPr>
          <w:p w14:paraId="4E569E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E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EF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(1,758</w:t>
            </w:r>
          </w:p>
        </w:tc>
        <w:tc>
          <w:tcPr>
            <w:tcW w:w="0" w:type="auto"/>
            <w:shd w:val="clear" w:color="auto" w:fill="auto"/>
            <w:tcMar>
              <w:top w:w="40" w:type="dxa"/>
              <w:bottom w:w="40" w:type="dxa"/>
              <w:right w:w="40" w:type="dxa"/>
            </w:tcMar>
            <w:vAlign w:val="bottom"/>
          </w:tcPr>
          <w:p w14:paraId="4E569F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08" w14:textId="77777777">
        <w:trPr>
          <w:jc w:val="center"/>
        </w:trPr>
        <w:tc>
          <w:tcPr>
            <w:tcW w:w="0" w:type="auto"/>
            <w:shd w:val="clear" w:color="auto" w:fill="CCEEFF"/>
            <w:tcMar>
              <w:top w:w="40" w:type="dxa"/>
              <w:left w:w="560" w:type="dxa"/>
              <w:bottom w:w="40" w:type="dxa"/>
              <w:right w:w="40" w:type="dxa"/>
            </w:tcMar>
          </w:tcPr>
          <w:p w14:paraId="4E569F0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Principal payments on finance leases</w:t>
            </w:r>
          </w:p>
        </w:tc>
        <w:tc>
          <w:tcPr>
            <w:tcW w:w="0" w:type="auto"/>
            <w:gridSpan w:val="2"/>
            <w:shd w:val="clear" w:color="auto" w:fill="CCEEFF"/>
            <w:tcMar>
              <w:top w:w="40" w:type="dxa"/>
              <w:left w:w="40" w:type="dxa"/>
              <w:bottom w:w="40" w:type="dxa"/>
            </w:tcMar>
            <w:vAlign w:val="bottom"/>
          </w:tcPr>
          <w:p w14:paraId="4E569F0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CCEEFF"/>
            <w:tcMar>
              <w:top w:w="40" w:type="dxa"/>
              <w:bottom w:w="40" w:type="dxa"/>
              <w:right w:w="40" w:type="dxa"/>
            </w:tcMar>
            <w:vAlign w:val="bottom"/>
          </w:tcPr>
          <w:p w14:paraId="4E569F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F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F0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(267</w:t>
            </w:r>
          </w:p>
        </w:tc>
        <w:tc>
          <w:tcPr>
            <w:tcW w:w="0" w:type="auto"/>
            <w:shd w:val="clear" w:color="auto" w:fill="CCEEFF"/>
            <w:tcMar>
              <w:top w:w="40" w:type="dxa"/>
              <w:bottom w:w="40" w:type="dxa"/>
              <w:right w:w="40" w:type="dxa"/>
            </w:tcMar>
            <w:vAlign w:val="bottom"/>
          </w:tcPr>
          <w:p w14:paraId="4E569F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0F" w14:textId="77777777">
        <w:trPr>
          <w:jc w:val="center"/>
        </w:trPr>
        <w:tc>
          <w:tcPr>
            <w:tcW w:w="0" w:type="auto"/>
            <w:shd w:val="clear" w:color="auto" w:fill="auto"/>
            <w:tcMar>
              <w:top w:w="40" w:type="dxa"/>
              <w:left w:w="560" w:type="dxa"/>
              <w:bottom w:w="40" w:type="dxa"/>
              <w:right w:w="40" w:type="dxa"/>
            </w:tcMar>
          </w:tcPr>
          <w:p w14:paraId="4E569F0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change in overdraft in cash pooling entities</w:t>
            </w:r>
          </w:p>
        </w:tc>
        <w:tc>
          <w:tcPr>
            <w:tcW w:w="0" w:type="auto"/>
            <w:gridSpan w:val="2"/>
            <w:shd w:val="clear" w:color="auto" w:fill="auto"/>
            <w:tcMar>
              <w:top w:w="40" w:type="dxa"/>
              <w:left w:w="40" w:type="dxa"/>
              <w:bottom w:w="40" w:type="dxa"/>
            </w:tcMar>
            <w:vAlign w:val="bottom"/>
          </w:tcPr>
          <w:p w14:paraId="4E569F0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bottom w:w="40" w:type="dxa"/>
              <w:right w:w="40" w:type="dxa"/>
            </w:tcMar>
            <w:vAlign w:val="bottom"/>
          </w:tcPr>
          <w:p w14:paraId="4E569F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F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F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tcMar>
              <w:top w:w="40" w:type="dxa"/>
              <w:bottom w:w="40" w:type="dxa"/>
              <w:right w:w="40" w:type="dxa"/>
            </w:tcMar>
            <w:vAlign w:val="bottom"/>
          </w:tcPr>
          <w:p w14:paraId="4E569F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16" w14:textId="77777777">
        <w:trPr>
          <w:jc w:val="center"/>
        </w:trPr>
        <w:tc>
          <w:tcPr>
            <w:tcW w:w="0" w:type="auto"/>
            <w:shd w:val="clear" w:color="auto" w:fill="CCEEFF"/>
            <w:tcMar>
              <w:top w:w="40" w:type="dxa"/>
              <w:left w:w="560" w:type="dxa"/>
              <w:bottom w:w="40" w:type="dxa"/>
              <w:right w:w="40" w:type="dxa"/>
            </w:tcMar>
          </w:tcPr>
          <w:p w14:paraId="4E569F1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financing activities,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1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bottom w:val="single" w:sz="8" w:space="0" w:color="000000"/>
            </w:tcBorders>
            <w:shd w:val="clear" w:color="auto" w:fill="CCEEFF"/>
            <w:vAlign w:val="bottom"/>
          </w:tcPr>
          <w:p w14:paraId="4E569F1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F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1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4E569F15" w14:textId="77777777" w:rsidR="00DF3E10" w:rsidRDefault="00DF3E10">
            <w:pPr>
              <w:textAlignment w:val="bottom"/>
              <w:rPr>
                <w:rFonts w:ascii="Times New Roman" w:hAnsi="Times New Roman"/>
                <w:sz w:val="20"/>
                <w:szCs w:val="20"/>
              </w:rPr>
            </w:pPr>
          </w:p>
        </w:tc>
      </w:tr>
      <w:tr w:rsidR="00DF3E10" w14:paraId="4E569F1D" w14:textId="77777777">
        <w:trPr>
          <w:jc w:val="center"/>
        </w:trPr>
        <w:tc>
          <w:tcPr>
            <w:tcW w:w="0" w:type="auto"/>
            <w:shd w:val="clear" w:color="auto" w:fill="auto"/>
            <w:tcMar>
              <w:top w:w="40" w:type="dxa"/>
              <w:left w:w="560" w:type="dxa"/>
              <w:bottom w:w="40" w:type="dxa"/>
              <w:right w:w="40" w:type="dxa"/>
            </w:tcMar>
          </w:tcPr>
          <w:p w14:paraId="4E569F17"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 xml:space="preserve">Net cash used in financing </w:t>
            </w:r>
            <w:r>
              <w:rPr>
                <w:rFonts w:ascii="Times New Roman" w:eastAsia="宋体" w:hAnsi="Times New Roman"/>
                <w:b/>
                <w:bCs/>
                <w:sz w:val="20"/>
                <w:szCs w:val="20"/>
              </w:rPr>
              <w:t>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4E569F1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(4,174</w:t>
            </w:r>
          </w:p>
        </w:tc>
        <w:tc>
          <w:tcPr>
            <w:tcW w:w="0" w:type="auto"/>
            <w:tcBorders>
              <w:bottom w:val="single" w:sz="8" w:space="0" w:color="000000"/>
            </w:tcBorders>
            <w:shd w:val="clear" w:color="auto" w:fill="auto"/>
            <w:tcMar>
              <w:top w:w="40" w:type="dxa"/>
              <w:bottom w:w="40" w:type="dxa"/>
              <w:right w:w="40" w:type="dxa"/>
            </w:tcMar>
            <w:vAlign w:val="bottom"/>
          </w:tcPr>
          <w:p w14:paraId="4E569F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9F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4E569F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(3,254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4E569F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24" w14:textId="77777777">
        <w:trPr>
          <w:jc w:val="center"/>
        </w:trPr>
        <w:tc>
          <w:tcPr>
            <w:tcW w:w="0" w:type="auto"/>
            <w:shd w:val="clear" w:color="auto" w:fill="CCEEFF"/>
            <w:tcMar>
              <w:top w:w="40" w:type="dxa"/>
              <w:left w:w="40" w:type="dxa"/>
              <w:bottom w:w="40" w:type="dxa"/>
              <w:right w:w="40" w:type="dxa"/>
            </w:tcMar>
          </w:tcPr>
          <w:p w14:paraId="4E569F1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1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tcBorders>
              <w:bottom w:val="single" w:sz="8" w:space="0" w:color="000000"/>
            </w:tcBorders>
            <w:shd w:val="clear" w:color="auto" w:fill="CCEEFF"/>
            <w:tcMar>
              <w:top w:w="40" w:type="dxa"/>
              <w:bottom w:w="40" w:type="dxa"/>
              <w:right w:w="40" w:type="dxa"/>
            </w:tcMar>
            <w:vAlign w:val="bottom"/>
          </w:tcPr>
          <w:p w14:paraId="4E569F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9F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2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single" w:sz="8" w:space="0" w:color="000000"/>
            </w:tcBorders>
            <w:shd w:val="clear" w:color="auto" w:fill="CCEEFF"/>
            <w:tcMar>
              <w:top w:w="40" w:type="dxa"/>
              <w:bottom w:w="40" w:type="dxa"/>
              <w:right w:w="40" w:type="dxa"/>
            </w:tcMar>
            <w:vAlign w:val="bottom"/>
          </w:tcPr>
          <w:p w14:paraId="4E569F2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9F2B" w14:textId="77777777">
        <w:trPr>
          <w:jc w:val="center"/>
        </w:trPr>
        <w:tc>
          <w:tcPr>
            <w:tcW w:w="0" w:type="auto"/>
            <w:shd w:val="clear" w:color="auto" w:fill="auto"/>
            <w:tcMar>
              <w:top w:w="40" w:type="dxa"/>
              <w:left w:w="40" w:type="dxa"/>
              <w:bottom w:w="40" w:type="dxa"/>
              <w:right w:w="40" w:type="dxa"/>
            </w:tcMar>
          </w:tcPr>
          <w:p w14:paraId="4E569F2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increase in cash, cash equivalents, and restricted cash</w:t>
            </w:r>
          </w:p>
        </w:tc>
        <w:tc>
          <w:tcPr>
            <w:tcW w:w="0" w:type="auto"/>
            <w:gridSpan w:val="2"/>
            <w:shd w:val="clear" w:color="auto" w:fill="auto"/>
            <w:tcMar>
              <w:top w:w="40" w:type="dxa"/>
              <w:left w:w="40" w:type="dxa"/>
              <w:bottom w:w="40" w:type="dxa"/>
            </w:tcMar>
            <w:vAlign w:val="bottom"/>
          </w:tcPr>
          <w:p w14:paraId="4E569F2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2,290</w:t>
            </w:r>
          </w:p>
        </w:tc>
        <w:tc>
          <w:tcPr>
            <w:tcW w:w="0" w:type="auto"/>
            <w:shd w:val="clear" w:color="auto" w:fill="auto"/>
            <w:vAlign w:val="bottom"/>
          </w:tcPr>
          <w:p w14:paraId="4E569F2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F2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3,874</w:t>
            </w:r>
          </w:p>
        </w:tc>
        <w:tc>
          <w:tcPr>
            <w:tcW w:w="0" w:type="auto"/>
            <w:shd w:val="clear" w:color="auto" w:fill="auto"/>
            <w:vAlign w:val="bottom"/>
          </w:tcPr>
          <w:p w14:paraId="4E569F2A" w14:textId="77777777" w:rsidR="00DF3E10" w:rsidRDefault="00DF3E10">
            <w:pPr>
              <w:textAlignment w:val="bottom"/>
              <w:rPr>
                <w:rFonts w:ascii="Times New Roman" w:hAnsi="Times New Roman"/>
                <w:sz w:val="20"/>
                <w:szCs w:val="20"/>
              </w:rPr>
            </w:pPr>
          </w:p>
        </w:tc>
      </w:tr>
      <w:tr w:rsidR="00DF3E10" w14:paraId="4E569F32" w14:textId="77777777">
        <w:trPr>
          <w:jc w:val="center"/>
        </w:trPr>
        <w:tc>
          <w:tcPr>
            <w:tcW w:w="0" w:type="auto"/>
            <w:shd w:val="clear" w:color="auto" w:fill="CCEEFF"/>
            <w:tcMar>
              <w:top w:w="40" w:type="dxa"/>
              <w:left w:w="40" w:type="dxa"/>
              <w:bottom w:w="40" w:type="dxa"/>
              <w:right w:w="40" w:type="dxa"/>
            </w:tcMar>
          </w:tcPr>
          <w:p w14:paraId="4E569F2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Cash, cash equivalents, and restricted cash at </w:t>
            </w:r>
            <w:r>
              <w:rPr>
                <w:rFonts w:ascii="Times New Roman" w:eastAsia="宋体" w:hAnsi="Times New Roman"/>
                <w:sz w:val="20"/>
                <w:szCs w:val="20"/>
              </w:rPr>
              <w:t>beginning of the period</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2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19,279</w:t>
            </w:r>
          </w:p>
        </w:tc>
        <w:tc>
          <w:tcPr>
            <w:tcW w:w="0" w:type="auto"/>
            <w:tcBorders>
              <w:bottom w:val="single" w:sz="8" w:space="0" w:color="000000"/>
            </w:tcBorders>
            <w:shd w:val="clear" w:color="auto" w:fill="CCEEFF"/>
            <w:vAlign w:val="bottom"/>
          </w:tcPr>
          <w:p w14:paraId="4E569F2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F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3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10,124</w:t>
            </w:r>
          </w:p>
        </w:tc>
        <w:tc>
          <w:tcPr>
            <w:tcW w:w="0" w:type="auto"/>
            <w:tcBorders>
              <w:bottom w:val="single" w:sz="8" w:space="0" w:color="000000"/>
            </w:tcBorders>
            <w:shd w:val="clear" w:color="auto" w:fill="CCEEFF"/>
            <w:vAlign w:val="bottom"/>
          </w:tcPr>
          <w:p w14:paraId="4E569F31" w14:textId="77777777" w:rsidR="00DF3E10" w:rsidRDefault="00DF3E10">
            <w:pPr>
              <w:textAlignment w:val="bottom"/>
              <w:rPr>
                <w:rFonts w:ascii="Times New Roman" w:hAnsi="Times New Roman"/>
                <w:sz w:val="20"/>
                <w:szCs w:val="20"/>
              </w:rPr>
            </w:pPr>
          </w:p>
        </w:tc>
      </w:tr>
      <w:tr w:rsidR="00DF3E10" w14:paraId="4E569F3B" w14:textId="77777777">
        <w:trPr>
          <w:jc w:val="center"/>
        </w:trPr>
        <w:tc>
          <w:tcPr>
            <w:tcW w:w="0" w:type="auto"/>
            <w:shd w:val="clear" w:color="auto" w:fill="auto"/>
            <w:tcMar>
              <w:top w:w="40" w:type="dxa"/>
              <w:left w:w="40" w:type="dxa"/>
              <w:bottom w:w="40" w:type="dxa"/>
              <w:right w:w="40" w:type="dxa"/>
            </w:tcMar>
          </w:tcPr>
          <w:p w14:paraId="4E569F33"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Cash, cash equivalents, and restricted cash at end of the period</w:t>
            </w:r>
          </w:p>
        </w:tc>
        <w:tc>
          <w:tcPr>
            <w:tcW w:w="0" w:type="auto"/>
            <w:tcBorders>
              <w:bottom w:val="double" w:sz="6" w:space="0" w:color="000000"/>
            </w:tcBorders>
            <w:shd w:val="clear" w:color="auto" w:fill="auto"/>
            <w:tcMar>
              <w:top w:w="40" w:type="dxa"/>
              <w:left w:w="40" w:type="dxa"/>
              <w:bottom w:w="40" w:type="dxa"/>
            </w:tcMar>
            <w:vAlign w:val="bottom"/>
          </w:tcPr>
          <w:p w14:paraId="4E569F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F3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21,569</w:t>
            </w:r>
          </w:p>
        </w:tc>
        <w:tc>
          <w:tcPr>
            <w:tcW w:w="0" w:type="auto"/>
            <w:tcBorders>
              <w:bottom w:val="double" w:sz="6" w:space="0" w:color="000000"/>
            </w:tcBorders>
            <w:shd w:val="clear" w:color="auto" w:fill="auto"/>
            <w:vAlign w:val="bottom"/>
          </w:tcPr>
          <w:p w14:paraId="4E569F3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9F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9F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13,998</w:t>
            </w:r>
          </w:p>
        </w:tc>
        <w:tc>
          <w:tcPr>
            <w:tcW w:w="0" w:type="auto"/>
            <w:tcBorders>
              <w:bottom w:val="double" w:sz="6" w:space="0" w:color="000000"/>
            </w:tcBorders>
            <w:shd w:val="clear" w:color="auto" w:fill="auto"/>
            <w:vAlign w:val="bottom"/>
          </w:tcPr>
          <w:p w14:paraId="4E569F3A" w14:textId="77777777" w:rsidR="00DF3E10" w:rsidRDefault="00DF3E10">
            <w:pPr>
              <w:textAlignment w:val="bottom"/>
              <w:rPr>
                <w:rFonts w:ascii="Times New Roman" w:hAnsi="Times New Roman"/>
                <w:sz w:val="20"/>
                <w:szCs w:val="20"/>
              </w:rPr>
            </w:pPr>
          </w:p>
        </w:tc>
      </w:tr>
      <w:tr w:rsidR="00DF3E10" w14:paraId="4E569F40" w14:textId="77777777">
        <w:trPr>
          <w:jc w:val="center"/>
        </w:trPr>
        <w:tc>
          <w:tcPr>
            <w:tcW w:w="0" w:type="auto"/>
            <w:shd w:val="clear" w:color="auto" w:fill="CCEEFF"/>
            <w:tcMar>
              <w:top w:w="40" w:type="dxa"/>
              <w:left w:w="40" w:type="dxa"/>
              <w:bottom w:w="40" w:type="dxa"/>
              <w:right w:w="40" w:type="dxa"/>
            </w:tcMar>
            <w:vAlign w:val="bottom"/>
          </w:tcPr>
          <w:p w14:paraId="4E569F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F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F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F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F45" w14:textId="77777777">
        <w:trPr>
          <w:jc w:val="center"/>
        </w:trPr>
        <w:tc>
          <w:tcPr>
            <w:tcW w:w="0" w:type="auto"/>
            <w:shd w:val="clear" w:color="auto" w:fill="auto"/>
            <w:tcMar>
              <w:top w:w="40" w:type="dxa"/>
              <w:left w:w="40" w:type="dxa"/>
              <w:bottom w:w="40" w:type="dxa"/>
              <w:right w:w="40" w:type="dxa"/>
            </w:tcMar>
            <w:vAlign w:val="bottom"/>
          </w:tcPr>
          <w:p w14:paraId="4E569F41" w14:textId="77777777" w:rsidR="00DF3E10" w:rsidRDefault="006B6C28">
            <w:pPr>
              <w:textAlignment w:val="bottom"/>
              <w:rPr>
                <w:rFonts w:ascii="Times New Roman" w:hAnsi="Times New Roman"/>
                <w:sz w:val="20"/>
                <w:szCs w:val="20"/>
              </w:rPr>
            </w:pPr>
            <w:r>
              <w:rPr>
                <w:rFonts w:ascii="Times New Roman" w:eastAsia="宋体" w:hAnsi="Times New Roman"/>
                <w:b/>
                <w:bCs/>
                <w:sz w:val="20"/>
                <w:szCs w:val="20"/>
              </w:rPr>
              <w:t>Reconciliation of cash, cash equivalents, and restricted cash to the condensed consolidated balance sheets</w:t>
            </w:r>
          </w:p>
        </w:tc>
        <w:tc>
          <w:tcPr>
            <w:tcW w:w="0" w:type="auto"/>
            <w:gridSpan w:val="3"/>
            <w:shd w:val="clear" w:color="auto" w:fill="auto"/>
            <w:tcMar>
              <w:top w:w="40" w:type="dxa"/>
              <w:left w:w="40" w:type="dxa"/>
              <w:bottom w:w="40" w:type="dxa"/>
              <w:right w:w="40" w:type="dxa"/>
            </w:tcMar>
            <w:vAlign w:val="bottom"/>
          </w:tcPr>
          <w:p w14:paraId="4E569F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9F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9F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F4E" w14:textId="77777777">
        <w:trPr>
          <w:jc w:val="center"/>
        </w:trPr>
        <w:tc>
          <w:tcPr>
            <w:tcW w:w="0" w:type="auto"/>
            <w:shd w:val="clear" w:color="auto" w:fill="CCEEFF"/>
            <w:tcMar>
              <w:top w:w="40" w:type="dxa"/>
              <w:left w:w="560" w:type="dxa"/>
              <w:bottom w:w="40" w:type="dxa"/>
              <w:right w:w="40" w:type="dxa"/>
            </w:tcMar>
          </w:tcPr>
          <w:p w14:paraId="4E569F4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4E569F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F4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21,045</w:t>
            </w:r>
          </w:p>
        </w:tc>
        <w:tc>
          <w:tcPr>
            <w:tcW w:w="0" w:type="auto"/>
            <w:shd w:val="clear" w:color="auto" w:fill="CCEEFF"/>
            <w:vAlign w:val="bottom"/>
          </w:tcPr>
          <w:p w14:paraId="4E569F4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F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F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F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13,877</w:t>
            </w:r>
          </w:p>
        </w:tc>
        <w:tc>
          <w:tcPr>
            <w:tcW w:w="0" w:type="auto"/>
            <w:shd w:val="clear" w:color="auto" w:fill="CCEEFF"/>
            <w:vAlign w:val="bottom"/>
          </w:tcPr>
          <w:p w14:paraId="4E569F4D" w14:textId="77777777" w:rsidR="00DF3E10" w:rsidRDefault="00DF3E10">
            <w:pPr>
              <w:textAlignment w:val="bottom"/>
              <w:rPr>
                <w:rFonts w:ascii="Times New Roman" w:hAnsi="Times New Roman"/>
                <w:sz w:val="20"/>
                <w:szCs w:val="20"/>
              </w:rPr>
            </w:pPr>
          </w:p>
        </w:tc>
      </w:tr>
      <w:tr w:rsidR="00DF3E10" w14:paraId="4E569F55" w14:textId="77777777">
        <w:trPr>
          <w:jc w:val="center"/>
        </w:trPr>
        <w:tc>
          <w:tcPr>
            <w:tcW w:w="0" w:type="auto"/>
            <w:shd w:val="clear" w:color="auto" w:fill="auto"/>
            <w:tcMar>
              <w:top w:w="40" w:type="dxa"/>
              <w:left w:w="560" w:type="dxa"/>
              <w:bottom w:w="40" w:type="dxa"/>
              <w:right w:w="40" w:type="dxa"/>
            </w:tcMar>
          </w:tcPr>
          <w:p w14:paraId="4E569F4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Restricted cash, included in prepaid expenses and other current assets</w:t>
            </w:r>
          </w:p>
        </w:tc>
        <w:tc>
          <w:tcPr>
            <w:tcW w:w="0" w:type="auto"/>
            <w:gridSpan w:val="2"/>
            <w:shd w:val="clear" w:color="auto" w:fill="auto"/>
            <w:tcMar>
              <w:top w:w="40" w:type="dxa"/>
              <w:left w:w="40" w:type="dxa"/>
              <w:bottom w:w="40" w:type="dxa"/>
            </w:tcMar>
            <w:vAlign w:val="bottom"/>
          </w:tcPr>
          <w:p w14:paraId="4E569F5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308</w:t>
            </w:r>
          </w:p>
        </w:tc>
        <w:tc>
          <w:tcPr>
            <w:tcW w:w="0" w:type="auto"/>
            <w:shd w:val="clear" w:color="auto" w:fill="auto"/>
            <w:vAlign w:val="bottom"/>
          </w:tcPr>
          <w:p w14:paraId="4E569F5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9F5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vAlign w:val="bottom"/>
          </w:tcPr>
          <w:p w14:paraId="4E569F54" w14:textId="77777777" w:rsidR="00DF3E10" w:rsidRDefault="00DF3E10">
            <w:pPr>
              <w:textAlignment w:val="bottom"/>
              <w:rPr>
                <w:rFonts w:ascii="Times New Roman" w:hAnsi="Times New Roman"/>
                <w:sz w:val="20"/>
                <w:szCs w:val="20"/>
              </w:rPr>
            </w:pPr>
          </w:p>
        </w:tc>
      </w:tr>
      <w:tr w:rsidR="00DF3E10" w14:paraId="4E569F5C" w14:textId="77777777">
        <w:trPr>
          <w:jc w:val="center"/>
        </w:trPr>
        <w:tc>
          <w:tcPr>
            <w:tcW w:w="0" w:type="auto"/>
            <w:shd w:val="clear" w:color="auto" w:fill="CCEEFF"/>
            <w:tcMar>
              <w:top w:w="40" w:type="dxa"/>
              <w:left w:w="560" w:type="dxa"/>
              <w:bottom w:w="40" w:type="dxa"/>
              <w:right w:w="40" w:type="dxa"/>
            </w:tcMar>
          </w:tcPr>
          <w:p w14:paraId="4E569F5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Restricted cash, included in 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9F5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216</w:t>
            </w:r>
          </w:p>
        </w:tc>
        <w:tc>
          <w:tcPr>
            <w:tcW w:w="0" w:type="auto"/>
            <w:tcBorders>
              <w:bottom w:val="single" w:sz="8" w:space="0" w:color="000000"/>
            </w:tcBorders>
            <w:shd w:val="clear" w:color="auto" w:fill="CCEEFF"/>
            <w:vAlign w:val="bottom"/>
          </w:tcPr>
          <w:p w14:paraId="4E569F5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F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9F5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shd w:val="clear" w:color="auto" w:fill="CCEEFF"/>
            <w:vAlign w:val="bottom"/>
          </w:tcPr>
          <w:p w14:paraId="4E569F5B" w14:textId="77777777" w:rsidR="00DF3E10" w:rsidRDefault="00DF3E10">
            <w:pPr>
              <w:textAlignment w:val="bottom"/>
              <w:rPr>
                <w:rFonts w:ascii="Times New Roman" w:hAnsi="Times New Roman"/>
                <w:sz w:val="20"/>
                <w:szCs w:val="20"/>
              </w:rPr>
            </w:pPr>
          </w:p>
        </w:tc>
      </w:tr>
      <w:tr w:rsidR="00DF3E10" w14:paraId="4E569F65" w14:textId="77777777">
        <w:trPr>
          <w:jc w:val="center"/>
        </w:trPr>
        <w:tc>
          <w:tcPr>
            <w:tcW w:w="0" w:type="auto"/>
            <w:shd w:val="clear" w:color="auto" w:fill="auto"/>
            <w:tcMar>
              <w:top w:w="40" w:type="dxa"/>
              <w:left w:w="40" w:type="dxa"/>
              <w:bottom w:w="40" w:type="dxa"/>
              <w:right w:w="40" w:type="dxa"/>
            </w:tcMar>
            <w:vAlign w:val="bottom"/>
          </w:tcPr>
          <w:p w14:paraId="4E569F5D" w14:textId="77777777" w:rsidR="00DF3E10" w:rsidRDefault="006B6C28">
            <w:pPr>
              <w:textAlignment w:val="bottom"/>
              <w:rPr>
                <w:rFonts w:ascii="Times New Roman" w:hAnsi="Times New Roman"/>
                <w:sz w:val="20"/>
                <w:szCs w:val="20"/>
              </w:rPr>
            </w:pPr>
            <w:r>
              <w:rPr>
                <w:rFonts w:ascii="Times New Roman" w:eastAsia="宋体" w:hAnsi="Times New Roman"/>
                <w:b/>
                <w:bCs/>
                <w:sz w:val="20"/>
                <w:szCs w:val="20"/>
              </w:rPr>
              <w:t>Total cash, cash 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F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F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21,569</w:t>
            </w:r>
          </w:p>
        </w:tc>
        <w:tc>
          <w:tcPr>
            <w:tcW w:w="0" w:type="auto"/>
            <w:tcBorders>
              <w:top w:val="single" w:sz="8" w:space="0" w:color="000000"/>
              <w:bottom w:val="double" w:sz="6" w:space="0" w:color="000000"/>
            </w:tcBorders>
            <w:shd w:val="clear" w:color="auto" w:fill="auto"/>
            <w:vAlign w:val="bottom"/>
          </w:tcPr>
          <w:p w14:paraId="4E569F6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9F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9F6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13,998</w:t>
            </w:r>
          </w:p>
        </w:tc>
        <w:tc>
          <w:tcPr>
            <w:tcW w:w="0" w:type="auto"/>
            <w:tcBorders>
              <w:top w:val="single" w:sz="8" w:space="0" w:color="000000"/>
              <w:bottom w:val="double" w:sz="6" w:space="0" w:color="000000"/>
            </w:tcBorders>
            <w:shd w:val="clear" w:color="auto" w:fill="auto"/>
            <w:vAlign w:val="bottom"/>
          </w:tcPr>
          <w:p w14:paraId="4E569F64" w14:textId="77777777" w:rsidR="00DF3E10" w:rsidRDefault="00DF3E10">
            <w:pPr>
              <w:textAlignment w:val="bottom"/>
              <w:rPr>
                <w:rFonts w:ascii="Times New Roman" w:hAnsi="Times New Roman"/>
                <w:sz w:val="20"/>
                <w:szCs w:val="20"/>
              </w:rPr>
            </w:pPr>
          </w:p>
        </w:tc>
      </w:tr>
    </w:tbl>
    <w:p w14:paraId="4E569F66"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4E569F67" w14:textId="77777777" w:rsidR="00DF3E10" w:rsidRDefault="00DF3E10">
      <w:pPr>
        <w:rPr>
          <w:rFonts w:ascii="Times New Roman" w:hAnsi="Times New Roman"/>
          <w:sz w:val="20"/>
          <w:szCs w:val="20"/>
        </w:rPr>
      </w:pPr>
    </w:p>
    <w:p w14:paraId="4E569F6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11</w:t>
      </w:r>
    </w:p>
    <w:p w14:paraId="4E569F69" w14:textId="77777777" w:rsidR="00DF3E10" w:rsidRDefault="006B6C28">
      <w:r>
        <w:rPr>
          <w:rFonts w:ascii="Times New Roman" w:hAnsi="Times New Roman"/>
          <w:sz w:val="20"/>
          <w:szCs w:val="20"/>
        </w:rPr>
        <w:pict w14:anchorId="4E56B758">
          <v:rect id="_x0000_i1035" style="width:415.3pt;height:1.5pt" o:hralign="center" o:hrstd="t" o:hr="t" fillcolor="#a0a0a0" stroked="f"/>
        </w:pict>
      </w:r>
    </w:p>
    <w:p w14:paraId="4E569F6A" w14:textId="77777777" w:rsidR="00DF3E10" w:rsidRDefault="006B6C28">
      <w:pPr>
        <w:spacing w:line="288" w:lineRule="auto"/>
        <w:rPr>
          <w:rFonts w:ascii="Times New Roman" w:hAnsi="Times New Roman"/>
          <w:sz w:val="20"/>
          <w:szCs w:val="20"/>
        </w:rPr>
      </w:pPr>
      <w:hyperlink r:id="rId53" w:anchor="sC1FF62F0D4D85317B5B2C71C7C94F269" w:history="1">
        <w:r>
          <w:rPr>
            <w:rStyle w:val="a5"/>
            <w:rFonts w:ascii="Times New Roman" w:eastAsia="宋体" w:hAnsi="Times New Roman"/>
            <w:sz w:val="20"/>
            <w:szCs w:val="20"/>
          </w:rPr>
          <w:t>Table of Contents</w:t>
        </w:r>
      </w:hyperlink>
    </w:p>
    <w:p w14:paraId="4E569F6B" w14:textId="77777777" w:rsidR="00DF3E10" w:rsidRDefault="00DF3E10">
      <w:pPr>
        <w:rPr>
          <w:rFonts w:ascii="Times New Roman" w:hAnsi="Times New Roman"/>
          <w:sz w:val="20"/>
          <w:szCs w:val="20"/>
        </w:rPr>
      </w:pPr>
    </w:p>
    <w:p w14:paraId="4E569F6C"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F6D"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CASH FLOWS</w:t>
      </w:r>
    </w:p>
    <w:p w14:paraId="4E569F6E"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 xml:space="preserve">(In </w:t>
      </w:r>
      <w:r>
        <w:rPr>
          <w:rFonts w:ascii="Times New Roman" w:eastAsia="宋体" w:hAnsi="Times New Roman"/>
          <w:i/>
          <w:iCs/>
          <w:sz w:val="18"/>
          <w:szCs w:val="18"/>
        </w:rPr>
        <w:t>millions)</w:t>
      </w:r>
    </w:p>
    <w:p w14:paraId="4E569F6F" w14:textId="77777777" w:rsidR="00DF3E10" w:rsidRDefault="006B6C28">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6030"/>
        <w:gridCol w:w="140"/>
        <w:gridCol w:w="882"/>
        <w:gridCol w:w="51"/>
        <w:gridCol w:w="130"/>
        <w:gridCol w:w="140"/>
        <w:gridCol w:w="882"/>
        <w:gridCol w:w="51"/>
      </w:tblGrid>
      <w:tr w:rsidR="00DF3E10" w14:paraId="4E569F71" w14:textId="77777777">
        <w:trPr>
          <w:jc w:val="center"/>
        </w:trPr>
        <w:tc>
          <w:tcPr>
            <w:tcW w:w="0" w:type="auto"/>
            <w:gridSpan w:val="8"/>
            <w:shd w:val="clear" w:color="auto" w:fill="auto"/>
            <w:vAlign w:val="center"/>
          </w:tcPr>
          <w:p w14:paraId="4E569F70" w14:textId="77777777" w:rsidR="00DF3E10" w:rsidRDefault="00DF3E10">
            <w:pPr>
              <w:rPr>
                <w:rFonts w:ascii="Times New Roman" w:hAnsi="Times New Roman"/>
                <w:sz w:val="20"/>
                <w:szCs w:val="20"/>
              </w:rPr>
            </w:pPr>
          </w:p>
        </w:tc>
      </w:tr>
      <w:tr w:rsidR="00DF3E10" w14:paraId="4E569F7A" w14:textId="77777777">
        <w:trPr>
          <w:jc w:val="center"/>
        </w:trPr>
        <w:tc>
          <w:tcPr>
            <w:tcW w:w="3650" w:type="pct"/>
            <w:shd w:val="clear" w:color="auto" w:fill="auto"/>
            <w:vAlign w:val="center"/>
          </w:tcPr>
          <w:p w14:paraId="4E569F72" w14:textId="77777777" w:rsidR="00DF3E10" w:rsidRDefault="00DF3E10">
            <w:pPr>
              <w:rPr>
                <w:rFonts w:ascii="Times New Roman" w:hAnsi="Times New Roman"/>
                <w:sz w:val="20"/>
                <w:szCs w:val="20"/>
              </w:rPr>
            </w:pPr>
          </w:p>
        </w:tc>
        <w:tc>
          <w:tcPr>
            <w:tcW w:w="50" w:type="pct"/>
            <w:shd w:val="clear" w:color="auto" w:fill="auto"/>
            <w:vAlign w:val="center"/>
          </w:tcPr>
          <w:p w14:paraId="4E569F73" w14:textId="77777777" w:rsidR="00DF3E10" w:rsidRDefault="00DF3E10">
            <w:pPr>
              <w:rPr>
                <w:rFonts w:ascii="Times New Roman" w:hAnsi="Times New Roman"/>
                <w:sz w:val="20"/>
                <w:szCs w:val="20"/>
              </w:rPr>
            </w:pPr>
          </w:p>
        </w:tc>
        <w:tc>
          <w:tcPr>
            <w:tcW w:w="550" w:type="pct"/>
            <w:shd w:val="clear" w:color="auto" w:fill="auto"/>
            <w:vAlign w:val="center"/>
          </w:tcPr>
          <w:p w14:paraId="4E569F74" w14:textId="77777777" w:rsidR="00DF3E10" w:rsidRDefault="00DF3E10">
            <w:pPr>
              <w:rPr>
                <w:rFonts w:ascii="Times New Roman" w:hAnsi="Times New Roman"/>
                <w:sz w:val="20"/>
                <w:szCs w:val="20"/>
              </w:rPr>
            </w:pPr>
          </w:p>
        </w:tc>
        <w:tc>
          <w:tcPr>
            <w:tcW w:w="50" w:type="pct"/>
            <w:shd w:val="clear" w:color="auto" w:fill="auto"/>
            <w:vAlign w:val="center"/>
          </w:tcPr>
          <w:p w14:paraId="4E569F75" w14:textId="77777777" w:rsidR="00DF3E10" w:rsidRDefault="00DF3E10">
            <w:pPr>
              <w:rPr>
                <w:rFonts w:ascii="Times New Roman" w:hAnsi="Times New Roman"/>
                <w:sz w:val="20"/>
                <w:szCs w:val="20"/>
              </w:rPr>
            </w:pPr>
          </w:p>
        </w:tc>
        <w:tc>
          <w:tcPr>
            <w:tcW w:w="50" w:type="pct"/>
            <w:shd w:val="clear" w:color="auto" w:fill="auto"/>
            <w:vAlign w:val="center"/>
          </w:tcPr>
          <w:p w14:paraId="4E569F76" w14:textId="77777777" w:rsidR="00DF3E10" w:rsidRDefault="00DF3E10">
            <w:pPr>
              <w:rPr>
                <w:rFonts w:ascii="Times New Roman" w:hAnsi="Times New Roman"/>
                <w:sz w:val="20"/>
                <w:szCs w:val="20"/>
              </w:rPr>
            </w:pPr>
          </w:p>
        </w:tc>
        <w:tc>
          <w:tcPr>
            <w:tcW w:w="50" w:type="pct"/>
            <w:shd w:val="clear" w:color="auto" w:fill="auto"/>
            <w:vAlign w:val="center"/>
          </w:tcPr>
          <w:p w14:paraId="4E569F77" w14:textId="77777777" w:rsidR="00DF3E10" w:rsidRDefault="00DF3E10">
            <w:pPr>
              <w:rPr>
                <w:rFonts w:ascii="Times New Roman" w:hAnsi="Times New Roman"/>
                <w:sz w:val="20"/>
                <w:szCs w:val="20"/>
              </w:rPr>
            </w:pPr>
          </w:p>
        </w:tc>
        <w:tc>
          <w:tcPr>
            <w:tcW w:w="550" w:type="pct"/>
            <w:shd w:val="clear" w:color="auto" w:fill="auto"/>
            <w:vAlign w:val="center"/>
          </w:tcPr>
          <w:p w14:paraId="4E569F78" w14:textId="77777777" w:rsidR="00DF3E10" w:rsidRDefault="00DF3E10">
            <w:pPr>
              <w:rPr>
                <w:rFonts w:ascii="Times New Roman" w:hAnsi="Times New Roman"/>
                <w:sz w:val="20"/>
                <w:szCs w:val="20"/>
              </w:rPr>
            </w:pPr>
          </w:p>
        </w:tc>
        <w:tc>
          <w:tcPr>
            <w:tcW w:w="50" w:type="pct"/>
            <w:shd w:val="clear" w:color="auto" w:fill="auto"/>
            <w:vAlign w:val="center"/>
          </w:tcPr>
          <w:p w14:paraId="4E569F79" w14:textId="77777777" w:rsidR="00DF3E10" w:rsidRDefault="00DF3E10">
            <w:pPr>
              <w:rPr>
                <w:rFonts w:ascii="Times New Roman" w:hAnsi="Times New Roman"/>
                <w:sz w:val="20"/>
                <w:szCs w:val="20"/>
              </w:rPr>
            </w:pPr>
          </w:p>
        </w:tc>
      </w:tr>
      <w:tr w:rsidR="00DF3E10" w14:paraId="4E569F7D" w14:textId="77777777">
        <w:trPr>
          <w:jc w:val="center"/>
        </w:trPr>
        <w:tc>
          <w:tcPr>
            <w:tcW w:w="0" w:type="auto"/>
            <w:shd w:val="clear" w:color="auto" w:fill="auto"/>
            <w:tcMar>
              <w:top w:w="40" w:type="dxa"/>
              <w:left w:w="40" w:type="dxa"/>
              <w:bottom w:w="40" w:type="dxa"/>
              <w:right w:w="40" w:type="dxa"/>
            </w:tcMar>
            <w:vAlign w:val="bottom"/>
          </w:tcPr>
          <w:p w14:paraId="4E569F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F7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9F82" w14:textId="77777777">
        <w:trPr>
          <w:jc w:val="center"/>
        </w:trPr>
        <w:tc>
          <w:tcPr>
            <w:tcW w:w="0" w:type="auto"/>
            <w:shd w:val="clear" w:color="auto" w:fill="auto"/>
            <w:tcMar>
              <w:top w:w="40" w:type="dxa"/>
              <w:left w:w="40" w:type="dxa"/>
              <w:bottom w:w="40" w:type="dxa"/>
              <w:right w:w="40" w:type="dxa"/>
            </w:tcMar>
            <w:vAlign w:val="bottom"/>
          </w:tcPr>
          <w:p w14:paraId="4E569F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7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9F8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8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9F87" w14:textId="77777777">
        <w:trPr>
          <w:jc w:val="center"/>
        </w:trPr>
        <w:tc>
          <w:tcPr>
            <w:tcW w:w="0" w:type="auto"/>
            <w:shd w:val="clear" w:color="auto" w:fill="CCEEFF"/>
            <w:tcMar>
              <w:top w:w="40" w:type="dxa"/>
              <w:left w:w="40" w:type="dxa"/>
              <w:bottom w:w="40" w:type="dxa"/>
              <w:right w:w="40" w:type="dxa"/>
            </w:tcMar>
          </w:tcPr>
          <w:p w14:paraId="4E569F83" w14:textId="77777777" w:rsidR="00DF3E10" w:rsidRDefault="006B6C28">
            <w:pPr>
              <w:textAlignment w:val="top"/>
              <w:rPr>
                <w:rFonts w:ascii="Times New Roman" w:hAnsi="Times New Roman"/>
                <w:sz w:val="20"/>
                <w:szCs w:val="20"/>
              </w:rPr>
            </w:pPr>
            <w:r>
              <w:rPr>
                <w:rFonts w:ascii="Times New Roman" w:eastAsia="宋体" w:hAnsi="Times New Roman"/>
                <w:b/>
                <w:bCs/>
                <w:sz w:val="20"/>
                <w:szCs w:val="20"/>
              </w:rPr>
              <w:t>Supplemental cash flow data</w:t>
            </w:r>
          </w:p>
        </w:tc>
        <w:tc>
          <w:tcPr>
            <w:tcW w:w="0" w:type="auto"/>
            <w:gridSpan w:val="3"/>
            <w:shd w:val="clear" w:color="auto" w:fill="CCEEFF"/>
            <w:tcMar>
              <w:top w:w="40" w:type="dxa"/>
              <w:left w:w="40" w:type="dxa"/>
              <w:bottom w:w="40" w:type="dxa"/>
              <w:right w:w="40" w:type="dxa"/>
            </w:tcMar>
            <w:vAlign w:val="bottom"/>
          </w:tcPr>
          <w:p w14:paraId="4E569F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F8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F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F90" w14:textId="77777777">
        <w:trPr>
          <w:jc w:val="center"/>
        </w:trPr>
        <w:tc>
          <w:tcPr>
            <w:tcW w:w="0" w:type="auto"/>
            <w:shd w:val="clear" w:color="auto" w:fill="auto"/>
            <w:tcMar>
              <w:top w:w="40" w:type="dxa"/>
              <w:left w:w="560" w:type="dxa"/>
              <w:bottom w:w="40" w:type="dxa"/>
              <w:right w:w="40" w:type="dxa"/>
            </w:tcMar>
          </w:tcPr>
          <w:p w14:paraId="4E569F8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Cash paid for income taxes, net</w:t>
            </w:r>
          </w:p>
        </w:tc>
        <w:tc>
          <w:tcPr>
            <w:tcW w:w="0" w:type="auto"/>
            <w:shd w:val="clear" w:color="auto" w:fill="auto"/>
            <w:tcMar>
              <w:top w:w="40" w:type="dxa"/>
              <w:left w:w="40" w:type="dxa"/>
              <w:bottom w:w="40" w:type="dxa"/>
            </w:tcMar>
            <w:vAlign w:val="bottom"/>
          </w:tcPr>
          <w:p w14:paraId="4E569F8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F8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4E569F8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F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F8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1,696</w:t>
            </w:r>
          </w:p>
        </w:tc>
        <w:tc>
          <w:tcPr>
            <w:tcW w:w="0" w:type="auto"/>
            <w:shd w:val="clear" w:color="auto" w:fill="auto"/>
            <w:vAlign w:val="bottom"/>
          </w:tcPr>
          <w:p w14:paraId="4E569F8F" w14:textId="77777777" w:rsidR="00DF3E10" w:rsidRDefault="00DF3E10">
            <w:pPr>
              <w:textAlignment w:val="bottom"/>
              <w:rPr>
                <w:rFonts w:ascii="Times New Roman" w:hAnsi="Times New Roman"/>
                <w:sz w:val="20"/>
                <w:szCs w:val="20"/>
              </w:rPr>
            </w:pPr>
          </w:p>
        </w:tc>
      </w:tr>
      <w:tr w:rsidR="00DF3E10" w14:paraId="4E569F95" w14:textId="77777777">
        <w:trPr>
          <w:jc w:val="center"/>
        </w:trPr>
        <w:tc>
          <w:tcPr>
            <w:tcW w:w="0" w:type="auto"/>
            <w:shd w:val="clear" w:color="auto" w:fill="CCEEFF"/>
            <w:tcMar>
              <w:top w:w="40" w:type="dxa"/>
              <w:left w:w="560" w:type="dxa"/>
              <w:bottom w:w="40" w:type="dxa"/>
              <w:right w:w="40" w:type="dxa"/>
            </w:tcMar>
          </w:tcPr>
          <w:p w14:paraId="4E569F9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Non-cash investing activities:</w:t>
            </w:r>
          </w:p>
        </w:tc>
        <w:tc>
          <w:tcPr>
            <w:tcW w:w="0" w:type="auto"/>
            <w:gridSpan w:val="3"/>
            <w:shd w:val="clear" w:color="auto" w:fill="CCEEFF"/>
            <w:tcMar>
              <w:top w:w="40" w:type="dxa"/>
              <w:left w:w="40" w:type="dxa"/>
              <w:bottom w:w="40" w:type="dxa"/>
              <w:right w:w="40" w:type="dxa"/>
            </w:tcMar>
            <w:vAlign w:val="bottom"/>
          </w:tcPr>
          <w:p w14:paraId="4E569F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9F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9F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9F9E" w14:textId="77777777">
        <w:trPr>
          <w:jc w:val="center"/>
        </w:trPr>
        <w:tc>
          <w:tcPr>
            <w:tcW w:w="0" w:type="auto"/>
            <w:shd w:val="clear" w:color="auto" w:fill="auto"/>
            <w:tcMar>
              <w:top w:w="40" w:type="dxa"/>
              <w:left w:w="1040" w:type="dxa"/>
              <w:bottom w:w="40" w:type="dxa"/>
              <w:right w:w="40" w:type="dxa"/>
            </w:tcMar>
          </w:tcPr>
          <w:p w14:paraId="4E569F9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Acquisition of businesses and other </w:t>
            </w:r>
            <w:r>
              <w:rPr>
                <w:rFonts w:ascii="Times New Roman" w:eastAsia="宋体" w:hAnsi="Times New Roman"/>
                <w:sz w:val="20"/>
                <w:szCs w:val="20"/>
              </w:rPr>
              <w:t>investments in accrued expenses and other liabilities</w:t>
            </w:r>
          </w:p>
        </w:tc>
        <w:tc>
          <w:tcPr>
            <w:tcW w:w="0" w:type="auto"/>
            <w:shd w:val="clear" w:color="auto" w:fill="auto"/>
            <w:tcMar>
              <w:top w:w="40" w:type="dxa"/>
              <w:left w:w="40" w:type="dxa"/>
              <w:bottom w:w="40" w:type="dxa"/>
            </w:tcMar>
            <w:vAlign w:val="bottom"/>
          </w:tcPr>
          <w:p w14:paraId="4E569F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F9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316</w:t>
            </w:r>
          </w:p>
        </w:tc>
        <w:tc>
          <w:tcPr>
            <w:tcW w:w="0" w:type="auto"/>
            <w:shd w:val="clear" w:color="auto" w:fill="auto"/>
            <w:vAlign w:val="bottom"/>
          </w:tcPr>
          <w:p w14:paraId="4E569F9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9F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9F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9F9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9F9D" w14:textId="77777777" w:rsidR="00DF3E10" w:rsidRDefault="00DF3E10">
            <w:pPr>
              <w:textAlignment w:val="bottom"/>
              <w:rPr>
                <w:rFonts w:ascii="Times New Roman" w:hAnsi="Times New Roman"/>
                <w:sz w:val="20"/>
                <w:szCs w:val="20"/>
              </w:rPr>
            </w:pPr>
          </w:p>
        </w:tc>
      </w:tr>
      <w:tr w:rsidR="00DF3E10" w14:paraId="4E569FA7" w14:textId="77777777">
        <w:trPr>
          <w:jc w:val="center"/>
        </w:trPr>
        <w:tc>
          <w:tcPr>
            <w:tcW w:w="0" w:type="auto"/>
            <w:shd w:val="clear" w:color="auto" w:fill="CCEEFF"/>
            <w:tcMar>
              <w:top w:w="40" w:type="dxa"/>
              <w:left w:w="1040" w:type="dxa"/>
              <w:bottom w:w="40" w:type="dxa"/>
              <w:right w:w="40" w:type="dxa"/>
            </w:tcMar>
          </w:tcPr>
          <w:p w14:paraId="4E569F9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Property and equipment in accounts payable and accrued liabilities</w:t>
            </w:r>
          </w:p>
        </w:tc>
        <w:tc>
          <w:tcPr>
            <w:tcW w:w="0" w:type="auto"/>
            <w:shd w:val="clear" w:color="auto" w:fill="CCEEFF"/>
            <w:tcMar>
              <w:top w:w="40" w:type="dxa"/>
              <w:left w:w="40" w:type="dxa"/>
              <w:bottom w:w="40" w:type="dxa"/>
            </w:tcMar>
            <w:vAlign w:val="bottom"/>
          </w:tcPr>
          <w:p w14:paraId="4E569F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F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1,592</w:t>
            </w:r>
          </w:p>
        </w:tc>
        <w:tc>
          <w:tcPr>
            <w:tcW w:w="0" w:type="auto"/>
            <w:shd w:val="clear" w:color="auto" w:fill="CCEEFF"/>
            <w:vAlign w:val="bottom"/>
          </w:tcPr>
          <w:p w14:paraId="4E569FA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9F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9F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9F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1,667</w:t>
            </w:r>
          </w:p>
        </w:tc>
        <w:tc>
          <w:tcPr>
            <w:tcW w:w="0" w:type="auto"/>
            <w:shd w:val="clear" w:color="auto" w:fill="CCEEFF"/>
            <w:vAlign w:val="bottom"/>
          </w:tcPr>
          <w:p w14:paraId="4E569FA6" w14:textId="77777777" w:rsidR="00DF3E10" w:rsidRDefault="00DF3E10">
            <w:pPr>
              <w:textAlignment w:val="bottom"/>
              <w:rPr>
                <w:rFonts w:ascii="Times New Roman" w:hAnsi="Times New Roman"/>
                <w:sz w:val="20"/>
                <w:szCs w:val="20"/>
              </w:rPr>
            </w:pPr>
          </w:p>
        </w:tc>
      </w:tr>
    </w:tbl>
    <w:p w14:paraId="4E569FA8" w14:textId="77777777" w:rsidR="00DF3E10" w:rsidRDefault="006B6C28">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4E569FA9" w14:textId="77777777" w:rsidR="00DF3E10" w:rsidRDefault="00DF3E10">
      <w:pPr>
        <w:rPr>
          <w:rFonts w:ascii="Times New Roman" w:hAnsi="Times New Roman"/>
          <w:sz w:val="20"/>
          <w:szCs w:val="20"/>
        </w:rPr>
      </w:pPr>
    </w:p>
    <w:p w14:paraId="4E569FA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12</w:t>
      </w:r>
    </w:p>
    <w:p w14:paraId="4E569FAB" w14:textId="77777777" w:rsidR="00DF3E10" w:rsidRDefault="006B6C28">
      <w:r>
        <w:rPr>
          <w:rFonts w:ascii="Times New Roman" w:hAnsi="Times New Roman"/>
          <w:sz w:val="20"/>
          <w:szCs w:val="20"/>
        </w:rPr>
        <w:pict w14:anchorId="4E56B759">
          <v:rect id="_x0000_i1036" style="width:415.3pt;height:1.5pt" o:hralign="center" o:hrstd="t" o:hr="t" fillcolor="#a0a0a0" stroked="f"/>
        </w:pict>
      </w:r>
    </w:p>
    <w:p w14:paraId="4E569FAC" w14:textId="77777777" w:rsidR="00DF3E10" w:rsidRDefault="006B6C28">
      <w:pPr>
        <w:spacing w:line="288" w:lineRule="auto"/>
        <w:rPr>
          <w:rFonts w:ascii="Times New Roman" w:hAnsi="Times New Roman"/>
          <w:sz w:val="20"/>
          <w:szCs w:val="20"/>
        </w:rPr>
      </w:pPr>
      <w:hyperlink r:id="rId54" w:anchor="sC1FF62F0D4D85317B5B2C71C7C94F269" w:history="1">
        <w:r>
          <w:rPr>
            <w:rStyle w:val="a5"/>
            <w:rFonts w:ascii="Times New Roman" w:eastAsia="宋体" w:hAnsi="Times New Roman"/>
            <w:sz w:val="20"/>
            <w:szCs w:val="20"/>
          </w:rPr>
          <w:t>Table of Contents</w:t>
        </w:r>
      </w:hyperlink>
    </w:p>
    <w:p w14:paraId="4E569FAD" w14:textId="77777777" w:rsidR="00DF3E10" w:rsidRDefault="00DF3E10">
      <w:pPr>
        <w:rPr>
          <w:rFonts w:ascii="Times New Roman" w:hAnsi="Times New Roman"/>
          <w:sz w:val="20"/>
          <w:szCs w:val="20"/>
        </w:rPr>
      </w:pPr>
    </w:p>
    <w:p w14:paraId="4E569FAE"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4E569FAF"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NOTES TO CONDENSED CONSOLIDATED FINANCIAL STATEMENTS</w:t>
      </w:r>
    </w:p>
    <w:p w14:paraId="4E569FB0" w14:textId="77777777" w:rsidR="00DF3E10" w:rsidRDefault="006B6C28">
      <w:pPr>
        <w:spacing w:line="288" w:lineRule="auto"/>
        <w:jc w:val="center"/>
        <w:rPr>
          <w:rFonts w:ascii="Times New Roman" w:hAnsi="Times New Roman"/>
          <w:sz w:val="20"/>
          <w:szCs w:val="20"/>
        </w:rPr>
      </w:pPr>
      <w:r>
        <w:rPr>
          <w:rFonts w:ascii="Times New Roman" w:eastAsia="宋体" w:hAnsi="Times New Roman"/>
          <w:i/>
          <w:iCs/>
          <w:sz w:val="20"/>
          <w:szCs w:val="20"/>
        </w:rPr>
        <w:t>(Unaudited)</w:t>
      </w:r>
    </w:p>
    <w:p w14:paraId="4E569FB1"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w:t>
      </w:r>
      <w:r>
        <w:rPr>
          <w:rFonts w:ascii="Times New Roman" w:eastAsia="宋体" w:hAnsi="Times New Roman"/>
          <w:b/>
          <w:bCs/>
          <w:sz w:val="20"/>
          <w:szCs w:val="20"/>
        </w:rPr>
        <w:t xml:space="preserve"> 1. Summary of Significant Accounting Policies</w:t>
      </w:r>
    </w:p>
    <w:p w14:paraId="4E569FB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Basis of Presentation</w:t>
      </w:r>
    </w:p>
    <w:p w14:paraId="4E569FB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accompanying unaudited condensed consolidated financial statements have been prepared in accordance with generally accepted accounting principles in the United States (GAAP) and </w:t>
      </w:r>
      <w:r>
        <w:rPr>
          <w:rFonts w:ascii="Times New Roman" w:eastAsia="宋体" w:hAnsi="Times New Roman"/>
          <w:sz w:val="20"/>
          <w:szCs w:val="20"/>
        </w:rPr>
        <w:t>applicable rules and regulations of the Securities and Exchange Commission (SEC) regarding interim financial reporting. Certain information and note disclosures normally included in the financial statements prepared in accordance with GAAP have been conden</w:t>
      </w:r>
      <w:r>
        <w:rPr>
          <w:rFonts w:ascii="Times New Roman" w:eastAsia="宋体" w:hAnsi="Times New Roman"/>
          <w:sz w:val="20"/>
          <w:szCs w:val="20"/>
        </w:rPr>
        <w:t xml:space="preserve">sed or omitted pursuant to such rules and regulations. As such, the information included in this quarterly report on Form 10-Q should be read in conjunction with the consolidated financial statements and accompanying notes included in our Annual Report on </w:t>
      </w:r>
      <w:r>
        <w:rPr>
          <w:rFonts w:ascii="Times New Roman" w:eastAsia="宋体" w:hAnsi="Times New Roman"/>
          <w:sz w:val="20"/>
          <w:szCs w:val="20"/>
        </w:rPr>
        <w:t>Form 10-K for the year ended December 31, 2019.</w:t>
      </w:r>
    </w:p>
    <w:p w14:paraId="4E569FB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condensed consolidated balance sheet as of December 31, 2019 included herein was derived from the audited financial statements as of that date, but does not include all disclosures including notes require</w:t>
      </w:r>
      <w:r>
        <w:rPr>
          <w:rFonts w:ascii="Times New Roman" w:eastAsia="宋体" w:hAnsi="Times New Roman"/>
          <w:sz w:val="20"/>
          <w:szCs w:val="20"/>
        </w:rPr>
        <w:t>d by GAAP.</w:t>
      </w:r>
    </w:p>
    <w:p w14:paraId="4E569FB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condensed consolidated financial statements include the accounts of Facebook, Inc., subsidiaries where we have controlling financial interests, and any variable interest entities for which we are deemed to be the primary beneficiary. All int</w:t>
      </w:r>
      <w:r>
        <w:rPr>
          <w:rFonts w:ascii="Times New Roman" w:eastAsia="宋体" w:hAnsi="Times New Roman"/>
          <w:sz w:val="20"/>
          <w:szCs w:val="20"/>
        </w:rPr>
        <w:t>ercompany balances and transactions have been eliminated.</w:t>
      </w:r>
    </w:p>
    <w:p w14:paraId="4E569FB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accompanying condensed consolidated financial statements reflect all normal recurring adjustments that are necessary to present fairly the results for the interim periods presented. Interim resu</w:t>
      </w:r>
      <w:r>
        <w:rPr>
          <w:rFonts w:ascii="Times New Roman" w:eastAsia="宋体" w:hAnsi="Times New Roman"/>
          <w:sz w:val="20"/>
          <w:szCs w:val="20"/>
        </w:rPr>
        <w:t>lts are not necessarily indicative of the results for the full year ending December 31, 2020.</w:t>
      </w:r>
    </w:p>
    <w:p w14:paraId="4E569FB7"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Reclassifications</w:t>
      </w:r>
    </w:p>
    <w:p w14:paraId="4E569FB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Certain prior year amounts on the condensed consolidated statements of cash flow have been reclassified to conform to the current year presentat</w:t>
      </w:r>
      <w:r>
        <w:rPr>
          <w:rFonts w:ascii="Times New Roman" w:eastAsia="宋体" w:hAnsi="Times New Roman"/>
          <w:sz w:val="20"/>
          <w:szCs w:val="20"/>
        </w:rPr>
        <w:t>ion. A reclassification was made to net the changes in operating lease right-of use assets with operating lease liabilities. This net change was not material and was included within the changes in other liabilities in cash flows from operating activities o</w:t>
      </w:r>
      <w:r>
        <w:rPr>
          <w:rFonts w:ascii="Times New Roman" w:eastAsia="宋体" w:hAnsi="Times New Roman"/>
          <w:sz w:val="20"/>
          <w:szCs w:val="20"/>
        </w:rPr>
        <w:t>n the condensed consolidated statement of cash flow for the six months ended June 30, 2019. This change does not affect previously reported cash flows from operating activities in the condensed consolidated statements of cash flows. This reclassification h</w:t>
      </w:r>
      <w:r>
        <w:rPr>
          <w:rFonts w:ascii="Times New Roman" w:eastAsia="宋体" w:hAnsi="Times New Roman"/>
          <w:sz w:val="20"/>
          <w:szCs w:val="20"/>
        </w:rPr>
        <w:t xml:space="preserve">ad no effect on our other condensed consolidated financial statements for the periods ended June 30, 2020 and 2019. </w:t>
      </w:r>
    </w:p>
    <w:p w14:paraId="4E569FB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Use of Estimates</w:t>
      </w:r>
    </w:p>
    <w:p w14:paraId="4E569FB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Conformity with GAAP requires the use of estimates and judgments that affect the reported amounts in the condensed consoli</w:t>
      </w:r>
      <w:r>
        <w:rPr>
          <w:rFonts w:ascii="Times New Roman" w:eastAsia="宋体" w:hAnsi="Times New Roman"/>
          <w:sz w:val="20"/>
          <w:szCs w:val="20"/>
        </w:rPr>
        <w:t>dated financial statements and accompanying notes. These estimates form the basis for judgments we make about the carrying values of our assets and liabilities, which are not readily apparent from other sources. We base our estimates and judgments on histo</w:t>
      </w:r>
      <w:r>
        <w:rPr>
          <w:rFonts w:ascii="Times New Roman" w:eastAsia="宋体" w:hAnsi="Times New Roman"/>
          <w:sz w:val="20"/>
          <w:szCs w:val="20"/>
        </w:rPr>
        <w:t xml:space="preserve">rical information and on various other assumptions that we believe are reasonable under the circumstances. GAAP requires us to make estimates and judgments in several areas, including, but not limited to, those related to income taxes, loss contingencies, </w:t>
      </w:r>
      <w:r>
        <w:rPr>
          <w:rFonts w:ascii="Times New Roman" w:eastAsia="宋体" w:hAnsi="Times New Roman"/>
          <w:sz w:val="20"/>
          <w:szCs w:val="20"/>
        </w:rPr>
        <w:t>fair value of acquired intangible assets and goodwill, collectibility of accounts receivable, fair value of financial instruments, credit losses of available-for-sale (AFS) debt securities, leases, useful lives of intangible assets and property and equipme</w:t>
      </w:r>
      <w:r>
        <w:rPr>
          <w:rFonts w:ascii="Times New Roman" w:eastAsia="宋体" w:hAnsi="Times New Roman"/>
          <w:sz w:val="20"/>
          <w:szCs w:val="20"/>
        </w:rPr>
        <w:t>nt, and revenue recognition. These estimates are based on management's knowledge about current events and expectations about actions we may undertake in the future. Actual results could differ materially from those estimates.</w:t>
      </w:r>
    </w:p>
    <w:p w14:paraId="4E569FB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COVID-19 pandemic has crea</w:t>
      </w:r>
      <w:r>
        <w:rPr>
          <w:rFonts w:ascii="Times New Roman" w:eastAsia="宋体" w:hAnsi="Times New Roman"/>
          <w:sz w:val="20"/>
          <w:szCs w:val="20"/>
        </w:rPr>
        <w:t xml:space="preserve">ted and may continue to create significant uncertainty in macroeconomic conditions, which </w:t>
      </w:r>
      <w:r>
        <w:rPr>
          <w:rFonts w:ascii="Times New Roman" w:eastAsia="宋体" w:hAnsi="Times New Roman"/>
          <w:color w:val="181717"/>
          <w:sz w:val="20"/>
          <w:szCs w:val="20"/>
        </w:rPr>
        <w:t>may cause further business slowdowns or shutdowns, depress demand for our advertising business, and adversely impact our results of operations.</w:t>
      </w:r>
      <w:r>
        <w:rPr>
          <w:rFonts w:ascii="Times New Roman" w:eastAsia="宋体" w:hAnsi="Times New Roman"/>
          <w:sz w:val="20"/>
          <w:szCs w:val="20"/>
        </w:rPr>
        <w:t xml:space="preserve"> During the three and six months ended June 30, 2020, we faced increasing uncertainties around our estimates of revenue collectibility and accounts receivable credit losses. We expect uncertainties around our key accounting estimates to continue to evolve </w:t>
      </w:r>
      <w:r>
        <w:rPr>
          <w:rFonts w:ascii="Times New Roman" w:eastAsia="宋体" w:hAnsi="Times New Roman"/>
          <w:sz w:val="20"/>
          <w:szCs w:val="20"/>
        </w:rPr>
        <w:t>depending on the duration and degree of impact associated with the COVID-19 pandemic</w:t>
      </w:r>
      <w:r>
        <w:rPr>
          <w:rFonts w:ascii="Times New Roman" w:eastAsia="宋体" w:hAnsi="Times New Roman"/>
          <w:color w:val="181717"/>
          <w:sz w:val="20"/>
          <w:szCs w:val="20"/>
        </w:rPr>
        <w:t>. Our estimates may change as new events occur and additional information emerges, and such changes are recognized or disclosed in our condensed consolidated financial stat</w:t>
      </w:r>
      <w:r>
        <w:rPr>
          <w:rFonts w:ascii="Times New Roman" w:eastAsia="宋体" w:hAnsi="Times New Roman"/>
          <w:color w:val="181717"/>
          <w:sz w:val="20"/>
          <w:szCs w:val="20"/>
        </w:rPr>
        <w:t xml:space="preserve">ements. </w:t>
      </w:r>
    </w:p>
    <w:p w14:paraId="4E569FBC" w14:textId="77777777" w:rsidR="00DF3E10" w:rsidRDefault="00DF3E10">
      <w:pPr>
        <w:rPr>
          <w:rFonts w:ascii="Times New Roman" w:hAnsi="Times New Roman"/>
          <w:sz w:val="20"/>
          <w:szCs w:val="20"/>
        </w:rPr>
      </w:pPr>
    </w:p>
    <w:p w14:paraId="4E569FBD"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13</w:t>
      </w:r>
    </w:p>
    <w:p w14:paraId="4E569FBE" w14:textId="77777777" w:rsidR="00DF3E10" w:rsidRDefault="006B6C28">
      <w:r>
        <w:rPr>
          <w:rFonts w:ascii="Times New Roman" w:hAnsi="Times New Roman"/>
          <w:sz w:val="20"/>
          <w:szCs w:val="20"/>
        </w:rPr>
        <w:pict w14:anchorId="4E56B75A">
          <v:rect id="_x0000_i1037" style="width:415.3pt;height:1.5pt" o:hralign="center" o:hrstd="t" o:hr="t" fillcolor="#a0a0a0" stroked="f"/>
        </w:pict>
      </w:r>
    </w:p>
    <w:p w14:paraId="4E569FBF" w14:textId="77777777" w:rsidR="00DF3E10" w:rsidRDefault="006B6C28">
      <w:pPr>
        <w:spacing w:line="288" w:lineRule="auto"/>
        <w:rPr>
          <w:rFonts w:ascii="Times New Roman" w:hAnsi="Times New Roman"/>
          <w:sz w:val="20"/>
          <w:szCs w:val="20"/>
        </w:rPr>
      </w:pPr>
      <w:hyperlink r:id="rId55" w:anchor="sC1FF62F0D4D85317B5B2C71C7C94F269" w:history="1">
        <w:r>
          <w:rPr>
            <w:rStyle w:val="a5"/>
            <w:rFonts w:ascii="Times New Roman" w:eastAsia="宋体" w:hAnsi="Times New Roman"/>
            <w:sz w:val="20"/>
            <w:szCs w:val="20"/>
          </w:rPr>
          <w:t>Table of Contents</w:t>
        </w:r>
      </w:hyperlink>
    </w:p>
    <w:p w14:paraId="4E569FC0" w14:textId="77777777" w:rsidR="00DF3E10" w:rsidRDefault="00DF3E10">
      <w:pPr>
        <w:rPr>
          <w:rFonts w:ascii="Times New Roman" w:hAnsi="Times New Roman"/>
          <w:sz w:val="20"/>
          <w:szCs w:val="20"/>
        </w:rPr>
      </w:pPr>
    </w:p>
    <w:p w14:paraId="4E569FC1"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Recently Adopted Accounting Pronouncements</w:t>
      </w:r>
    </w:p>
    <w:p w14:paraId="4E569FC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Fair Value Measurements</w:t>
      </w:r>
    </w:p>
    <w:p w14:paraId="4E569FC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On</w:t>
      </w:r>
      <w:r>
        <w:rPr>
          <w:rFonts w:ascii="Times New Roman" w:eastAsia="宋体" w:hAnsi="Times New Roman"/>
          <w:sz w:val="20"/>
          <w:szCs w:val="20"/>
        </w:rPr>
        <w:t xml:space="preserve"> January 1, 2020, we adopted Accounting Standards Update No. 2018-13, </w:t>
      </w:r>
      <w:r>
        <w:rPr>
          <w:rFonts w:ascii="Times New Roman" w:eastAsia="宋体" w:hAnsi="Times New Roman"/>
          <w:i/>
          <w:iCs/>
          <w:sz w:val="20"/>
          <w:szCs w:val="20"/>
        </w:rPr>
        <w:t>Changes to Disclosure Requirements for Fair Value Measurements (Topic 820)</w:t>
      </w:r>
      <w:r>
        <w:rPr>
          <w:rFonts w:ascii="Times New Roman" w:eastAsia="宋体" w:hAnsi="Times New Roman"/>
          <w:sz w:val="20"/>
          <w:szCs w:val="20"/>
        </w:rPr>
        <w:t>, which improved the effectiveness of disclosure requirements for recurring and nonrecurring fair value measurem</w:t>
      </w:r>
      <w:r>
        <w:rPr>
          <w:rFonts w:ascii="Times New Roman" w:eastAsia="宋体" w:hAnsi="Times New Roman"/>
          <w:sz w:val="20"/>
          <w:szCs w:val="20"/>
        </w:rPr>
        <w:t>ents. The standard removes, modifies, and adds certain disclosure requirements. The adoption of this new standard did not have a material impact on our condensed consolidated financial statements.</w:t>
      </w:r>
    </w:p>
    <w:p w14:paraId="4E569FC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Credit Losses</w:t>
      </w:r>
    </w:p>
    <w:p w14:paraId="4E569FC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On January 1, 2020, we adopted Accounting Sta</w:t>
      </w:r>
      <w:r>
        <w:rPr>
          <w:rFonts w:ascii="Times New Roman" w:eastAsia="宋体" w:hAnsi="Times New Roman"/>
          <w:sz w:val="20"/>
          <w:szCs w:val="20"/>
        </w:rPr>
        <w:t xml:space="preserve">ndards Update No.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using the modified retrospective transition method. Upon adoption, we changed our impairment model to utilize a forward-looki</w:t>
      </w:r>
      <w:r>
        <w:rPr>
          <w:rFonts w:ascii="Times New Roman" w:eastAsia="宋体" w:hAnsi="Times New Roman"/>
          <w:sz w:val="20"/>
          <w:szCs w:val="20"/>
        </w:rPr>
        <w:t>ng current expected credit losses (CECL) model in place of the incurred loss methodology for financial instruments measured at amortized cost, including our accounts receivable. In addition, we modified our impairment model to the CECL model for AFS debt s</w:t>
      </w:r>
      <w:r>
        <w:rPr>
          <w:rFonts w:ascii="Times New Roman" w:eastAsia="宋体" w:hAnsi="Times New Roman"/>
          <w:sz w:val="20"/>
          <w:szCs w:val="20"/>
        </w:rPr>
        <w:t>ecurities and discontinued using the concept of "other than temporary" impairment on AFS debt securities. CECL estimates on accounts receivable are</w:t>
      </w:r>
      <w:r>
        <w:rPr>
          <w:rFonts w:ascii="Times New Roman" w:eastAsia="宋体" w:hAnsi="Times New Roman"/>
          <w:color w:val="212529"/>
          <w:sz w:val="20"/>
          <w:szCs w:val="20"/>
        </w:rPr>
        <w:t xml:space="preserve"> recorded as general and administrative expenses on our condensed consolidated statements of income. </w:t>
      </w:r>
      <w:r>
        <w:rPr>
          <w:rFonts w:ascii="Times New Roman" w:eastAsia="宋体" w:hAnsi="Times New Roman"/>
          <w:sz w:val="20"/>
          <w:szCs w:val="20"/>
        </w:rPr>
        <w:t>CECL est</w:t>
      </w:r>
      <w:r>
        <w:rPr>
          <w:rFonts w:ascii="Times New Roman" w:eastAsia="宋体" w:hAnsi="Times New Roman"/>
          <w:sz w:val="20"/>
          <w:szCs w:val="20"/>
        </w:rPr>
        <w:t>imates on AFS debt securities are recognized in interest and other income (expense), net on our condensed consolidated statements of income. The cumulative effect adjustment from adoption was immaterial to our condensed consolidated financial statements. W</w:t>
      </w:r>
      <w:r>
        <w:rPr>
          <w:rFonts w:ascii="Times New Roman" w:eastAsia="宋体" w:hAnsi="Times New Roman"/>
          <w:sz w:val="20"/>
          <w:szCs w:val="20"/>
        </w:rPr>
        <w:t>e continue to monitor the financial implications of the COVID-19 pandemic on expected credit losses.</w:t>
      </w:r>
    </w:p>
    <w:p w14:paraId="4E569FC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Significant Accounting Policies</w:t>
      </w:r>
    </w:p>
    <w:p w14:paraId="4E569FC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There have been no material changes to our significant accounting policies from our Annual Report on Form 10-K for the fisc</w:t>
      </w:r>
      <w:r>
        <w:rPr>
          <w:rFonts w:ascii="Times New Roman" w:eastAsia="宋体" w:hAnsi="Times New Roman"/>
          <w:sz w:val="20"/>
          <w:szCs w:val="20"/>
        </w:rPr>
        <w:t>al year ended December 31, 2019, except for the policies noted below which changed as a result of the adoption of Topic 326.</w:t>
      </w:r>
    </w:p>
    <w:p w14:paraId="4E569FC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Cash and Cash Equivalents and Marketable Securities</w:t>
      </w:r>
    </w:p>
    <w:p w14:paraId="4E569FC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Cash and cash equivalents consist of cash on deposit with banks and highly liqu</w:t>
      </w:r>
      <w:r>
        <w:rPr>
          <w:rFonts w:ascii="Times New Roman" w:eastAsia="宋体" w:hAnsi="Times New Roman"/>
          <w:sz w:val="20"/>
          <w:szCs w:val="20"/>
        </w:rPr>
        <w:t>id investments with maturities of 90 days or less from the date of purchase.</w:t>
      </w:r>
    </w:p>
    <w:p w14:paraId="4E569FC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hold investments in marketable securities, consisting of U.S. government securities, U.S. government agency securities, and investment grade corporate debt securities. We class</w:t>
      </w:r>
      <w:r>
        <w:rPr>
          <w:rFonts w:ascii="Times New Roman" w:eastAsia="宋体" w:hAnsi="Times New Roman"/>
          <w:sz w:val="20"/>
          <w:szCs w:val="20"/>
        </w:rPr>
        <w:t xml:space="preserve">ify our marketable securities as AFS investments in our current assets because they represent investments of cash available for current operations. Our AFS investments are carried at estimated fair value with any unrealized gains and losses, net of taxes, </w:t>
      </w:r>
      <w:r>
        <w:rPr>
          <w:rFonts w:ascii="Times New Roman" w:eastAsia="宋体" w:hAnsi="Times New Roman"/>
          <w:sz w:val="20"/>
          <w:szCs w:val="20"/>
        </w:rPr>
        <w:t>included in accumulated other comprehensive income (loss) in stockholders' equity. AFS debt securities with an amortized cost basis in excess of estimated fair value are assessed to determine what amount of that difference, if any, is caused by expected cr</w:t>
      </w:r>
      <w:r>
        <w:rPr>
          <w:rFonts w:ascii="Times New Roman" w:eastAsia="宋体" w:hAnsi="Times New Roman"/>
          <w:sz w:val="20"/>
          <w:szCs w:val="20"/>
        </w:rPr>
        <w:t>edit losses. Expected credit losses on AFS debt securities are recognized in interest and other income (expense), net on our condensed consolidated statements of income, and any remaining unrealized losses, net of taxes, are included in accumulated other c</w:t>
      </w:r>
      <w:r>
        <w:rPr>
          <w:rFonts w:ascii="Times New Roman" w:eastAsia="宋体" w:hAnsi="Times New Roman"/>
          <w:sz w:val="20"/>
          <w:szCs w:val="20"/>
        </w:rPr>
        <w:t xml:space="preserve">omprehensive income (loss) in stockholders' equity. The amount of credit losses recorded for the three and six months ended June 30, 2020 was not material. We have not recorded any impairment charge for unrealized losses in the periods </w:t>
      </w:r>
      <w:r>
        <w:rPr>
          <w:rFonts w:ascii="Times New Roman" w:eastAsia="宋体" w:hAnsi="Times New Roman"/>
          <w:color w:val="212529"/>
          <w:sz w:val="20"/>
          <w:szCs w:val="20"/>
        </w:rPr>
        <w:t>presented. We determ</w:t>
      </w:r>
      <w:r>
        <w:rPr>
          <w:rFonts w:ascii="Times New Roman" w:eastAsia="宋体" w:hAnsi="Times New Roman"/>
          <w:color w:val="212529"/>
          <w:sz w:val="20"/>
          <w:szCs w:val="20"/>
        </w:rPr>
        <w:t>ine realized gains or losses on sale of marketable securities on a specific identification method, and record such gains or losses as interest and other income (expense), net.</w:t>
      </w:r>
    </w:p>
    <w:p w14:paraId="4E569FC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Accounts Receivable and Allowances</w:t>
      </w:r>
    </w:p>
    <w:p w14:paraId="4E569FC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Accounts receivable are recorded and carried at the original invoiced amount less an allowance for any potential uncollectible amounts. We make estimates of expected credit losses for the allowance for doubtful accounts and allowance for unbilled receivabl</w:t>
      </w:r>
      <w:r>
        <w:rPr>
          <w:rFonts w:ascii="Times New Roman" w:eastAsia="宋体" w:hAnsi="Times New Roman"/>
          <w:color w:val="212529"/>
          <w:sz w:val="20"/>
          <w:szCs w:val="20"/>
        </w:rPr>
        <w:t>es based upon our assessment of various factors, including historical experience, the age of the accounts receivable balances, credit quality of our customers, current economic conditions, reasonable and supportable forecasts of future economic conditions,</w:t>
      </w:r>
      <w:r>
        <w:rPr>
          <w:rFonts w:ascii="Times New Roman" w:eastAsia="宋体" w:hAnsi="Times New Roman"/>
          <w:color w:val="212529"/>
          <w:sz w:val="20"/>
          <w:szCs w:val="20"/>
        </w:rPr>
        <w:t xml:space="preserve"> and other factors that may affect our ability to collect from customers. Estimated credit loss allowance is recorded as general and administrative expenses on our condensed consolidated statements of income. As of </w:t>
      </w:r>
      <w:r>
        <w:rPr>
          <w:rFonts w:ascii="Times New Roman" w:eastAsia="宋体" w:hAnsi="Times New Roman"/>
          <w:sz w:val="20"/>
          <w:szCs w:val="20"/>
        </w:rPr>
        <w:t>June 30, 2020</w:t>
      </w:r>
      <w:r>
        <w:rPr>
          <w:rFonts w:ascii="Times New Roman" w:eastAsia="宋体" w:hAnsi="Times New Roman"/>
          <w:color w:val="212529"/>
          <w:sz w:val="20"/>
          <w:szCs w:val="20"/>
        </w:rPr>
        <w:t xml:space="preserve">, we reported </w:t>
      </w:r>
      <w:r>
        <w:rPr>
          <w:rFonts w:ascii="Times New Roman" w:eastAsia="宋体" w:hAnsi="Times New Roman"/>
          <w:sz w:val="20"/>
          <w:szCs w:val="20"/>
        </w:rPr>
        <w:t>$7.48 billion</w:t>
      </w:r>
      <w:r>
        <w:rPr>
          <w:rFonts w:ascii="Times New Roman" w:eastAsia="宋体" w:hAnsi="Times New Roman"/>
          <w:color w:val="212529"/>
          <w:sz w:val="20"/>
          <w:szCs w:val="20"/>
        </w:rPr>
        <w:t xml:space="preserve"> </w:t>
      </w:r>
      <w:r>
        <w:rPr>
          <w:rFonts w:ascii="Times New Roman" w:eastAsia="宋体" w:hAnsi="Times New Roman"/>
          <w:color w:val="212529"/>
          <w:sz w:val="20"/>
          <w:szCs w:val="20"/>
        </w:rPr>
        <w:t>of accounts receivable, net of an allowance of $365 million.</w:t>
      </w:r>
    </w:p>
    <w:p w14:paraId="4E569FCD" w14:textId="77777777" w:rsidR="00DF3E10" w:rsidRDefault="00DF3E10">
      <w:pPr>
        <w:rPr>
          <w:rFonts w:ascii="Times New Roman" w:hAnsi="Times New Roman"/>
          <w:sz w:val="20"/>
          <w:szCs w:val="20"/>
        </w:rPr>
      </w:pPr>
    </w:p>
    <w:p w14:paraId="4E569FCE"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14</w:t>
      </w:r>
    </w:p>
    <w:p w14:paraId="4E569FCF" w14:textId="77777777" w:rsidR="00DF3E10" w:rsidRDefault="006B6C28">
      <w:r>
        <w:rPr>
          <w:rFonts w:ascii="Times New Roman" w:hAnsi="Times New Roman"/>
          <w:sz w:val="20"/>
          <w:szCs w:val="20"/>
        </w:rPr>
        <w:pict w14:anchorId="4E56B75B">
          <v:rect id="_x0000_i1038" style="width:415.3pt;height:1.5pt" o:hralign="center" o:hrstd="t" o:hr="t" fillcolor="#a0a0a0" stroked="f"/>
        </w:pict>
      </w:r>
    </w:p>
    <w:p w14:paraId="4E569FD0" w14:textId="77777777" w:rsidR="00DF3E10" w:rsidRDefault="006B6C28">
      <w:pPr>
        <w:spacing w:line="288" w:lineRule="auto"/>
        <w:rPr>
          <w:rFonts w:ascii="Times New Roman" w:hAnsi="Times New Roman"/>
          <w:sz w:val="20"/>
          <w:szCs w:val="20"/>
        </w:rPr>
      </w:pPr>
      <w:hyperlink r:id="rId56" w:anchor="sC1FF62F0D4D85317B5B2C71C7C94F269" w:history="1">
        <w:r>
          <w:rPr>
            <w:rStyle w:val="a5"/>
            <w:rFonts w:ascii="Times New Roman" w:eastAsia="宋体" w:hAnsi="Times New Roman"/>
            <w:sz w:val="20"/>
            <w:szCs w:val="20"/>
          </w:rPr>
          <w:t>Table of Contents</w:t>
        </w:r>
      </w:hyperlink>
    </w:p>
    <w:p w14:paraId="4E569FD1" w14:textId="77777777" w:rsidR="00DF3E10" w:rsidRDefault="00DF3E10">
      <w:pPr>
        <w:rPr>
          <w:rFonts w:ascii="Times New Roman" w:hAnsi="Times New Roman"/>
          <w:sz w:val="20"/>
          <w:szCs w:val="20"/>
        </w:rPr>
      </w:pPr>
    </w:p>
    <w:p w14:paraId="4E569FD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Credit Risk and C</w:t>
      </w:r>
      <w:r>
        <w:rPr>
          <w:rFonts w:ascii="Times New Roman" w:eastAsia="宋体" w:hAnsi="Times New Roman"/>
          <w:b/>
          <w:bCs/>
          <w:i/>
          <w:iCs/>
          <w:color w:val="212529"/>
          <w:sz w:val="20"/>
          <w:szCs w:val="20"/>
        </w:rPr>
        <w:t>oncentration</w:t>
      </w:r>
    </w:p>
    <w:p w14:paraId="4E569FD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Our financial instruments that are potentially subject to concentrations of credit risk consist primarily of cash, cash equivalents, restricted cash, marketable securities, and accounts receivable. The majority of cash equivalents consists of </w:t>
      </w:r>
      <w:r>
        <w:rPr>
          <w:rFonts w:ascii="Times New Roman" w:eastAsia="宋体" w:hAnsi="Times New Roman"/>
          <w:color w:val="212529"/>
          <w:sz w:val="20"/>
          <w:szCs w:val="20"/>
        </w:rPr>
        <w:t>money market funds that primarily invest in U.S. government and agency securities. Marketable securities consist of investments in U.S. government securities, U.S. government agency securities, and investment grade corporate debt securities. Our investment</w:t>
      </w:r>
      <w:r>
        <w:rPr>
          <w:rFonts w:ascii="Times New Roman" w:eastAsia="宋体" w:hAnsi="Times New Roman"/>
          <w:color w:val="212529"/>
          <w:sz w:val="20"/>
          <w:szCs w:val="20"/>
        </w:rPr>
        <w:t xml:space="preserve"> portfolio in corporate debt securities is highly liquid and diversified among individual issuers.</w:t>
      </w:r>
    </w:p>
    <w:p w14:paraId="4E569FD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AFS debt securities with an amortized cost basis in excess of estimated fair value are assessed using the CECL model to determine what amount of that differe</w:t>
      </w:r>
      <w:r>
        <w:rPr>
          <w:rFonts w:ascii="Times New Roman" w:eastAsia="宋体" w:hAnsi="Times New Roman"/>
          <w:sz w:val="20"/>
          <w:szCs w:val="20"/>
        </w:rPr>
        <w:t>nce, if any, is caused by expected credit losses. Expected credit losses on AFS debt securities are recognized in interest and other income (expense), net on our condensed consolidated statements of income and were not material for the three and six months</w:t>
      </w:r>
      <w:r>
        <w:rPr>
          <w:rFonts w:ascii="Times New Roman" w:eastAsia="宋体" w:hAnsi="Times New Roman"/>
          <w:sz w:val="20"/>
          <w:szCs w:val="20"/>
        </w:rPr>
        <w:t xml:space="preserve"> ended June 30, 2020.</w:t>
      </w:r>
    </w:p>
    <w:p w14:paraId="4E569FD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Accounts receivable are typically unsecured and are derived from revenue earned from customers across different industries and countries. We generated 42% of our revenue for the </w:t>
      </w:r>
      <w:r>
        <w:rPr>
          <w:rFonts w:ascii="Times New Roman" w:eastAsia="宋体" w:hAnsi="Times New Roman"/>
          <w:sz w:val="20"/>
          <w:szCs w:val="20"/>
        </w:rPr>
        <w:t>three and six months ended June 30,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xml:space="preserve"> from m</w:t>
      </w:r>
      <w:r>
        <w:rPr>
          <w:rFonts w:ascii="Times New Roman" w:eastAsia="宋体" w:hAnsi="Times New Roman"/>
          <w:color w:val="212529"/>
          <w:sz w:val="20"/>
          <w:szCs w:val="20"/>
        </w:rPr>
        <w:t>arketers and developers based in the United States, with the majority of revenue outside of the United States coming from customers located in western Europe, China, Canada, Vietnam, Japan, Australia and Brazil.</w:t>
      </w:r>
    </w:p>
    <w:p w14:paraId="4E569FD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We perform ongoing credit evaluations of our</w:t>
      </w:r>
      <w:r>
        <w:rPr>
          <w:rFonts w:ascii="Times New Roman" w:eastAsia="宋体" w:hAnsi="Times New Roman"/>
          <w:color w:val="212529"/>
          <w:sz w:val="20"/>
          <w:szCs w:val="20"/>
        </w:rPr>
        <w:t xml:space="preserve"> customers and generally do not require collateral. We maintain an allowance for estimated credit losses. Bad debt expense was immaterial during the </w:t>
      </w:r>
      <w:r>
        <w:rPr>
          <w:rFonts w:ascii="Times New Roman" w:eastAsia="宋体" w:hAnsi="Times New Roman"/>
          <w:sz w:val="20"/>
          <w:szCs w:val="20"/>
        </w:rPr>
        <w:t>three and six months ended June 30,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xml:space="preserve">. In the event that accounts receivable collection cycles </w:t>
      </w:r>
      <w:r>
        <w:rPr>
          <w:rFonts w:ascii="Times New Roman" w:eastAsia="宋体" w:hAnsi="Times New Roman"/>
          <w:color w:val="212529"/>
          <w:sz w:val="20"/>
          <w:szCs w:val="20"/>
        </w:rPr>
        <w:t>deteriorate, our operating results and financial position could be adversely affected.</w:t>
      </w:r>
    </w:p>
    <w:p w14:paraId="4E569FD7"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 xml:space="preserve">Accounting Pronouncements Not Yet Adopted </w:t>
      </w:r>
    </w:p>
    <w:p w14:paraId="4E569FD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December 2019, the Financial Accounting Standards Board (FASB) issued Accounting Standard Update No. 2019-12, </w:t>
      </w:r>
      <w:r>
        <w:rPr>
          <w:rFonts w:ascii="Times New Roman" w:eastAsia="宋体" w:hAnsi="Times New Roman"/>
          <w:i/>
          <w:iCs/>
          <w:sz w:val="20"/>
          <w:szCs w:val="20"/>
        </w:rPr>
        <w:t>Income Taxes</w:t>
      </w:r>
      <w:r>
        <w:rPr>
          <w:rFonts w:ascii="Times New Roman" w:eastAsia="宋体" w:hAnsi="Times New Roman"/>
          <w:sz w:val="20"/>
          <w:szCs w:val="20"/>
        </w:rPr>
        <w:t xml:space="preserve"> </w:t>
      </w:r>
      <w:r>
        <w:rPr>
          <w:rFonts w:ascii="Times New Roman" w:eastAsia="宋体" w:hAnsi="Times New Roman"/>
          <w:i/>
          <w:iCs/>
          <w:sz w:val="20"/>
          <w:szCs w:val="20"/>
        </w:rPr>
        <w:t>(Topic 740):</w:t>
      </w:r>
      <w:r>
        <w:rPr>
          <w:rFonts w:ascii="Times New Roman" w:eastAsia="宋体" w:hAnsi="Times New Roman"/>
          <w:sz w:val="20"/>
          <w:szCs w:val="20"/>
        </w:rPr>
        <w:t xml:space="preserve"> </w:t>
      </w:r>
      <w:r>
        <w:rPr>
          <w:rFonts w:ascii="Times New Roman" w:eastAsia="宋体" w:hAnsi="Times New Roman"/>
          <w:i/>
          <w:iCs/>
          <w:sz w:val="20"/>
          <w:szCs w:val="20"/>
        </w:rPr>
        <w:t>Simplifying the Accounting for Income Taxes</w:t>
      </w:r>
      <w:r>
        <w:rPr>
          <w:rFonts w:ascii="Times New Roman" w:eastAsia="宋体" w:hAnsi="Times New Roman"/>
          <w:sz w:val="20"/>
          <w:szCs w:val="20"/>
        </w:rPr>
        <w:t xml:space="preserve"> (ASU 2019-12), which simplifies the accounting for income taxes. This guidance will be effective for us in the first quarter of 2021 on a prospective basis, with early adoption permitted. We will adopt the new standard effective January 1, 2021 and do not</w:t>
      </w:r>
      <w:r>
        <w:rPr>
          <w:rFonts w:ascii="Times New Roman" w:eastAsia="宋体" w:hAnsi="Times New Roman"/>
          <w:sz w:val="20"/>
          <w:szCs w:val="20"/>
        </w:rPr>
        <w:t xml:space="preserve"> expect the adoption of this guidance to have a material impact on our consolidated financial statements.</w:t>
      </w:r>
    </w:p>
    <w:p w14:paraId="4E569FD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January 2020, the FASB issued Accounting Standards Update No. 2020-01, </w:t>
      </w:r>
      <w:r>
        <w:rPr>
          <w:rFonts w:ascii="Times New Roman" w:eastAsia="宋体" w:hAnsi="Times New Roman"/>
          <w:i/>
          <w:iCs/>
          <w:sz w:val="20"/>
          <w:szCs w:val="20"/>
        </w:rPr>
        <w:t>Investments—Equity Securities (Topic 321), Investments—Equity Method and Joi</w:t>
      </w:r>
      <w:r>
        <w:rPr>
          <w:rFonts w:ascii="Times New Roman" w:eastAsia="宋体" w:hAnsi="Times New Roman"/>
          <w:i/>
          <w:iCs/>
          <w:sz w:val="20"/>
          <w:szCs w:val="20"/>
        </w:rPr>
        <w:t xml:space="preserve">nt Ventures (Topic 323), and Derivatives and Hedging (Topic 815) </w:t>
      </w:r>
      <w:r>
        <w:rPr>
          <w:rFonts w:ascii="Times New Roman" w:eastAsia="宋体" w:hAnsi="Times New Roman"/>
          <w:sz w:val="20"/>
          <w:szCs w:val="20"/>
        </w:rPr>
        <w:t>(ASU 2020-01), which clarifies the interaction of the accounting for equity securities under Topic 321, the accounting for equity method investments in Topic 323, and the accounting for certa</w:t>
      </w:r>
      <w:r>
        <w:rPr>
          <w:rFonts w:ascii="Times New Roman" w:eastAsia="宋体" w:hAnsi="Times New Roman"/>
          <w:sz w:val="20"/>
          <w:szCs w:val="20"/>
        </w:rPr>
        <w:t>in forward contracts and purchased options in Topic 815. This guidance will be effective for us in the first quarter of 2021 on a prospective basis, with early adoption permitted. We are currently evaluating the impact of the new guidance, but based upon o</w:t>
      </w:r>
      <w:r>
        <w:rPr>
          <w:rFonts w:ascii="Times New Roman" w:eastAsia="宋体" w:hAnsi="Times New Roman"/>
          <w:sz w:val="20"/>
          <w:szCs w:val="20"/>
        </w:rPr>
        <w:t>ur current portfolio of investments, we do not expect the adoption of this guidance to have a material impact on our consolidated financial statements.</w:t>
      </w:r>
    </w:p>
    <w:p w14:paraId="4E569FDA" w14:textId="77777777" w:rsidR="00DF3E10" w:rsidRDefault="00DF3E10">
      <w:pPr>
        <w:spacing w:line="288" w:lineRule="auto"/>
        <w:ind w:firstLine="720"/>
        <w:jc w:val="both"/>
        <w:rPr>
          <w:rFonts w:ascii="Times New Roman" w:hAnsi="Times New Roman"/>
          <w:sz w:val="20"/>
          <w:szCs w:val="20"/>
        </w:rPr>
      </w:pPr>
    </w:p>
    <w:p w14:paraId="4E569FDB"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2. Revenue</w:t>
      </w:r>
    </w:p>
    <w:p w14:paraId="4E569FDC"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Revenue disaggregated by revenue source consists of the following (in millions):</w:t>
      </w:r>
    </w:p>
    <w:tbl>
      <w:tblPr>
        <w:tblW w:w="5000" w:type="pct"/>
        <w:tblCellMar>
          <w:left w:w="0" w:type="dxa"/>
          <w:right w:w="0" w:type="dxa"/>
        </w:tblCellMar>
        <w:tblLook w:val="04A0" w:firstRow="1" w:lastRow="0" w:firstColumn="1" w:lastColumn="0" w:noHBand="0" w:noVBand="1"/>
      </w:tblPr>
      <w:tblGrid>
        <w:gridCol w:w="3198"/>
        <w:gridCol w:w="140"/>
        <w:gridCol w:w="956"/>
        <w:gridCol w:w="42"/>
        <w:gridCol w:w="130"/>
        <w:gridCol w:w="140"/>
        <w:gridCol w:w="1039"/>
        <w:gridCol w:w="42"/>
        <w:gridCol w:w="130"/>
        <w:gridCol w:w="140"/>
        <w:gridCol w:w="956"/>
        <w:gridCol w:w="42"/>
        <w:gridCol w:w="130"/>
        <w:gridCol w:w="140"/>
        <w:gridCol w:w="1039"/>
        <w:gridCol w:w="42"/>
      </w:tblGrid>
      <w:tr w:rsidR="00DF3E10" w14:paraId="4E569FDE" w14:textId="77777777">
        <w:tc>
          <w:tcPr>
            <w:tcW w:w="0" w:type="auto"/>
            <w:gridSpan w:val="16"/>
            <w:shd w:val="clear" w:color="auto" w:fill="auto"/>
            <w:vAlign w:val="center"/>
          </w:tcPr>
          <w:p w14:paraId="4E569FDD" w14:textId="77777777" w:rsidR="00DF3E10" w:rsidRDefault="00DF3E10">
            <w:pPr>
              <w:rPr>
                <w:rFonts w:ascii="Times New Roman" w:hAnsi="Times New Roman"/>
                <w:sz w:val="20"/>
                <w:szCs w:val="20"/>
              </w:rPr>
            </w:pPr>
          </w:p>
        </w:tc>
      </w:tr>
      <w:tr w:rsidR="00DF3E10" w14:paraId="4E569FEF" w14:textId="77777777">
        <w:tc>
          <w:tcPr>
            <w:tcW w:w="1950" w:type="pct"/>
            <w:shd w:val="clear" w:color="auto" w:fill="auto"/>
            <w:vAlign w:val="center"/>
          </w:tcPr>
          <w:p w14:paraId="4E569FDF" w14:textId="77777777" w:rsidR="00DF3E10" w:rsidRDefault="00DF3E10">
            <w:pPr>
              <w:rPr>
                <w:rFonts w:ascii="Times New Roman" w:hAnsi="Times New Roman"/>
                <w:sz w:val="20"/>
                <w:szCs w:val="20"/>
              </w:rPr>
            </w:pPr>
          </w:p>
        </w:tc>
        <w:tc>
          <w:tcPr>
            <w:tcW w:w="50" w:type="pct"/>
            <w:shd w:val="clear" w:color="auto" w:fill="auto"/>
            <w:vAlign w:val="center"/>
          </w:tcPr>
          <w:p w14:paraId="4E569FE0" w14:textId="77777777" w:rsidR="00DF3E10" w:rsidRDefault="00DF3E10">
            <w:pPr>
              <w:rPr>
                <w:rFonts w:ascii="Times New Roman" w:hAnsi="Times New Roman"/>
                <w:sz w:val="20"/>
                <w:szCs w:val="20"/>
              </w:rPr>
            </w:pPr>
          </w:p>
        </w:tc>
        <w:tc>
          <w:tcPr>
            <w:tcW w:w="600" w:type="pct"/>
            <w:shd w:val="clear" w:color="auto" w:fill="auto"/>
            <w:vAlign w:val="center"/>
          </w:tcPr>
          <w:p w14:paraId="4E569FE1" w14:textId="77777777" w:rsidR="00DF3E10" w:rsidRDefault="00DF3E10">
            <w:pPr>
              <w:rPr>
                <w:rFonts w:ascii="Times New Roman" w:hAnsi="Times New Roman"/>
                <w:sz w:val="20"/>
                <w:szCs w:val="20"/>
              </w:rPr>
            </w:pPr>
          </w:p>
        </w:tc>
        <w:tc>
          <w:tcPr>
            <w:tcW w:w="50" w:type="pct"/>
            <w:shd w:val="clear" w:color="auto" w:fill="auto"/>
            <w:vAlign w:val="center"/>
          </w:tcPr>
          <w:p w14:paraId="4E569FE2" w14:textId="77777777" w:rsidR="00DF3E10" w:rsidRDefault="00DF3E10">
            <w:pPr>
              <w:rPr>
                <w:rFonts w:ascii="Times New Roman" w:hAnsi="Times New Roman"/>
                <w:sz w:val="20"/>
                <w:szCs w:val="20"/>
              </w:rPr>
            </w:pPr>
          </w:p>
        </w:tc>
        <w:tc>
          <w:tcPr>
            <w:tcW w:w="50" w:type="pct"/>
            <w:shd w:val="clear" w:color="auto" w:fill="auto"/>
            <w:vAlign w:val="center"/>
          </w:tcPr>
          <w:p w14:paraId="4E569FE3" w14:textId="77777777" w:rsidR="00DF3E10" w:rsidRDefault="00DF3E10">
            <w:pPr>
              <w:rPr>
                <w:rFonts w:ascii="Times New Roman" w:hAnsi="Times New Roman"/>
                <w:sz w:val="20"/>
                <w:szCs w:val="20"/>
              </w:rPr>
            </w:pPr>
          </w:p>
        </w:tc>
        <w:tc>
          <w:tcPr>
            <w:tcW w:w="50" w:type="pct"/>
            <w:shd w:val="clear" w:color="auto" w:fill="auto"/>
            <w:vAlign w:val="center"/>
          </w:tcPr>
          <w:p w14:paraId="4E569FE4" w14:textId="77777777" w:rsidR="00DF3E10" w:rsidRDefault="00DF3E10">
            <w:pPr>
              <w:rPr>
                <w:rFonts w:ascii="Times New Roman" w:hAnsi="Times New Roman"/>
                <w:sz w:val="20"/>
                <w:szCs w:val="20"/>
              </w:rPr>
            </w:pPr>
          </w:p>
        </w:tc>
        <w:tc>
          <w:tcPr>
            <w:tcW w:w="650" w:type="pct"/>
            <w:shd w:val="clear" w:color="auto" w:fill="auto"/>
            <w:vAlign w:val="center"/>
          </w:tcPr>
          <w:p w14:paraId="4E569FE5" w14:textId="77777777" w:rsidR="00DF3E10" w:rsidRDefault="00DF3E10">
            <w:pPr>
              <w:rPr>
                <w:rFonts w:ascii="Times New Roman" w:hAnsi="Times New Roman"/>
                <w:sz w:val="20"/>
                <w:szCs w:val="20"/>
              </w:rPr>
            </w:pPr>
          </w:p>
        </w:tc>
        <w:tc>
          <w:tcPr>
            <w:tcW w:w="50" w:type="pct"/>
            <w:shd w:val="clear" w:color="auto" w:fill="auto"/>
            <w:vAlign w:val="center"/>
          </w:tcPr>
          <w:p w14:paraId="4E569FE6" w14:textId="77777777" w:rsidR="00DF3E10" w:rsidRDefault="00DF3E10">
            <w:pPr>
              <w:rPr>
                <w:rFonts w:ascii="Times New Roman" w:hAnsi="Times New Roman"/>
                <w:sz w:val="20"/>
                <w:szCs w:val="20"/>
              </w:rPr>
            </w:pPr>
          </w:p>
        </w:tc>
        <w:tc>
          <w:tcPr>
            <w:tcW w:w="50" w:type="pct"/>
            <w:shd w:val="clear" w:color="auto" w:fill="auto"/>
            <w:vAlign w:val="center"/>
          </w:tcPr>
          <w:p w14:paraId="4E569FE7" w14:textId="77777777" w:rsidR="00DF3E10" w:rsidRDefault="00DF3E10">
            <w:pPr>
              <w:rPr>
                <w:rFonts w:ascii="Times New Roman" w:hAnsi="Times New Roman"/>
                <w:sz w:val="20"/>
                <w:szCs w:val="20"/>
              </w:rPr>
            </w:pPr>
          </w:p>
        </w:tc>
        <w:tc>
          <w:tcPr>
            <w:tcW w:w="50" w:type="pct"/>
            <w:shd w:val="clear" w:color="auto" w:fill="auto"/>
            <w:vAlign w:val="center"/>
          </w:tcPr>
          <w:p w14:paraId="4E569FE8" w14:textId="77777777" w:rsidR="00DF3E10" w:rsidRDefault="00DF3E10">
            <w:pPr>
              <w:rPr>
                <w:rFonts w:ascii="Times New Roman" w:hAnsi="Times New Roman"/>
                <w:sz w:val="20"/>
                <w:szCs w:val="20"/>
              </w:rPr>
            </w:pPr>
          </w:p>
        </w:tc>
        <w:tc>
          <w:tcPr>
            <w:tcW w:w="600" w:type="pct"/>
            <w:shd w:val="clear" w:color="auto" w:fill="auto"/>
            <w:vAlign w:val="center"/>
          </w:tcPr>
          <w:p w14:paraId="4E569FE9" w14:textId="77777777" w:rsidR="00DF3E10" w:rsidRDefault="00DF3E10">
            <w:pPr>
              <w:rPr>
                <w:rFonts w:ascii="Times New Roman" w:hAnsi="Times New Roman"/>
                <w:sz w:val="20"/>
                <w:szCs w:val="20"/>
              </w:rPr>
            </w:pPr>
          </w:p>
        </w:tc>
        <w:tc>
          <w:tcPr>
            <w:tcW w:w="50" w:type="pct"/>
            <w:shd w:val="clear" w:color="auto" w:fill="auto"/>
            <w:vAlign w:val="center"/>
          </w:tcPr>
          <w:p w14:paraId="4E569FEA" w14:textId="77777777" w:rsidR="00DF3E10" w:rsidRDefault="00DF3E10">
            <w:pPr>
              <w:rPr>
                <w:rFonts w:ascii="Times New Roman" w:hAnsi="Times New Roman"/>
                <w:sz w:val="20"/>
                <w:szCs w:val="20"/>
              </w:rPr>
            </w:pPr>
          </w:p>
        </w:tc>
        <w:tc>
          <w:tcPr>
            <w:tcW w:w="50" w:type="pct"/>
            <w:shd w:val="clear" w:color="auto" w:fill="auto"/>
            <w:vAlign w:val="center"/>
          </w:tcPr>
          <w:p w14:paraId="4E569FEB" w14:textId="77777777" w:rsidR="00DF3E10" w:rsidRDefault="00DF3E10">
            <w:pPr>
              <w:rPr>
                <w:rFonts w:ascii="Times New Roman" w:hAnsi="Times New Roman"/>
                <w:sz w:val="20"/>
                <w:szCs w:val="20"/>
              </w:rPr>
            </w:pPr>
          </w:p>
        </w:tc>
        <w:tc>
          <w:tcPr>
            <w:tcW w:w="50" w:type="pct"/>
            <w:shd w:val="clear" w:color="auto" w:fill="auto"/>
            <w:vAlign w:val="center"/>
          </w:tcPr>
          <w:p w14:paraId="4E569FEC" w14:textId="77777777" w:rsidR="00DF3E10" w:rsidRDefault="00DF3E10">
            <w:pPr>
              <w:rPr>
                <w:rFonts w:ascii="Times New Roman" w:hAnsi="Times New Roman"/>
                <w:sz w:val="20"/>
                <w:szCs w:val="20"/>
              </w:rPr>
            </w:pPr>
          </w:p>
        </w:tc>
        <w:tc>
          <w:tcPr>
            <w:tcW w:w="650" w:type="pct"/>
            <w:shd w:val="clear" w:color="auto" w:fill="auto"/>
            <w:vAlign w:val="center"/>
          </w:tcPr>
          <w:p w14:paraId="4E569FED" w14:textId="77777777" w:rsidR="00DF3E10" w:rsidRDefault="00DF3E10">
            <w:pPr>
              <w:rPr>
                <w:rFonts w:ascii="Times New Roman" w:hAnsi="Times New Roman"/>
                <w:sz w:val="20"/>
                <w:szCs w:val="20"/>
              </w:rPr>
            </w:pPr>
          </w:p>
        </w:tc>
        <w:tc>
          <w:tcPr>
            <w:tcW w:w="50" w:type="pct"/>
            <w:shd w:val="clear" w:color="auto" w:fill="auto"/>
            <w:vAlign w:val="center"/>
          </w:tcPr>
          <w:p w14:paraId="4E569FEE" w14:textId="77777777" w:rsidR="00DF3E10" w:rsidRDefault="00DF3E10">
            <w:pPr>
              <w:rPr>
                <w:rFonts w:ascii="Times New Roman" w:hAnsi="Times New Roman"/>
                <w:sz w:val="20"/>
                <w:szCs w:val="20"/>
              </w:rPr>
            </w:pPr>
          </w:p>
        </w:tc>
      </w:tr>
      <w:tr w:rsidR="00DF3E10" w14:paraId="4E569FF4" w14:textId="77777777">
        <w:tc>
          <w:tcPr>
            <w:tcW w:w="0" w:type="auto"/>
            <w:shd w:val="clear" w:color="auto" w:fill="auto"/>
            <w:tcMar>
              <w:top w:w="40" w:type="dxa"/>
              <w:left w:w="40" w:type="dxa"/>
              <w:bottom w:w="40" w:type="dxa"/>
              <w:right w:w="40" w:type="dxa"/>
            </w:tcMar>
            <w:vAlign w:val="bottom"/>
          </w:tcPr>
          <w:p w14:paraId="4E569FF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FF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9F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9FF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9FFD" w14:textId="77777777">
        <w:tc>
          <w:tcPr>
            <w:tcW w:w="0" w:type="auto"/>
            <w:shd w:val="clear" w:color="auto" w:fill="auto"/>
            <w:tcMar>
              <w:top w:w="40" w:type="dxa"/>
              <w:left w:w="40" w:type="dxa"/>
              <w:bottom w:w="40" w:type="dxa"/>
              <w:right w:w="40" w:type="dxa"/>
            </w:tcMar>
            <w:vAlign w:val="bottom"/>
          </w:tcPr>
          <w:p w14:paraId="4E569FF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F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9F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F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9F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F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9F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9FF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00E" w14:textId="77777777">
        <w:tc>
          <w:tcPr>
            <w:tcW w:w="0" w:type="auto"/>
            <w:shd w:val="clear" w:color="auto" w:fill="CCEEFF"/>
            <w:tcMar>
              <w:top w:w="40" w:type="dxa"/>
              <w:left w:w="40" w:type="dxa"/>
              <w:bottom w:w="40" w:type="dxa"/>
              <w:right w:w="40" w:type="dxa"/>
            </w:tcMar>
            <w:vAlign w:val="bottom"/>
          </w:tcPr>
          <w:p w14:paraId="4E569F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tcBorders>
              <w:top w:val="single" w:sz="8" w:space="0" w:color="000000"/>
            </w:tcBorders>
            <w:shd w:val="clear" w:color="auto" w:fill="CCEEFF"/>
            <w:tcMar>
              <w:top w:w="40" w:type="dxa"/>
              <w:left w:w="40" w:type="dxa"/>
              <w:bottom w:w="40" w:type="dxa"/>
            </w:tcMar>
            <w:vAlign w:val="bottom"/>
          </w:tcPr>
          <w:p w14:paraId="4E569F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0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18,321</w:t>
            </w:r>
          </w:p>
        </w:tc>
        <w:tc>
          <w:tcPr>
            <w:tcW w:w="0" w:type="auto"/>
            <w:tcBorders>
              <w:top w:val="single" w:sz="8" w:space="0" w:color="000000"/>
            </w:tcBorders>
            <w:shd w:val="clear" w:color="auto" w:fill="CCEEFF"/>
            <w:vAlign w:val="bottom"/>
          </w:tcPr>
          <w:p w14:paraId="4E56A00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0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0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0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16,624</w:t>
            </w:r>
          </w:p>
        </w:tc>
        <w:tc>
          <w:tcPr>
            <w:tcW w:w="0" w:type="auto"/>
            <w:tcBorders>
              <w:top w:val="single" w:sz="8" w:space="0" w:color="000000"/>
            </w:tcBorders>
            <w:shd w:val="clear" w:color="auto" w:fill="CCEEFF"/>
            <w:vAlign w:val="bottom"/>
          </w:tcPr>
          <w:p w14:paraId="4E56A00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0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0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35,760</w:t>
            </w:r>
          </w:p>
        </w:tc>
        <w:tc>
          <w:tcPr>
            <w:tcW w:w="0" w:type="auto"/>
            <w:tcBorders>
              <w:top w:val="single" w:sz="8" w:space="0" w:color="000000"/>
            </w:tcBorders>
            <w:shd w:val="clear" w:color="auto" w:fill="CCEEFF"/>
            <w:vAlign w:val="bottom"/>
          </w:tcPr>
          <w:p w14:paraId="4E56A00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0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0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0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31,536</w:t>
            </w:r>
          </w:p>
        </w:tc>
        <w:tc>
          <w:tcPr>
            <w:tcW w:w="0" w:type="auto"/>
            <w:tcBorders>
              <w:top w:val="single" w:sz="8" w:space="0" w:color="000000"/>
            </w:tcBorders>
            <w:shd w:val="clear" w:color="auto" w:fill="CCEEFF"/>
            <w:vAlign w:val="bottom"/>
          </w:tcPr>
          <w:p w14:paraId="4E56A00D" w14:textId="77777777" w:rsidR="00DF3E10" w:rsidRDefault="00DF3E10">
            <w:pPr>
              <w:textAlignment w:val="bottom"/>
              <w:rPr>
                <w:rFonts w:ascii="Times New Roman" w:hAnsi="Times New Roman"/>
                <w:sz w:val="20"/>
                <w:szCs w:val="20"/>
              </w:rPr>
            </w:pPr>
          </w:p>
        </w:tc>
      </w:tr>
      <w:tr w:rsidR="00DF3E10" w14:paraId="4E56A01B" w14:textId="77777777">
        <w:tc>
          <w:tcPr>
            <w:tcW w:w="0" w:type="auto"/>
            <w:shd w:val="clear" w:color="auto" w:fill="auto"/>
            <w:tcMar>
              <w:top w:w="40" w:type="dxa"/>
              <w:left w:w="40" w:type="dxa"/>
              <w:bottom w:w="40" w:type="dxa"/>
              <w:right w:w="40" w:type="dxa"/>
            </w:tcMar>
            <w:vAlign w:val="bottom"/>
          </w:tcPr>
          <w:p w14:paraId="4E56A0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4E56A01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366</w:t>
            </w:r>
          </w:p>
        </w:tc>
        <w:tc>
          <w:tcPr>
            <w:tcW w:w="0" w:type="auto"/>
            <w:tcBorders>
              <w:bottom w:val="single" w:sz="8" w:space="0" w:color="000000"/>
            </w:tcBorders>
            <w:shd w:val="clear" w:color="auto" w:fill="auto"/>
            <w:vAlign w:val="bottom"/>
          </w:tcPr>
          <w:p w14:paraId="4E56A01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1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tcBorders>
              <w:bottom w:val="single" w:sz="8" w:space="0" w:color="000000"/>
            </w:tcBorders>
            <w:shd w:val="clear" w:color="auto" w:fill="auto"/>
            <w:vAlign w:val="bottom"/>
          </w:tcPr>
          <w:p w14:paraId="4E56A01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1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tcBorders>
              <w:bottom w:val="single" w:sz="8" w:space="0" w:color="000000"/>
            </w:tcBorders>
            <w:shd w:val="clear" w:color="auto" w:fill="auto"/>
            <w:vAlign w:val="bottom"/>
          </w:tcPr>
          <w:p w14:paraId="4E56A01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1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427</w:t>
            </w:r>
          </w:p>
        </w:tc>
        <w:tc>
          <w:tcPr>
            <w:tcW w:w="0" w:type="auto"/>
            <w:tcBorders>
              <w:bottom w:val="single" w:sz="8" w:space="0" w:color="000000"/>
            </w:tcBorders>
            <w:shd w:val="clear" w:color="auto" w:fill="auto"/>
            <w:vAlign w:val="bottom"/>
          </w:tcPr>
          <w:p w14:paraId="4E56A01A" w14:textId="77777777" w:rsidR="00DF3E10" w:rsidRDefault="00DF3E10">
            <w:pPr>
              <w:textAlignment w:val="bottom"/>
              <w:rPr>
                <w:rFonts w:ascii="Times New Roman" w:hAnsi="Times New Roman"/>
                <w:sz w:val="20"/>
                <w:szCs w:val="20"/>
              </w:rPr>
            </w:pPr>
          </w:p>
        </w:tc>
      </w:tr>
      <w:tr w:rsidR="00DF3E10" w14:paraId="4E56A02C" w14:textId="77777777">
        <w:tc>
          <w:tcPr>
            <w:tcW w:w="0" w:type="auto"/>
            <w:shd w:val="clear" w:color="auto" w:fill="CCEEFF"/>
            <w:tcMar>
              <w:top w:w="40" w:type="dxa"/>
              <w:left w:w="400" w:type="dxa"/>
              <w:bottom w:w="40" w:type="dxa"/>
              <w:right w:w="40" w:type="dxa"/>
            </w:tcMar>
          </w:tcPr>
          <w:p w14:paraId="4E56A01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4E56A0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1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18,687</w:t>
            </w:r>
          </w:p>
        </w:tc>
        <w:tc>
          <w:tcPr>
            <w:tcW w:w="0" w:type="auto"/>
            <w:tcBorders>
              <w:bottom w:val="double" w:sz="6" w:space="0" w:color="000000"/>
            </w:tcBorders>
            <w:shd w:val="clear" w:color="auto" w:fill="CCEEFF"/>
            <w:vAlign w:val="bottom"/>
          </w:tcPr>
          <w:p w14:paraId="4E56A01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0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2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tcBorders>
              <w:bottom w:val="double" w:sz="6" w:space="0" w:color="000000"/>
            </w:tcBorders>
            <w:shd w:val="clear" w:color="auto" w:fill="CCEEFF"/>
            <w:vAlign w:val="bottom"/>
          </w:tcPr>
          <w:p w14:paraId="4E56A02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0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2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36,423</w:t>
            </w:r>
          </w:p>
        </w:tc>
        <w:tc>
          <w:tcPr>
            <w:tcW w:w="0" w:type="auto"/>
            <w:tcBorders>
              <w:bottom w:val="double" w:sz="6" w:space="0" w:color="000000"/>
            </w:tcBorders>
            <w:shd w:val="clear" w:color="auto" w:fill="CCEEFF"/>
            <w:vAlign w:val="bottom"/>
          </w:tcPr>
          <w:p w14:paraId="4E56A02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0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2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31,963</w:t>
            </w:r>
          </w:p>
        </w:tc>
        <w:tc>
          <w:tcPr>
            <w:tcW w:w="0" w:type="auto"/>
            <w:tcBorders>
              <w:bottom w:val="double" w:sz="6" w:space="0" w:color="000000"/>
            </w:tcBorders>
            <w:shd w:val="clear" w:color="auto" w:fill="CCEEFF"/>
            <w:vAlign w:val="bottom"/>
          </w:tcPr>
          <w:p w14:paraId="4E56A02B" w14:textId="77777777" w:rsidR="00DF3E10" w:rsidRDefault="00DF3E10">
            <w:pPr>
              <w:textAlignment w:val="bottom"/>
              <w:rPr>
                <w:rFonts w:ascii="Times New Roman" w:hAnsi="Times New Roman"/>
                <w:sz w:val="20"/>
                <w:szCs w:val="20"/>
              </w:rPr>
            </w:pPr>
          </w:p>
        </w:tc>
      </w:tr>
    </w:tbl>
    <w:p w14:paraId="4E56A02D" w14:textId="77777777" w:rsidR="00DF3E10" w:rsidRDefault="00DF3E10">
      <w:pPr>
        <w:rPr>
          <w:rFonts w:ascii="Times New Roman" w:hAnsi="Times New Roman"/>
          <w:sz w:val="20"/>
          <w:szCs w:val="20"/>
        </w:rPr>
      </w:pPr>
    </w:p>
    <w:p w14:paraId="4E56A02E"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15</w:t>
      </w:r>
    </w:p>
    <w:p w14:paraId="4E56A02F" w14:textId="77777777" w:rsidR="00DF3E10" w:rsidRDefault="006B6C28">
      <w:r>
        <w:rPr>
          <w:rFonts w:ascii="Times New Roman" w:hAnsi="Times New Roman"/>
          <w:sz w:val="20"/>
          <w:szCs w:val="20"/>
        </w:rPr>
        <w:pict w14:anchorId="4E56B75C">
          <v:rect id="_x0000_i1039" style="width:415.3pt;height:1.5pt" o:hralign="center" o:hrstd="t" o:hr="t" fillcolor="#a0a0a0" stroked="f"/>
        </w:pict>
      </w:r>
    </w:p>
    <w:p w14:paraId="4E56A030" w14:textId="77777777" w:rsidR="00DF3E10" w:rsidRDefault="00DF3E10">
      <w:pPr>
        <w:rPr>
          <w:rFonts w:ascii="Times New Roman" w:hAnsi="Times New Roman"/>
          <w:sz w:val="20"/>
          <w:szCs w:val="20"/>
        </w:rPr>
      </w:pPr>
    </w:p>
    <w:p w14:paraId="4E56A03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Revenue disaggregated by geography, based on the addresses of our customers, consists of the following (in millions):</w:t>
      </w:r>
    </w:p>
    <w:tbl>
      <w:tblPr>
        <w:tblW w:w="5000" w:type="pct"/>
        <w:tblCellMar>
          <w:left w:w="0" w:type="dxa"/>
          <w:right w:w="0" w:type="dxa"/>
        </w:tblCellMar>
        <w:tblLook w:val="04A0" w:firstRow="1" w:lastRow="0" w:firstColumn="1" w:lastColumn="0" w:noHBand="0" w:noVBand="1"/>
      </w:tblPr>
      <w:tblGrid>
        <w:gridCol w:w="3198"/>
        <w:gridCol w:w="140"/>
        <w:gridCol w:w="956"/>
        <w:gridCol w:w="42"/>
        <w:gridCol w:w="130"/>
        <w:gridCol w:w="140"/>
        <w:gridCol w:w="1039"/>
        <w:gridCol w:w="42"/>
        <w:gridCol w:w="130"/>
        <w:gridCol w:w="140"/>
        <w:gridCol w:w="956"/>
        <w:gridCol w:w="42"/>
        <w:gridCol w:w="130"/>
        <w:gridCol w:w="140"/>
        <w:gridCol w:w="1039"/>
        <w:gridCol w:w="42"/>
      </w:tblGrid>
      <w:tr w:rsidR="00DF3E10" w14:paraId="4E56A033" w14:textId="77777777">
        <w:tc>
          <w:tcPr>
            <w:tcW w:w="0" w:type="auto"/>
            <w:gridSpan w:val="16"/>
            <w:shd w:val="clear" w:color="auto" w:fill="auto"/>
            <w:vAlign w:val="center"/>
          </w:tcPr>
          <w:p w14:paraId="4E56A032" w14:textId="77777777" w:rsidR="00DF3E10" w:rsidRDefault="00DF3E10">
            <w:pPr>
              <w:rPr>
                <w:rFonts w:ascii="Times New Roman" w:hAnsi="Times New Roman"/>
                <w:sz w:val="20"/>
                <w:szCs w:val="20"/>
              </w:rPr>
            </w:pPr>
          </w:p>
        </w:tc>
      </w:tr>
      <w:tr w:rsidR="00DF3E10" w14:paraId="4E56A044" w14:textId="77777777">
        <w:tc>
          <w:tcPr>
            <w:tcW w:w="1950" w:type="pct"/>
            <w:shd w:val="clear" w:color="auto" w:fill="auto"/>
            <w:vAlign w:val="center"/>
          </w:tcPr>
          <w:p w14:paraId="4E56A034" w14:textId="77777777" w:rsidR="00DF3E10" w:rsidRDefault="00DF3E10">
            <w:pPr>
              <w:rPr>
                <w:rFonts w:ascii="Times New Roman" w:hAnsi="Times New Roman"/>
                <w:sz w:val="20"/>
                <w:szCs w:val="20"/>
              </w:rPr>
            </w:pPr>
          </w:p>
        </w:tc>
        <w:tc>
          <w:tcPr>
            <w:tcW w:w="50" w:type="pct"/>
            <w:shd w:val="clear" w:color="auto" w:fill="auto"/>
            <w:vAlign w:val="center"/>
          </w:tcPr>
          <w:p w14:paraId="4E56A035" w14:textId="77777777" w:rsidR="00DF3E10" w:rsidRDefault="00DF3E10">
            <w:pPr>
              <w:rPr>
                <w:rFonts w:ascii="Times New Roman" w:hAnsi="Times New Roman"/>
                <w:sz w:val="20"/>
                <w:szCs w:val="20"/>
              </w:rPr>
            </w:pPr>
          </w:p>
        </w:tc>
        <w:tc>
          <w:tcPr>
            <w:tcW w:w="600" w:type="pct"/>
            <w:shd w:val="clear" w:color="auto" w:fill="auto"/>
            <w:vAlign w:val="center"/>
          </w:tcPr>
          <w:p w14:paraId="4E56A036" w14:textId="77777777" w:rsidR="00DF3E10" w:rsidRDefault="00DF3E10">
            <w:pPr>
              <w:rPr>
                <w:rFonts w:ascii="Times New Roman" w:hAnsi="Times New Roman"/>
                <w:sz w:val="20"/>
                <w:szCs w:val="20"/>
              </w:rPr>
            </w:pPr>
          </w:p>
        </w:tc>
        <w:tc>
          <w:tcPr>
            <w:tcW w:w="50" w:type="pct"/>
            <w:shd w:val="clear" w:color="auto" w:fill="auto"/>
            <w:vAlign w:val="center"/>
          </w:tcPr>
          <w:p w14:paraId="4E56A037" w14:textId="77777777" w:rsidR="00DF3E10" w:rsidRDefault="00DF3E10">
            <w:pPr>
              <w:rPr>
                <w:rFonts w:ascii="Times New Roman" w:hAnsi="Times New Roman"/>
                <w:sz w:val="20"/>
                <w:szCs w:val="20"/>
              </w:rPr>
            </w:pPr>
          </w:p>
        </w:tc>
        <w:tc>
          <w:tcPr>
            <w:tcW w:w="50" w:type="pct"/>
            <w:shd w:val="clear" w:color="auto" w:fill="auto"/>
            <w:vAlign w:val="center"/>
          </w:tcPr>
          <w:p w14:paraId="4E56A038" w14:textId="77777777" w:rsidR="00DF3E10" w:rsidRDefault="00DF3E10">
            <w:pPr>
              <w:rPr>
                <w:rFonts w:ascii="Times New Roman" w:hAnsi="Times New Roman"/>
                <w:sz w:val="20"/>
                <w:szCs w:val="20"/>
              </w:rPr>
            </w:pPr>
          </w:p>
        </w:tc>
        <w:tc>
          <w:tcPr>
            <w:tcW w:w="50" w:type="pct"/>
            <w:shd w:val="clear" w:color="auto" w:fill="auto"/>
            <w:vAlign w:val="center"/>
          </w:tcPr>
          <w:p w14:paraId="4E56A039" w14:textId="77777777" w:rsidR="00DF3E10" w:rsidRDefault="00DF3E10">
            <w:pPr>
              <w:rPr>
                <w:rFonts w:ascii="Times New Roman" w:hAnsi="Times New Roman"/>
                <w:sz w:val="20"/>
                <w:szCs w:val="20"/>
              </w:rPr>
            </w:pPr>
          </w:p>
        </w:tc>
        <w:tc>
          <w:tcPr>
            <w:tcW w:w="650" w:type="pct"/>
            <w:shd w:val="clear" w:color="auto" w:fill="auto"/>
            <w:vAlign w:val="center"/>
          </w:tcPr>
          <w:p w14:paraId="4E56A03A" w14:textId="77777777" w:rsidR="00DF3E10" w:rsidRDefault="00DF3E10">
            <w:pPr>
              <w:rPr>
                <w:rFonts w:ascii="Times New Roman" w:hAnsi="Times New Roman"/>
                <w:sz w:val="20"/>
                <w:szCs w:val="20"/>
              </w:rPr>
            </w:pPr>
          </w:p>
        </w:tc>
        <w:tc>
          <w:tcPr>
            <w:tcW w:w="50" w:type="pct"/>
            <w:shd w:val="clear" w:color="auto" w:fill="auto"/>
            <w:vAlign w:val="center"/>
          </w:tcPr>
          <w:p w14:paraId="4E56A03B" w14:textId="77777777" w:rsidR="00DF3E10" w:rsidRDefault="00DF3E10">
            <w:pPr>
              <w:rPr>
                <w:rFonts w:ascii="Times New Roman" w:hAnsi="Times New Roman"/>
                <w:sz w:val="20"/>
                <w:szCs w:val="20"/>
              </w:rPr>
            </w:pPr>
          </w:p>
        </w:tc>
        <w:tc>
          <w:tcPr>
            <w:tcW w:w="50" w:type="pct"/>
            <w:shd w:val="clear" w:color="auto" w:fill="auto"/>
            <w:vAlign w:val="center"/>
          </w:tcPr>
          <w:p w14:paraId="4E56A03C" w14:textId="77777777" w:rsidR="00DF3E10" w:rsidRDefault="00DF3E10">
            <w:pPr>
              <w:rPr>
                <w:rFonts w:ascii="Times New Roman" w:hAnsi="Times New Roman"/>
                <w:sz w:val="20"/>
                <w:szCs w:val="20"/>
              </w:rPr>
            </w:pPr>
          </w:p>
        </w:tc>
        <w:tc>
          <w:tcPr>
            <w:tcW w:w="50" w:type="pct"/>
            <w:shd w:val="clear" w:color="auto" w:fill="auto"/>
            <w:vAlign w:val="center"/>
          </w:tcPr>
          <w:p w14:paraId="4E56A03D" w14:textId="77777777" w:rsidR="00DF3E10" w:rsidRDefault="00DF3E10">
            <w:pPr>
              <w:rPr>
                <w:rFonts w:ascii="Times New Roman" w:hAnsi="Times New Roman"/>
                <w:sz w:val="20"/>
                <w:szCs w:val="20"/>
              </w:rPr>
            </w:pPr>
          </w:p>
        </w:tc>
        <w:tc>
          <w:tcPr>
            <w:tcW w:w="600" w:type="pct"/>
            <w:shd w:val="clear" w:color="auto" w:fill="auto"/>
            <w:vAlign w:val="center"/>
          </w:tcPr>
          <w:p w14:paraId="4E56A03E" w14:textId="77777777" w:rsidR="00DF3E10" w:rsidRDefault="00DF3E10">
            <w:pPr>
              <w:rPr>
                <w:rFonts w:ascii="Times New Roman" w:hAnsi="Times New Roman"/>
                <w:sz w:val="20"/>
                <w:szCs w:val="20"/>
              </w:rPr>
            </w:pPr>
          </w:p>
        </w:tc>
        <w:tc>
          <w:tcPr>
            <w:tcW w:w="50" w:type="pct"/>
            <w:shd w:val="clear" w:color="auto" w:fill="auto"/>
            <w:vAlign w:val="center"/>
          </w:tcPr>
          <w:p w14:paraId="4E56A03F" w14:textId="77777777" w:rsidR="00DF3E10" w:rsidRDefault="00DF3E10">
            <w:pPr>
              <w:rPr>
                <w:rFonts w:ascii="Times New Roman" w:hAnsi="Times New Roman"/>
                <w:sz w:val="20"/>
                <w:szCs w:val="20"/>
              </w:rPr>
            </w:pPr>
          </w:p>
        </w:tc>
        <w:tc>
          <w:tcPr>
            <w:tcW w:w="50" w:type="pct"/>
            <w:shd w:val="clear" w:color="auto" w:fill="auto"/>
            <w:vAlign w:val="center"/>
          </w:tcPr>
          <w:p w14:paraId="4E56A040" w14:textId="77777777" w:rsidR="00DF3E10" w:rsidRDefault="00DF3E10">
            <w:pPr>
              <w:rPr>
                <w:rFonts w:ascii="Times New Roman" w:hAnsi="Times New Roman"/>
                <w:sz w:val="20"/>
                <w:szCs w:val="20"/>
              </w:rPr>
            </w:pPr>
          </w:p>
        </w:tc>
        <w:tc>
          <w:tcPr>
            <w:tcW w:w="50" w:type="pct"/>
            <w:shd w:val="clear" w:color="auto" w:fill="auto"/>
            <w:vAlign w:val="center"/>
          </w:tcPr>
          <w:p w14:paraId="4E56A041" w14:textId="77777777" w:rsidR="00DF3E10" w:rsidRDefault="00DF3E10">
            <w:pPr>
              <w:rPr>
                <w:rFonts w:ascii="Times New Roman" w:hAnsi="Times New Roman"/>
                <w:sz w:val="20"/>
                <w:szCs w:val="20"/>
              </w:rPr>
            </w:pPr>
          </w:p>
        </w:tc>
        <w:tc>
          <w:tcPr>
            <w:tcW w:w="650" w:type="pct"/>
            <w:shd w:val="clear" w:color="auto" w:fill="auto"/>
            <w:vAlign w:val="center"/>
          </w:tcPr>
          <w:p w14:paraId="4E56A042" w14:textId="77777777" w:rsidR="00DF3E10" w:rsidRDefault="00DF3E10">
            <w:pPr>
              <w:rPr>
                <w:rFonts w:ascii="Times New Roman" w:hAnsi="Times New Roman"/>
                <w:sz w:val="20"/>
                <w:szCs w:val="20"/>
              </w:rPr>
            </w:pPr>
          </w:p>
        </w:tc>
        <w:tc>
          <w:tcPr>
            <w:tcW w:w="50" w:type="pct"/>
            <w:shd w:val="clear" w:color="auto" w:fill="auto"/>
            <w:vAlign w:val="center"/>
          </w:tcPr>
          <w:p w14:paraId="4E56A043" w14:textId="77777777" w:rsidR="00DF3E10" w:rsidRDefault="00DF3E10">
            <w:pPr>
              <w:rPr>
                <w:rFonts w:ascii="Times New Roman" w:hAnsi="Times New Roman"/>
                <w:sz w:val="20"/>
                <w:szCs w:val="20"/>
              </w:rPr>
            </w:pPr>
          </w:p>
        </w:tc>
      </w:tr>
      <w:tr w:rsidR="00DF3E10" w14:paraId="4E56A049" w14:textId="77777777">
        <w:tc>
          <w:tcPr>
            <w:tcW w:w="0" w:type="auto"/>
            <w:shd w:val="clear" w:color="auto" w:fill="auto"/>
            <w:tcMar>
              <w:top w:w="40" w:type="dxa"/>
              <w:left w:w="40" w:type="dxa"/>
              <w:bottom w:w="40" w:type="dxa"/>
              <w:right w:w="40" w:type="dxa"/>
            </w:tcMar>
            <w:vAlign w:val="bottom"/>
          </w:tcPr>
          <w:p w14:paraId="4E56A04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04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0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04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052" w14:textId="77777777">
        <w:tc>
          <w:tcPr>
            <w:tcW w:w="0" w:type="auto"/>
            <w:shd w:val="clear" w:color="auto" w:fill="auto"/>
            <w:tcMar>
              <w:top w:w="40" w:type="dxa"/>
              <w:left w:w="40" w:type="dxa"/>
              <w:bottom w:w="40" w:type="dxa"/>
              <w:right w:w="40" w:type="dxa"/>
            </w:tcMar>
            <w:vAlign w:val="bottom"/>
          </w:tcPr>
          <w:p w14:paraId="4E56A04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04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0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04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0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04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0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05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063" w14:textId="77777777">
        <w:tc>
          <w:tcPr>
            <w:tcW w:w="0" w:type="auto"/>
            <w:shd w:val="clear" w:color="auto" w:fill="CCEEFF"/>
            <w:tcMar>
              <w:top w:w="40" w:type="dxa"/>
              <w:left w:w="40" w:type="dxa"/>
              <w:bottom w:w="40" w:type="dxa"/>
              <w:right w:w="40" w:type="dxa"/>
            </w:tcMar>
          </w:tcPr>
          <w:p w14:paraId="4E56A05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United States and </w:t>
            </w:r>
            <w:r>
              <w:rPr>
                <w:rFonts w:ascii="Times New Roman" w:eastAsia="宋体" w:hAnsi="Times New Roman"/>
                <w:sz w:val="20"/>
                <w:szCs w:val="20"/>
              </w:rPr>
              <w:t>Canada</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4E56A0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05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8,292</w:t>
            </w:r>
          </w:p>
        </w:tc>
        <w:tc>
          <w:tcPr>
            <w:tcW w:w="0" w:type="auto"/>
            <w:shd w:val="clear" w:color="auto" w:fill="CCEEFF"/>
            <w:vAlign w:val="bottom"/>
          </w:tcPr>
          <w:p w14:paraId="4E56A05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0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0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7,632</w:t>
            </w:r>
          </w:p>
        </w:tc>
        <w:tc>
          <w:tcPr>
            <w:tcW w:w="0" w:type="auto"/>
            <w:shd w:val="clear" w:color="auto" w:fill="CCEEFF"/>
            <w:vAlign w:val="bottom"/>
          </w:tcPr>
          <w:p w14:paraId="4E56A05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0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05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16,304</w:t>
            </w:r>
          </w:p>
        </w:tc>
        <w:tc>
          <w:tcPr>
            <w:tcW w:w="0" w:type="auto"/>
            <w:shd w:val="clear" w:color="auto" w:fill="CCEEFF"/>
            <w:vAlign w:val="bottom"/>
          </w:tcPr>
          <w:p w14:paraId="4E56A05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0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06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14,409</w:t>
            </w:r>
          </w:p>
        </w:tc>
        <w:tc>
          <w:tcPr>
            <w:tcW w:w="0" w:type="auto"/>
            <w:shd w:val="clear" w:color="auto" w:fill="CCEEFF"/>
            <w:vAlign w:val="bottom"/>
          </w:tcPr>
          <w:p w14:paraId="4E56A062" w14:textId="77777777" w:rsidR="00DF3E10" w:rsidRDefault="00DF3E10">
            <w:pPr>
              <w:textAlignment w:val="bottom"/>
              <w:rPr>
                <w:rFonts w:ascii="Times New Roman" w:hAnsi="Times New Roman"/>
                <w:sz w:val="20"/>
                <w:szCs w:val="20"/>
              </w:rPr>
            </w:pPr>
          </w:p>
        </w:tc>
      </w:tr>
      <w:tr w:rsidR="00DF3E10" w14:paraId="4E56A070" w14:textId="77777777">
        <w:tc>
          <w:tcPr>
            <w:tcW w:w="0" w:type="auto"/>
            <w:shd w:val="clear" w:color="auto" w:fill="auto"/>
            <w:tcMar>
              <w:top w:w="40" w:type="dxa"/>
              <w:left w:w="40" w:type="dxa"/>
              <w:bottom w:w="40" w:type="dxa"/>
              <w:right w:w="40" w:type="dxa"/>
            </w:tcMar>
          </w:tcPr>
          <w:p w14:paraId="4E56A06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Europe</w:t>
            </w:r>
            <w:r>
              <w:rPr>
                <w:rFonts w:ascii="Times New Roman" w:eastAsia="宋体" w:hAnsi="Times New Roman"/>
                <w:sz w:val="14"/>
                <w:szCs w:val="14"/>
              </w:rPr>
              <w:t>(2)</w:t>
            </w:r>
          </w:p>
        </w:tc>
        <w:tc>
          <w:tcPr>
            <w:tcW w:w="0" w:type="auto"/>
            <w:gridSpan w:val="2"/>
            <w:shd w:val="clear" w:color="auto" w:fill="auto"/>
            <w:tcMar>
              <w:top w:w="40" w:type="dxa"/>
              <w:left w:w="40" w:type="dxa"/>
              <w:bottom w:w="40" w:type="dxa"/>
            </w:tcMar>
            <w:vAlign w:val="bottom"/>
          </w:tcPr>
          <w:p w14:paraId="4E56A06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4,249</w:t>
            </w:r>
          </w:p>
        </w:tc>
        <w:tc>
          <w:tcPr>
            <w:tcW w:w="0" w:type="auto"/>
            <w:shd w:val="clear" w:color="auto" w:fill="auto"/>
            <w:vAlign w:val="bottom"/>
          </w:tcPr>
          <w:p w14:paraId="4E56A06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0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4,097</w:t>
            </w:r>
          </w:p>
        </w:tc>
        <w:tc>
          <w:tcPr>
            <w:tcW w:w="0" w:type="auto"/>
            <w:shd w:val="clear" w:color="auto" w:fill="auto"/>
            <w:vAlign w:val="bottom"/>
          </w:tcPr>
          <w:p w14:paraId="4E56A06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06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8,398</w:t>
            </w:r>
          </w:p>
        </w:tc>
        <w:tc>
          <w:tcPr>
            <w:tcW w:w="0" w:type="auto"/>
            <w:shd w:val="clear" w:color="auto" w:fill="auto"/>
            <w:vAlign w:val="bottom"/>
          </w:tcPr>
          <w:p w14:paraId="4E56A06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06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7,721</w:t>
            </w:r>
          </w:p>
        </w:tc>
        <w:tc>
          <w:tcPr>
            <w:tcW w:w="0" w:type="auto"/>
            <w:shd w:val="clear" w:color="auto" w:fill="auto"/>
            <w:vAlign w:val="bottom"/>
          </w:tcPr>
          <w:p w14:paraId="4E56A06F" w14:textId="77777777" w:rsidR="00DF3E10" w:rsidRDefault="00DF3E10">
            <w:pPr>
              <w:textAlignment w:val="bottom"/>
              <w:rPr>
                <w:rFonts w:ascii="Times New Roman" w:hAnsi="Times New Roman"/>
                <w:sz w:val="20"/>
                <w:szCs w:val="20"/>
              </w:rPr>
            </w:pPr>
          </w:p>
        </w:tc>
      </w:tr>
      <w:tr w:rsidR="00DF3E10" w14:paraId="4E56A07D" w14:textId="77777777">
        <w:tc>
          <w:tcPr>
            <w:tcW w:w="0" w:type="auto"/>
            <w:shd w:val="clear" w:color="auto" w:fill="CCEEFF"/>
            <w:tcMar>
              <w:top w:w="40" w:type="dxa"/>
              <w:left w:w="40" w:type="dxa"/>
              <w:bottom w:w="40" w:type="dxa"/>
              <w:right w:w="40" w:type="dxa"/>
            </w:tcMar>
          </w:tcPr>
          <w:p w14:paraId="4E56A07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Asia-Pacific</w:t>
            </w:r>
          </w:p>
        </w:tc>
        <w:tc>
          <w:tcPr>
            <w:tcW w:w="0" w:type="auto"/>
            <w:gridSpan w:val="2"/>
            <w:shd w:val="clear" w:color="auto" w:fill="CCEEFF"/>
            <w:tcMar>
              <w:top w:w="40" w:type="dxa"/>
              <w:left w:w="40" w:type="dxa"/>
              <w:bottom w:w="40" w:type="dxa"/>
            </w:tcMar>
            <w:vAlign w:val="bottom"/>
          </w:tcPr>
          <w:p w14:paraId="4E56A07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4,611</w:t>
            </w:r>
          </w:p>
        </w:tc>
        <w:tc>
          <w:tcPr>
            <w:tcW w:w="0" w:type="auto"/>
            <w:shd w:val="clear" w:color="auto" w:fill="CCEEFF"/>
            <w:vAlign w:val="bottom"/>
          </w:tcPr>
          <w:p w14:paraId="4E56A07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07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3,628</w:t>
            </w:r>
          </w:p>
        </w:tc>
        <w:tc>
          <w:tcPr>
            <w:tcW w:w="0" w:type="auto"/>
            <w:shd w:val="clear" w:color="auto" w:fill="CCEEFF"/>
            <w:vAlign w:val="bottom"/>
          </w:tcPr>
          <w:p w14:paraId="4E56A07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0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8,582</w:t>
            </w:r>
          </w:p>
        </w:tc>
        <w:tc>
          <w:tcPr>
            <w:tcW w:w="0" w:type="auto"/>
            <w:shd w:val="clear" w:color="auto" w:fill="CCEEFF"/>
            <w:vAlign w:val="bottom"/>
          </w:tcPr>
          <w:p w14:paraId="4E56A07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0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6,965</w:t>
            </w:r>
          </w:p>
        </w:tc>
        <w:tc>
          <w:tcPr>
            <w:tcW w:w="0" w:type="auto"/>
            <w:shd w:val="clear" w:color="auto" w:fill="CCEEFF"/>
            <w:vAlign w:val="bottom"/>
          </w:tcPr>
          <w:p w14:paraId="4E56A07C" w14:textId="77777777" w:rsidR="00DF3E10" w:rsidRDefault="00DF3E10">
            <w:pPr>
              <w:textAlignment w:val="bottom"/>
              <w:rPr>
                <w:rFonts w:ascii="Times New Roman" w:hAnsi="Times New Roman"/>
                <w:sz w:val="20"/>
                <w:szCs w:val="20"/>
              </w:rPr>
            </w:pPr>
          </w:p>
        </w:tc>
      </w:tr>
      <w:tr w:rsidR="00DF3E10" w14:paraId="4E56A08A" w14:textId="77777777">
        <w:tc>
          <w:tcPr>
            <w:tcW w:w="0" w:type="auto"/>
            <w:shd w:val="clear" w:color="auto" w:fill="auto"/>
            <w:tcMar>
              <w:top w:w="40" w:type="dxa"/>
              <w:left w:w="40" w:type="dxa"/>
              <w:bottom w:w="40" w:type="dxa"/>
              <w:right w:w="40" w:type="dxa"/>
            </w:tcMar>
          </w:tcPr>
          <w:p w14:paraId="4E56A07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Rest of World</w:t>
            </w:r>
            <w:r>
              <w:rPr>
                <w:rFonts w:ascii="Times New Roman" w:eastAsia="宋体" w:hAnsi="Times New Roman"/>
                <w:sz w:val="14"/>
                <w:szCs w:val="14"/>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4E56A07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1,535</w:t>
            </w:r>
          </w:p>
        </w:tc>
        <w:tc>
          <w:tcPr>
            <w:tcW w:w="0" w:type="auto"/>
            <w:tcBorders>
              <w:bottom w:val="single" w:sz="8" w:space="0" w:color="000000"/>
            </w:tcBorders>
            <w:shd w:val="clear" w:color="auto" w:fill="auto"/>
            <w:vAlign w:val="bottom"/>
          </w:tcPr>
          <w:p w14:paraId="4E56A08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1,529</w:t>
            </w:r>
          </w:p>
        </w:tc>
        <w:tc>
          <w:tcPr>
            <w:tcW w:w="0" w:type="auto"/>
            <w:tcBorders>
              <w:bottom w:val="single" w:sz="8" w:space="0" w:color="000000"/>
            </w:tcBorders>
            <w:shd w:val="clear" w:color="auto" w:fill="auto"/>
            <w:vAlign w:val="bottom"/>
          </w:tcPr>
          <w:p w14:paraId="4E56A0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3,139</w:t>
            </w:r>
          </w:p>
        </w:tc>
        <w:tc>
          <w:tcPr>
            <w:tcW w:w="0" w:type="auto"/>
            <w:tcBorders>
              <w:bottom w:val="single" w:sz="8" w:space="0" w:color="000000"/>
            </w:tcBorders>
            <w:shd w:val="clear" w:color="auto" w:fill="auto"/>
            <w:vAlign w:val="bottom"/>
          </w:tcPr>
          <w:p w14:paraId="4E56A08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2,868</w:t>
            </w:r>
          </w:p>
        </w:tc>
        <w:tc>
          <w:tcPr>
            <w:tcW w:w="0" w:type="auto"/>
            <w:tcBorders>
              <w:bottom w:val="single" w:sz="8" w:space="0" w:color="000000"/>
            </w:tcBorders>
            <w:shd w:val="clear" w:color="auto" w:fill="auto"/>
            <w:vAlign w:val="bottom"/>
          </w:tcPr>
          <w:p w14:paraId="4E56A089" w14:textId="77777777" w:rsidR="00DF3E10" w:rsidRDefault="00DF3E10">
            <w:pPr>
              <w:textAlignment w:val="bottom"/>
              <w:rPr>
                <w:rFonts w:ascii="Times New Roman" w:hAnsi="Times New Roman"/>
                <w:sz w:val="20"/>
                <w:szCs w:val="20"/>
              </w:rPr>
            </w:pPr>
          </w:p>
        </w:tc>
      </w:tr>
      <w:tr w:rsidR="00DF3E10" w14:paraId="4E56A09B" w14:textId="77777777">
        <w:tc>
          <w:tcPr>
            <w:tcW w:w="0" w:type="auto"/>
            <w:shd w:val="clear" w:color="auto" w:fill="CCEEFF"/>
            <w:tcMar>
              <w:top w:w="40" w:type="dxa"/>
              <w:left w:w="400" w:type="dxa"/>
              <w:bottom w:w="40" w:type="dxa"/>
              <w:right w:w="40" w:type="dxa"/>
            </w:tcMar>
          </w:tcPr>
          <w:p w14:paraId="4E56A08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0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08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18,687</w:t>
            </w:r>
          </w:p>
        </w:tc>
        <w:tc>
          <w:tcPr>
            <w:tcW w:w="0" w:type="auto"/>
            <w:tcBorders>
              <w:top w:val="single" w:sz="8" w:space="0" w:color="000000"/>
              <w:bottom w:val="double" w:sz="6" w:space="0" w:color="000000"/>
            </w:tcBorders>
            <w:shd w:val="clear" w:color="auto" w:fill="CCEEFF"/>
            <w:vAlign w:val="bottom"/>
          </w:tcPr>
          <w:p w14:paraId="4E56A08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0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09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tcBorders>
              <w:top w:val="single" w:sz="8" w:space="0" w:color="000000"/>
              <w:bottom w:val="double" w:sz="6" w:space="0" w:color="000000"/>
            </w:tcBorders>
            <w:shd w:val="clear" w:color="auto" w:fill="CCEEFF"/>
            <w:vAlign w:val="bottom"/>
          </w:tcPr>
          <w:p w14:paraId="4E56A09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0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36,423</w:t>
            </w:r>
          </w:p>
        </w:tc>
        <w:tc>
          <w:tcPr>
            <w:tcW w:w="0" w:type="auto"/>
            <w:tcBorders>
              <w:bottom w:val="double" w:sz="6" w:space="0" w:color="000000"/>
            </w:tcBorders>
            <w:shd w:val="clear" w:color="auto" w:fill="CCEEFF"/>
            <w:vAlign w:val="bottom"/>
          </w:tcPr>
          <w:p w14:paraId="4E56A09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09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09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31,963</w:t>
            </w:r>
          </w:p>
        </w:tc>
        <w:tc>
          <w:tcPr>
            <w:tcW w:w="0" w:type="auto"/>
            <w:tcBorders>
              <w:bottom w:val="double" w:sz="6" w:space="0" w:color="000000"/>
            </w:tcBorders>
            <w:shd w:val="clear" w:color="auto" w:fill="CCEEFF"/>
            <w:vAlign w:val="bottom"/>
          </w:tcPr>
          <w:p w14:paraId="4E56A09A" w14:textId="77777777" w:rsidR="00DF3E10" w:rsidRDefault="00DF3E10">
            <w:pPr>
              <w:textAlignment w:val="bottom"/>
              <w:rPr>
                <w:rFonts w:ascii="Times New Roman" w:hAnsi="Times New Roman"/>
                <w:sz w:val="20"/>
                <w:szCs w:val="20"/>
              </w:rPr>
            </w:pPr>
          </w:p>
        </w:tc>
      </w:tr>
    </w:tbl>
    <w:p w14:paraId="4E56A09C" w14:textId="77777777" w:rsidR="00DF3E10" w:rsidRDefault="006B6C28">
      <w:pPr>
        <w:spacing w:line="288" w:lineRule="auto"/>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DF3E10" w14:paraId="4E56A09F" w14:textId="77777777">
        <w:trPr>
          <w:tblCellSpacing w:w="0" w:type="dxa"/>
        </w:trPr>
        <w:tc>
          <w:tcPr>
            <w:tcW w:w="480" w:type="dxa"/>
            <w:shd w:val="clear" w:color="auto" w:fill="auto"/>
            <w:vAlign w:val="center"/>
          </w:tcPr>
          <w:p w14:paraId="4E56A09D" w14:textId="77777777" w:rsidR="00DF3E10" w:rsidRDefault="00DF3E10">
            <w:pPr>
              <w:rPr>
                <w:rFonts w:ascii="Times New Roman" w:hAnsi="Times New Roman"/>
                <w:sz w:val="20"/>
                <w:szCs w:val="20"/>
              </w:rPr>
            </w:pPr>
          </w:p>
        </w:tc>
        <w:tc>
          <w:tcPr>
            <w:tcW w:w="0" w:type="auto"/>
            <w:shd w:val="clear" w:color="auto" w:fill="auto"/>
            <w:vAlign w:val="center"/>
          </w:tcPr>
          <w:p w14:paraId="4E56A09E" w14:textId="77777777" w:rsidR="00DF3E10" w:rsidRDefault="00DF3E10">
            <w:pPr>
              <w:rPr>
                <w:rFonts w:ascii="Times New Roman" w:hAnsi="Times New Roman"/>
                <w:sz w:val="20"/>
                <w:szCs w:val="20"/>
              </w:rPr>
            </w:pPr>
          </w:p>
        </w:tc>
      </w:tr>
      <w:tr w:rsidR="00DF3E10" w14:paraId="4E56A0A2" w14:textId="77777777">
        <w:trPr>
          <w:tblCellSpacing w:w="0" w:type="dxa"/>
        </w:trPr>
        <w:tc>
          <w:tcPr>
            <w:tcW w:w="0" w:type="auto"/>
            <w:shd w:val="clear" w:color="auto" w:fill="auto"/>
          </w:tcPr>
          <w:p w14:paraId="4E56A0A0"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A0A1"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United States revenue was $7.83 billion and $7.14 billion for the three months ended June 30, 2020 and 2019, respectively, and $15.38 billion and $13.51 billion for the six months ended June 30, 2020 and 2019, respectively. </w:t>
            </w:r>
          </w:p>
        </w:tc>
      </w:tr>
    </w:tbl>
    <w:p w14:paraId="4E56A0A3"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DF3E10" w14:paraId="4E56A0A6" w14:textId="77777777">
        <w:trPr>
          <w:tblCellSpacing w:w="0" w:type="dxa"/>
        </w:trPr>
        <w:tc>
          <w:tcPr>
            <w:tcW w:w="480" w:type="dxa"/>
            <w:shd w:val="clear" w:color="auto" w:fill="auto"/>
            <w:vAlign w:val="center"/>
          </w:tcPr>
          <w:p w14:paraId="4E56A0A4" w14:textId="77777777" w:rsidR="00DF3E10" w:rsidRDefault="00DF3E10">
            <w:pPr>
              <w:rPr>
                <w:rFonts w:ascii="Times New Roman" w:hAnsi="Times New Roman"/>
                <w:sz w:val="20"/>
                <w:szCs w:val="20"/>
              </w:rPr>
            </w:pPr>
          </w:p>
        </w:tc>
        <w:tc>
          <w:tcPr>
            <w:tcW w:w="0" w:type="auto"/>
            <w:shd w:val="clear" w:color="auto" w:fill="auto"/>
            <w:vAlign w:val="center"/>
          </w:tcPr>
          <w:p w14:paraId="4E56A0A5" w14:textId="77777777" w:rsidR="00DF3E10" w:rsidRDefault="00DF3E10">
            <w:pPr>
              <w:rPr>
                <w:rFonts w:ascii="Times New Roman" w:hAnsi="Times New Roman"/>
                <w:sz w:val="20"/>
                <w:szCs w:val="20"/>
              </w:rPr>
            </w:pPr>
          </w:p>
        </w:tc>
      </w:tr>
      <w:tr w:rsidR="00DF3E10" w14:paraId="4E56A0A9" w14:textId="77777777">
        <w:trPr>
          <w:tblCellSpacing w:w="0" w:type="dxa"/>
        </w:trPr>
        <w:tc>
          <w:tcPr>
            <w:tcW w:w="0" w:type="auto"/>
            <w:shd w:val="clear" w:color="auto" w:fill="auto"/>
          </w:tcPr>
          <w:p w14:paraId="4E56A0A7"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4E56A0A8"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Europe includes Russia</w:t>
            </w:r>
            <w:r>
              <w:rPr>
                <w:rFonts w:ascii="Times New Roman" w:eastAsia="宋体" w:hAnsi="Times New Roman"/>
                <w:sz w:val="18"/>
                <w:szCs w:val="18"/>
              </w:rPr>
              <w:t xml:space="preserve"> and Turkey, and Rest of World includes Africa, Latin America, and the Middle East.</w:t>
            </w:r>
          </w:p>
        </w:tc>
      </w:tr>
    </w:tbl>
    <w:p w14:paraId="4E56A0AA"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Deferred revenue and deposits consists of the following (in millions):</w:t>
      </w:r>
    </w:p>
    <w:tbl>
      <w:tblPr>
        <w:tblW w:w="5000" w:type="pct"/>
        <w:tblCellMar>
          <w:left w:w="0" w:type="dxa"/>
          <w:right w:w="0" w:type="dxa"/>
        </w:tblCellMar>
        <w:tblLook w:val="04A0" w:firstRow="1" w:lastRow="0" w:firstColumn="1" w:lastColumn="0" w:noHBand="0" w:noVBand="1"/>
      </w:tblPr>
      <w:tblGrid>
        <w:gridCol w:w="5694"/>
        <w:gridCol w:w="141"/>
        <w:gridCol w:w="1043"/>
        <w:gridCol w:w="46"/>
        <w:gridCol w:w="130"/>
        <w:gridCol w:w="141"/>
        <w:gridCol w:w="1044"/>
        <w:gridCol w:w="67"/>
      </w:tblGrid>
      <w:tr w:rsidR="00DF3E10" w14:paraId="4E56A0AC" w14:textId="77777777">
        <w:tc>
          <w:tcPr>
            <w:tcW w:w="0" w:type="auto"/>
            <w:gridSpan w:val="8"/>
            <w:shd w:val="clear" w:color="auto" w:fill="auto"/>
            <w:vAlign w:val="center"/>
          </w:tcPr>
          <w:p w14:paraId="4E56A0AB" w14:textId="77777777" w:rsidR="00DF3E10" w:rsidRDefault="00DF3E10">
            <w:pPr>
              <w:rPr>
                <w:rFonts w:ascii="Times New Roman" w:hAnsi="Times New Roman"/>
                <w:sz w:val="20"/>
                <w:szCs w:val="20"/>
              </w:rPr>
            </w:pPr>
          </w:p>
        </w:tc>
      </w:tr>
      <w:tr w:rsidR="00DF3E10" w14:paraId="4E56A0B5" w14:textId="77777777">
        <w:tc>
          <w:tcPr>
            <w:tcW w:w="3449" w:type="pct"/>
            <w:shd w:val="clear" w:color="auto" w:fill="auto"/>
            <w:vAlign w:val="center"/>
          </w:tcPr>
          <w:p w14:paraId="4E56A0AD" w14:textId="77777777" w:rsidR="00DF3E10" w:rsidRDefault="00DF3E10">
            <w:pPr>
              <w:rPr>
                <w:rFonts w:ascii="Times New Roman" w:hAnsi="Times New Roman"/>
                <w:sz w:val="20"/>
                <w:szCs w:val="20"/>
              </w:rPr>
            </w:pPr>
          </w:p>
        </w:tc>
        <w:tc>
          <w:tcPr>
            <w:tcW w:w="50" w:type="pct"/>
            <w:shd w:val="clear" w:color="auto" w:fill="auto"/>
            <w:vAlign w:val="center"/>
          </w:tcPr>
          <w:p w14:paraId="4E56A0AE" w14:textId="77777777" w:rsidR="00DF3E10" w:rsidRDefault="00DF3E10">
            <w:pPr>
              <w:rPr>
                <w:rFonts w:ascii="Times New Roman" w:hAnsi="Times New Roman"/>
                <w:sz w:val="20"/>
                <w:szCs w:val="20"/>
              </w:rPr>
            </w:pPr>
          </w:p>
        </w:tc>
        <w:tc>
          <w:tcPr>
            <w:tcW w:w="650" w:type="pct"/>
            <w:shd w:val="clear" w:color="auto" w:fill="auto"/>
            <w:vAlign w:val="center"/>
          </w:tcPr>
          <w:p w14:paraId="4E56A0AF" w14:textId="77777777" w:rsidR="00DF3E10" w:rsidRDefault="00DF3E10">
            <w:pPr>
              <w:rPr>
                <w:rFonts w:ascii="Times New Roman" w:hAnsi="Times New Roman"/>
                <w:sz w:val="20"/>
                <w:szCs w:val="20"/>
              </w:rPr>
            </w:pPr>
          </w:p>
        </w:tc>
        <w:tc>
          <w:tcPr>
            <w:tcW w:w="50" w:type="pct"/>
            <w:shd w:val="clear" w:color="auto" w:fill="auto"/>
            <w:vAlign w:val="center"/>
          </w:tcPr>
          <w:p w14:paraId="4E56A0B0" w14:textId="77777777" w:rsidR="00DF3E10" w:rsidRDefault="00DF3E10">
            <w:pPr>
              <w:rPr>
                <w:rFonts w:ascii="Times New Roman" w:hAnsi="Times New Roman"/>
                <w:sz w:val="20"/>
                <w:szCs w:val="20"/>
              </w:rPr>
            </w:pPr>
          </w:p>
        </w:tc>
        <w:tc>
          <w:tcPr>
            <w:tcW w:w="50" w:type="pct"/>
            <w:shd w:val="clear" w:color="auto" w:fill="auto"/>
            <w:vAlign w:val="center"/>
          </w:tcPr>
          <w:p w14:paraId="4E56A0B1" w14:textId="77777777" w:rsidR="00DF3E10" w:rsidRDefault="00DF3E10">
            <w:pPr>
              <w:rPr>
                <w:rFonts w:ascii="Times New Roman" w:hAnsi="Times New Roman"/>
                <w:sz w:val="20"/>
                <w:szCs w:val="20"/>
              </w:rPr>
            </w:pPr>
          </w:p>
        </w:tc>
        <w:tc>
          <w:tcPr>
            <w:tcW w:w="50" w:type="pct"/>
            <w:shd w:val="clear" w:color="auto" w:fill="auto"/>
            <w:vAlign w:val="center"/>
          </w:tcPr>
          <w:p w14:paraId="4E56A0B2" w14:textId="77777777" w:rsidR="00DF3E10" w:rsidRDefault="00DF3E10">
            <w:pPr>
              <w:rPr>
                <w:rFonts w:ascii="Times New Roman" w:hAnsi="Times New Roman"/>
                <w:sz w:val="20"/>
                <w:szCs w:val="20"/>
              </w:rPr>
            </w:pPr>
          </w:p>
        </w:tc>
        <w:tc>
          <w:tcPr>
            <w:tcW w:w="650" w:type="pct"/>
            <w:shd w:val="clear" w:color="auto" w:fill="auto"/>
            <w:vAlign w:val="center"/>
          </w:tcPr>
          <w:p w14:paraId="4E56A0B3" w14:textId="77777777" w:rsidR="00DF3E10" w:rsidRDefault="00DF3E10">
            <w:pPr>
              <w:rPr>
                <w:rFonts w:ascii="Times New Roman" w:hAnsi="Times New Roman"/>
                <w:sz w:val="20"/>
                <w:szCs w:val="20"/>
              </w:rPr>
            </w:pPr>
          </w:p>
        </w:tc>
        <w:tc>
          <w:tcPr>
            <w:tcW w:w="50" w:type="pct"/>
            <w:shd w:val="clear" w:color="auto" w:fill="auto"/>
            <w:vAlign w:val="center"/>
          </w:tcPr>
          <w:p w14:paraId="4E56A0B4" w14:textId="77777777" w:rsidR="00DF3E10" w:rsidRDefault="00DF3E10">
            <w:pPr>
              <w:rPr>
                <w:rFonts w:ascii="Times New Roman" w:hAnsi="Times New Roman"/>
                <w:sz w:val="20"/>
                <w:szCs w:val="20"/>
              </w:rPr>
            </w:pPr>
          </w:p>
        </w:tc>
      </w:tr>
      <w:tr w:rsidR="00DF3E10" w14:paraId="4E56A0BA" w14:textId="77777777">
        <w:tc>
          <w:tcPr>
            <w:tcW w:w="0" w:type="auto"/>
            <w:shd w:val="clear" w:color="auto" w:fill="auto"/>
            <w:tcMar>
              <w:top w:w="40" w:type="dxa"/>
              <w:left w:w="40" w:type="dxa"/>
              <w:bottom w:w="40" w:type="dxa"/>
              <w:right w:w="40" w:type="dxa"/>
            </w:tcMar>
            <w:vAlign w:val="bottom"/>
          </w:tcPr>
          <w:p w14:paraId="4E56A0B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0B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0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0B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DF3E10" w14:paraId="4E56A0C3" w14:textId="77777777">
        <w:tc>
          <w:tcPr>
            <w:tcW w:w="0" w:type="auto"/>
            <w:shd w:val="clear" w:color="auto" w:fill="CCEEFF"/>
            <w:tcMar>
              <w:top w:w="40" w:type="dxa"/>
              <w:left w:w="40" w:type="dxa"/>
              <w:bottom w:w="40" w:type="dxa"/>
              <w:right w:w="40" w:type="dxa"/>
            </w:tcMar>
          </w:tcPr>
          <w:p w14:paraId="4E56A0B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tcBorders>
              <w:top w:val="single" w:sz="8" w:space="0" w:color="000000"/>
            </w:tcBorders>
            <w:shd w:val="clear" w:color="auto" w:fill="CCEEFF"/>
            <w:tcMar>
              <w:top w:w="40" w:type="dxa"/>
              <w:left w:w="40" w:type="dxa"/>
              <w:bottom w:w="40" w:type="dxa"/>
            </w:tcMar>
            <w:vAlign w:val="bottom"/>
          </w:tcPr>
          <w:p w14:paraId="4E56A0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B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tcBorders>
              <w:top w:val="single" w:sz="8" w:space="0" w:color="000000"/>
            </w:tcBorders>
            <w:shd w:val="clear" w:color="auto" w:fill="CCEEFF"/>
            <w:vAlign w:val="bottom"/>
          </w:tcPr>
          <w:p w14:paraId="4E56A0B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0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4E56A0C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tcBorders>
              <w:top w:val="single" w:sz="8" w:space="0" w:color="000000"/>
            </w:tcBorders>
            <w:shd w:val="clear" w:color="auto" w:fill="CCEEFF"/>
            <w:vAlign w:val="bottom"/>
          </w:tcPr>
          <w:p w14:paraId="4E56A0C2" w14:textId="77777777" w:rsidR="00DF3E10" w:rsidRDefault="00DF3E10">
            <w:pPr>
              <w:textAlignment w:val="bottom"/>
              <w:rPr>
                <w:rFonts w:ascii="Times New Roman" w:hAnsi="Times New Roman"/>
                <w:sz w:val="20"/>
                <w:szCs w:val="20"/>
              </w:rPr>
            </w:pPr>
          </w:p>
        </w:tc>
      </w:tr>
      <w:tr w:rsidR="00DF3E10" w14:paraId="4E56A0CA" w14:textId="77777777">
        <w:tc>
          <w:tcPr>
            <w:tcW w:w="0" w:type="auto"/>
            <w:shd w:val="clear" w:color="auto" w:fill="auto"/>
            <w:tcMar>
              <w:top w:w="40" w:type="dxa"/>
              <w:left w:w="40" w:type="dxa"/>
              <w:bottom w:w="40" w:type="dxa"/>
              <w:right w:w="40" w:type="dxa"/>
            </w:tcMar>
          </w:tcPr>
          <w:p w14:paraId="4E56A0C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Deposits</w:t>
            </w:r>
          </w:p>
        </w:tc>
        <w:tc>
          <w:tcPr>
            <w:tcW w:w="0" w:type="auto"/>
            <w:gridSpan w:val="2"/>
            <w:shd w:val="clear" w:color="auto" w:fill="auto"/>
            <w:tcMar>
              <w:top w:w="40" w:type="dxa"/>
              <w:left w:w="40" w:type="dxa"/>
              <w:bottom w:w="40" w:type="dxa"/>
            </w:tcMar>
            <w:vAlign w:val="bottom"/>
          </w:tcPr>
          <w:p w14:paraId="4E56A0C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4E56A0C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0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0C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single" w:sz="8" w:space="0" w:color="000000"/>
            </w:tcBorders>
            <w:shd w:val="clear" w:color="auto" w:fill="auto"/>
            <w:vAlign w:val="bottom"/>
          </w:tcPr>
          <w:p w14:paraId="4E56A0C9" w14:textId="77777777" w:rsidR="00DF3E10" w:rsidRDefault="00DF3E10">
            <w:pPr>
              <w:textAlignment w:val="bottom"/>
              <w:rPr>
                <w:rFonts w:ascii="Times New Roman" w:hAnsi="Times New Roman"/>
                <w:sz w:val="20"/>
                <w:szCs w:val="20"/>
              </w:rPr>
            </w:pPr>
          </w:p>
        </w:tc>
      </w:tr>
      <w:tr w:rsidR="00DF3E10" w14:paraId="4E56A0D3" w14:textId="77777777">
        <w:tc>
          <w:tcPr>
            <w:tcW w:w="0" w:type="auto"/>
            <w:shd w:val="clear" w:color="auto" w:fill="CCEEFF"/>
            <w:tcMar>
              <w:top w:w="40" w:type="dxa"/>
              <w:left w:w="400" w:type="dxa"/>
              <w:bottom w:w="40" w:type="dxa"/>
              <w:right w:w="40" w:type="dxa"/>
            </w:tcMar>
          </w:tcPr>
          <w:p w14:paraId="4E56A0C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deferred revenue and deposits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0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0C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tcBorders>
              <w:top w:val="single" w:sz="8" w:space="0" w:color="000000"/>
              <w:bottom w:val="double" w:sz="6" w:space="0" w:color="000000"/>
            </w:tcBorders>
            <w:shd w:val="clear" w:color="auto" w:fill="CCEEFF"/>
            <w:vAlign w:val="bottom"/>
          </w:tcPr>
          <w:p w14:paraId="4E56A0C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0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0D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0D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top w:val="single" w:sz="8" w:space="0" w:color="000000"/>
              <w:bottom w:val="double" w:sz="6" w:space="0" w:color="000000"/>
            </w:tcBorders>
            <w:shd w:val="clear" w:color="auto" w:fill="CCEEFF"/>
            <w:vAlign w:val="bottom"/>
          </w:tcPr>
          <w:p w14:paraId="4E56A0D2" w14:textId="77777777" w:rsidR="00DF3E10" w:rsidRDefault="00DF3E10">
            <w:pPr>
              <w:textAlignment w:val="bottom"/>
              <w:rPr>
                <w:rFonts w:ascii="Times New Roman" w:hAnsi="Times New Roman"/>
                <w:sz w:val="20"/>
                <w:szCs w:val="20"/>
              </w:rPr>
            </w:pPr>
          </w:p>
        </w:tc>
      </w:tr>
    </w:tbl>
    <w:p w14:paraId="4E56A0D4" w14:textId="77777777" w:rsidR="00DF3E10" w:rsidRDefault="00DF3E10">
      <w:pPr>
        <w:spacing w:line="288" w:lineRule="auto"/>
        <w:rPr>
          <w:rFonts w:ascii="Times New Roman" w:hAnsi="Times New Roman"/>
          <w:sz w:val="20"/>
          <w:szCs w:val="20"/>
        </w:rPr>
      </w:pPr>
    </w:p>
    <w:p w14:paraId="4E56A0D5" w14:textId="77777777" w:rsidR="00DF3E10" w:rsidRDefault="00DF3E10">
      <w:pPr>
        <w:spacing w:line="288" w:lineRule="auto"/>
        <w:rPr>
          <w:rFonts w:ascii="Times New Roman" w:hAnsi="Times New Roman"/>
          <w:sz w:val="20"/>
          <w:szCs w:val="20"/>
        </w:rPr>
      </w:pPr>
    </w:p>
    <w:p w14:paraId="4E56A0D6" w14:textId="77777777" w:rsidR="00DF3E10" w:rsidRDefault="00DF3E10">
      <w:pPr>
        <w:rPr>
          <w:rFonts w:ascii="Times New Roman" w:hAnsi="Times New Roman"/>
          <w:sz w:val="20"/>
          <w:szCs w:val="20"/>
        </w:rPr>
      </w:pPr>
    </w:p>
    <w:p w14:paraId="4E56A0D7"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16</w:t>
      </w:r>
    </w:p>
    <w:p w14:paraId="4E56A0D8" w14:textId="77777777" w:rsidR="00DF3E10" w:rsidRDefault="006B6C28">
      <w:r>
        <w:rPr>
          <w:rFonts w:ascii="Times New Roman" w:hAnsi="Times New Roman"/>
          <w:sz w:val="20"/>
          <w:szCs w:val="20"/>
        </w:rPr>
        <w:pict w14:anchorId="4E56B75D">
          <v:rect id="_x0000_i1040" style="width:415.3pt;height:1.5pt" o:hralign="center" o:hrstd="t" o:hr="t" fillcolor="#a0a0a0" stroked="f"/>
        </w:pict>
      </w:r>
    </w:p>
    <w:p w14:paraId="4E56A0D9" w14:textId="77777777" w:rsidR="00DF3E10" w:rsidRDefault="006B6C28">
      <w:pPr>
        <w:spacing w:line="288" w:lineRule="auto"/>
        <w:rPr>
          <w:rFonts w:ascii="Times New Roman" w:hAnsi="Times New Roman"/>
          <w:sz w:val="20"/>
          <w:szCs w:val="20"/>
        </w:rPr>
      </w:pPr>
      <w:hyperlink r:id="rId57" w:anchor="sC1FF62F0D4D85317B5B2C71C7C94F269" w:history="1">
        <w:r>
          <w:rPr>
            <w:rStyle w:val="a5"/>
            <w:rFonts w:ascii="Times New Roman" w:eastAsia="宋体" w:hAnsi="Times New Roman"/>
            <w:sz w:val="20"/>
            <w:szCs w:val="20"/>
          </w:rPr>
          <w:t>Table of Contents</w:t>
        </w:r>
      </w:hyperlink>
    </w:p>
    <w:p w14:paraId="4E56A0DA" w14:textId="77777777" w:rsidR="00DF3E10" w:rsidRDefault="00DF3E10">
      <w:pPr>
        <w:rPr>
          <w:rFonts w:ascii="Times New Roman" w:hAnsi="Times New Roman"/>
          <w:sz w:val="20"/>
          <w:szCs w:val="20"/>
        </w:rPr>
      </w:pPr>
    </w:p>
    <w:p w14:paraId="4E56A0DB"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3. Earnings per Share</w:t>
      </w:r>
    </w:p>
    <w:p w14:paraId="4E56A0D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compute earnings per share (EPS) of Class A and </w:t>
      </w:r>
      <w:r>
        <w:rPr>
          <w:rFonts w:ascii="Times New Roman" w:eastAsia="宋体" w:hAnsi="Times New Roman"/>
          <w:sz w:val="20"/>
          <w:szCs w:val="20"/>
        </w:rPr>
        <w:t>Class B common stock using the two-class method.</w:t>
      </w:r>
    </w:p>
    <w:p w14:paraId="4E56A0D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Basic EPS is computed by dividing net income by the weighted-average number of shares of our Class A and Class B common stock outstanding.</w:t>
      </w:r>
    </w:p>
    <w:p w14:paraId="4E56A0D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For the calculation of diluted EPS, net income for basic EPS is adju</w:t>
      </w:r>
      <w:r>
        <w:rPr>
          <w:rFonts w:ascii="Times New Roman" w:eastAsia="宋体" w:hAnsi="Times New Roman"/>
          <w:sz w:val="20"/>
          <w:szCs w:val="20"/>
        </w:rPr>
        <w:t>sted by the effect of dilutive securities under our equity compensation plans. In addition, the computation of the diluted EPS of Class A common stock assumes the conversion of our Class B common stock to Class A common stock, while the diluted EPS of Clas</w:t>
      </w:r>
      <w:r>
        <w:rPr>
          <w:rFonts w:ascii="Times New Roman" w:eastAsia="宋体" w:hAnsi="Times New Roman"/>
          <w:sz w:val="20"/>
          <w:szCs w:val="20"/>
        </w:rPr>
        <w:t>s B common stock does not assume the conversion of those shares to Class A common stock. Diluted EPS attributable to common stockholders is computed by dividing the resulting net income by the weighted-average number of fully diluted common shares outstand</w:t>
      </w:r>
      <w:r>
        <w:rPr>
          <w:rFonts w:ascii="Times New Roman" w:eastAsia="宋体" w:hAnsi="Times New Roman"/>
          <w:sz w:val="20"/>
          <w:szCs w:val="20"/>
        </w:rPr>
        <w:t>ing.</w:t>
      </w:r>
    </w:p>
    <w:p w14:paraId="4E56A0D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Restricted stock units (RSUs) with anti-dilutive effect were excluded from the EPS calculation and they were not material for the three and six months ended June 30, 2020 and 2019.</w:t>
      </w:r>
    </w:p>
    <w:p w14:paraId="4E56A0E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Basic and diluted EPS are the same for each class of common stock beca</w:t>
      </w:r>
      <w:r>
        <w:rPr>
          <w:rFonts w:ascii="Times New Roman" w:eastAsia="宋体" w:hAnsi="Times New Roman"/>
          <w:sz w:val="20"/>
          <w:szCs w:val="20"/>
        </w:rPr>
        <w:t>use they are entitled to the same liquidation and dividend rights.</w:t>
      </w:r>
    </w:p>
    <w:p w14:paraId="4E56A0E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numerators and denominators of the basic and diluted EPS computations for our common stock are calculated as follows (in millions, except per share amounts):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2534"/>
        <w:gridCol w:w="138"/>
        <w:gridCol w:w="438"/>
        <w:gridCol w:w="6"/>
        <w:gridCol w:w="129"/>
        <w:gridCol w:w="139"/>
        <w:gridCol w:w="341"/>
        <w:gridCol w:w="105"/>
        <w:gridCol w:w="129"/>
        <w:gridCol w:w="139"/>
        <w:gridCol w:w="439"/>
        <w:gridCol w:w="6"/>
        <w:gridCol w:w="129"/>
        <w:gridCol w:w="139"/>
        <w:gridCol w:w="341"/>
        <w:gridCol w:w="105"/>
        <w:gridCol w:w="129"/>
        <w:gridCol w:w="139"/>
        <w:gridCol w:w="536"/>
        <w:gridCol w:w="6"/>
        <w:gridCol w:w="129"/>
        <w:gridCol w:w="139"/>
        <w:gridCol w:w="439"/>
        <w:gridCol w:w="105"/>
        <w:gridCol w:w="129"/>
        <w:gridCol w:w="139"/>
        <w:gridCol w:w="439"/>
        <w:gridCol w:w="6"/>
        <w:gridCol w:w="129"/>
        <w:gridCol w:w="139"/>
        <w:gridCol w:w="341"/>
        <w:gridCol w:w="105"/>
      </w:tblGrid>
      <w:tr w:rsidR="00DF3E10" w14:paraId="4E56A0E3" w14:textId="77777777">
        <w:tc>
          <w:tcPr>
            <w:tcW w:w="0" w:type="auto"/>
            <w:gridSpan w:val="32"/>
            <w:shd w:val="clear" w:color="auto" w:fill="auto"/>
            <w:vAlign w:val="center"/>
          </w:tcPr>
          <w:p w14:paraId="4E56A0E2" w14:textId="77777777" w:rsidR="00DF3E10" w:rsidRDefault="00DF3E10">
            <w:pPr>
              <w:rPr>
                <w:rFonts w:ascii="Times New Roman" w:hAnsi="Times New Roman"/>
                <w:sz w:val="20"/>
                <w:szCs w:val="20"/>
              </w:rPr>
            </w:pPr>
          </w:p>
        </w:tc>
      </w:tr>
      <w:tr w:rsidR="00DF3E10" w14:paraId="4E56A104" w14:textId="77777777">
        <w:tc>
          <w:tcPr>
            <w:tcW w:w="1650" w:type="pct"/>
            <w:shd w:val="clear" w:color="auto" w:fill="auto"/>
            <w:vAlign w:val="center"/>
          </w:tcPr>
          <w:p w14:paraId="4E56A0E4" w14:textId="77777777" w:rsidR="00DF3E10" w:rsidRDefault="00DF3E10">
            <w:pPr>
              <w:rPr>
                <w:rFonts w:ascii="Times New Roman" w:hAnsi="Times New Roman"/>
                <w:sz w:val="20"/>
                <w:szCs w:val="20"/>
              </w:rPr>
            </w:pPr>
          </w:p>
        </w:tc>
        <w:tc>
          <w:tcPr>
            <w:tcW w:w="50" w:type="pct"/>
            <w:shd w:val="clear" w:color="auto" w:fill="auto"/>
            <w:vAlign w:val="center"/>
          </w:tcPr>
          <w:p w14:paraId="4E56A0E5" w14:textId="77777777" w:rsidR="00DF3E10" w:rsidRDefault="00DF3E10">
            <w:pPr>
              <w:rPr>
                <w:rFonts w:ascii="Times New Roman" w:hAnsi="Times New Roman"/>
                <w:sz w:val="20"/>
                <w:szCs w:val="20"/>
              </w:rPr>
            </w:pPr>
          </w:p>
        </w:tc>
        <w:tc>
          <w:tcPr>
            <w:tcW w:w="250" w:type="pct"/>
            <w:shd w:val="clear" w:color="auto" w:fill="auto"/>
            <w:vAlign w:val="center"/>
          </w:tcPr>
          <w:p w14:paraId="4E56A0E6" w14:textId="77777777" w:rsidR="00DF3E10" w:rsidRDefault="00DF3E10">
            <w:pPr>
              <w:rPr>
                <w:rFonts w:ascii="Times New Roman" w:hAnsi="Times New Roman"/>
                <w:sz w:val="20"/>
                <w:szCs w:val="20"/>
              </w:rPr>
            </w:pPr>
          </w:p>
        </w:tc>
        <w:tc>
          <w:tcPr>
            <w:tcW w:w="50" w:type="pct"/>
            <w:shd w:val="clear" w:color="auto" w:fill="auto"/>
            <w:vAlign w:val="center"/>
          </w:tcPr>
          <w:p w14:paraId="4E56A0E7" w14:textId="77777777" w:rsidR="00DF3E10" w:rsidRDefault="00DF3E10">
            <w:pPr>
              <w:rPr>
                <w:rFonts w:ascii="Times New Roman" w:hAnsi="Times New Roman"/>
                <w:sz w:val="20"/>
                <w:szCs w:val="20"/>
              </w:rPr>
            </w:pPr>
          </w:p>
        </w:tc>
        <w:tc>
          <w:tcPr>
            <w:tcW w:w="50" w:type="pct"/>
            <w:shd w:val="clear" w:color="auto" w:fill="auto"/>
            <w:vAlign w:val="center"/>
          </w:tcPr>
          <w:p w14:paraId="4E56A0E8" w14:textId="77777777" w:rsidR="00DF3E10" w:rsidRDefault="00DF3E10">
            <w:pPr>
              <w:rPr>
                <w:rFonts w:ascii="Times New Roman" w:hAnsi="Times New Roman"/>
                <w:sz w:val="20"/>
                <w:szCs w:val="20"/>
              </w:rPr>
            </w:pPr>
          </w:p>
        </w:tc>
        <w:tc>
          <w:tcPr>
            <w:tcW w:w="50" w:type="pct"/>
            <w:shd w:val="clear" w:color="auto" w:fill="auto"/>
            <w:vAlign w:val="center"/>
          </w:tcPr>
          <w:p w14:paraId="4E56A0E9" w14:textId="77777777" w:rsidR="00DF3E10" w:rsidRDefault="00DF3E10">
            <w:pPr>
              <w:rPr>
                <w:rFonts w:ascii="Times New Roman" w:hAnsi="Times New Roman"/>
                <w:sz w:val="20"/>
                <w:szCs w:val="20"/>
              </w:rPr>
            </w:pPr>
          </w:p>
        </w:tc>
        <w:tc>
          <w:tcPr>
            <w:tcW w:w="300" w:type="pct"/>
            <w:shd w:val="clear" w:color="auto" w:fill="auto"/>
            <w:vAlign w:val="center"/>
          </w:tcPr>
          <w:p w14:paraId="4E56A0EA" w14:textId="77777777" w:rsidR="00DF3E10" w:rsidRDefault="00DF3E10">
            <w:pPr>
              <w:rPr>
                <w:rFonts w:ascii="Times New Roman" w:hAnsi="Times New Roman"/>
                <w:sz w:val="20"/>
                <w:szCs w:val="20"/>
              </w:rPr>
            </w:pPr>
          </w:p>
        </w:tc>
        <w:tc>
          <w:tcPr>
            <w:tcW w:w="50" w:type="pct"/>
            <w:shd w:val="clear" w:color="auto" w:fill="auto"/>
            <w:vAlign w:val="center"/>
          </w:tcPr>
          <w:p w14:paraId="4E56A0EB" w14:textId="77777777" w:rsidR="00DF3E10" w:rsidRDefault="00DF3E10">
            <w:pPr>
              <w:rPr>
                <w:rFonts w:ascii="Times New Roman" w:hAnsi="Times New Roman"/>
                <w:sz w:val="20"/>
                <w:szCs w:val="20"/>
              </w:rPr>
            </w:pPr>
          </w:p>
        </w:tc>
        <w:tc>
          <w:tcPr>
            <w:tcW w:w="50" w:type="pct"/>
            <w:shd w:val="clear" w:color="auto" w:fill="auto"/>
            <w:vAlign w:val="center"/>
          </w:tcPr>
          <w:p w14:paraId="4E56A0EC" w14:textId="77777777" w:rsidR="00DF3E10" w:rsidRDefault="00DF3E10">
            <w:pPr>
              <w:rPr>
                <w:rFonts w:ascii="Times New Roman" w:hAnsi="Times New Roman"/>
                <w:sz w:val="20"/>
                <w:szCs w:val="20"/>
              </w:rPr>
            </w:pPr>
          </w:p>
        </w:tc>
        <w:tc>
          <w:tcPr>
            <w:tcW w:w="50" w:type="pct"/>
            <w:shd w:val="clear" w:color="auto" w:fill="auto"/>
            <w:vAlign w:val="center"/>
          </w:tcPr>
          <w:p w14:paraId="4E56A0ED" w14:textId="77777777" w:rsidR="00DF3E10" w:rsidRDefault="00DF3E10">
            <w:pPr>
              <w:rPr>
                <w:rFonts w:ascii="Times New Roman" w:hAnsi="Times New Roman"/>
                <w:sz w:val="20"/>
                <w:szCs w:val="20"/>
              </w:rPr>
            </w:pPr>
          </w:p>
        </w:tc>
        <w:tc>
          <w:tcPr>
            <w:tcW w:w="250" w:type="pct"/>
            <w:shd w:val="clear" w:color="auto" w:fill="auto"/>
            <w:vAlign w:val="center"/>
          </w:tcPr>
          <w:p w14:paraId="4E56A0EE" w14:textId="77777777" w:rsidR="00DF3E10" w:rsidRDefault="00DF3E10">
            <w:pPr>
              <w:rPr>
                <w:rFonts w:ascii="Times New Roman" w:hAnsi="Times New Roman"/>
                <w:sz w:val="20"/>
                <w:szCs w:val="20"/>
              </w:rPr>
            </w:pPr>
          </w:p>
        </w:tc>
        <w:tc>
          <w:tcPr>
            <w:tcW w:w="50" w:type="pct"/>
            <w:shd w:val="clear" w:color="auto" w:fill="auto"/>
            <w:vAlign w:val="center"/>
          </w:tcPr>
          <w:p w14:paraId="4E56A0EF" w14:textId="77777777" w:rsidR="00DF3E10" w:rsidRDefault="00DF3E10">
            <w:pPr>
              <w:rPr>
                <w:rFonts w:ascii="Times New Roman" w:hAnsi="Times New Roman"/>
                <w:sz w:val="20"/>
                <w:szCs w:val="20"/>
              </w:rPr>
            </w:pPr>
          </w:p>
        </w:tc>
        <w:tc>
          <w:tcPr>
            <w:tcW w:w="50" w:type="pct"/>
            <w:shd w:val="clear" w:color="auto" w:fill="auto"/>
            <w:vAlign w:val="center"/>
          </w:tcPr>
          <w:p w14:paraId="4E56A0F0" w14:textId="77777777" w:rsidR="00DF3E10" w:rsidRDefault="00DF3E10">
            <w:pPr>
              <w:rPr>
                <w:rFonts w:ascii="Times New Roman" w:hAnsi="Times New Roman"/>
                <w:sz w:val="20"/>
                <w:szCs w:val="20"/>
              </w:rPr>
            </w:pPr>
          </w:p>
        </w:tc>
        <w:tc>
          <w:tcPr>
            <w:tcW w:w="50" w:type="pct"/>
            <w:shd w:val="clear" w:color="auto" w:fill="auto"/>
            <w:vAlign w:val="center"/>
          </w:tcPr>
          <w:p w14:paraId="4E56A0F1" w14:textId="77777777" w:rsidR="00DF3E10" w:rsidRDefault="00DF3E10">
            <w:pPr>
              <w:rPr>
                <w:rFonts w:ascii="Times New Roman" w:hAnsi="Times New Roman"/>
                <w:sz w:val="20"/>
                <w:szCs w:val="20"/>
              </w:rPr>
            </w:pPr>
          </w:p>
        </w:tc>
        <w:tc>
          <w:tcPr>
            <w:tcW w:w="300" w:type="pct"/>
            <w:shd w:val="clear" w:color="auto" w:fill="auto"/>
            <w:vAlign w:val="center"/>
          </w:tcPr>
          <w:p w14:paraId="4E56A0F2" w14:textId="77777777" w:rsidR="00DF3E10" w:rsidRDefault="00DF3E10">
            <w:pPr>
              <w:rPr>
                <w:rFonts w:ascii="Times New Roman" w:hAnsi="Times New Roman"/>
                <w:sz w:val="20"/>
                <w:szCs w:val="20"/>
              </w:rPr>
            </w:pPr>
          </w:p>
        </w:tc>
        <w:tc>
          <w:tcPr>
            <w:tcW w:w="50" w:type="pct"/>
            <w:shd w:val="clear" w:color="auto" w:fill="auto"/>
            <w:vAlign w:val="center"/>
          </w:tcPr>
          <w:p w14:paraId="4E56A0F3" w14:textId="77777777" w:rsidR="00DF3E10" w:rsidRDefault="00DF3E10">
            <w:pPr>
              <w:rPr>
                <w:rFonts w:ascii="Times New Roman" w:hAnsi="Times New Roman"/>
                <w:sz w:val="20"/>
                <w:szCs w:val="20"/>
              </w:rPr>
            </w:pPr>
          </w:p>
        </w:tc>
        <w:tc>
          <w:tcPr>
            <w:tcW w:w="50" w:type="pct"/>
            <w:shd w:val="clear" w:color="auto" w:fill="auto"/>
            <w:vAlign w:val="center"/>
          </w:tcPr>
          <w:p w14:paraId="4E56A0F4" w14:textId="77777777" w:rsidR="00DF3E10" w:rsidRDefault="00DF3E10">
            <w:pPr>
              <w:rPr>
                <w:rFonts w:ascii="Times New Roman" w:hAnsi="Times New Roman"/>
                <w:sz w:val="20"/>
                <w:szCs w:val="20"/>
              </w:rPr>
            </w:pPr>
          </w:p>
        </w:tc>
        <w:tc>
          <w:tcPr>
            <w:tcW w:w="50" w:type="pct"/>
            <w:shd w:val="clear" w:color="auto" w:fill="auto"/>
            <w:vAlign w:val="center"/>
          </w:tcPr>
          <w:p w14:paraId="4E56A0F5" w14:textId="77777777" w:rsidR="00DF3E10" w:rsidRDefault="00DF3E10">
            <w:pPr>
              <w:rPr>
                <w:rFonts w:ascii="Times New Roman" w:hAnsi="Times New Roman"/>
                <w:sz w:val="20"/>
                <w:szCs w:val="20"/>
              </w:rPr>
            </w:pPr>
          </w:p>
        </w:tc>
        <w:tc>
          <w:tcPr>
            <w:tcW w:w="250" w:type="pct"/>
            <w:shd w:val="clear" w:color="auto" w:fill="auto"/>
            <w:vAlign w:val="center"/>
          </w:tcPr>
          <w:p w14:paraId="4E56A0F6" w14:textId="77777777" w:rsidR="00DF3E10" w:rsidRDefault="00DF3E10">
            <w:pPr>
              <w:rPr>
                <w:rFonts w:ascii="Times New Roman" w:hAnsi="Times New Roman"/>
                <w:sz w:val="20"/>
                <w:szCs w:val="20"/>
              </w:rPr>
            </w:pPr>
          </w:p>
        </w:tc>
        <w:tc>
          <w:tcPr>
            <w:tcW w:w="50" w:type="pct"/>
            <w:shd w:val="clear" w:color="auto" w:fill="auto"/>
            <w:vAlign w:val="center"/>
          </w:tcPr>
          <w:p w14:paraId="4E56A0F7" w14:textId="77777777" w:rsidR="00DF3E10" w:rsidRDefault="00DF3E10">
            <w:pPr>
              <w:rPr>
                <w:rFonts w:ascii="Times New Roman" w:hAnsi="Times New Roman"/>
                <w:sz w:val="20"/>
                <w:szCs w:val="20"/>
              </w:rPr>
            </w:pPr>
          </w:p>
        </w:tc>
        <w:tc>
          <w:tcPr>
            <w:tcW w:w="50" w:type="pct"/>
            <w:shd w:val="clear" w:color="auto" w:fill="auto"/>
            <w:vAlign w:val="center"/>
          </w:tcPr>
          <w:p w14:paraId="4E56A0F8" w14:textId="77777777" w:rsidR="00DF3E10" w:rsidRDefault="00DF3E10">
            <w:pPr>
              <w:rPr>
                <w:rFonts w:ascii="Times New Roman" w:hAnsi="Times New Roman"/>
                <w:sz w:val="20"/>
                <w:szCs w:val="20"/>
              </w:rPr>
            </w:pPr>
          </w:p>
        </w:tc>
        <w:tc>
          <w:tcPr>
            <w:tcW w:w="50" w:type="pct"/>
            <w:shd w:val="clear" w:color="auto" w:fill="auto"/>
            <w:vAlign w:val="center"/>
          </w:tcPr>
          <w:p w14:paraId="4E56A0F9" w14:textId="77777777" w:rsidR="00DF3E10" w:rsidRDefault="00DF3E10">
            <w:pPr>
              <w:rPr>
                <w:rFonts w:ascii="Times New Roman" w:hAnsi="Times New Roman"/>
                <w:sz w:val="20"/>
                <w:szCs w:val="20"/>
              </w:rPr>
            </w:pPr>
          </w:p>
        </w:tc>
        <w:tc>
          <w:tcPr>
            <w:tcW w:w="300" w:type="pct"/>
            <w:shd w:val="clear" w:color="auto" w:fill="auto"/>
            <w:vAlign w:val="center"/>
          </w:tcPr>
          <w:p w14:paraId="4E56A0FA" w14:textId="77777777" w:rsidR="00DF3E10" w:rsidRDefault="00DF3E10">
            <w:pPr>
              <w:rPr>
                <w:rFonts w:ascii="Times New Roman" w:hAnsi="Times New Roman"/>
                <w:sz w:val="20"/>
                <w:szCs w:val="20"/>
              </w:rPr>
            </w:pPr>
          </w:p>
        </w:tc>
        <w:tc>
          <w:tcPr>
            <w:tcW w:w="50" w:type="pct"/>
            <w:shd w:val="clear" w:color="auto" w:fill="auto"/>
            <w:vAlign w:val="center"/>
          </w:tcPr>
          <w:p w14:paraId="4E56A0FB" w14:textId="77777777" w:rsidR="00DF3E10" w:rsidRDefault="00DF3E10">
            <w:pPr>
              <w:rPr>
                <w:rFonts w:ascii="Times New Roman" w:hAnsi="Times New Roman"/>
                <w:sz w:val="20"/>
                <w:szCs w:val="20"/>
              </w:rPr>
            </w:pPr>
          </w:p>
        </w:tc>
        <w:tc>
          <w:tcPr>
            <w:tcW w:w="50" w:type="pct"/>
            <w:shd w:val="clear" w:color="auto" w:fill="auto"/>
            <w:vAlign w:val="center"/>
          </w:tcPr>
          <w:p w14:paraId="4E56A0FC" w14:textId="77777777" w:rsidR="00DF3E10" w:rsidRDefault="00DF3E10">
            <w:pPr>
              <w:rPr>
                <w:rFonts w:ascii="Times New Roman" w:hAnsi="Times New Roman"/>
                <w:sz w:val="20"/>
                <w:szCs w:val="20"/>
              </w:rPr>
            </w:pPr>
          </w:p>
        </w:tc>
        <w:tc>
          <w:tcPr>
            <w:tcW w:w="50" w:type="pct"/>
            <w:shd w:val="clear" w:color="auto" w:fill="auto"/>
            <w:vAlign w:val="center"/>
          </w:tcPr>
          <w:p w14:paraId="4E56A0FD" w14:textId="77777777" w:rsidR="00DF3E10" w:rsidRDefault="00DF3E10">
            <w:pPr>
              <w:rPr>
                <w:rFonts w:ascii="Times New Roman" w:hAnsi="Times New Roman"/>
                <w:sz w:val="20"/>
                <w:szCs w:val="20"/>
              </w:rPr>
            </w:pPr>
          </w:p>
        </w:tc>
        <w:tc>
          <w:tcPr>
            <w:tcW w:w="250" w:type="pct"/>
            <w:shd w:val="clear" w:color="auto" w:fill="auto"/>
            <w:vAlign w:val="center"/>
          </w:tcPr>
          <w:p w14:paraId="4E56A0FE" w14:textId="77777777" w:rsidR="00DF3E10" w:rsidRDefault="00DF3E10">
            <w:pPr>
              <w:rPr>
                <w:rFonts w:ascii="Times New Roman" w:hAnsi="Times New Roman"/>
                <w:sz w:val="20"/>
                <w:szCs w:val="20"/>
              </w:rPr>
            </w:pPr>
          </w:p>
        </w:tc>
        <w:tc>
          <w:tcPr>
            <w:tcW w:w="50" w:type="pct"/>
            <w:shd w:val="clear" w:color="auto" w:fill="auto"/>
            <w:vAlign w:val="center"/>
          </w:tcPr>
          <w:p w14:paraId="4E56A0FF" w14:textId="77777777" w:rsidR="00DF3E10" w:rsidRDefault="00DF3E10">
            <w:pPr>
              <w:rPr>
                <w:rFonts w:ascii="Times New Roman" w:hAnsi="Times New Roman"/>
                <w:sz w:val="20"/>
                <w:szCs w:val="20"/>
              </w:rPr>
            </w:pPr>
          </w:p>
        </w:tc>
        <w:tc>
          <w:tcPr>
            <w:tcW w:w="50" w:type="pct"/>
            <w:shd w:val="clear" w:color="auto" w:fill="auto"/>
            <w:vAlign w:val="center"/>
          </w:tcPr>
          <w:p w14:paraId="4E56A100" w14:textId="77777777" w:rsidR="00DF3E10" w:rsidRDefault="00DF3E10">
            <w:pPr>
              <w:rPr>
                <w:rFonts w:ascii="Times New Roman" w:hAnsi="Times New Roman"/>
                <w:sz w:val="20"/>
                <w:szCs w:val="20"/>
              </w:rPr>
            </w:pPr>
          </w:p>
        </w:tc>
        <w:tc>
          <w:tcPr>
            <w:tcW w:w="50" w:type="pct"/>
            <w:shd w:val="clear" w:color="auto" w:fill="auto"/>
            <w:vAlign w:val="center"/>
          </w:tcPr>
          <w:p w14:paraId="4E56A101" w14:textId="77777777" w:rsidR="00DF3E10" w:rsidRDefault="00DF3E10">
            <w:pPr>
              <w:rPr>
                <w:rFonts w:ascii="Times New Roman" w:hAnsi="Times New Roman"/>
                <w:sz w:val="20"/>
                <w:szCs w:val="20"/>
              </w:rPr>
            </w:pPr>
          </w:p>
        </w:tc>
        <w:tc>
          <w:tcPr>
            <w:tcW w:w="300" w:type="pct"/>
            <w:shd w:val="clear" w:color="auto" w:fill="auto"/>
            <w:vAlign w:val="center"/>
          </w:tcPr>
          <w:p w14:paraId="4E56A102" w14:textId="77777777" w:rsidR="00DF3E10" w:rsidRDefault="00DF3E10">
            <w:pPr>
              <w:rPr>
                <w:rFonts w:ascii="Times New Roman" w:hAnsi="Times New Roman"/>
                <w:sz w:val="20"/>
                <w:szCs w:val="20"/>
              </w:rPr>
            </w:pPr>
          </w:p>
        </w:tc>
        <w:tc>
          <w:tcPr>
            <w:tcW w:w="50" w:type="pct"/>
            <w:shd w:val="clear" w:color="auto" w:fill="auto"/>
            <w:vAlign w:val="center"/>
          </w:tcPr>
          <w:p w14:paraId="4E56A103" w14:textId="77777777" w:rsidR="00DF3E10" w:rsidRDefault="00DF3E10">
            <w:pPr>
              <w:rPr>
                <w:rFonts w:ascii="Times New Roman" w:hAnsi="Times New Roman"/>
                <w:sz w:val="20"/>
                <w:szCs w:val="20"/>
              </w:rPr>
            </w:pPr>
          </w:p>
        </w:tc>
      </w:tr>
      <w:tr w:rsidR="00DF3E10" w14:paraId="4E56A109" w14:textId="77777777">
        <w:tc>
          <w:tcPr>
            <w:tcW w:w="0" w:type="auto"/>
            <w:shd w:val="clear" w:color="auto" w:fill="auto"/>
            <w:tcMar>
              <w:top w:w="40" w:type="dxa"/>
              <w:left w:w="40" w:type="dxa"/>
              <w:bottom w:w="40" w:type="dxa"/>
              <w:right w:w="40" w:type="dxa"/>
            </w:tcMar>
            <w:vAlign w:val="bottom"/>
          </w:tcPr>
          <w:p w14:paraId="4E56A10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4E56A10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1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4E56A10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112" w14:textId="77777777">
        <w:tc>
          <w:tcPr>
            <w:tcW w:w="0" w:type="auto"/>
            <w:shd w:val="clear" w:color="auto" w:fill="auto"/>
            <w:tcMar>
              <w:top w:w="40" w:type="dxa"/>
              <w:left w:w="40" w:type="dxa"/>
              <w:bottom w:w="40" w:type="dxa"/>
              <w:right w:w="40" w:type="dxa"/>
            </w:tcMar>
            <w:vAlign w:val="bottom"/>
          </w:tcPr>
          <w:p w14:paraId="4E56A10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4E56A10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1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4E56A10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1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4E56A10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11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4E56A11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123" w14:textId="77777777">
        <w:tc>
          <w:tcPr>
            <w:tcW w:w="0" w:type="auto"/>
            <w:shd w:val="clear" w:color="auto" w:fill="auto"/>
            <w:tcMar>
              <w:top w:w="40" w:type="dxa"/>
              <w:left w:w="40" w:type="dxa"/>
              <w:bottom w:w="40" w:type="dxa"/>
              <w:right w:w="40" w:type="dxa"/>
            </w:tcMar>
            <w:vAlign w:val="bottom"/>
          </w:tcPr>
          <w:p w14:paraId="4E56A113"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4E56A1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4E56A1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4E56A1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4E56A1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4E56A1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1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4E56A1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2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4E56A1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12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Class B</w:t>
            </w:r>
          </w:p>
        </w:tc>
      </w:tr>
      <w:tr w:rsidR="00DF3E10" w14:paraId="4E56A134" w14:textId="77777777">
        <w:tc>
          <w:tcPr>
            <w:tcW w:w="0" w:type="auto"/>
            <w:shd w:val="clear" w:color="auto" w:fill="CCEEFF"/>
            <w:tcMar>
              <w:top w:w="40" w:type="dxa"/>
              <w:left w:w="40" w:type="dxa"/>
              <w:bottom w:w="40" w:type="dxa"/>
              <w:right w:w="40" w:type="dxa"/>
            </w:tcMar>
          </w:tcPr>
          <w:p w14:paraId="4E56A124" w14:textId="77777777" w:rsidR="00DF3E10" w:rsidRDefault="006B6C28">
            <w:pPr>
              <w:textAlignment w:val="top"/>
              <w:rPr>
                <w:rFonts w:ascii="Times New Roman" w:hAnsi="Times New Roman"/>
                <w:sz w:val="20"/>
                <w:szCs w:val="20"/>
              </w:rPr>
            </w:pPr>
            <w:r>
              <w:rPr>
                <w:rFonts w:ascii="Times New Roman" w:eastAsia="宋体" w:hAnsi="Times New Roman"/>
                <w:sz w:val="20"/>
                <w:szCs w:val="20"/>
                <w:u w:val="single"/>
              </w:rPr>
              <w:t>Basic EPS:</w:t>
            </w:r>
          </w:p>
        </w:tc>
        <w:tc>
          <w:tcPr>
            <w:tcW w:w="0" w:type="auto"/>
            <w:gridSpan w:val="3"/>
            <w:shd w:val="clear" w:color="auto" w:fill="CCEEFF"/>
            <w:tcMar>
              <w:top w:w="40" w:type="dxa"/>
              <w:left w:w="40" w:type="dxa"/>
              <w:bottom w:w="40" w:type="dxa"/>
              <w:right w:w="40" w:type="dxa"/>
            </w:tcMar>
            <w:vAlign w:val="bottom"/>
          </w:tcPr>
          <w:p w14:paraId="4E56A1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2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3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145" w14:textId="77777777">
        <w:tc>
          <w:tcPr>
            <w:tcW w:w="0" w:type="auto"/>
            <w:shd w:val="clear" w:color="auto" w:fill="auto"/>
            <w:tcMar>
              <w:top w:w="40" w:type="dxa"/>
              <w:left w:w="560" w:type="dxa"/>
              <w:bottom w:w="40" w:type="dxa"/>
              <w:right w:w="40" w:type="dxa"/>
            </w:tcMar>
          </w:tcPr>
          <w:p w14:paraId="4E56A13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4E56A13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6B6C28" w14:paraId="4E56A166" w14:textId="77777777">
        <w:tc>
          <w:tcPr>
            <w:tcW w:w="0" w:type="auto"/>
            <w:shd w:val="clear" w:color="auto" w:fill="CCEEFF"/>
            <w:tcMar>
              <w:top w:w="40" w:type="dxa"/>
              <w:left w:w="1040" w:type="dxa"/>
              <w:bottom w:w="40" w:type="dxa"/>
              <w:right w:w="40" w:type="dxa"/>
            </w:tcMar>
          </w:tcPr>
          <w:p w14:paraId="4E56A14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4E56A1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4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4,371</w:t>
            </w:r>
          </w:p>
        </w:tc>
        <w:tc>
          <w:tcPr>
            <w:tcW w:w="0" w:type="auto"/>
            <w:shd w:val="clear" w:color="auto" w:fill="CCEEFF"/>
            <w:vAlign w:val="bottom"/>
          </w:tcPr>
          <w:p w14:paraId="4E56A14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807</w:t>
            </w:r>
          </w:p>
        </w:tc>
        <w:tc>
          <w:tcPr>
            <w:tcW w:w="0" w:type="auto"/>
            <w:shd w:val="clear" w:color="auto" w:fill="CCEEFF"/>
            <w:vAlign w:val="bottom"/>
          </w:tcPr>
          <w:p w14:paraId="4E56A14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5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2,204</w:t>
            </w:r>
          </w:p>
        </w:tc>
        <w:tc>
          <w:tcPr>
            <w:tcW w:w="0" w:type="auto"/>
            <w:shd w:val="clear" w:color="auto" w:fill="CCEEFF"/>
            <w:vAlign w:val="bottom"/>
          </w:tcPr>
          <w:p w14:paraId="4E56A15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5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412</w:t>
            </w:r>
          </w:p>
        </w:tc>
        <w:tc>
          <w:tcPr>
            <w:tcW w:w="0" w:type="auto"/>
            <w:shd w:val="clear" w:color="auto" w:fill="CCEEFF"/>
            <w:vAlign w:val="bottom"/>
          </w:tcPr>
          <w:p w14:paraId="4E56A15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5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8,509</w:t>
            </w:r>
          </w:p>
        </w:tc>
        <w:tc>
          <w:tcPr>
            <w:tcW w:w="0" w:type="auto"/>
            <w:shd w:val="clear" w:color="auto" w:fill="CCEEFF"/>
            <w:vAlign w:val="bottom"/>
          </w:tcPr>
          <w:p w14:paraId="4E56A15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5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1,572</w:t>
            </w:r>
          </w:p>
        </w:tc>
        <w:tc>
          <w:tcPr>
            <w:tcW w:w="0" w:type="auto"/>
            <w:shd w:val="clear" w:color="auto" w:fill="CCEEFF"/>
            <w:vAlign w:val="bottom"/>
          </w:tcPr>
          <w:p w14:paraId="4E56A15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6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4,241</w:t>
            </w:r>
          </w:p>
        </w:tc>
        <w:tc>
          <w:tcPr>
            <w:tcW w:w="0" w:type="auto"/>
            <w:shd w:val="clear" w:color="auto" w:fill="CCEEFF"/>
            <w:vAlign w:val="bottom"/>
          </w:tcPr>
          <w:p w14:paraId="4E56A16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6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804</w:t>
            </w:r>
          </w:p>
        </w:tc>
        <w:tc>
          <w:tcPr>
            <w:tcW w:w="0" w:type="auto"/>
            <w:shd w:val="clear" w:color="auto" w:fill="CCEEFF"/>
            <w:vAlign w:val="bottom"/>
          </w:tcPr>
          <w:p w14:paraId="4E56A165" w14:textId="77777777" w:rsidR="00DF3E10" w:rsidRDefault="00DF3E10">
            <w:pPr>
              <w:textAlignment w:val="bottom"/>
              <w:rPr>
                <w:rFonts w:ascii="Times New Roman" w:hAnsi="Times New Roman"/>
                <w:sz w:val="20"/>
                <w:szCs w:val="20"/>
              </w:rPr>
            </w:pPr>
          </w:p>
        </w:tc>
      </w:tr>
      <w:tr w:rsidR="00DF3E10" w14:paraId="4E56A177" w14:textId="77777777">
        <w:tc>
          <w:tcPr>
            <w:tcW w:w="0" w:type="auto"/>
            <w:shd w:val="clear" w:color="auto" w:fill="auto"/>
            <w:tcMar>
              <w:top w:w="40" w:type="dxa"/>
              <w:left w:w="560" w:type="dxa"/>
              <w:bottom w:w="40" w:type="dxa"/>
              <w:right w:w="40" w:type="dxa"/>
            </w:tcMar>
          </w:tcPr>
          <w:p w14:paraId="4E56A16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auto"/>
            <w:tcMar>
              <w:top w:w="40" w:type="dxa"/>
              <w:left w:w="40" w:type="dxa"/>
              <w:bottom w:w="40" w:type="dxa"/>
              <w:right w:w="40" w:type="dxa"/>
            </w:tcMar>
            <w:vAlign w:val="bottom"/>
          </w:tcPr>
          <w:p w14:paraId="4E56A1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190" w14:textId="77777777">
        <w:tc>
          <w:tcPr>
            <w:tcW w:w="0" w:type="auto"/>
            <w:shd w:val="clear" w:color="auto" w:fill="CCEEFF"/>
            <w:tcMar>
              <w:top w:w="40" w:type="dxa"/>
              <w:left w:w="1040" w:type="dxa"/>
              <w:bottom w:w="40" w:type="dxa"/>
              <w:right w:w="40" w:type="dxa"/>
            </w:tcMar>
          </w:tcPr>
          <w:p w14:paraId="4E56A17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Weighted-average shares outstanding</w:t>
            </w:r>
          </w:p>
        </w:tc>
        <w:tc>
          <w:tcPr>
            <w:tcW w:w="0" w:type="auto"/>
            <w:gridSpan w:val="2"/>
            <w:shd w:val="clear" w:color="auto" w:fill="CCEEFF"/>
            <w:tcMar>
              <w:top w:w="40" w:type="dxa"/>
              <w:left w:w="40" w:type="dxa"/>
              <w:bottom w:w="40" w:type="dxa"/>
            </w:tcMar>
            <w:vAlign w:val="bottom"/>
          </w:tcPr>
          <w:p w14:paraId="4E56A17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CCEEFF"/>
            <w:vAlign w:val="bottom"/>
          </w:tcPr>
          <w:p w14:paraId="4E56A17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17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4E56A17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17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2,405</w:t>
            </w:r>
          </w:p>
        </w:tc>
        <w:tc>
          <w:tcPr>
            <w:tcW w:w="0" w:type="auto"/>
            <w:shd w:val="clear" w:color="auto" w:fill="CCEEFF"/>
            <w:vAlign w:val="bottom"/>
          </w:tcPr>
          <w:p w14:paraId="4E56A18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1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vAlign w:val="bottom"/>
          </w:tcPr>
          <w:p w14:paraId="4E56A18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1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tcBorders>
              <w:bottom w:val="single" w:sz="8" w:space="0" w:color="000000"/>
            </w:tcBorders>
            <w:shd w:val="clear" w:color="auto" w:fill="CCEEFF"/>
            <w:vAlign w:val="bottom"/>
          </w:tcPr>
          <w:p w14:paraId="4E56A18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1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bottom w:val="single" w:sz="8" w:space="0" w:color="000000"/>
            </w:tcBorders>
            <w:shd w:val="clear" w:color="auto" w:fill="CCEEFF"/>
            <w:vAlign w:val="bottom"/>
          </w:tcPr>
          <w:p w14:paraId="4E56A18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18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2,400</w:t>
            </w:r>
          </w:p>
        </w:tc>
        <w:tc>
          <w:tcPr>
            <w:tcW w:w="0" w:type="auto"/>
            <w:tcBorders>
              <w:bottom w:val="single" w:sz="8" w:space="0" w:color="000000"/>
            </w:tcBorders>
            <w:shd w:val="clear" w:color="auto" w:fill="CCEEFF"/>
            <w:vAlign w:val="bottom"/>
          </w:tcPr>
          <w:p w14:paraId="4E56A18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18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455</w:t>
            </w:r>
          </w:p>
        </w:tc>
        <w:tc>
          <w:tcPr>
            <w:tcW w:w="0" w:type="auto"/>
            <w:tcBorders>
              <w:bottom w:val="single" w:sz="8" w:space="0" w:color="000000"/>
            </w:tcBorders>
            <w:shd w:val="clear" w:color="auto" w:fill="CCEEFF"/>
            <w:vAlign w:val="bottom"/>
          </w:tcPr>
          <w:p w14:paraId="4E56A18F" w14:textId="77777777" w:rsidR="00DF3E10" w:rsidRDefault="00DF3E10">
            <w:pPr>
              <w:textAlignment w:val="bottom"/>
              <w:rPr>
                <w:rFonts w:ascii="Times New Roman" w:hAnsi="Times New Roman"/>
                <w:sz w:val="20"/>
                <w:szCs w:val="20"/>
              </w:rPr>
            </w:pPr>
          </w:p>
        </w:tc>
      </w:tr>
      <w:tr w:rsidR="00DF3E10" w14:paraId="4E56A1B1" w14:textId="77777777">
        <w:tc>
          <w:tcPr>
            <w:tcW w:w="0" w:type="auto"/>
            <w:shd w:val="clear" w:color="auto" w:fill="auto"/>
            <w:tcMar>
              <w:top w:w="40" w:type="dxa"/>
              <w:left w:w="560" w:type="dxa"/>
              <w:bottom w:w="40" w:type="dxa"/>
              <w:right w:w="40" w:type="dxa"/>
            </w:tcMar>
          </w:tcPr>
          <w:p w14:paraId="4E56A19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Basic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1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19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bottom w:val="double" w:sz="6" w:space="0" w:color="000000"/>
            </w:tcBorders>
            <w:shd w:val="clear" w:color="auto" w:fill="auto"/>
            <w:vAlign w:val="bottom"/>
          </w:tcPr>
          <w:p w14:paraId="4E56A19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1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19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bottom w:val="double" w:sz="6" w:space="0" w:color="000000"/>
            </w:tcBorders>
            <w:shd w:val="clear" w:color="auto" w:fill="auto"/>
            <w:vAlign w:val="bottom"/>
          </w:tcPr>
          <w:p w14:paraId="4E56A19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1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19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0.92</w:t>
            </w:r>
          </w:p>
        </w:tc>
        <w:tc>
          <w:tcPr>
            <w:tcW w:w="0" w:type="auto"/>
            <w:tcBorders>
              <w:top w:val="single" w:sz="8" w:space="0" w:color="000000"/>
              <w:bottom w:val="double" w:sz="6" w:space="0" w:color="000000"/>
            </w:tcBorders>
            <w:shd w:val="clear" w:color="auto" w:fill="auto"/>
            <w:vAlign w:val="bottom"/>
          </w:tcPr>
          <w:p w14:paraId="4E56A19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1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1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0.92</w:t>
            </w:r>
          </w:p>
        </w:tc>
        <w:tc>
          <w:tcPr>
            <w:tcW w:w="0" w:type="auto"/>
            <w:tcBorders>
              <w:top w:val="single" w:sz="8" w:space="0" w:color="000000"/>
              <w:bottom w:val="double" w:sz="6" w:space="0" w:color="000000"/>
            </w:tcBorders>
            <w:shd w:val="clear" w:color="auto" w:fill="auto"/>
            <w:vAlign w:val="bottom"/>
          </w:tcPr>
          <w:p w14:paraId="4E56A1A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A1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A1A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tcBorders>
              <w:bottom w:val="double" w:sz="6" w:space="0" w:color="000000"/>
            </w:tcBorders>
            <w:shd w:val="clear" w:color="auto" w:fill="auto"/>
            <w:vAlign w:val="bottom"/>
          </w:tcPr>
          <w:p w14:paraId="4E56A1A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A1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A1A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tcBorders>
              <w:bottom w:val="double" w:sz="6" w:space="0" w:color="000000"/>
            </w:tcBorders>
            <w:shd w:val="clear" w:color="auto" w:fill="auto"/>
            <w:vAlign w:val="bottom"/>
          </w:tcPr>
          <w:p w14:paraId="4E56A1A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A1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A1A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bottom w:val="double" w:sz="6" w:space="0" w:color="000000"/>
            </w:tcBorders>
            <w:shd w:val="clear" w:color="auto" w:fill="auto"/>
            <w:vAlign w:val="bottom"/>
          </w:tcPr>
          <w:p w14:paraId="4E56A1A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A1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A1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bottom w:val="double" w:sz="6" w:space="0" w:color="000000"/>
            </w:tcBorders>
            <w:shd w:val="clear" w:color="auto" w:fill="auto"/>
            <w:vAlign w:val="bottom"/>
          </w:tcPr>
          <w:p w14:paraId="4E56A1B0" w14:textId="77777777" w:rsidR="00DF3E10" w:rsidRDefault="00DF3E10">
            <w:pPr>
              <w:textAlignment w:val="bottom"/>
              <w:rPr>
                <w:rFonts w:ascii="Times New Roman" w:hAnsi="Times New Roman"/>
                <w:sz w:val="20"/>
                <w:szCs w:val="20"/>
              </w:rPr>
            </w:pPr>
          </w:p>
        </w:tc>
      </w:tr>
      <w:tr w:rsidR="00DF3E10" w14:paraId="4E56A1C2" w14:textId="77777777">
        <w:tc>
          <w:tcPr>
            <w:tcW w:w="0" w:type="auto"/>
            <w:shd w:val="clear" w:color="auto" w:fill="CCEEFF"/>
            <w:tcMar>
              <w:top w:w="40" w:type="dxa"/>
              <w:left w:w="40" w:type="dxa"/>
              <w:bottom w:w="40" w:type="dxa"/>
              <w:right w:w="40" w:type="dxa"/>
            </w:tcMar>
          </w:tcPr>
          <w:p w14:paraId="4E56A1B2" w14:textId="77777777" w:rsidR="00DF3E10" w:rsidRDefault="006B6C28">
            <w:pPr>
              <w:textAlignment w:val="top"/>
              <w:rPr>
                <w:rFonts w:ascii="Times New Roman" w:hAnsi="Times New Roman"/>
                <w:sz w:val="20"/>
                <w:szCs w:val="20"/>
              </w:rPr>
            </w:pPr>
            <w:r>
              <w:rPr>
                <w:rFonts w:ascii="Times New Roman" w:eastAsia="宋体" w:hAnsi="Times New Roman"/>
                <w:sz w:val="20"/>
                <w:szCs w:val="20"/>
                <w:u w:val="single"/>
              </w:rPr>
              <w:t>Diluted EPS:</w:t>
            </w:r>
          </w:p>
        </w:tc>
        <w:tc>
          <w:tcPr>
            <w:tcW w:w="0" w:type="auto"/>
            <w:gridSpan w:val="3"/>
            <w:shd w:val="clear" w:color="auto" w:fill="CCEEFF"/>
            <w:tcMar>
              <w:top w:w="40" w:type="dxa"/>
              <w:left w:w="40" w:type="dxa"/>
              <w:bottom w:w="40" w:type="dxa"/>
              <w:right w:w="40" w:type="dxa"/>
            </w:tcMar>
            <w:vAlign w:val="bottom"/>
          </w:tcPr>
          <w:p w14:paraId="4E56A1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1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1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1D3" w14:textId="77777777">
        <w:tc>
          <w:tcPr>
            <w:tcW w:w="0" w:type="auto"/>
            <w:shd w:val="clear" w:color="auto" w:fill="auto"/>
            <w:tcMar>
              <w:top w:w="40" w:type="dxa"/>
              <w:left w:w="560" w:type="dxa"/>
              <w:bottom w:w="40" w:type="dxa"/>
              <w:right w:w="40" w:type="dxa"/>
            </w:tcMar>
          </w:tcPr>
          <w:p w14:paraId="4E56A1C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4E56A1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D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1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1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6B6C28" w14:paraId="4E56A1F4" w14:textId="77777777">
        <w:tc>
          <w:tcPr>
            <w:tcW w:w="0" w:type="auto"/>
            <w:shd w:val="clear" w:color="auto" w:fill="CCEEFF"/>
            <w:tcMar>
              <w:top w:w="40" w:type="dxa"/>
              <w:left w:w="1040" w:type="dxa"/>
              <w:bottom w:w="40" w:type="dxa"/>
              <w:right w:w="40" w:type="dxa"/>
            </w:tcMar>
          </w:tcPr>
          <w:p w14:paraId="4E56A1D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4E56A1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D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4,371</w:t>
            </w:r>
          </w:p>
        </w:tc>
        <w:tc>
          <w:tcPr>
            <w:tcW w:w="0" w:type="auto"/>
            <w:shd w:val="clear" w:color="auto" w:fill="CCEEFF"/>
            <w:vAlign w:val="bottom"/>
          </w:tcPr>
          <w:p w14:paraId="4E56A1D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D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807</w:t>
            </w:r>
          </w:p>
        </w:tc>
        <w:tc>
          <w:tcPr>
            <w:tcW w:w="0" w:type="auto"/>
            <w:shd w:val="clear" w:color="auto" w:fill="CCEEFF"/>
            <w:vAlign w:val="bottom"/>
          </w:tcPr>
          <w:p w14:paraId="4E56A1D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D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D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2,204</w:t>
            </w:r>
          </w:p>
        </w:tc>
        <w:tc>
          <w:tcPr>
            <w:tcW w:w="0" w:type="auto"/>
            <w:shd w:val="clear" w:color="auto" w:fill="CCEEFF"/>
            <w:vAlign w:val="bottom"/>
          </w:tcPr>
          <w:p w14:paraId="4E56A1D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E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E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412</w:t>
            </w:r>
          </w:p>
        </w:tc>
        <w:tc>
          <w:tcPr>
            <w:tcW w:w="0" w:type="auto"/>
            <w:shd w:val="clear" w:color="auto" w:fill="CCEEFF"/>
            <w:vAlign w:val="bottom"/>
          </w:tcPr>
          <w:p w14:paraId="4E56A1E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E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8,509</w:t>
            </w:r>
          </w:p>
        </w:tc>
        <w:tc>
          <w:tcPr>
            <w:tcW w:w="0" w:type="auto"/>
            <w:shd w:val="clear" w:color="auto" w:fill="CCEEFF"/>
            <w:vAlign w:val="bottom"/>
          </w:tcPr>
          <w:p w14:paraId="4E56A1E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E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E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E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1,572</w:t>
            </w:r>
          </w:p>
        </w:tc>
        <w:tc>
          <w:tcPr>
            <w:tcW w:w="0" w:type="auto"/>
            <w:shd w:val="clear" w:color="auto" w:fill="CCEEFF"/>
            <w:vAlign w:val="bottom"/>
          </w:tcPr>
          <w:p w14:paraId="4E56A1E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E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E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4,241</w:t>
            </w:r>
          </w:p>
        </w:tc>
        <w:tc>
          <w:tcPr>
            <w:tcW w:w="0" w:type="auto"/>
            <w:shd w:val="clear" w:color="auto" w:fill="CCEEFF"/>
            <w:vAlign w:val="bottom"/>
          </w:tcPr>
          <w:p w14:paraId="4E56A1E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1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1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1F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804</w:t>
            </w:r>
          </w:p>
        </w:tc>
        <w:tc>
          <w:tcPr>
            <w:tcW w:w="0" w:type="auto"/>
            <w:shd w:val="clear" w:color="auto" w:fill="CCEEFF"/>
            <w:vAlign w:val="bottom"/>
          </w:tcPr>
          <w:p w14:paraId="4E56A1F3" w14:textId="77777777" w:rsidR="00DF3E10" w:rsidRDefault="00DF3E10">
            <w:pPr>
              <w:textAlignment w:val="bottom"/>
              <w:rPr>
                <w:rFonts w:ascii="Times New Roman" w:hAnsi="Times New Roman"/>
                <w:sz w:val="20"/>
                <w:szCs w:val="20"/>
              </w:rPr>
            </w:pPr>
          </w:p>
        </w:tc>
      </w:tr>
      <w:tr w:rsidR="00DF3E10" w14:paraId="4E56A20D" w14:textId="77777777">
        <w:tc>
          <w:tcPr>
            <w:tcW w:w="0" w:type="auto"/>
            <w:shd w:val="clear" w:color="auto" w:fill="auto"/>
            <w:tcMar>
              <w:top w:w="40" w:type="dxa"/>
              <w:left w:w="1040" w:type="dxa"/>
              <w:bottom w:w="40" w:type="dxa"/>
              <w:right w:w="40" w:type="dxa"/>
            </w:tcMar>
          </w:tcPr>
          <w:p w14:paraId="4E56A1F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Reallocation of net income as a result of conversion of Class B to Class A common stock</w:t>
            </w:r>
          </w:p>
        </w:tc>
        <w:tc>
          <w:tcPr>
            <w:tcW w:w="0" w:type="auto"/>
            <w:gridSpan w:val="2"/>
            <w:shd w:val="clear" w:color="auto" w:fill="auto"/>
            <w:tcMar>
              <w:top w:w="40" w:type="dxa"/>
              <w:left w:w="40" w:type="dxa"/>
              <w:bottom w:w="40" w:type="dxa"/>
            </w:tcMar>
            <w:vAlign w:val="bottom"/>
          </w:tcPr>
          <w:p w14:paraId="4E56A1F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807</w:t>
            </w:r>
          </w:p>
        </w:tc>
        <w:tc>
          <w:tcPr>
            <w:tcW w:w="0" w:type="auto"/>
            <w:shd w:val="clear" w:color="auto" w:fill="auto"/>
            <w:vAlign w:val="bottom"/>
          </w:tcPr>
          <w:p w14:paraId="4E56A1F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1F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1F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1F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412</w:t>
            </w:r>
          </w:p>
        </w:tc>
        <w:tc>
          <w:tcPr>
            <w:tcW w:w="0" w:type="auto"/>
            <w:shd w:val="clear" w:color="auto" w:fill="auto"/>
            <w:vAlign w:val="bottom"/>
          </w:tcPr>
          <w:p w14:paraId="4E56A1F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1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1F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0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0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1,572</w:t>
            </w:r>
          </w:p>
        </w:tc>
        <w:tc>
          <w:tcPr>
            <w:tcW w:w="0" w:type="auto"/>
            <w:shd w:val="clear" w:color="auto" w:fill="auto"/>
            <w:vAlign w:val="bottom"/>
          </w:tcPr>
          <w:p w14:paraId="4E56A20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0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0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0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804</w:t>
            </w:r>
          </w:p>
        </w:tc>
        <w:tc>
          <w:tcPr>
            <w:tcW w:w="0" w:type="auto"/>
            <w:shd w:val="clear" w:color="auto" w:fill="auto"/>
            <w:vAlign w:val="bottom"/>
          </w:tcPr>
          <w:p w14:paraId="4E56A20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0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0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0C" w14:textId="77777777" w:rsidR="00DF3E10" w:rsidRDefault="00DF3E10">
            <w:pPr>
              <w:textAlignment w:val="bottom"/>
              <w:rPr>
                <w:rFonts w:ascii="Times New Roman" w:hAnsi="Times New Roman"/>
                <w:sz w:val="20"/>
                <w:szCs w:val="20"/>
              </w:rPr>
            </w:pPr>
          </w:p>
        </w:tc>
      </w:tr>
      <w:tr w:rsidR="00DF3E10" w14:paraId="4E56A226" w14:textId="77777777">
        <w:tc>
          <w:tcPr>
            <w:tcW w:w="0" w:type="auto"/>
            <w:shd w:val="clear" w:color="auto" w:fill="CCEEFF"/>
            <w:tcMar>
              <w:top w:w="40" w:type="dxa"/>
              <w:left w:w="1040" w:type="dxa"/>
              <w:bottom w:w="40" w:type="dxa"/>
              <w:right w:w="40" w:type="dxa"/>
            </w:tcMar>
          </w:tcPr>
          <w:p w14:paraId="4E56A20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Reallocation of net income to Class B common stock</w:t>
            </w:r>
          </w:p>
        </w:tc>
        <w:tc>
          <w:tcPr>
            <w:tcW w:w="0" w:type="auto"/>
            <w:gridSpan w:val="2"/>
            <w:shd w:val="clear" w:color="auto" w:fill="CCEEFF"/>
            <w:tcMar>
              <w:top w:w="40" w:type="dxa"/>
              <w:left w:w="40" w:type="dxa"/>
              <w:bottom w:w="40" w:type="dxa"/>
            </w:tcMar>
            <w:vAlign w:val="bottom"/>
          </w:tcPr>
          <w:p w14:paraId="4E56A20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1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1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4E56A2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21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1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1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1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4E56A2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2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1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1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4E56A2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2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2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2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2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2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4E56A2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247" w14:textId="77777777">
        <w:tc>
          <w:tcPr>
            <w:tcW w:w="0" w:type="auto"/>
            <w:shd w:val="clear" w:color="auto" w:fill="auto"/>
            <w:tcMar>
              <w:top w:w="40" w:type="dxa"/>
              <w:left w:w="1360" w:type="dxa"/>
              <w:bottom w:w="40" w:type="dxa"/>
              <w:right w:w="40" w:type="dxa"/>
            </w:tcMar>
          </w:tcPr>
          <w:p w14:paraId="4E56A22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 for diluted EPS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2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5,178</w:t>
            </w:r>
          </w:p>
        </w:tc>
        <w:tc>
          <w:tcPr>
            <w:tcW w:w="0" w:type="auto"/>
            <w:tcBorders>
              <w:top w:val="single" w:sz="8" w:space="0" w:color="000000"/>
              <w:bottom w:val="single" w:sz="8" w:space="0" w:color="000000"/>
            </w:tcBorders>
            <w:shd w:val="clear" w:color="auto" w:fill="auto"/>
            <w:vAlign w:val="bottom"/>
          </w:tcPr>
          <w:p w14:paraId="4E56A22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2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2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799</w:t>
            </w:r>
          </w:p>
        </w:tc>
        <w:tc>
          <w:tcPr>
            <w:tcW w:w="0" w:type="auto"/>
            <w:tcBorders>
              <w:top w:val="single" w:sz="8" w:space="0" w:color="000000"/>
              <w:bottom w:val="single" w:sz="8" w:space="0" w:color="000000"/>
            </w:tcBorders>
            <w:shd w:val="clear" w:color="auto" w:fill="auto"/>
            <w:vAlign w:val="bottom"/>
          </w:tcPr>
          <w:p w14:paraId="4E56A22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3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bottom w:val="single" w:sz="8" w:space="0" w:color="000000"/>
            </w:tcBorders>
            <w:shd w:val="clear" w:color="auto" w:fill="auto"/>
            <w:vAlign w:val="bottom"/>
          </w:tcPr>
          <w:p w14:paraId="4E56A23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3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3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tcBorders>
              <w:top w:val="single" w:sz="8" w:space="0" w:color="000000"/>
              <w:bottom w:val="single" w:sz="8" w:space="0" w:color="000000"/>
            </w:tcBorders>
            <w:shd w:val="clear" w:color="auto" w:fill="auto"/>
            <w:vAlign w:val="bottom"/>
          </w:tcPr>
          <w:p w14:paraId="4E56A23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10,081</w:t>
            </w:r>
          </w:p>
        </w:tc>
        <w:tc>
          <w:tcPr>
            <w:tcW w:w="0" w:type="auto"/>
            <w:tcBorders>
              <w:top w:val="single" w:sz="8" w:space="0" w:color="000000"/>
              <w:bottom w:val="single" w:sz="8" w:space="0" w:color="000000"/>
            </w:tcBorders>
            <w:shd w:val="clear" w:color="auto" w:fill="auto"/>
            <w:vAlign w:val="bottom"/>
          </w:tcPr>
          <w:p w14:paraId="4E56A23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3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1,559</w:t>
            </w:r>
          </w:p>
        </w:tc>
        <w:tc>
          <w:tcPr>
            <w:tcW w:w="0" w:type="auto"/>
            <w:tcBorders>
              <w:top w:val="single" w:sz="8" w:space="0" w:color="000000"/>
              <w:bottom w:val="single" w:sz="8" w:space="0" w:color="000000"/>
            </w:tcBorders>
            <w:shd w:val="clear" w:color="auto" w:fill="auto"/>
            <w:vAlign w:val="bottom"/>
          </w:tcPr>
          <w:p w14:paraId="4E56A23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4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5,045</w:t>
            </w:r>
          </w:p>
        </w:tc>
        <w:tc>
          <w:tcPr>
            <w:tcW w:w="0" w:type="auto"/>
            <w:tcBorders>
              <w:top w:val="single" w:sz="8" w:space="0" w:color="000000"/>
              <w:bottom w:val="single" w:sz="8" w:space="0" w:color="000000"/>
            </w:tcBorders>
            <w:shd w:val="clear" w:color="auto" w:fill="auto"/>
            <w:vAlign w:val="bottom"/>
          </w:tcPr>
          <w:p w14:paraId="4E56A24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4E56A2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4E56A24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801</w:t>
            </w:r>
          </w:p>
        </w:tc>
        <w:tc>
          <w:tcPr>
            <w:tcW w:w="0" w:type="auto"/>
            <w:tcBorders>
              <w:top w:val="single" w:sz="8" w:space="0" w:color="000000"/>
              <w:bottom w:val="single" w:sz="8" w:space="0" w:color="000000"/>
            </w:tcBorders>
            <w:shd w:val="clear" w:color="auto" w:fill="auto"/>
            <w:vAlign w:val="bottom"/>
          </w:tcPr>
          <w:p w14:paraId="4E56A246" w14:textId="77777777" w:rsidR="00DF3E10" w:rsidRDefault="00DF3E10">
            <w:pPr>
              <w:textAlignment w:val="bottom"/>
              <w:rPr>
                <w:rFonts w:ascii="Times New Roman" w:hAnsi="Times New Roman"/>
                <w:sz w:val="20"/>
                <w:szCs w:val="20"/>
              </w:rPr>
            </w:pPr>
          </w:p>
        </w:tc>
      </w:tr>
      <w:tr w:rsidR="00DF3E10" w14:paraId="4E56A258" w14:textId="77777777">
        <w:tc>
          <w:tcPr>
            <w:tcW w:w="0" w:type="auto"/>
            <w:shd w:val="clear" w:color="auto" w:fill="CCEEFF"/>
            <w:tcMar>
              <w:top w:w="40" w:type="dxa"/>
              <w:left w:w="560" w:type="dxa"/>
              <w:bottom w:w="40" w:type="dxa"/>
              <w:right w:w="40" w:type="dxa"/>
            </w:tcMar>
          </w:tcPr>
          <w:p w14:paraId="4E56A24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CCEEFF"/>
            <w:tcMar>
              <w:top w:w="40" w:type="dxa"/>
              <w:left w:w="40" w:type="dxa"/>
              <w:bottom w:w="40" w:type="dxa"/>
              <w:right w:w="40" w:type="dxa"/>
            </w:tcMar>
            <w:vAlign w:val="bottom"/>
          </w:tcPr>
          <w:p w14:paraId="4E56A2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271" w14:textId="77777777">
        <w:tc>
          <w:tcPr>
            <w:tcW w:w="0" w:type="auto"/>
            <w:shd w:val="clear" w:color="auto" w:fill="auto"/>
            <w:tcMar>
              <w:top w:w="40" w:type="dxa"/>
              <w:left w:w="1040" w:type="dxa"/>
              <w:bottom w:w="40" w:type="dxa"/>
              <w:right w:w="40" w:type="dxa"/>
            </w:tcMar>
          </w:tcPr>
          <w:p w14:paraId="4E56A25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Number of shares used for basic EPS computation</w:t>
            </w:r>
          </w:p>
        </w:tc>
        <w:tc>
          <w:tcPr>
            <w:tcW w:w="0" w:type="auto"/>
            <w:gridSpan w:val="2"/>
            <w:shd w:val="clear" w:color="auto" w:fill="auto"/>
            <w:tcMar>
              <w:top w:w="40" w:type="dxa"/>
              <w:left w:w="40" w:type="dxa"/>
              <w:bottom w:w="40" w:type="dxa"/>
            </w:tcMar>
            <w:vAlign w:val="bottom"/>
          </w:tcPr>
          <w:p w14:paraId="4E56A25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auto"/>
            <w:vAlign w:val="bottom"/>
          </w:tcPr>
          <w:p w14:paraId="4E56A25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5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4E56A25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2,405</w:t>
            </w:r>
          </w:p>
        </w:tc>
        <w:tc>
          <w:tcPr>
            <w:tcW w:w="0" w:type="auto"/>
            <w:shd w:val="clear" w:color="auto" w:fill="auto"/>
            <w:vAlign w:val="bottom"/>
          </w:tcPr>
          <w:p w14:paraId="4E56A26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auto"/>
            <w:vAlign w:val="bottom"/>
          </w:tcPr>
          <w:p w14:paraId="4E56A26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shd w:val="clear" w:color="auto" w:fill="auto"/>
            <w:vAlign w:val="bottom"/>
          </w:tcPr>
          <w:p w14:paraId="4E56A26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4E56A26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2,400</w:t>
            </w:r>
          </w:p>
        </w:tc>
        <w:tc>
          <w:tcPr>
            <w:tcW w:w="0" w:type="auto"/>
            <w:shd w:val="clear" w:color="auto" w:fill="auto"/>
            <w:vAlign w:val="bottom"/>
          </w:tcPr>
          <w:p w14:paraId="4E56A26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6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455</w:t>
            </w:r>
          </w:p>
        </w:tc>
        <w:tc>
          <w:tcPr>
            <w:tcW w:w="0" w:type="auto"/>
            <w:shd w:val="clear" w:color="auto" w:fill="auto"/>
            <w:vAlign w:val="bottom"/>
          </w:tcPr>
          <w:p w14:paraId="4E56A270" w14:textId="77777777" w:rsidR="00DF3E10" w:rsidRDefault="00DF3E10">
            <w:pPr>
              <w:textAlignment w:val="bottom"/>
              <w:rPr>
                <w:rFonts w:ascii="Times New Roman" w:hAnsi="Times New Roman"/>
                <w:sz w:val="20"/>
                <w:szCs w:val="20"/>
              </w:rPr>
            </w:pPr>
          </w:p>
        </w:tc>
      </w:tr>
      <w:tr w:rsidR="00DF3E10" w14:paraId="4E56A28A" w14:textId="77777777">
        <w:tc>
          <w:tcPr>
            <w:tcW w:w="0" w:type="auto"/>
            <w:shd w:val="clear" w:color="auto" w:fill="CCEEFF"/>
            <w:tcMar>
              <w:top w:w="40" w:type="dxa"/>
              <w:left w:w="1040" w:type="dxa"/>
              <w:bottom w:w="40" w:type="dxa"/>
              <w:right w:w="40" w:type="dxa"/>
            </w:tcMar>
          </w:tcPr>
          <w:p w14:paraId="4E56A27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Conversion of Class B to Class A common stock</w:t>
            </w:r>
          </w:p>
        </w:tc>
        <w:tc>
          <w:tcPr>
            <w:tcW w:w="0" w:type="auto"/>
            <w:gridSpan w:val="2"/>
            <w:shd w:val="clear" w:color="auto" w:fill="CCEEFF"/>
            <w:tcMar>
              <w:top w:w="40" w:type="dxa"/>
              <w:left w:w="40" w:type="dxa"/>
              <w:bottom w:w="40" w:type="dxa"/>
            </w:tcMar>
            <w:vAlign w:val="bottom"/>
          </w:tcPr>
          <w:p w14:paraId="4E56A27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4E56A27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7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7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7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shd w:val="clear" w:color="auto" w:fill="CCEEFF"/>
            <w:vAlign w:val="bottom"/>
          </w:tcPr>
          <w:p w14:paraId="4E56A27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7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7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7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4E56A28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8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455</w:t>
            </w:r>
          </w:p>
        </w:tc>
        <w:tc>
          <w:tcPr>
            <w:tcW w:w="0" w:type="auto"/>
            <w:shd w:val="clear" w:color="auto" w:fill="CCEEFF"/>
            <w:vAlign w:val="bottom"/>
          </w:tcPr>
          <w:p w14:paraId="4E56A28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2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289" w14:textId="77777777" w:rsidR="00DF3E10" w:rsidRDefault="00DF3E10">
            <w:pPr>
              <w:textAlignment w:val="bottom"/>
              <w:rPr>
                <w:rFonts w:ascii="Times New Roman" w:hAnsi="Times New Roman"/>
                <w:sz w:val="20"/>
                <w:szCs w:val="20"/>
              </w:rPr>
            </w:pPr>
          </w:p>
        </w:tc>
      </w:tr>
      <w:tr w:rsidR="00DF3E10" w14:paraId="4E56A2A3" w14:textId="77777777">
        <w:tc>
          <w:tcPr>
            <w:tcW w:w="0" w:type="auto"/>
            <w:shd w:val="clear" w:color="auto" w:fill="auto"/>
            <w:tcMar>
              <w:top w:w="40" w:type="dxa"/>
              <w:left w:w="1040" w:type="dxa"/>
              <w:bottom w:w="40" w:type="dxa"/>
              <w:right w:w="40" w:type="dxa"/>
            </w:tcMar>
          </w:tcPr>
          <w:p w14:paraId="4E56A28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Weighted-average effect of dilutive RSUs and employee stock options</w:t>
            </w:r>
          </w:p>
        </w:tc>
        <w:tc>
          <w:tcPr>
            <w:tcW w:w="0" w:type="auto"/>
            <w:gridSpan w:val="2"/>
            <w:shd w:val="clear" w:color="auto" w:fill="auto"/>
            <w:tcMar>
              <w:top w:w="40" w:type="dxa"/>
              <w:left w:w="40" w:type="dxa"/>
              <w:bottom w:w="40" w:type="dxa"/>
            </w:tcMar>
            <w:vAlign w:val="bottom"/>
          </w:tcPr>
          <w:p w14:paraId="4E56A2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4E56A28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9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9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4E56A29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9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9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4E56A29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9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29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9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4E56A29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2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4E56A2A2" w14:textId="77777777" w:rsidR="00DF3E10" w:rsidRDefault="00DF3E10">
            <w:pPr>
              <w:textAlignment w:val="bottom"/>
              <w:rPr>
                <w:rFonts w:ascii="Times New Roman" w:hAnsi="Times New Roman"/>
                <w:sz w:val="20"/>
                <w:szCs w:val="20"/>
              </w:rPr>
            </w:pPr>
          </w:p>
        </w:tc>
      </w:tr>
      <w:tr w:rsidR="00DF3E10" w14:paraId="4E56A2BC" w14:textId="77777777">
        <w:tc>
          <w:tcPr>
            <w:tcW w:w="0" w:type="auto"/>
            <w:shd w:val="clear" w:color="auto" w:fill="CCEEFF"/>
            <w:tcMar>
              <w:top w:w="40" w:type="dxa"/>
              <w:left w:w="1520" w:type="dxa"/>
              <w:bottom w:w="40" w:type="dxa"/>
              <w:right w:w="40" w:type="dxa"/>
            </w:tcMar>
          </w:tcPr>
          <w:p w14:paraId="4E56A2A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Number of shares used for diluted EPS computation</w:t>
            </w:r>
          </w:p>
        </w:tc>
        <w:tc>
          <w:tcPr>
            <w:tcW w:w="0" w:type="auto"/>
            <w:gridSpan w:val="2"/>
            <w:tcBorders>
              <w:top w:val="single" w:sz="8" w:space="0" w:color="000000"/>
            </w:tcBorders>
            <w:shd w:val="clear" w:color="auto" w:fill="CCEEFF"/>
            <w:tcMar>
              <w:top w:w="40" w:type="dxa"/>
              <w:left w:w="40" w:type="dxa"/>
              <w:bottom w:w="40" w:type="dxa"/>
            </w:tcMar>
            <w:vAlign w:val="bottom"/>
          </w:tcPr>
          <w:p w14:paraId="4E56A2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2,879</w:t>
            </w:r>
          </w:p>
        </w:tc>
        <w:tc>
          <w:tcPr>
            <w:tcW w:w="0" w:type="auto"/>
            <w:tcBorders>
              <w:top w:val="single" w:sz="8" w:space="0" w:color="000000"/>
            </w:tcBorders>
            <w:shd w:val="clear" w:color="auto" w:fill="CCEEFF"/>
            <w:vAlign w:val="bottom"/>
          </w:tcPr>
          <w:p w14:paraId="4E56A2A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E56A2A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top w:val="single" w:sz="8" w:space="0" w:color="000000"/>
            </w:tcBorders>
            <w:shd w:val="clear" w:color="auto" w:fill="CCEEFF"/>
            <w:vAlign w:val="bottom"/>
          </w:tcPr>
          <w:p w14:paraId="4E56A2A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E56A2A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tcBorders>
              <w:top w:val="single" w:sz="8" w:space="0" w:color="000000"/>
            </w:tcBorders>
            <w:shd w:val="clear" w:color="auto" w:fill="CCEEFF"/>
            <w:vAlign w:val="bottom"/>
          </w:tcPr>
          <w:p w14:paraId="4E56A2A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E56A2A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450</w:t>
            </w:r>
          </w:p>
        </w:tc>
        <w:tc>
          <w:tcPr>
            <w:tcW w:w="0" w:type="auto"/>
            <w:tcBorders>
              <w:top w:val="single" w:sz="8" w:space="0" w:color="000000"/>
            </w:tcBorders>
            <w:shd w:val="clear" w:color="auto" w:fill="CCEEFF"/>
            <w:vAlign w:val="bottom"/>
          </w:tcPr>
          <w:p w14:paraId="4E56A2A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2B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2,876</w:t>
            </w:r>
          </w:p>
        </w:tc>
        <w:tc>
          <w:tcPr>
            <w:tcW w:w="0" w:type="auto"/>
            <w:tcBorders>
              <w:top w:val="single" w:sz="8" w:space="0" w:color="000000"/>
              <w:bottom w:val="single" w:sz="8" w:space="0" w:color="000000"/>
            </w:tcBorders>
            <w:shd w:val="clear" w:color="auto" w:fill="CCEEFF"/>
            <w:vAlign w:val="bottom"/>
          </w:tcPr>
          <w:p w14:paraId="4E56A2B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2B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top w:val="single" w:sz="8" w:space="0" w:color="000000"/>
              <w:bottom w:val="single" w:sz="8" w:space="0" w:color="000000"/>
            </w:tcBorders>
            <w:shd w:val="clear" w:color="auto" w:fill="CCEEFF"/>
            <w:vAlign w:val="bottom"/>
          </w:tcPr>
          <w:p w14:paraId="4E56A2B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2B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2,873</w:t>
            </w:r>
          </w:p>
        </w:tc>
        <w:tc>
          <w:tcPr>
            <w:tcW w:w="0" w:type="auto"/>
            <w:tcBorders>
              <w:top w:val="single" w:sz="8" w:space="0" w:color="000000"/>
              <w:bottom w:val="single" w:sz="8" w:space="0" w:color="000000"/>
            </w:tcBorders>
            <w:shd w:val="clear" w:color="auto" w:fill="CCEEFF"/>
            <w:vAlign w:val="bottom"/>
          </w:tcPr>
          <w:p w14:paraId="4E56A2B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2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2B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456</w:t>
            </w:r>
          </w:p>
        </w:tc>
        <w:tc>
          <w:tcPr>
            <w:tcW w:w="0" w:type="auto"/>
            <w:tcBorders>
              <w:top w:val="single" w:sz="8" w:space="0" w:color="000000"/>
              <w:bottom w:val="single" w:sz="8" w:space="0" w:color="000000"/>
            </w:tcBorders>
            <w:shd w:val="clear" w:color="auto" w:fill="CCEEFF"/>
            <w:vAlign w:val="bottom"/>
          </w:tcPr>
          <w:p w14:paraId="4E56A2BB" w14:textId="77777777" w:rsidR="00DF3E10" w:rsidRDefault="00DF3E10">
            <w:pPr>
              <w:textAlignment w:val="bottom"/>
              <w:rPr>
                <w:rFonts w:ascii="Times New Roman" w:hAnsi="Times New Roman"/>
                <w:sz w:val="20"/>
                <w:szCs w:val="20"/>
              </w:rPr>
            </w:pPr>
          </w:p>
        </w:tc>
      </w:tr>
      <w:tr w:rsidR="00DF3E10" w14:paraId="4E56A2DD" w14:textId="77777777">
        <w:tc>
          <w:tcPr>
            <w:tcW w:w="0" w:type="auto"/>
            <w:shd w:val="clear" w:color="auto" w:fill="auto"/>
            <w:tcMar>
              <w:top w:w="40" w:type="dxa"/>
              <w:left w:w="560" w:type="dxa"/>
              <w:bottom w:w="40" w:type="dxa"/>
              <w:right w:w="40" w:type="dxa"/>
            </w:tcMar>
          </w:tcPr>
          <w:p w14:paraId="4E56A2B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Diluted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B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top w:val="single" w:sz="8" w:space="0" w:color="000000"/>
              <w:bottom w:val="double" w:sz="6" w:space="0" w:color="000000"/>
            </w:tcBorders>
            <w:shd w:val="clear" w:color="auto" w:fill="auto"/>
            <w:vAlign w:val="bottom"/>
          </w:tcPr>
          <w:p w14:paraId="4E56A2C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top w:val="single" w:sz="8" w:space="0" w:color="000000"/>
              <w:bottom w:val="double" w:sz="6" w:space="0" w:color="000000"/>
            </w:tcBorders>
            <w:shd w:val="clear" w:color="auto" w:fill="auto"/>
            <w:vAlign w:val="bottom"/>
          </w:tcPr>
          <w:p w14:paraId="4E56A2C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C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0.91</w:t>
            </w:r>
          </w:p>
        </w:tc>
        <w:tc>
          <w:tcPr>
            <w:tcW w:w="0" w:type="auto"/>
            <w:tcBorders>
              <w:top w:val="single" w:sz="8" w:space="0" w:color="000000"/>
              <w:bottom w:val="double" w:sz="6" w:space="0" w:color="000000"/>
            </w:tcBorders>
            <w:shd w:val="clear" w:color="auto" w:fill="auto"/>
            <w:vAlign w:val="bottom"/>
          </w:tcPr>
          <w:p w14:paraId="4E56A2C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C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0.91</w:t>
            </w:r>
          </w:p>
        </w:tc>
        <w:tc>
          <w:tcPr>
            <w:tcW w:w="0" w:type="auto"/>
            <w:tcBorders>
              <w:top w:val="single" w:sz="8" w:space="0" w:color="000000"/>
              <w:bottom w:val="double" w:sz="6" w:space="0" w:color="000000"/>
            </w:tcBorders>
            <w:shd w:val="clear" w:color="auto" w:fill="auto"/>
            <w:vAlign w:val="bottom"/>
          </w:tcPr>
          <w:p w14:paraId="4E56A2C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C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3.51</w:t>
            </w:r>
          </w:p>
        </w:tc>
        <w:tc>
          <w:tcPr>
            <w:tcW w:w="0" w:type="auto"/>
            <w:tcBorders>
              <w:top w:val="single" w:sz="8" w:space="0" w:color="000000"/>
              <w:bottom w:val="double" w:sz="6" w:space="0" w:color="000000"/>
            </w:tcBorders>
            <w:shd w:val="clear" w:color="auto" w:fill="auto"/>
            <w:vAlign w:val="bottom"/>
          </w:tcPr>
          <w:p w14:paraId="4E56A2D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D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3.51</w:t>
            </w:r>
          </w:p>
        </w:tc>
        <w:tc>
          <w:tcPr>
            <w:tcW w:w="0" w:type="auto"/>
            <w:tcBorders>
              <w:top w:val="single" w:sz="8" w:space="0" w:color="000000"/>
              <w:bottom w:val="double" w:sz="6" w:space="0" w:color="000000"/>
            </w:tcBorders>
            <w:shd w:val="clear" w:color="auto" w:fill="auto"/>
            <w:vAlign w:val="bottom"/>
          </w:tcPr>
          <w:p w14:paraId="4E56A2D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D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top w:val="single" w:sz="8" w:space="0" w:color="000000"/>
              <w:bottom w:val="double" w:sz="6" w:space="0" w:color="000000"/>
            </w:tcBorders>
            <w:shd w:val="clear" w:color="auto" w:fill="auto"/>
            <w:vAlign w:val="bottom"/>
          </w:tcPr>
          <w:p w14:paraId="4E56A2D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2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2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2D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top w:val="single" w:sz="8" w:space="0" w:color="000000"/>
              <w:bottom w:val="double" w:sz="6" w:space="0" w:color="000000"/>
            </w:tcBorders>
            <w:shd w:val="clear" w:color="auto" w:fill="auto"/>
            <w:vAlign w:val="bottom"/>
          </w:tcPr>
          <w:p w14:paraId="4E56A2DC" w14:textId="77777777" w:rsidR="00DF3E10" w:rsidRDefault="00DF3E10">
            <w:pPr>
              <w:textAlignment w:val="bottom"/>
              <w:rPr>
                <w:rFonts w:ascii="Times New Roman" w:hAnsi="Times New Roman"/>
                <w:sz w:val="20"/>
                <w:szCs w:val="20"/>
              </w:rPr>
            </w:pPr>
          </w:p>
        </w:tc>
      </w:tr>
    </w:tbl>
    <w:p w14:paraId="4E56A2DE" w14:textId="77777777" w:rsidR="00DF3E10" w:rsidRDefault="00DF3E10">
      <w:pPr>
        <w:spacing w:line="288" w:lineRule="auto"/>
        <w:rPr>
          <w:rFonts w:ascii="Times New Roman" w:hAnsi="Times New Roman"/>
          <w:sz w:val="20"/>
          <w:szCs w:val="20"/>
        </w:rPr>
      </w:pPr>
    </w:p>
    <w:p w14:paraId="4E56A2DF" w14:textId="77777777" w:rsidR="00DF3E10" w:rsidRDefault="00DF3E10">
      <w:pPr>
        <w:spacing w:line="288" w:lineRule="auto"/>
        <w:rPr>
          <w:rFonts w:ascii="Times New Roman" w:hAnsi="Times New Roman"/>
          <w:sz w:val="20"/>
          <w:szCs w:val="20"/>
        </w:rPr>
      </w:pPr>
    </w:p>
    <w:p w14:paraId="4E56A2E0" w14:textId="77777777" w:rsidR="00DF3E10" w:rsidRDefault="00DF3E10">
      <w:pPr>
        <w:rPr>
          <w:rFonts w:ascii="Times New Roman" w:hAnsi="Times New Roman"/>
          <w:sz w:val="20"/>
          <w:szCs w:val="20"/>
        </w:rPr>
      </w:pPr>
    </w:p>
    <w:p w14:paraId="4E56A2E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17</w:t>
      </w:r>
    </w:p>
    <w:p w14:paraId="4E56A2E2" w14:textId="77777777" w:rsidR="00DF3E10" w:rsidRDefault="006B6C28">
      <w:r>
        <w:rPr>
          <w:rFonts w:ascii="Times New Roman" w:hAnsi="Times New Roman"/>
          <w:sz w:val="20"/>
          <w:szCs w:val="20"/>
        </w:rPr>
        <w:pict w14:anchorId="4E56B75E">
          <v:rect id="_x0000_i1041" style="width:415.3pt;height:1.5pt" o:hralign="center" o:hrstd="t" o:hr="t" fillcolor="#a0a0a0" stroked="f"/>
        </w:pict>
      </w:r>
    </w:p>
    <w:p w14:paraId="4E56A2E3" w14:textId="77777777" w:rsidR="00DF3E10" w:rsidRDefault="006B6C28">
      <w:pPr>
        <w:spacing w:line="288" w:lineRule="auto"/>
        <w:rPr>
          <w:rFonts w:ascii="Times New Roman" w:hAnsi="Times New Roman"/>
          <w:sz w:val="20"/>
          <w:szCs w:val="20"/>
        </w:rPr>
      </w:pPr>
      <w:hyperlink r:id="rId58" w:anchor="sC1FF62F0D4D85317B5B2C71C7C94F269" w:history="1">
        <w:r>
          <w:rPr>
            <w:rStyle w:val="a5"/>
            <w:rFonts w:ascii="Times New Roman" w:eastAsia="宋体" w:hAnsi="Times New Roman"/>
            <w:sz w:val="20"/>
            <w:szCs w:val="20"/>
          </w:rPr>
          <w:t>Table of Contents</w:t>
        </w:r>
      </w:hyperlink>
    </w:p>
    <w:p w14:paraId="4E56A2E4" w14:textId="77777777" w:rsidR="00DF3E10" w:rsidRDefault="00DF3E10">
      <w:pPr>
        <w:rPr>
          <w:rFonts w:ascii="Times New Roman" w:hAnsi="Times New Roman"/>
          <w:sz w:val="20"/>
          <w:szCs w:val="20"/>
        </w:rPr>
      </w:pPr>
    </w:p>
    <w:p w14:paraId="4E56A2E5"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4. Cash and Cash Equivalents, and Marketable Securities</w:t>
      </w:r>
    </w:p>
    <w:p w14:paraId="4E56A2E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w:t>
      </w:r>
      <w:r>
        <w:rPr>
          <w:rFonts w:ascii="Times New Roman" w:eastAsia="宋体" w:hAnsi="Times New Roman"/>
          <w:sz w:val="20"/>
          <w:szCs w:val="20"/>
        </w:rPr>
        <w:t xml:space="preserve">s forth the cash and cash equivalents and marketable securities (in millions): </w:t>
      </w:r>
    </w:p>
    <w:tbl>
      <w:tblPr>
        <w:tblW w:w="5000" w:type="pct"/>
        <w:tblCellMar>
          <w:left w:w="0" w:type="dxa"/>
          <w:right w:w="0" w:type="dxa"/>
        </w:tblCellMar>
        <w:tblLook w:val="04A0" w:firstRow="1" w:lastRow="0" w:firstColumn="1" w:lastColumn="0" w:noHBand="0" w:noVBand="1"/>
      </w:tblPr>
      <w:tblGrid>
        <w:gridCol w:w="5529"/>
        <w:gridCol w:w="140"/>
        <w:gridCol w:w="1127"/>
        <w:gridCol w:w="48"/>
        <w:gridCol w:w="130"/>
        <w:gridCol w:w="141"/>
        <w:gridCol w:w="1128"/>
        <w:gridCol w:w="63"/>
      </w:tblGrid>
      <w:tr w:rsidR="00DF3E10" w14:paraId="4E56A2E8" w14:textId="77777777">
        <w:tc>
          <w:tcPr>
            <w:tcW w:w="0" w:type="auto"/>
            <w:gridSpan w:val="8"/>
            <w:shd w:val="clear" w:color="auto" w:fill="auto"/>
            <w:vAlign w:val="center"/>
          </w:tcPr>
          <w:p w14:paraId="4E56A2E7" w14:textId="77777777" w:rsidR="00DF3E10" w:rsidRDefault="00DF3E10">
            <w:pPr>
              <w:rPr>
                <w:rFonts w:ascii="Times New Roman" w:hAnsi="Times New Roman"/>
                <w:sz w:val="20"/>
                <w:szCs w:val="20"/>
              </w:rPr>
            </w:pPr>
          </w:p>
        </w:tc>
      </w:tr>
      <w:tr w:rsidR="00DF3E10" w14:paraId="4E56A2F1" w14:textId="77777777">
        <w:tc>
          <w:tcPr>
            <w:tcW w:w="3350" w:type="pct"/>
            <w:shd w:val="clear" w:color="auto" w:fill="auto"/>
            <w:vAlign w:val="center"/>
          </w:tcPr>
          <w:p w14:paraId="4E56A2E9" w14:textId="77777777" w:rsidR="00DF3E10" w:rsidRDefault="00DF3E10">
            <w:pPr>
              <w:rPr>
                <w:rFonts w:ascii="Times New Roman" w:hAnsi="Times New Roman"/>
                <w:sz w:val="20"/>
                <w:szCs w:val="20"/>
              </w:rPr>
            </w:pPr>
          </w:p>
        </w:tc>
        <w:tc>
          <w:tcPr>
            <w:tcW w:w="50" w:type="pct"/>
            <w:shd w:val="clear" w:color="auto" w:fill="auto"/>
            <w:vAlign w:val="center"/>
          </w:tcPr>
          <w:p w14:paraId="4E56A2EA" w14:textId="77777777" w:rsidR="00DF3E10" w:rsidRDefault="00DF3E10">
            <w:pPr>
              <w:rPr>
                <w:rFonts w:ascii="Times New Roman" w:hAnsi="Times New Roman"/>
                <w:sz w:val="20"/>
                <w:szCs w:val="20"/>
              </w:rPr>
            </w:pPr>
          </w:p>
        </w:tc>
        <w:tc>
          <w:tcPr>
            <w:tcW w:w="700" w:type="pct"/>
            <w:shd w:val="clear" w:color="auto" w:fill="auto"/>
            <w:vAlign w:val="center"/>
          </w:tcPr>
          <w:p w14:paraId="4E56A2EB" w14:textId="77777777" w:rsidR="00DF3E10" w:rsidRDefault="00DF3E10">
            <w:pPr>
              <w:rPr>
                <w:rFonts w:ascii="Times New Roman" w:hAnsi="Times New Roman"/>
                <w:sz w:val="20"/>
                <w:szCs w:val="20"/>
              </w:rPr>
            </w:pPr>
          </w:p>
        </w:tc>
        <w:tc>
          <w:tcPr>
            <w:tcW w:w="50" w:type="pct"/>
            <w:shd w:val="clear" w:color="auto" w:fill="auto"/>
            <w:vAlign w:val="center"/>
          </w:tcPr>
          <w:p w14:paraId="4E56A2EC" w14:textId="77777777" w:rsidR="00DF3E10" w:rsidRDefault="00DF3E10">
            <w:pPr>
              <w:rPr>
                <w:rFonts w:ascii="Times New Roman" w:hAnsi="Times New Roman"/>
                <w:sz w:val="20"/>
                <w:szCs w:val="20"/>
              </w:rPr>
            </w:pPr>
          </w:p>
        </w:tc>
        <w:tc>
          <w:tcPr>
            <w:tcW w:w="50" w:type="pct"/>
            <w:shd w:val="clear" w:color="auto" w:fill="auto"/>
            <w:vAlign w:val="center"/>
          </w:tcPr>
          <w:p w14:paraId="4E56A2ED" w14:textId="77777777" w:rsidR="00DF3E10" w:rsidRDefault="00DF3E10">
            <w:pPr>
              <w:rPr>
                <w:rFonts w:ascii="Times New Roman" w:hAnsi="Times New Roman"/>
                <w:sz w:val="20"/>
                <w:szCs w:val="20"/>
              </w:rPr>
            </w:pPr>
          </w:p>
        </w:tc>
        <w:tc>
          <w:tcPr>
            <w:tcW w:w="50" w:type="pct"/>
            <w:shd w:val="clear" w:color="auto" w:fill="auto"/>
            <w:vAlign w:val="center"/>
          </w:tcPr>
          <w:p w14:paraId="4E56A2EE" w14:textId="77777777" w:rsidR="00DF3E10" w:rsidRDefault="00DF3E10">
            <w:pPr>
              <w:rPr>
                <w:rFonts w:ascii="Times New Roman" w:hAnsi="Times New Roman"/>
                <w:sz w:val="20"/>
                <w:szCs w:val="20"/>
              </w:rPr>
            </w:pPr>
          </w:p>
        </w:tc>
        <w:tc>
          <w:tcPr>
            <w:tcW w:w="700" w:type="pct"/>
            <w:shd w:val="clear" w:color="auto" w:fill="auto"/>
            <w:vAlign w:val="center"/>
          </w:tcPr>
          <w:p w14:paraId="4E56A2EF" w14:textId="77777777" w:rsidR="00DF3E10" w:rsidRDefault="00DF3E10">
            <w:pPr>
              <w:rPr>
                <w:rFonts w:ascii="Times New Roman" w:hAnsi="Times New Roman"/>
                <w:sz w:val="20"/>
                <w:szCs w:val="20"/>
              </w:rPr>
            </w:pPr>
          </w:p>
        </w:tc>
        <w:tc>
          <w:tcPr>
            <w:tcW w:w="50" w:type="pct"/>
            <w:shd w:val="clear" w:color="auto" w:fill="auto"/>
            <w:vAlign w:val="center"/>
          </w:tcPr>
          <w:p w14:paraId="4E56A2F0" w14:textId="77777777" w:rsidR="00DF3E10" w:rsidRDefault="00DF3E10">
            <w:pPr>
              <w:rPr>
                <w:rFonts w:ascii="Times New Roman" w:hAnsi="Times New Roman"/>
                <w:sz w:val="20"/>
                <w:szCs w:val="20"/>
              </w:rPr>
            </w:pPr>
          </w:p>
        </w:tc>
      </w:tr>
      <w:tr w:rsidR="00DF3E10" w14:paraId="4E56A2F6" w14:textId="77777777">
        <w:tc>
          <w:tcPr>
            <w:tcW w:w="0" w:type="auto"/>
            <w:shd w:val="clear" w:color="auto" w:fill="auto"/>
            <w:tcMar>
              <w:top w:w="40" w:type="dxa"/>
              <w:left w:w="40" w:type="dxa"/>
              <w:bottom w:w="40" w:type="dxa"/>
              <w:right w:w="40" w:type="dxa"/>
            </w:tcMar>
            <w:vAlign w:val="bottom"/>
          </w:tcPr>
          <w:p w14:paraId="4E56A2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2F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2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2F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DF3E10" w14:paraId="4E56A2FB" w14:textId="77777777">
        <w:tc>
          <w:tcPr>
            <w:tcW w:w="0" w:type="auto"/>
            <w:shd w:val="clear" w:color="auto" w:fill="CCEEFF"/>
            <w:tcMar>
              <w:top w:w="40" w:type="dxa"/>
              <w:left w:w="40" w:type="dxa"/>
              <w:bottom w:w="40" w:type="dxa"/>
              <w:right w:w="40" w:type="dxa"/>
            </w:tcMar>
            <w:vAlign w:val="bottom"/>
          </w:tcPr>
          <w:p w14:paraId="4E56A2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gridSpan w:val="3"/>
            <w:shd w:val="clear" w:color="auto" w:fill="CCEEFF"/>
            <w:tcMar>
              <w:top w:w="40" w:type="dxa"/>
              <w:left w:w="40" w:type="dxa"/>
              <w:bottom w:w="40" w:type="dxa"/>
              <w:right w:w="40" w:type="dxa"/>
            </w:tcMar>
            <w:vAlign w:val="bottom"/>
          </w:tcPr>
          <w:p w14:paraId="4E56A2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2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2F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304" w14:textId="77777777">
        <w:tc>
          <w:tcPr>
            <w:tcW w:w="0" w:type="auto"/>
            <w:shd w:val="clear" w:color="auto" w:fill="auto"/>
            <w:tcMar>
              <w:top w:w="40" w:type="dxa"/>
              <w:left w:w="400" w:type="dxa"/>
              <w:bottom w:w="40" w:type="dxa"/>
              <w:right w:w="40" w:type="dxa"/>
            </w:tcMar>
            <w:vAlign w:val="bottom"/>
          </w:tcPr>
          <w:p w14:paraId="4E56A2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4E56A2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2F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5,938</w:t>
            </w:r>
          </w:p>
        </w:tc>
        <w:tc>
          <w:tcPr>
            <w:tcW w:w="0" w:type="auto"/>
            <w:shd w:val="clear" w:color="auto" w:fill="auto"/>
            <w:vAlign w:val="bottom"/>
          </w:tcPr>
          <w:p w14:paraId="4E56A2F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3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30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4,735</w:t>
            </w:r>
          </w:p>
        </w:tc>
        <w:tc>
          <w:tcPr>
            <w:tcW w:w="0" w:type="auto"/>
            <w:shd w:val="clear" w:color="auto" w:fill="auto"/>
            <w:vAlign w:val="bottom"/>
          </w:tcPr>
          <w:p w14:paraId="4E56A303" w14:textId="77777777" w:rsidR="00DF3E10" w:rsidRDefault="00DF3E10">
            <w:pPr>
              <w:textAlignment w:val="bottom"/>
              <w:rPr>
                <w:rFonts w:ascii="Times New Roman" w:hAnsi="Times New Roman"/>
                <w:sz w:val="20"/>
                <w:szCs w:val="20"/>
              </w:rPr>
            </w:pPr>
          </w:p>
        </w:tc>
      </w:tr>
      <w:tr w:rsidR="00DF3E10" w14:paraId="4E56A30B" w14:textId="77777777">
        <w:tc>
          <w:tcPr>
            <w:tcW w:w="0" w:type="auto"/>
            <w:shd w:val="clear" w:color="auto" w:fill="CCEEFF"/>
            <w:tcMar>
              <w:top w:w="40" w:type="dxa"/>
              <w:left w:w="400" w:type="dxa"/>
              <w:bottom w:w="40" w:type="dxa"/>
              <w:right w:w="40" w:type="dxa"/>
            </w:tcMar>
            <w:vAlign w:val="bottom"/>
          </w:tcPr>
          <w:p w14:paraId="4E56A3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gridSpan w:val="2"/>
            <w:shd w:val="clear" w:color="auto" w:fill="CCEEFF"/>
            <w:tcMar>
              <w:top w:w="40" w:type="dxa"/>
              <w:left w:w="40" w:type="dxa"/>
              <w:bottom w:w="40" w:type="dxa"/>
            </w:tcMar>
            <w:vAlign w:val="bottom"/>
          </w:tcPr>
          <w:p w14:paraId="4E56A30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14,734</w:t>
            </w:r>
          </w:p>
        </w:tc>
        <w:tc>
          <w:tcPr>
            <w:tcW w:w="0" w:type="auto"/>
            <w:shd w:val="clear" w:color="auto" w:fill="CCEEFF"/>
            <w:vAlign w:val="bottom"/>
          </w:tcPr>
          <w:p w14:paraId="4E56A30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0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0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CCEEFF"/>
            <w:vAlign w:val="bottom"/>
          </w:tcPr>
          <w:p w14:paraId="4E56A30A" w14:textId="77777777" w:rsidR="00DF3E10" w:rsidRDefault="00DF3E10">
            <w:pPr>
              <w:textAlignment w:val="bottom"/>
              <w:rPr>
                <w:rFonts w:ascii="Times New Roman" w:hAnsi="Times New Roman"/>
                <w:sz w:val="20"/>
                <w:szCs w:val="20"/>
              </w:rPr>
            </w:pPr>
          </w:p>
        </w:tc>
      </w:tr>
      <w:tr w:rsidR="00DF3E10" w14:paraId="4E56A312" w14:textId="77777777">
        <w:tc>
          <w:tcPr>
            <w:tcW w:w="0" w:type="auto"/>
            <w:shd w:val="clear" w:color="auto" w:fill="auto"/>
            <w:tcMar>
              <w:top w:w="40" w:type="dxa"/>
              <w:left w:w="400" w:type="dxa"/>
              <w:bottom w:w="40" w:type="dxa"/>
              <w:right w:w="40" w:type="dxa"/>
            </w:tcMar>
            <w:vAlign w:val="bottom"/>
          </w:tcPr>
          <w:p w14:paraId="4E56A3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xml:space="preserve">U.S. government </w:t>
            </w:r>
            <w:r>
              <w:rPr>
                <w:rFonts w:ascii="Times New Roman" w:eastAsia="宋体" w:hAnsi="Times New Roman"/>
                <w:sz w:val="20"/>
                <w:szCs w:val="20"/>
              </w:rPr>
              <w:t>securities</w:t>
            </w:r>
          </w:p>
        </w:tc>
        <w:tc>
          <w:tcPr>
            <w:tcW w:w="0" w:type="auto"/>
            <w:gridSpan w:val="2"/>
            <w:shd w:val="clear" w:color="auto" w:fill="auto"/>
            <w:tcMar>
              <w:top w:w="40" w:type="dxa"/>
              <w:left w:w="40" w:type="dxa"/>
              <w:bottom w:w="40" w:type="dxa"/>
            </w:tcMar>
            <w:vAlign w:val="bottom"/>
          </w:tcPr>
          <w:p w14:paraId="4E56A3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auto"/>
            <w:vAlign w:val="bottom"/>
          </w:tcPr>
          <w:p w14:paraId="4E56A30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1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auto"/>
            <w:vAlign w:val="bottom"/>
          </w:tcPr>
          <w:p w14:paraId="4E56A311" w14:textId="77777777" w:rsidR="00DF3E10" w:rsidRDefault="00DF3E10">
            <w:pPr>
              <w:textAlignment w:val="bottom"/>
              <w:rPr>
                <w:rFonts w:ascii="Times New Roman" w:hAnsi="Times New Roman"/>
                <w:sz w:val="20"/>
                <w:szCs w:val="20"/>
              </w:rPr>
            </w:pPr>
          </w:p>
        </w:tc>
      </w:tr>
      <w:tr w:rsidR="00DF3E10" w14:paraId="4E56A319" w14:textId="77777777">
        <w:tc>
          <w:tcPr>
            <w:tcW w:w="0" w:type="auto"/>
            <w:shd w:val="clear" w:color="auto" w:fill="CCEEFF"/>
            <w:tcMar>
              <w:top w:w="40" w:type="dxa"/>
              <w:left w:w="400" w:type="dxa"/>
              <w:bottom w:w="40" w:type="dxa"/>
              <w:right w:w="40" w:type="dxa"/>
            </w:tcMar>
            <w:vAlign w:val="bottom"/>
          </w:tcPr>
          <w:p w14:paraId="4E56A3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4E56A31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31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1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1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4E56A318" w14:textId="77777777" w:rsidR="00DF3E10" w:rsidRDefault="00DF3E10">
            <w:pPr>
              <w:textAlignment w:val="bottom"/>
              <w:rPr>
                <w:rFonts w:ascii="Times New Roman" w:hAnsi="Times New Roman"/>
                <w:sz w:val="20"/>
                <w:szCs w:val="20"/>
              </w:rPr>
            </w:pPr>
          </w:p>
        </w:tc>
      </w:tr>
      <w:tr w:rsidR="00DF3E10" w14:paraId="4E56A320" w14:textId="77777777">
        <w:tc>
          <w:tcPr>
            <w:tcW w:w="0" w:type="auto"/>
            <w:shd w:val="clear" w:color="auto" w:fill="auto"/>
            <w:tcMar>
              <w:top w:w="40" w:type="dxa"/>
              <w:left w:w="400" w:type="dxa"/>
              <w:bottom w:w="40" w:type="dxa"/>
              <w:right w:w="40" w:type="dxa"/>
            </w:tcMar>
            <w:vAlign w:val="bottom"/>
          </w:tcPr>
          <w:p w14:paraId="4E56A3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gridSpan w:val="2"/>
            <w:shd w:val="clear" w:color="auto" w:fill="auto"/>
            <w:tcMar>
              <w:top w:w="40" w:type="dxa"/>
              <w:left w:w="40" w:type="dxa"/>
              <w:bottom w:w="40" w:type="dxa"/>
            </w:tcMar>
            <w:vAlign w:val="bottom"/>
          </w:tcPr>
          <w:p w14:paraId="4E56A3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auto"/>
            <w:vAlign w:val="bottom"/>
          </w:tcPr>
          <w:p w14:paraId="4E56A31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1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4E56A31F" w14:textId="77777777" w:rsidR="00DF3E10" w:rsidRDefault="00DF3E10">
            <w:pPr>
              <w:textAlignment w:val="bottom"/>
              <w:rPr>
                <w:rFonts w:ascii="Times New Roman" w:hAnsi="Times New Roman"/>
                <w:sz w:val="20"/>
                <w:szCs w:val="20"/>
              </w:rPr>
            </w:pPr>
          </w:p>
        </w:tc>
      </w:tr>
      <w:tr w:rsidR="00DF3E10" w14:paraId="4E56A327" w14:textId="77777777">
        <w:tc>
          <w:tcPr>
            <w:tcW w:w="0" w:type="auto"/>
            <w:shd w:val="clear" w:color="auto" w:fill="CCEEFF"/>
            <w:tcMar>
              <w:top w:w="40" w:type="dxa"/>
              <w:left w:w="400" w:type="dxa"/>
              <w:bottom w:w="40" w:type="dxa"/>
              <w:right w:w="40" w:type="dxa"/>
            </w:tcMar>
            <w:vAlign w:val="bottom"/>
          </w:tcPr>
          <w:p w14:paraId="4E56A3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32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4E56A32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2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vAlign w:val="bottom"/>
          </w:tcPr>
          <w:p w14:paraId="4E56A326" w14:textId="77777777" w:rsidR="00DF3E10" w:rsidRDefault="00DF3E10">
            <w:pPr>
              <w:textAlignment w:val="bottom"/>
              <w:rPr>
                <w:rFonts w:ascii="Times New Roman" w:hAnsi="Times New Roman"/>
                <w:sz w:val="20"/>
                <w:szCs w:val="20"/>
              </w:rPr>
            </w:pPr>
          </w:p>
        </w:tc>
      </w:tr>
      <w:tr w:rsidR="00DF3E10" w14:paraId="4E56A32E" w14:textId="77777777">
        <w:tc>
          <w:tcPr>
            <w:tcW w:w="0" w:type="auto"/>
            <w:shd w:val="clear" w:color="auto" w:fill="auto"/>
            <w:tcMar>
              <w:top w:w="40" w:type="dxa"/>
              <w:left w:w="560" w:type="dxa"/>
              <w:bottom w:w="40" w:type="dxa"/>
              <w:right w:w="40" w:type="dxa"/>
            </w:tcMar>
            <w:vAlign w:val="bottom"/>
          </w:tcPr>
          <w:p w14:paraId="4E56A3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Total cash and cash equivalents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4E56A32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21,045</w:t>
            </w:r>
          </w:p>
        </w:tc>
        <w:tc>
          <w:tcPr>
            <w:tcW w:w="0" w:type="auto"/>
            <w:tcBorders>
              <w:top w:val="single" w:sz="8" w:space="0" w:color="000000"/>
              <w:bottom w:val="single" w:sz="8" w:space="0" w:color="000000"/>
            </w:tcBorders>
            <w:shd w:val="clear" w:color="auto" w:fill="auto"/>
            <w:vAlign w:val="bottom"/>
          </w:tcPr>
          <w:p w14:paraId="4E56A32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4E56A32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tcBorders>
              <w:top w:val="single" w:sz="8" w:space="0" w:color="000000"/>
              <w:bottom w:val="single" w:sz="8" w:space="0" w:color="000000"/>
            </w:tcBorders>
            <w:shd w:val="clear" w:color="auto" w:fill="auto"/>
            <w:vAlign w:val="bottom"/>
          </w:tcPr>
          <w:p w14:paraId="4E56A32D" w14:textId="77777777" w:rsidR="00DF3E10" w:rsidRDefault="00DF3E10">
            <w:pPr>
              <w:textAlignment w:val="bottom"/>
              <w:rPr>
                <w:rFonts w:ascii="Times New Roman" w:hAnsi="Times New Roman"/>
                <w:sz w:val="20"/>
                <w:szCs w:val="20"/>
              </w:rPr>
            </w:pPr>
          </w:p>
        </w:tc>
      </w:tr>
      <w:tr w:rsidR="00DF3E10" w14:paraId="4E56A333" w14:textId="77777777">
        <w:tc>
          <w:tcPr>
            <w:tcW w:w="0" w:type="auto"/>
            <w:shd w:val="clear" w:color="auto" w:fill="CCEEFF"/>
            <w:tcMar>
              <w:top w:w="40" w:type="dxa"/>
              <w:left w:w="40" w:type="dxa"/>
              <w:bottom w:w="40" w:type="dxa"/>
              <w:right w:w="40" w:type="dxa"/>
            </w:tcMar>
            <w:vAlign w:val="bottom"/>
          </w:tcPr>
          <w:p w14:paraId="4E56A3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3"/>
            <w:shd w:val="clear" w:color="auto" w:fill="CCEEFF"/>
            <w:tcMar>
              <w:top w:w="40" w:type="dxa"/>
              <w:left w:w="40" w:type="dxa"/>
              <w:bottom w:w="40" w:type="dxa"/>
              <w:right w:w="40" w:type="dxa"/>
            </w:tcMar>
            <w:vAlign w:val="bottom"/>
          </w:tcPr>
          <w:p w14:paraId="4E56A3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33A" w14:textId="77777777">
        <w:tc>
          <w:tcPr>
            <w:tcW w:w="0" w:type="auto"/>
            <w:shd w:val="clear" w:color="auto" w:fill="auto"/>
            <w:tcMar>
              <w:top w:w="40" w:type="dxa"/>
              <w:left w:w="400" w:type="dxa"/>
              <w:bottom w:w="40" w:type="dxa"/>
              <w:right w:w="40" w:type="dxa"/>
            </w:tcMar>
            <w:vAlign w:val="bottom"/>
          </w:tcPr>
          <w:p w14:paraId="4E56A3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xml:space="preserve">U.S. </w:t>
            </w:r>
            <w:r>
              <w:rPr>
                <w:rFonts w:ascii="Times New Roman" w:eastAsia="宋体" w:hAnsi="Times New Roman"/>
                <w:sz w:val="20"/>
                <w:szCs w:val="20"/>
              </w:rPr>
              <w:t>government securities</w:t>
            </w:r>
          </w:p>
        </w:tc>
        <w:tc>
          <w:tcPr>
            <w:tcW w:w="0" w:type="auto"/>
            <w:gridSpan w:val="2"/>
            <w:shd w:val="clear" w:color="auto" w:fill="auto"/>
            <w:tcMar>
              <w:top w:w="40" w:type="dxa"/>
              <w:left w:w="40" w:type="dxa"/>
              <w:bottom w:w="40" w:type="dxa"/>
            </w:tcMar>
            <w:vAlign w:val="bottom"/>
          </w:tcPr>
          <w:p w14:paraId="4E56A33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19,263</w:t>
            </w:r>
          </w:p>
        </w:tc>
        <w:tc>
          <w:tcPr>
            <w:tcW w:w="0" w:type="auto"/>
            <w:shd w:val="clear" w:color="auto" w:fill="auto"/>
            <w:vAlign w:val="bottom"/>
          </w:tcPr>
          <w:p w14:paraId="4E56A33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3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4E56A339" w14:textId="77777777" w:rsidR="00DF3E10" w:rsidRDefault="00DF3E10">
            <w:pPr>
              <w:textAlignment w:val="bottom"/>
              <w:rPr>
                <w:rFonts w:ascii="Times New Roman" w:hAnsi="Times New Roman"/>
                <w:sz w:val="20"/>
                <w:szCs w:val="20"/>
              </w:rPr>
            </w:pPr>
          </w:p>
        </w:tc>
      </w:tr>
      <w:tr w:rsidR="00DF3E10" w14:paraId="4E56A341" w14:textId="77777777">
        <w:tc>
          <w:tcPr>
            <w:tcW w:w="0" w:type="auto"/>
            <w:shd w:val="clear" w:color="auto" w:fill="CCEEFF"/>
            <w:tcMar>
              <w:top w:w="40" w:type="dxa"/>
              <w:left w:w="400" w:type="dxa"/>
              <w:bottom w:w="40" w:type="dxa"/>
              <w:right w:w="40" w:type="dxa"/>
            </w:tcMar>
            <w:vAlign w:val="bottom"/>
          </w:tcPr>
          <w:p w14:paraId="4E56A3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4E56A33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7,517</w:t>
            </w:r>
          </w:p>
        </w:tc>
        <w:tc>
          <w:tcPr>
            <w:tcW w:w="0" w:type="auto"/>
            <w:shd w:val="clear" w:color="auto" w:fill="CCEEFF"/>
            <w:vAlign w:val="bottom"/>
          </w:tcPr>
          <w:p w14:paraId="4E56A33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3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4E56A340" w14:textId="77777777" w:rsidR="00DF3E10" w:rsidRDefault="00DF3E10">
            <w:pPr>
              <w:textAlignment w:val="bottom"/>
              <w:rPr>
                <w:rFonts w:ascii="Times New Roman" w:hAnsi="Times New Roman"/>
                <w:sz w:val="20"/>
                <w:szCs w:val="20"/>
              </w:rPr>
            </w:pPr>
          </w:p>
        </w:tc>
      </w:tr>
      <w:tr w:rsidR="00DF3E10" w14:paraId="4E56A348" w14:textId="77777777">
        <w:tc>
          <w:tcPr>
            <w:tcW w:w="0" w:type="auto"/>
            <w:shd w:val="clear" w:color="auto" w:fill="auto"/>
            <w:tcMar>
              <w:top w:w="40" w:type="dxa"/>
              <w:left w:w="400" w:type="dxa"/>
              <w:bottom w:w="40" w:type="dxa"/>
              <w:right w:w="40" w:type="dxa"/>
            </w:tcMar>
            <w:vAlign w:val="bottom"/>
          </w:tcPr>
          <w:p w14:paraId="4E56A3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4E56A34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10,415</w:t>
            </w:r>
          </w:p>
        </w:tc>
        <w:tc>
          <w:tcPr>
            <w:tcW w:w="0" w:type="auto"/>
            <w:tcBorders>
              <w:bottom w:val="single" w:sz="8" w:space="0" w:color="000000"/>
            </w:tcBorders>
            <w:shd w:val="clear" w:color="auto" w:fill="auto"/>
            <w:vAlign w:val="bottom"/>
          </w:tcPr>
          <w:p w14:paraId="4E56A34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3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4E56A347" w14:textId="77777777" w:rsidR="00DF3E10" w:rsidRDefault="00DF3E10">
            <w:pPr>
              <w:textAlignment w:val="bottom"/>
              <w:rPr>
                <w:rFonts w:ascii="Times New Roman" w:hAnsi="Times New Roman"/>
                <w:sz w:val="20"/>
                <w:szCs w:val="20"/>
              </w:rPr>
            </w:pPr>
          </w:p>
        </w:tc>
      </w:tr>
      <w:tr w:rsidR="00DF3E10" w14:paraId="4E56A34F" w14:textId="77777777">
        <w:tc>
          <w:tcPr>
            <w:tcW w:w="0" w:type="auto"/>
            <w:shd w:val="clear" w:color="auto" w:fill="CCEEFF"/>
            <w:tcMar>
              <w:top w:w="40" w:type="dxa"/>
              <w:left w:w="560" w:type="dxa"/>
              <w:bottom w:w="40" w:type="dxa"/>
              <w:right w:w="40" w:type="dxa"/>
            </w:tcMar>
            <w:vAlign w:val="bottom"/>
          </w:tcPr>
          <w:p w14:paraId="4E56A3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Total marketable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4E56A3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37,195</w:t>
            </w:r>
          </w:p>
        </w:tc>
        <w:tc>
          <w:tcPr>
            <w:tcW w:w="0" w:type="auto"/>
            <w:tcBorders>
              <w:top w:val="single" w:sz="8" w:space="0" w:color="000000"/>
            </w:tcBorders>
            <w:shd w:val="clear" w:color="auto" w:fill="CCEEFF"/>
            <w:vAlign w:val="bottom"/>
          </w:tcPr>
          <w:p w14:paraId="4E56A34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34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tcBorders>
              <w:top w:val="single" w:sz="8" w:space="0" w:color="000000"/>
              <w:bottom w:val="single" w:sz="8" w:space="0" w:color="000000"/>
            </w:tcBorders>
            <w:shd w:val="clear" w:color="auto" w:fill="CCEEFF"/>
            <w:vAlign w:val="bottom"/>
          </w:tcPr>
          <w:p w14:paraId="4E56A34E" w14:textId="77777777" w:rsidR="00DF3E10" w:rsidRDefault="00DF3E10">
            <w:pPr>
              <w:textAlignment w:val="bottom"/>
              <w:rPr>
                <w:rFonts w:ascii="Times New Roman" w:hAnsi="Times New Roman"/>
                <w:sz w:val="20"/>
                <w:szCs w:val="20"/>
              </w:rPr>
            </w:pPr>
          </w:p>
        </w:tc>
      </w:tr>
      <w:tr w:rsidR="00DF3E10" w14:paraId="4E56A358" w14:textId="77777777">
        <w:tc>
          <w:tcPr>
            <w:tcW w:w="0" w:type="auto"/>
            <w:shd w:val="clear" w:color="auto" w:fill="auto"/>
            <w:tcMar>
              <w:top w:w="40" w:type="dxa"/>
              <w:left w:w="40" w:type="dxa"/>
              <w:bottom w:w="40" w:type="dxa"/>
              <w:right w:w="40" w:type="dxa"/>
            </w:tcMar>
            <w:vAlign w:val="bottom"/>
          </w:tcPr>
          <w:p w14:paraId="4E56A3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Total cash and cash equivalents and marketable securities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3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35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58,240</w:t>
            </w:r>
          </w:p>
        </w:tc>
        <w:tc>
          <w:tcPr>
            <w:tcW w:w="0" w:type="auto"/>
            <w:tcBorders>
              <w:top w:val="single" w:sz="8" w:space="0" w:color="000000"/>
              <w:bottom w:val="double" w:sz="6" w:space="0" w:color="000000"/>
            </w:tcBorders>
            <w:shd w:val="clear" w:color="auto" w:fill="auto"/>
            <w:vAlign w:val="bottom"/>
          </w:tcPr>
          <w:p w14:paraId="4E56A35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3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3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54,855</w:t>
            </w:r>
          </w:p>
        </w:tc>
        <w:tc>
          <w:tcPr>
            <w:tcW w:w="0" w:type="auto"/>
            <w:tcBorders>
              <w:top w:val="single" w:sz="8" w:space="0" w:color="000000"/>
              <w:bottom w:val="double" w:sz="6" w:space="0" w:color="000000"/>
            </w:tcBorders>
            <w:shd w:val="clear" w:color="auto" w:fill="auto"/>
            <w:vAlign w:val="bottom"/>
          </w:tcPr>
          <w:p w14:paraId="4E56A357" w14:textId="77777777" w:rsidR="00DF3E10" w:rsidRDefault="00DF3E10">
            <w:pPr>
              <w:textAlignment w:val="bottom"/>
              <w:rPr>
                <w:rFonts w:ascii="Times New Roman" w:hAnsi="Times New Roman"/>
                <w:sz w:val="20"/>
                <w:szCs w:val="20"/>
              </w:rPr>
            </w:pPr>
          </w:p>
        </w:tc>
      </w:tr>
    </w:tbl>
    <w:p w14:paraId="4E56A359" w14:textId="77777777" w:rsidR="00DF3E10" w:rsidRDefault="00DF3E10">
      <w:pPr>
        <w:spacing w:line="288" w:lineRule="auto"/>
        <w:rPr>
          <w:rFonts w:ascii="Times New Roman" w:hAnsi="Times New Roman"/>
          <w:sz w:val="20"/>
          <w:szCs w:val="20"/>
        </w:rPr>
      </w:pPr>
    </w:p>
    <w:p w14:paraId="4E56A35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gross unrealized gains on our marketable securities were </w:t>
      </w:r>
      <w:r>
        <w:rPr>
          <w:rFonts w:ascii="Times New Roman" w:eastAsia="宋体" w:hAnsi="Times New Roman"/>
          <w:color w:val="212529"/>
          <w:sz w:val="20"/>
          <w:szCs w:val="20"/>
        </w:rPr>
        <w:t>$781 million</w:t>
      </w:r>
      <w:r>
        <w:rPr>
          <w:rFonts w:ascii="Times New Roman" w:eastAsia="宋体" w:hAnsi="Times New Roman"/>
          <w:sz w:val="20"/>
          <w:szCs w:val="20"/>
        </w:rPr>
        <w:t xml:space="preserve"> and </w:t>
      </w:r>
      <w:r>
        <w:rPr>
          <w:rFonts w:ascii="Times New Roman" w:eastAsia="宋体" w:hAnsi="Times New Roman"/>
          <w:color w:val="212529"/>
          <w:sz w:val="20"/>
          <w:szCs w:val="20"/>
        </w:rPr>
        <w:t>$205 million</w:t>
      </w:r>
      <w:r>
        <w:rPr>
          <w:rFonts w:ascii="Times New Roman" w:eastAsia="宋体" w:hAnsi="Times New Roman"/>
          <w:sz w:val="20"/>
          <w:szCs w:val="20"/>
        </w:rPr>
        <w:t xml:space="preserve"> as of June 30, 2020 and December 31, 2019, respectively. The gross unrealized losses on our marketable securities were not material as of June 30, 2020 and December 31, 2019. The allowance for credit losses was not material as of June 30, 2020. </w:t>
      </w:r>
    </w:p>
    <w:p w14:paraId="4E56A35B"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The follo</w:t>
      </w:r>
      <w:r>
        <w:rPr>
          <w:rFonts w:ascii="Times New Roman" w:eastAsia="宋体" w:hAnsi="Times New Roman"/>
          <w:sz w:val="20"/>
          <w:szCs w:val="20"/>
        </w:rPr>
        <w:t xml:space="preserve">wing table classifies our marketable securities by contractual maturities (in millions): </w:t>
      </w:r>
    </w:p>
    <w:tbl>
      <w:tblPr>
        <w:tblW w:w="5000" w:type="pct"/>
        <w:tblCellMar>
          <w:left w:w="0" w:type="dxa"/>
          <w:right w:w="0" w:type="dxa"/>
        </w:tblCellMar>
        <w:tblLook w:val="04A0" w:firstRow="1" w:lastRow="0" w:firstColumn="1" w:lastColumn="0" w:noHBand="0" w:noVBand="1"/>
      </w:tblPr>
      <w:tblGrid>
        <w:gridCol w:w="6958"/>
        <w:gridCol w:w="140"/>
        <w:gridCol w:w="1144"/>
        <w:gridCol w:w="64"/>
      </w:tblGrid>
      <w:tr w:rsidR="00DF3E10" w14:paraId="4E56A35D" w14:textId="77777777">
        <w:tc>
          <w:tcPr>
            <w:tcW w:w="0" w:type="auto"/>
            <w:gridSpan w:val="4"/>
            <w:shd w:val="clear" w:color="auto" w:fill="auto"/>
            <w:vAlign w:val="center"/>
          </w:tcPr>
          <w:p w14:paraId="4E56A35C" w14:textId="77777777" w:rsidR="00DF3E10" w:rsidRDefault="00DF3E10">
            <w:pPr>
              <w:rPr>
                <w:rFonts w:ascii="Times New Roman" w:hAnsi="Times New Roman"/>
                <w:sz w:val="20"/>
                <w:szCs w:val="20"/>
              </w:rPr>
            </w:pPr>
          </w:p>
        </w:tc>
      </w:tr>
      <w:tr w:rsidR="00DF3E10" w14:paraId="4E56A362" w14:textId="77777777">
        <w:tc>
          <w:tcPr>
            <w:tcW w:w="4200" w:type="pct"/>
            <w:shd w:val="clear" w:color="auto" w:fill="auto"/>
            <w:vAlign w:val="center"/>
          </w:tcPr>
          <w:p w14:paraId="4E56A35E" w14:textId="77777777" w:rsidR="00DF3E10" w:rsidRDefault="00DF3E10">
            <w:pPr>
              <w:rPr>
                <w:rFonts w:ascii="Times New Roman" w:hAnsi="Times New Roman"/>
                <w:sz w:val="20"/>
                <w:szCs w:val="20"/>
              </w:rPr>
            </w:pPr>
          </w:p>
        </w:tc>
        <w:tc>
          <w:tcPr>
            <w:tcW w:w="50" w:type="pct"/>
            <w:shd w:val="clear" w:color="auto" w:fill="auto"/>
            <w:vAlign w:val="center"/>
          </w:tcPr>
          <w:p w14:paraId="4E56A35F" w14:textId="77777777" w:rsidR="00DF3E10" w:rsidRDefault="00DF3E10">
            <w:pPr>
              <w:rPr>
                <w:rFonts w:ascii="Times New Roman" w:hAnsi="Times New Roman"/>
                <w:sz w:val="20"/>
                <w:szCs w:val="20"/>
              </w:rPr>
            </w:pPr>
          </w:p>
        </w:tc>
        <w:tc>
          <w:tcPr>
            <w:tcW w:w="700" w:type="pct"/>
            <w:shd w:val="clear" w:color="auto" w:fill="auto"/>
            <w:vAlign w:val="center"/>
          </w:tcPr>
          <w:p w14:paraId="4E56A360" w14:textId="77777777" w:rsidR="00DF3E10" w:rsidRDefault="00DF3E10">
            <w:pPr>
              <w:rPr>
                <w:rFonts w:ascii="Times New Roman" w:hAnsi="Times New Roman"/>
                <w:sz w:val="20"/>
                <w:szCs w:val="20"/>
              </w:rPr>
            </w:pPr>
          </w:p>
        </w:tc>
        <w:tc>
          <w:tcPr>
            <w:tcW w:w="50" w:type="pct"/>
            <w:shd w:val="clear" w:color="auto" w:fill="auto"/>
            <w:vAlign w:val="center"/>
          </w:tcPr>
          <w:p w14:paraId="4E56A361" w14:textId="77777777" w:rsidR="00DF3E10" w:rsidRDefault="00DF3E10">
            <w:pPr>
              <w:rPr>
                <w:rFonts w:ascii="Times New Roman" w:hAnsi="Times New Roman"/>
                <w:sz w:val="20"/>
                <w:szCs w:val="20"/>
              </w:rPr>
            </w:pPr>
          </w:p>
        </w:tc>
      </w:tr>
      <w:tr w:rsidR="00DF3E10" w14:paraId="4E56A365" w14:textId="77777777">
        <w:tc>
          <w:tcPr>
            <w:tcW w:w="0" w:type="auto"/>
            <w:shd w:val="clear" w:color="auto" w:fill="auto"/>
            <w:tcMar>
              <w:top w:w="40" w:type="dxa"/>
              <w:left w:w="40" w:type="dxa"/>
              <w:bottom w:w="40" w:type="dxa"/>
              <w:right w:w="40" w:type="dxa"/>
            </w:tcMar>
            <w:vAlign w:val="bottom"/>
          </w:tcPr>
          <w:p w14:paraId="4E56A3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36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r>
      <w:tr w:rsidR="00DF3E10" w14:paraId="4E56A36A" w14:textId="77777777">
        <w:tc>
          <w:tcPr>
            <w:tcW w:w="0" w:type="auto"/>
            <w:shd w:val="clear" w:color="auto" w:fill="CCEEFF"/>
            <w:tcMar>
              <w:top w:w="40" w:type="dxa"/>
              <w:left w:w="40" w:type="dxa"/>
              <w:bottom w:w="40" w:type="dxa"/>
              <w:right w:w="40" w:type="dxa"/>
            </w:tcMar>
            <w:vAlign w:val="bottom"/>
          </w:tcPr>
          <w:p w14:paraId="4E56A3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Due in one year</w:t>
            </w:r>
          </w:p>
        </w:tc>
        <w:tc>
          <w:tcPr>
            <w:tcW w:w="0" w:type="auto"/>
            <w:shd w:val="clear" w:color="auto" w:fill="CCEEFF"/>
            <w:tcMar>
              <w:top w:w="40" w:type="dxa"/>
              <w:left w:w="40" w:type="dxa"/>
              <w:bottom w:w="40" w:type="dxa"/>
            </w:tcMar>
            <w:vAlign w:val="bottom"/>
          </w:tcPr>
          <w:p w14:paraId="4E56A3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3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12,178</w:t>
            </w:r>
          </w:p>
        </w:tc>
        <w:tc>
          <w:tcPr>
            <w:tcW w:w="0" w:type="auto"/>
            <w:shd w:val="clear" w:color="auto" w:fill="CCEEFF"/>
            <w:vAlign w:val="bottom"/>
          </w:tcPr>
          <w:p w14:paraId="4E56A369" w14:textId="77777777" w:rsidR="00DF3E10" w:rsidRDefault="00DF3E10">
            <w:pPr>
              <w:textAlignment w:val="bottom"/>
              <w:rPr>
                <w:rFonts w:ascii="Times New Roman" w:hAnsi="Times New Roman"/>
                <w:sz w:val="20"/>
                <w:szCs w:val="20"/>
              </w:rPr>
            </w:pPr>
          </w:p>
        </w:tc>
      </w:tr>
      <w:tr w:rsidR="00DF3E10" w14:paraId="4E56A36E" w14:textId="77777777">
        <w:tc>
          <w:tcPr>
            <w:tcW w:w="0" w:type="auto"/>
            <w:shd w:val="clear" w:color="auto" w:fill="auto"/>
            <w:tcMar>
              <w:top w:w="40" w:type="dxa"/>
              <w:left w:w="40" w:type="dxa"/>
              <w:bottom w:w="40" w:type="dxa"/>
              <w:right w:w="40" w:type="dxa"/>
            </w:tcMar>
            <w:vAlign w:val="bottom"/>
          </w:tcPr>
          <w:p w14:paraId="4E56A3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Due after one year to five years</w:t>
            </w:r>
          </w:p>
        </w:tc>
        <w:tc>
          <w:tcPr>
            <w:tcW w:w="0" w:type="auto"/>
            <w:gridSpan w:val="2"/>
            <w:tcBorders>
              <w:bottom w:val="single" w:sz="8" w:space="0" w:color="000000"/>
            </w:tcBorders>
            <w:shd w:val="clear" w:color="auto" w:fill="auto"/>
            <w:tcMar>
              <w:top w:w="40" w:type="dxa"/>
              <w:left w:w="40" w:type="dxa"/>
              <w:bottom w:w="40" w:type="dxa"/>
            </w:tcMar>
            <w:vAlign w:val="bottom"/>
          </w:tcPr>
          <w:p w14:paraId="4E56A36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25,017</w:t>
            </w:r>
          </w:p>
        </w:tc>
        <w:tc>
          <w:tcPr>
            <w:tcW w:w="0" w:type="auto"/>
            <w:tcBorders>
              <w:bottom w:val="single" w:sz="8" w:space="0" w:color="000000"/>
            </w:tcBorders>
            <w:shd w:val="clear" w:color="auto" w:fill="auto"/>
            <w:vAlign w:val="bottom"/>
          </w:tcPr>
          <w:p w14:paraId="4E56A36D" w14:textId="77777777" w:rsidR="00DF3E10" w:rsidRDefault="00DF3E10">
            <w:pPr>
              <w:textAlignment w:val="bottom"/>
              <w:rPr>
                <w:rFonts w:ascii="Times New Roman" w:hAnsi="Times New Roman"/>
                <w:sz w:val="20"/>
                <w:szCs w:val="20"/>
              </w:rPr>
            </w:pPr>
          </w:p>
        </w:tc>
      </w:tr>
      <w:tr w:rsidR="00DF3E10" w14:paraId="4E56A373" w14:textId="77777777">
        <w:tc>
          <w:tcPr>
            <w:tcW w:w="0" w:type="auto"/>
            <w:shd w:val="clear" w:color="auto" w:fill="CCEEFF"/>
            <w:tcMar>
              <w:top w:w="40" w:type="dxa"/>
              <w:left w:w="400" w:type="dxa"/>
              <w:bottom w:w="40" w:type="dxa"/>
              <w:right w:w="40" w:type="dxa"/>
            </w:tcMar>
            <w:vAlign w:val="bottom"/>
          </w:tcPr>
          <w:p w14:paraId="4E56A3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3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37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37,195</w:t>
            </w:r>
          </w:p>
        </w:tc>
        <w:tc>
          <w:tcPr>
            <w:tcW w:w="0" w:type="auto"/>
            <w:tcBorders>
              <w:top w:val="single" w:sz="8" w:space="0" w:color="000000"/>
              <w:bottom w:val="double" w:sz="6" w:space="0" w:color="000000"/>
            </w:tcBorders>
            <w:shd w:val="clear" w:color="auto" w:fill="CCEEFF"/>
            <w:vAlign w:val="bottom"/>
          </w:tcPr>
          <w:p w14:paraId="4E56A372" w14:textId="77777777" w:rsidR="00DF3E10" w:rsidRDefault="00DF3E10">
            <w:pPr>
              <w:textAlignment w:val="bottom"/>
              <w:rPr>
                <w:rFonts w:ascii="Times New Roman" w:hAnsi="Times New Roman"/>
                <w:sz w:val="20"/>
                <w:szCs w:val="20"/>
              </w:rPr>
            </w:pPr>
          </w:p>
        </w:tc>
      </w:tr>
    </w:tbl>
    <w:p w14:paraId="4E56A374" w14:textId="77777777" w:rsidR="00DF3E10" w:rsidRDefault="00DF3E10">
      <w:pPr>
        <w:spacing w:line="288" w:lineRule="auto"/>
        <w:rPr>
          <w:rFonts w:ascii="Times New Roman" w:hAnsi="Times New Roman"/>
          <w:sz w:val="20"/>
          <w:szCs w:val="20"/>
        </w:rPr>
      </w:pPr>
    </w:p>
    <w:p w14:paraId="4E56A375" w14:textId="77777777" w:rsidR="00DF3E10" w:rsidRDefault="00DF3E10">
      <w:pPr>
        <w:spacing w:line="288" w:lineRule="auto"/>
        <w:rPr>
          <w:rFonts w:ascii="Times New Roman" w:hAnsi="Times New Roman"/>
          <w:sz w:val="20"/>
          <w:szCs w:val="20"/>
        </w:rPr>
      </w:pPr>
    </w:p>
    <w:p w14:paraId="4E56A376" w14:textId="77777777" w:rsidR="00DF3E10" w:rsidRDefault="00DF3E10">
      <w:pPr>
        <w:rPr>
          <w:rFonts w:ascii="Times New Roman" w:hAnsi="Times New Roman"/>
          <w:sz w:val="20"/>
          <w:szCs w:val="20"/>
        </w:rPr>
      </w:pPr>
    </w:p>
    <w:p w14:paraId="4E56A377"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18</w:t>
      </w:r>
    </w:p>
    <w:p w14:paraId="4E56A378" w14:textId="77777777" w:rsidR="00DF3E10" w:rsidRDefault="006B6C28">
      <w:r>
        <w:rPr>
          <w:rFonts w:ascii="Times New Roman" w:hAnsi="Times New Roman"/>
          <w:sz w:val="20"/>
          <w:szCs w:val="20"/>
        </w:rPr>
        <w:pict w14:anchorId="4E56B75F">
          <v:rect id="_x0000_i1042" style="width:415.3pt;height:1.5pt" o:hralign="center" o:hrstd="t" o:hr="t" fillcolor="#a0a0a0" stroked="f"/>
        </w:pict>
      </w:r>
    </w:p>
    <w:p w14:paraId="4E56A379" w14:textId="77777777" w:rsidR="00DF3E10" w:rsidRDefault="006B6C28">
      <w:pPr>
        <w:spacing w:line="288" w:lineRule="auto"/>
        <w:rPr>
          <w:rFonts w:ascii="Times New Roman" w:hAnsi="Times New Roman"/>
          <w:sz w:val="20"/>
          <w:szCs w:val="20"/>
        </w:rPr>
      </w:pPr>
      <w:hyperlink r:id="rId59" w:anchor="sC1FF62F0D4D85317B5B2C71C7C94F269" w:history="1">
        <w:r>
          <w:rPr>
            <w:rStyle w:val="a5"/>
            <w:rFonts w:ascii="Times New Roman" w:eastAsia="宋体" w:hAnsi="Times New Roman"/>
            <w:sz w:val="20"/>
            <w:szCs w:val="20"/>
          </w:rPr>
          <w:t>Table of Contents</w:t>
        </w:r>
      </w:hyperlink>
    </w:p>
    <w:p w14:paraId="4E56A37A" w14:textId="77777777" w:rsidR="00DF3E10" w:rsidRDefault="00DF3E10">
      <w:pPr>
        <w:rPr>
          <w:rFonts w:ascii="Times New Roman" w:hAnsi="Times New Roman"/>
          <w:sz w:val="20"/>
          <w:szCs w:val="20"/>
        </w:rPr>
      </w:pPr>
    </w:p>
    <w:p w14:paraId="4E56A37B"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5. Fair Value Measurement</w:t>
      </w:r>
    </w:p>
    <w:p w14:paraId="4E56A37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summarizes our cash equivalents a</w:t>
      </w:r>
      <w:r>
        <w:rPr>
          <w:rFonts w:ascii="Times New Roman" w:eastAsia="宋体" w:hAnsi="Times New Roman"/>
          <w:sz w:val="20"/>
          <w:szCs w:val="20"/>
        </w:rPr>
        <w:t>nd marketable securities measured at fair value and the classification by level of input within the fair value hierarchy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267"/>
        <w:gridCol w:w="130"/>
        <w:gridCol w:w="140"/>
        <w:gridCol w:w="943"/>
        <w:gridCol w:w="29"/>
        <w:gridCol w:w="130"/>
        <w:gridCol w:w="141"/>
        <w:gridCol w:w="987"/>
        <w:gridCol w:w="82"/>
        <w:gridCol w:w="130"/>
        <w:gridCol w:w="141"/>
        <w:gridCol w:w="861"/>
        <w:gridCol w:w="61"/>
        <w:gridCol w:w="130"/>
        <w:gridCol w:w="141"/>
        <w:gridCol w:w="920"/>
        <w:gridCol w:w="73"/>
      </w:tblGrid>
      <w:tr w:rsidR="00DF3E10" w14:paraId="4E56A37E" w14:textId="77777777">
        <w:tc>
          <w:tcPr>
            <w:tcW w:w="0" w:type="auto"/>
            <w:gridSpan w:val="17"/>
            <w:shd w:val="clear" w:color="auto" w:fill="auto"/>
            <w:vAlign w:val="center"/>
          </w:tcPr>
          <w:p w14:paraId="4E56A37D" w14:textId="77777777" w:rsidR="00DF3E10" w:rsidRDefault="00DF3E10">
            <w:pPr>
              <w:rPr>
                <w:rFonts w:ascii="Times New Roman" w:hAnsi="Times New Roman"/>
                <w:sz w:val="20"/>
                <w:szCs w:val="20"/>
              </w:rPr>
            </w:pPr>
          </w:p>
        </w:tc>
      </w:tr>
      <w:tr w:rsidR="00DF3E10" w14:paraId="4E56A390" w14:textId="77777777">
        <w:tc>
          <w:tcPr>
            <w:tcW w:w="2000" w:type="pct"/>
            <w:shd w:val="clear" w:color="auto" w:fill="auto"/>
            <w:vAlign w:val="center"/>
          </w:tcPr>
          <w:p w14:paraId="4E56A37F" w14:textId="77777777" w:rsidR="00DF3E10" w:rsidRDefault="00DF3E10">
            <w:pPr>
              <w:rPr>
                <w:rFonts w:ascii="Times New Roman" w:hAnsi="Times New Roman"/>
                <w:sz w:val="20"/>
                <w:szCs w:val="20"/>
              </w:rPr>
            </w:pPr>
          </w:p>
        </w:tc>
        <w:tc>
          <w:tcPr>
            <w:tcW w:w="50" w:type="pct"/>
            <w:shd w:val="clear" w:color="auto" w:fill="auto"/>
            <w:vAlign w:val="center"/>
          </w:tcPr>
          <w:p w14:paraId="4E56A380" w14:textId="77777777" w:rsidR="00DF3E10" w:rsidRDefault="00DF3E10">
            <w:pPr>
              <w:rPr>
                <w:rFonts w:ascii="Times New Roman" w:hAnsi="Times New Roman"/>
                <w:sz w:val="20"/>
                <w:szCs w:val="20"/>
              </w:rPr>
            </w:pPr>
          </w:p>
        </w:tc>
        <w:tc>
          <w:tcPr>
            <w:tcW w:w="50" w:type="pct"/>
            <w:shd w:val="clear" w:color="auto" w:fill="auto"/>
            <w:vAlign w:val="center"/>
          </w:tcPr>
          <w:p w14:paraId="4E56A381" w14:textId="77777777" w:rsidR="00DF3E10" w:rsidRDefault="00DF3E10">
            <w:pPr>
              <w:rPr>
                <w:rFonts w:ascii="Times New Roman" w:hAnsi="Times New Roman"/>
                <w:sz w:val="20"/>
                <w:szCs w:val="20"/>
              </w:rPr>
            </w:pPr>
          </w:p>
        </w:tc>
        <w:tc>
          <w:tcPr>
            <w:tcW w:w="600" w:type="pct"/>
            <w:shd w:val="clear" w:color="auto" w:fill="auto"/>
            <w:vAlign w:val="center"/>
          </w:tcPr>
          <w:p w14:paraId="4E56A382" w14:textId="77777777" w:rsidR="00DF3E10" w:rsidRDefault="00DF3E10">
            <w:pPr>
              <w:rPr>
                <w:rFonts w:ascii="Times New Roman" w:hAnsi="Times New Roman"/>
                <w:sz w:val="20"/>
                <w:szCs w:val="20"/>
              </w:rPr>
            </w:pPr>
          </w:p>
        </w:tc>
        <w:tc>
          <w:tcPr>
            <w:tcW w:w="50" w:type="pct"/>
            <w:shd w:val="clear" w:color="auto" w:fill="auto"/>
            <w:vAlign w:val="center"/>
          </w:tcPr>
          <w:p w14:paraId="4E56A383" w14:textId="77777777" w:rsidR="00DF3E10" w:rsidRDefault="00DF3E10">
            <w:pPr>
              <w:rPr>
                <w:rFonts w:ascii="Times New Roman" w:hAnsi="Times New Roman"/>
                <w:sz w:val="20"/>
                <w:szCs w:val="20"/>
              </w:rPr>
            </w:pPr>
          </w:p>
        </w:tc>
        <w:tc>
          <w:tcPr>
            <w:tcW w:w="50" w:type="pct"/>
            <w:shd w:val="clear" w:color="auto" w:fill="auto"/>
            <w:vAlign w:val="center"/>
          </w:tcPr>
          <w:p w14:paraId="4E56A384" w14:textId="77777777" w:rsidR="00DF3E10" w:rsidRDefault="00DF3E10">
            <w:pPr>
              <w:rPr>
                <w:rFonts w:ascii="Times New Roman" w:hAnsi="Times New Roman"/>
                <w:sz w:val="20"/>
                <w:szCs w:val="20"/>
              </w:rPr>
            </w:pPr>
          </w:p>
        </w:tc>
        <w:tc>
          <w:tcPr>
            <w:tcW w:w="50" w:type="pct"/>
            <w:shd w:val="clear" w:color="auto" w:fill="auto"/>
            <w:vAlign w:val="center"/>
          </w:tcPr>
          <w:p w14:paraId="4E56A385" w14:textId="77777777" w:rsidR="00DF3E10" w:rsidRDefault="00DF3E10">
            <w:pPr>
              <w:rPr>
                <w:rFonts w:ascii="Times New Roman" w:hAnsi="Times New Roman"/>
                <w:sz w:val="20"/>
                <w:szCs w:val="20"/>
              </w:rPr>
            </w:pPr>
          </w:p>
        </w:tc>
        <w:tc>
          <w:tcPr>
            <w:tcW w:w="600" w:type="pct"/>
            <w:shd w:val="clear" w:color="auto" w:fill="auto"/>
            <w:vAlign w:val="center"/>
          </w:tcPr>
          <w:p w14:paraId="4E56A386" w14:textId="77777777" w:rsidR="00DF3E10" w:rsidRDefault="00DF3E10">
            <w:pPr>
              <w:rPr>
                <w:rFonts w:ascii="Times New Roman" w:hAnsi="Times New Roman"/>
                <w:sz w:val="20"/>
                <w:szCs w:val="20"/>
              </w:rPr>
            </w:pPr>
          </w:p>
        </w:tc>
        <w:tc>
          <w:tcPr>
            <w:tcW w:w="50" w:type="pct"/>
            <w:shd w:val="clear" w:color="auto" w:fill="auto"/>
            <w:vAlign w:val="center"/>
          </w:tcPr>
          <w:p w14:paraId="4E56A387" w14:textId="77777777" w:rsidR="00DF3E10" w:rsidRDefault="00DF3E10">
            <w:pPr>
              <w:rPr>
                <w:rFonts w:ascii="Times New Roman" w:hAnsi="Times New Roman"/>
                <w:sz w:val="20"/>
                <w:szCs w:val="20"/>
              </w:rPr>
            </w:pPr>
          </w:p>
        </w:tc>
        <w:tc>
          <w:tcPr>
            <w:tcW w:w="50" w:type="pct"/>
            <w:shd w:val="clear" w:color="auto" w:fill="auto"/>
            <w:vAlign w:val="center"/>
          </w:tcPr>
          <w:p w14:paraId="4E56A388" w14:textId="77777777" w:rsidR="00DF3E10" w:rsidRDefault="00DF3E10">
            <w:pPr>
              <w:rPr>
                <w:rFonts w:ascii="Times New Roman" w:hAnsi="Times New Roman"/>
                <w:sz w:val="20"/>
                <w:szCs w:val="20"/>
              </w:rPr>
            </w:pPr>
          </w:p>
        </w:tc>
        <w:tc>
          <w:tcPr>
            <w:tcW w:w="50" w:type="pct"/>
            <w:shd w:val="clear" w:color="auto" w:fill="auto"/>
            <w:vAlign w:val="center"/>
          </w:tcPr>
          <w:p w14:paraId="4E56A389" w14:textId="77777777" w:rsidR="00DF3E10" w:rsidRDefault="00DF3E10">
            <w:pPr>
              <w:rPr>
                <w:rFonts w:ascii="Times New Roman" w:hAnsi="Times New Roman"/>
                <w:sz w:val="20"/>
                <w:szCs w:val="20"/>
              </w:rPr>
            </w:pPr>
          </w:p>
        </w:tc>
        <w:tc>
          <w:tcPr>
            <w:tcW w:w="600" w:type="pct"/>
            <w:shd w:val="clear" w:color="auto" w:fill="auto"/>
            <w:vAlign w:val="center"/>
          </w:tcPr>
          <w:p w14:paraId="4E56A38A" w14:textId="77777777" w:rsidR="00DF3E10" w:rsidRDefault="00DF3E10">
            <w:pPr>
              <w:rPr>
                <w:rFonts w:ascii="Times New Roman" w:hAnsi="Times New Roman"/>
                <w:sz w:val="20"/>
                <w:szCs w:val="20"/>
              </w:rPr>
            </w:pPr>
          </w:p>
        </w:tc>
        <w:tc>
          <w:tcPr>
            <w:tcW w:w="50" w:type="pct"/>
            <w:shd w:val="clear" w:color="auto" w:fill="auto"/>
            <w:vAlign w:val="center"/>
          </w:tcPr>
          <w:p w14:paraId="4E56A38B" w14:textId="77777777" w:rsidR="00DF3E10" w:rsidRDefault="00DF3E10">
            <w:pPr>
              <w:rPr>
                <w:rFonts w:ascii="Times New Roman" w:hAnsi="Times New Roman"/>
                <w:sz w:val="20"/>
                <w:szCs w:val="20"/>
              </w:rPr>
            </w:pPr>
          </w:p>
        </w:tc>
        <w:tc>
          <w:tcPr>
            <w:tcW w:w="50" w:type="pct"/>
            <w:shd w:val="clear" w:color="auto" w:fill="auto"/>
            <w:vAlign w:val="center"/>
          </w:tcPr>
          <w:p w14:paraId="4E56A38C" w14:textId="77777777" w:rsidR="00DF3E10" w:rsidRDefault="00DF3E10">
            <w:pPr>
              <w:rPr>
                <w:rFonts w:ascii="Times New Roman" w:hAnsi="Times New Roman"/>
                <w:sz w:val="20"/>
                <w:szCs w:val="20"/>
              </w:rPr>
            </w:pPr>
          </w:p>
        </w:tc>
        <w:tc>
          <w:tcPr>
            <w:tcW w:w="50" w:type="pct"/>
            <w:shd w:val="clear" w:color="auto" w:fill="auto"/>
            <w:vAlign w:val="center"/>
          </w:tcPr>
          <w:p w14:paraId="4E56A38D" w14:textId="77777777" w:rsidR="00DF3E10" w:rsidRDefault="00DF3E10">
            <w:pPr>
              <w:rPr>
                <w:rFonts w:ascii="Times New Roman" w:hAnsi="Times New Roman"/>
                <w:sz w:val="20"/>
                <w:szCs w:val="20"/>
              </w:rPr>
            </w:pPr>
          </w:p>
        </w:tc>
        <w:tc>
          <w:tcPr>
            <w:tcW w:w="600" w:type="pct"/>
            <w:shd w:val="clear" w:color="auto" w:fill="auto"/>
            <w:vAlign w:val="center"/>
          </w:tcPr>
          <w:p w14:paraId="4E56A38E" w14:textId="77777777" w:rsidR="00DF3E10" w:rsidRDefault="00DF3E10">
            <w:pPr>
              <w:rPr>
                <w:rFonts w:ascii="Times New Roman" w:hAnsi="Times New Roman"/>
                <w:sz w:val="20"/>
                <w:szCs w:val="20"/>
              </w:rPr>
            </w:pPr>
          </w:p>
        </w:tc>
        <w:tc>
          <w:tcPr>
            <w:tcW w:w="50" w:type="pct"/>
            <w:shd w:val="clear" w:color="auto" w:fill="auto"/>
            <w:vAlign w:val="center"/>
          </w:tcPr>
          <w:p w14:paraId="4E56A38F" w14:textId="77777777" w:rsidR="00DF3E10" w:rsidRDefault="00DF3E10">
            <w:pPr>
              <w:rPr>
                <w:rFonts w:ascii="Times New Roman" w:hAnsi="Times New Roman"/>
                <w:sz w:val="20"/>
                <w:szCs w:val="20"/>
              </w:rPr>
            </w:pPr>
          </w:p>
        </w:tc>
      </w:tr>
      <w:tr w:rsidR="00DF3E10" w14:paraId="4E56A397" w14:textId="77777777">
        <w:tc>
          <w:tcPr>
            <w:tcW w:w="0" w:type="auto"/>
            <w:shd w:val="clear" w:color="auto" w:fill="auto"/>
            <w:tcMar>
              <w:top w:w="40" w:type="dxa"/>
              <w:left w:w="40" w:type="dxa"/>
              <w:bottom w:w="40" w:type="dxa"/>
              <w:right w:w="40" w:type="dxa"/>
            </w:tcMar>
            <w:vAlign w:val="bottom"/>
          </w:tcPr>
          <w:p w14:paraId="4E56A391"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3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393"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3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E56A39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4E56A39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DF3E10" w14:paraId="4E56A3A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E56A398" w14:textId="77777777" w:rsidR="00DF3E10" w:rsidRDefault="006B6C28">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4E56A3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39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3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39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w:t>
            </w:r>
          </w:p>
          <w:p w14:paraId="4E56A39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(Level 1)</w:t>
            </w:r>
          </w:p>
        </w:tc>
        <w:tc>
          <w:tcPr>
            <w:tcW w:w="0" w:type="auto"/>
            <w:shd w:val="clear" w:color="auto" w:fill="auto"/>
            <w:tcMar>
              <w:top w:w="40" w:type="dxa"/>
              <w:left w:w="40" w:type="dxa"/>
              <w:bottom w:w="40" w:type="dxa"/>
              <w:right w:w="40" w:type="dxa"/>
            </w:tcMar>
            <w:vAlign w:val="bottom"/>
          </w:tcPr>
          <w:p w14:paraId="4E56A3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39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 (Level 2)</w:t>
            </w:r>
          </w:p>
        </w:tc>
        <w:tc>
          <w:tcPr>
            <w:tcW w:w="0" w:type="auto"/>
            <w:shd w:val="clear" w:color="auto" w:fill="auto"/>
            <w:tcMar>
              <w:top w:w="40" w:type="dxa"/>
              <w:left w:w="40" w:type="dxa"/>
              <w:bottom w:w="40" w:type="dxa"/>
              <w:right w:w="40" w:type="dxa"/>
            </w:tcMar>
            <w:vAlign w:val="bottom"/>
          </w:tcPr>
          <w:p w14:paraId="4E56A3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3A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4E56A3A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DF3E10" w14:paraId="4E56A3AD" w14:textId="77777777">
        <w:tc>
          <w:tcPr>
            <w:tcW w:w="0" w:type="auto"/>
            <w:shd w:val="clear" w:color="auto" w:fill="CCEEFF"/>
            <w:tcMar>
              <w:top w:w="40" w:type="dxa"/>
              <w:left w:w="40" w:type="dxa"/>
              <w:bottom w:w="40" w:type="dxa"/>
              <w:right w:w="40" w:type="dxa"/>
            </w:tcMar>
          </w:tcPr>
          <w:p w14:paraId="4E56A3A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4E56A3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3BF" w14:textId="77777777">
        <w:tc>
          <w:tcPr>
            <w:tcW w:w="0" w:type="auto"/>
            <w:shd w:val="clear" w:color="auto" w:fill="auto"/>
            <w:tcMar>
              <w:top w:w="40" w:type="dxa"/>
              <w:left w:w="560" w:type="dxa"/>
              <w:bottom w:w="40" w:type="dxa"/>
              <w:right w:w="40" w:type="dxa"/>
            </w:tcMar>
          </w:tcPr>
          <w:p w14:paraId="4E56A3A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4E56A3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3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3B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14,734</w:t>
            </w:r>
          </w:p>
        </w:tc>
        <w:tc>
          <w:tcPr>
            <w:tcW w:w="0" w:type="auto"/>
            <w:shd w:val="clear" w:color="auto" w:fill="auto"/>
            <w:vAlign w:val="bottom"/>
          </w:tcPr>
          <w:p w14:paraId="4E56A3B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3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3B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14,734</w:t>
            </w:r>
          </w:p>
        </w:tc>
        <w:tc>
          <w:tcPr>
            <w:tcW w:w="0" w:type="auto"/>
            <w:shd w:val="clear" w:color="auto" w:fill="auto"/>
            <w:vAlign w:val="bottom"/>
          </w:tcPr>
          <w:p w14:paraId="4E56A3B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3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3B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B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3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3B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BE" w14:textId="77777777" w:rsidR="00DF3E10" w:rsidRDefault="00DF3E10">
            <w:pPr>
              <w:textAlignment w:val="bottom"/>
              <w:rPr>
                <w:rFonts w:ascii="Times New Roman" w:hAnsi="Times New Roman"/>
                <w:sz w:val="20"/>
                <w:szCs w:val="20"/>
              </w:rPr>
            </w:pPr>
          </w:p>
        </w:tc>
      </w:tr>
      <w:tr w:rsidR="00DF3E10" w14:paraId="4E56A3CD" w14:textId="77777777">
        <w:tc>
          <w:tcPr>
            <w:tcW w:w="0" w:type="auto"/>
            <w:shd w:val="clear" w:color="auto" w:fill="CCEEFF"/>
            <w:tcMar>
              <w:top w:w="40" w:type="dxa"/>
              <w:left w:w="560" w:type="dxa"/>
              <w:bottom w:w="40" w:type="dxa"/>
              <w:right w:w="40" w:type="dxa"/>
            </w:tcMar>
          </w:tcPr>
          <w:p w14:paraId="4E56A3C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4E56A3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C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CCEEFF"/>
            <w:vAlign w:val="bottom"/>
          </w:tcPr>
          <w:p w14:paraId="4E56A3C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C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CCEEFF"/>
            <w:vAlign w:val="bottom"/>
          </w:tcPr>
          <w:p w14:paraId="4E56A3C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C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3C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C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3CC" w14:textId="77777777" w:rsidR="00DF3E10" w:rsidRDefault="00DF3E10">
            <w:pPr>
              <w:textAlignment w:val="bottom"/>
              <w:rPr>
                <w:rFonts w:ascii="Times New Roman" w:hAnsi="Times New Roman"/>
                <w:sz w:val="20"/>
                <w:szCs w:val="20"/>
              </w:rPr>
            </w:pPr>
          </w:p>
        </w:tc>
      </w:tr>
      <w:tr w:rsidR="00DF3E10" w14:paraId="4E56A3DB" w14:textId="77777777">
        <w:tc>
          <w:tcPr>
            <w:tcW w:w="0" w:type="auto"/>
            <w:shd w:val="clear" w:color="auto" w:fill="auto"/>
            <w:tcMar>
              <w:top w:w="40" w:type="dxa"/>
              <w:left w:w="560" w:type="dxa"/>
              <w:bottom w:w="40" w:type="dxa"/>
              <w:right w:w="40" w:type="dxa"/>
            </w:tcMar>
          </w:tcPr>
          <w:p w14:paraId="4E56A3C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auto"/>
            <w:tcMar>
              <w:top w:w="40" w:type="dxa"/>
              <w:left w:w="40" w:type="dxa"/>
              <w:bottom w:w="40" w:type="dxa"/>
              <w:right w:w="40" w:type="dxa"/>
            </w:tcMar>
            <w:vAlign w:val="bottom"/>
          </w:tcPr>
          <w:p w14:paraId="4E56A3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D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auto"/>
            <w:vAlign w:val="bottom"/>
          </w:tcPr>
          <w:p w14:paraId="4E56A3D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D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D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D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auto"/>
            <w:vAlign w:val="bottom"/>
          </w:tcPr>
          <w:p w14:paraId="4E56A3D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D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DA" w14:textId="77777777" w:rsidR="00DF3E10" w:rsidRDefault="00DF3E10">
            <w:pPr>
              <w:textAlignment w:val="bottom"/>
              <w:rPr>
                <w:rFonts w:ascii="Times New Roman" w:hAnsi="Times New Roman"/>
                <w:sz w:val="20"/>
                <w:szCs w:val="20"/>
              </w:rPr>
            </w:pPr>
          </w:p>
        </w:tc>
      </w:tr>
      <w:tr w:rsidR="00DF3E10" w14:paraId="4E56A3E5" w14:textId="77777777">
        <w:tc>
          <w:tcPr>
            <w:tcW w:w="0" w:type="auto"/>
            <w:shd w:val="clear" w:color="auto" w:fill="CCEEFF"/>
            <w:tcMar>
              <w:top w:w="40" w:type="dxa"/>
              <w:left w:w="40" w:type="dxa"/>
              <w:bottom w:w="40" w:type="dxa"/>
              <w:right w:w="40" w:type="dxa"/>
            </w:tcMar>
          </w:tcPr>
          <w:p w14:paraId="4E56A3D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4E56A3D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E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E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3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3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3F3" w14:textId="77777777">
        <w:tc>
          <w:tcPr>
            <w:tcW w:w="0" w:type="auto"/>
            <w:shd w:val="clear" w:color="auto" w:fill="auto"/>
            <w:tcMar>
              <w:top w:w="40" w:type="dxa"/>
              <w:left w:w="560" w:type="dxa"/>
              <w:bottom w:w="40" w:type="dxa"/>
              <w:right w:w="40" w:type="dxa"/>
            </w:tcMar>
          </w:tcPr>
          <w:p w14:paraId="4E56A3E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4E56A3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E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19,263</w:t>
            </w:r>
          </w:p>
        </w:tc>
        <w:tc>
          <w:tcPr>
            <w:tcW w:w="0" w:type="auto"/>
            <w:shd w:val="clear" w:color="auto" w:fill="auto"/>
            <w:vAlign w:val="bottom"/>
          </w:tcPr>
          <w:p w14:paraId="4E56A3E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E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19,263</w:t>
            </w:r>
          </w:p>
        </w:tc>
        <w:tc>
          <w:tcPr>
            <w:tcW w:w="0" w:type="auto"/>
            <w:shd w:val="clear" w:color="auto" w:fill="auto"/>
            <w:vAlign w:val="bottom"/>
          </w:tcPr>
          <w:p w14:paraId="4E56A3E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E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E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3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3F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3F2" w14:textId="77777777" w:rsidR="00DF3E10" w:rsidRDefault="00DF3E10">
            <w:pPr>
              <w:textAlignment w:val="bottom"/>
              <w:rPr>
                <w:rFonts w:ascii="Times New Roman" w:hAnsi="Times New Roman"/>
                <w:sz w:val="20"/>
                <w:szCs w:val="20"/>
              </w:rPr>
            </w:pPr>
          </w:p>
        </w:tc>
      </w:tr>
      <w:tr w:rsidR="00DF3E10" w14:paraId="4E56A401" w14:textId="77777777">
        <w:tc>
          <w:tcPr>
            <w:tcW w:w="0" w:type="auto"/>
            <w:shd w:val="clear" w:color="auto" w:fill="CCEEFF"/>
            <w:tcMar>
              <w:top w:w="40" w:type="dxa"/>
              <w:left w:w="560" w:type="dxa"/>
              <w:bottom w:w="40" w:type="dxa"/>
              <w:right w:w="40" w:type="dxa"/>
            </w:tcMar>
          </w:tcPr>
          <w:p w14:paraId="4E56A3F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U.S. government agency </w:t>
            </w:r>
            <w:r>
              <w:rPr>
                <w:rFonts w:ascii="Times New Roman" w:eastAsia="宋体" w:hAnsi="Times New Roman"/>
                <w:sz w:val="20"/>
                <w:szCs w:val="20"/>
              </w:rPr>
              <w:t>securities</w:t>
            </w:r>
          </w:p>
        </w:tc>
        <w:tc>
          <w:tcPr>
            <w:tcW w:w="0" w:type="auto"/>
            <w:shd w:val="clear" w:color="auto" w:fill="CCEEFF"/>
            <w:tcMar>
              <w:top w:w="40" w:type="dxa"/>
              <w:left w:w="40" w:type="dxa"/>
              <w:bottom w:w="40" w:type="dxa"/>
              <w:right w:w="40" w:type="dxa"/>
            </w:tcMar>
            <w:vAlign w:val="bottom"/>
          </w:tcPr>
          <w:p w14:paraId="4E56A3F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F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7,517</w:t>
            </w:r>
          </w:p>
        </w:tc>
        <w:tc>
          <w:tcPr>
            <w:tcW w:w="0" w:type="auto"/>
            <w:shd w:val="clear" w:color="auto" w:fill="CCEEFF"/>
            <w:vAlign w:val="bottom"/>
          </w:tcPr>
          <w:p w14:paraId="4E56A3F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F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7,517</w:t>
            </w:r>
          </w:p>
        </w:tc>
        <w:tc>
          <w:tcPr>
            <w:tcW w:w="0" w:type="auto"/>
            <w:shd w:val="clear" w:color="auto" w:fill="CCEEFF"/>
            <w:vAlign w:val="bottom"/>
          </w:tcPr>
          <w:p w14:paraId="4E56A3F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F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3F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3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3F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00" w14:textId="77777777" w:rsidR="00DF3E10" w:rsidRDefault="00DF3E10">
            <w:pPr>
              <w:textAlignment w:val="bottom"/>
              <w:rPr>
                <w:rFonts w:ascii="Times New Roman" w:hAnsi="Times New Roman"/>
                <w:sz w:val="20"/>
                <w:szCs w:val="20"/>
              </w:rPr>
            </w:pPr>
          </w:p>
        </w:tc>
      </w:tr>
      <w:tr w:rsidR="00DF3E10" w14:paraId="4E56A40F" w14:textId="77777777">
        <w:tc>
          <w:tcPr>
            <w:tcW w:w="0" w:type="auto"/>
            <w:shd w:val="clear" w:color="auto" w:fill="auto"/>
            <w:tcMar>
              <w:top w:w="40" w:type="dxa"/>
              <w:left w:w="560" w:type="dxa"/>
              <w:bottom w:w="40" w:type="dxa"/>
              <w:right w:w="40" w:type="dxa"/>
            </w:tcMar>
          </w:tcPr>
          <w:p w14:paraId="4E56A40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4E56A4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0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10,415</w:t>
            </w:r>
          </w:p>
        </w:tc>
        <w:tc>
          <w:tcPr>
            <w:tcW w:w="0" w:type="auto"/>
            <w:tcBorders>
              <w:bottom w:val="single" w:sz="8" w:space="0" w:color="000000"/>
            </w:tcBorders>
            <w:shd w:val="clear" w:color="auto" w:fill="auto"/>
            <w:vAlign w:val="bottom"/>
          </w:tcPr>
          <w:p w14:paraId="4E56A40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0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4E56A40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0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0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10,415</w:t>
            </w:r>
          </w:p>
        </w:tc>
        <w:tc>
          <w:tcPr>
            <w:tcW w:w="0" w:type="auto"/>
            <w:tcBorders>
              <w:bottom w:val="single" w:sz="8" w:space="0" w:color="000000"/>
            </w:tcBorders>
            <w:shd w:val="clear" w:color="auto" w:fill="auto"/>
            <w:vAlign w:val="bottom"/>
          </w:tcPr>
          <w:p w14:paraId="4E56A40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4E56A40E" w14:textId="77777777" w:rsidR="00DF3E10" w:rsidRDefault="00DF3E10">
            <w:pPr>
              <w:textAlignment w:val="bottom"/>
              <w:rPr>
                <w:rFonts w:ascii="Times New Roman" w:hAnsi="Times New Roman"/>
                <w:sz w:val="20"/>
                <w:szCs w:val="20"/>
              </w:rPr>
            </w:pPr>
          </w:p>
        </w:tc>
      </w:tr>
      <w:tr w:rsidR="00DF3E10" w14:paraId="4E56A421" w14:textId="77777777">
        <w:tc>
          <w:tcPr>
            <w:tcW w:w="0" w:type="auto"/>
            <w:shd w:val="clear" w:color="auto" w:fill="CCEEFF"/>
            <w:tcMar>
              <w:top w:w="40" w:type="dxa"/>
              <w:left w:w="40" w:type="dxa"/>
              <w:bottom w:w="40" w:type="dxa"/>
              <w:right w:w="40" w:type="dxa"/>
            </w:tcMar>
          </w:tcPr>
          <w:p w14:paraId="4E56A41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4E56A4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4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41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52,302</w:t>
            </w:r>
          </w:p>
        </w:tc>
        <w:tc>
          <w:tcPr>
            <w:tcW w:w="0" w:type="auto"/>
            <w:tcBorders>
              <w:bottom w:val="double" w:sz="6" w:space="0" w:color="000000"/>
            </w:tcBorders>
            <w:shd w:val="clear" w:color="auto" w:fill="CCEEFF"/>
            <w:vAlign w:val="bottom"/>
          </w:tcPr>
          <w:p w14:paraId="4E56A41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41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41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41,692</w:t>
            </w:r>
          </w:p>
        </w:tc>
        <w:tc>
          <w:tcPr>
            <w:tcW w:w="0" w:type="auto"/>
            <w:tcBorders>
              <w:top w:val="single" w:sz="8" w:space="0" w:color="000000"/>
              <w:bottom w:val="double" w:sz="6" w:space="0" w:color="000000"/>
            </w:tcBorders>
            <w:shd w:val="clear" w:color="auto" w:fill="CCEEFF"/>
            <w:vAlign w:val="bottom"/>
          </w:tcPr>
          <w:p w14:paraId="4E56A41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4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4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10,610</w:t>
            </w:r>
          </w:p>
        </w:tc>
        <w:tc>
          <w:tcPr>
            <w:tcW w:w="0" w:type="auto"/>
            <w:tcBorders>
              <w:top w:val="single" w:sz="8" w:space="0" w:color="000000"/>
              <w:bottom w:val="double" w:sz="6" w:space="0" w:color="000000"/>
            </w:tcBorders>
            <w:shd w:val="clear" w:color="auto" w:fill="CCEEFF"/>
            <w:vAlign w:val="bottom"/>
          </w:tcPr>
          <w:p w14:paraId="4E56A41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41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41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4E56A420" w14:textId="77777777" w:rsidR="00DF3E10" w:rsidRDefault="00DF3E10">
            <w:pPr>
              <w:textAlignment w:val="bottom"/>
              <w:rPr>
                <w:rFonts w:ascii="Times New Roman" w:hAnsi="Times New Roman"/>
                <w:sz w:val="20"/>
                <w:szCs w:val="20"/>
              </w:rPr>
            </w:pPr>
          </w:p>
        </w:tc>
      </w:tr>
    </w:tbl>
    <w:p w14:paraId="4E56A422" w14:textId="77777777" w:rsidR="00DF3E10" w:rsidRDefault="00DF3E10">
      <w:pPr>
        <w:rPr>
          <w:vanish/>
        </w:rPr>
      </w:pPr>
    </w:p>
    <w:tbl>
      <w:tblPr>
        <w:tblW w:w="5000" w:type="pct"/>
        <w:tblCellMar>
          <w:left w:w="0" w:type="dxa"/>
          <w:right w:w="0" w:type="dxa"/>
        </w:tblCellMar>
        <w:tblLook w:val="04A0" w:firstRow="1" w:lastRow="0" w:firstColumn="1" w:lastColumn="0" w:noHBand="0" w:noVBand="1"/>
      </w:tblPr>
      <w:tblGrid>
        <w:gridCol w:w="3266"/>
        <w:gridCol w:w="130"/>
        <w:gridCol w:w="141"/>
        <w:gridCol w:w="941"/>
        <w:gridCol w:w="55"/>
        <w:gridCol w:w="130"/>
        <w:gridCol w:w="141"/>
        <w:gridCol w:w="987"/>
        <w:gridCol w:w="82"/>
        <w:gridCol w:w="130"/>
        <w:gridCol w:w="141"/>
        <w:gridCol w:w="839"/>
        <w:gridCol w:w="61"/>
        <w:gridCol w:w="130"/>
        <w:gridCol w:w="141"/>
        <w:gridCol w:w="918"/>
        <w:gridCol w:w="73"/>
      </w:tblGrid>
      <w:tr w:rsidR="00DF3E10" w14:paraId="4E56A424" w14:textId="77777777">
        <w:tc>
          <w:tcPr>
            <w:tcW w:w="0" w:type="auto"/>
            <w:gridSpan w:val="17"/>
            <w:shd w:val="clear" w:color="auto" w:fill="auto"/>
            <w:vAlign w:val="center"/>
          </w:tcPr>
          <w:p w14:paraId="4E56A423" w14:textId="77777777" w:rsidR="00DF3E10" w:rsidRDefault="00DF3E10">
            <w:pPr>
              <w:rPr>
                <w:rFonts w:ascii="Times New Roman" w:hAnsi="Times New Roman"/>
                <w:sz w:val="20"/>
                <w:szCs w:val="20"/>
              </w:rPr>
            </w:pPr>
          </w:p>
        </w:tc>
      </w:tr>
      <w:tr w:rsidR="00DF3E10" w14:paraId="4E56A436" w14:textId="77777777">
        <w:tc>
          <w:tcPr>
            <w:tcW w:w="2000" w:type="pct"/>
            <w:shd w:val="clear" w:color="auto" w:fill="auto"/>
            <w:vAlign w:val="center"/>
          </w:tcPr>
          <w:p w14:paraId="4E56A425" w14:textId="77777777" w:rsidR="00DF3E10" w:rsidRDefault="00DF3E10">
            <w:pPr>
              <w:rPr>
                <w:rFonts w:ascii="Times New Roman" w:hAnsi="Times New Roman"/>
                <w:sz w:val="20"/>
                <w:szCs w:val="20"/>
              </w:rPr>
            </w:pPr>
          </w:p>
        </w:tc>
        <w:tc>
          <w:tcPr>
            <w:tcW w:w="50" w:type="pct"/>
            <w:shd w:val="clear" w:color="auto" w:fill="auto"/>
            <w:vAlign w:val="center"/>
          </w:tcPr>
          <w:p w14:paraId="4E56A426" w14:textId="77777777" w:rsidR="00DF3E10" w:rsidRDefault="00DF3E10">
            <w:pPr>
              <w:rPr>
                <w:rFonts w:ascii="Times New Roman" w:hAnsi="Times New Roman"/>
                <w:sz w:val="20"/>
                <w:szCs w:val="20"/>
              </w:rPr>
            </w:pPr>
          </w:p>
        </w:tc>
        <w:tc>
          <w:tcPr>
            <w:tcW w:w="50" w:type="pct"/>
            <w:shd w:val="clear" w:color="auto" w:fill="auto"/>
            <w:vAlign w:val="center"/>
          </w:tcPr>
          <w:p w14:paraId="4E56A427" w14:textId="77777777" w:rsidR="00DF3E10" w:rsidRDefault="00DF3E10">
            <w:pPr>
              <w:rPr>
                <w:rFonts w:ascii="Times New Roman" w:hAnsi="Times New Roman"/>
                <w:sz w:val="20"/>
                <w:szCs w:val="20"/>
              </w:rPr>
            </w:pPr>
          </w:p>
        </w:tc>
        <w:tc>
          <w:tcPr>
            <w:tcW w:w="600" w:type="pct"/>
            <w:shd w:val="clear" w:color="auto" w:fill="auto"/>
            <w:vAlign w:val="center"/>
          </w:tcPr>
          <w:p w14:paraId="4E56A428" w14:textId="77777777" w:rsidR="00DF3E10" w:rsidRDefault="00DF3E10">
            <w:pPr>
              <w:rPr>
                <w:rFonts w:ascii="Times New Roman" w:hAnsi="Times New Roman"/>
                <w:sz w:val="20"/>
                <w:szCs w:val="20"/>
              </w:rPr>
            </w:pPr>
          </w:p>
        </w:tc>
        <w:tc>
          <w:tcPr>
            <w:tcW w:w="50" w:type="pct"/>
            <w:shd w:val="clear" w:color="auto" w:fill="auto"/>
            <w:vAlign w:val="center"/>
          </w:tcPr>
          <w:p w14:paraId="4E56A429" w14:textId="77777777" w:rsidR="00DF3E10" w:rsidRDefault="00DF3E10">
            <w:pPr>
              <w:rPr>
                <w:rFonts w:ascii="Times New Roman" w:hAnsi="Times New Roman"/>
                <w:sz w:val="20"/>
                <w:szCs w:val="20"/>
              </w:rPr>
            </w:pPr>
          </w:p>
        </w:tc>
        <w:tc>
          <w:tcPr>
            <w:tcW w:w="50" w:type="pct"/>
            <w:shd w:val="clear" w:color="auto" w:fill="auto"/>
            <w:vAlign w:val="center"/>
          </w:tcPr>
          <w:p w14:paraId="4E56A42A" w14:textId="77777777" w:rsidR="00DF3E10" w:rsidRDefault="00DF3E10">
            <w:pPr>
              <w:rPr>
                <w:rFonts w:ascii="Times New Roman" w:hAnsi="Times New Roman"/>
                <w:sz w:val="20"/>
                <w:szCs w:val="20"/>
              </w:rPr>
            </w:pPr>
          </w:p>
        </w:tc>
        <w:tc>
          <w:tcPr>
            <w:tcW w:w="50" w:type="pct"/>
            <w:shd w:val="clear" w:color="auto" w:fill="auto"/>
            <w:vAlign w:val="center"/>
          </w:tcPr>
          <w:p w14:paraId="4E56A42B" w14:textId="77777777" w:rsidR="00DF3E10" w:rsidRDefault="00DF3E10">
            <w:pPr>
              <w:rPr>
                <w:rFonts w:ascii="Times New Roman" w:hAnsi="Times New Roman"/>
                <w:sz w:val="20"/>
                <w:szCs w:val="20"/>
              </w:rPr>
            </w:pPr>
          </w:p>
        </w:tc>
        <w:tc>
          <w:tcPr>
            <w:tcW w:w="600" w:type="pct"/>
            <w:shd w:val="clear" w:color="auto" w:fill="auto"/>
            <w:vAlign w:val="center"/>
          </w:tcPr>
          <w:p w14:paraId="4E56A42C" w14:textId="77777777" w:rsidR="00DF3E10" w:rsidRDefault="00DF3E10">
            <w:pPr>
              <w:rPr>
                <w:rFonts w:ascii="Times New Roman" w:hAnsi="Times New Roman"/>
                <w:sz w:val="20"/>
                <w:szCs w:val="20"/>
              </w:rPr>
            </w:pPr>
          </w:p>
        </w:tc>
        <w:tc>
          <w:tcPr>
            <w:tcW w:w="50" w:type="pct"/>
            <w:shd w:val="clear" w:color="auto" w:fill="auto"/>
            <w:vAlign w:val="center"/>
          </w:tcPr>
          <w:p w14:paraId="4E56A42D" w14:textId="77777777" w:rsidR="00DF3E10" w:rsidRDefault="00DF3E10">
            <w:pPr>
              <w:rPr>
                <w:rFonts w:ascii="Times New Roman" w:hAnsi="Times New Roman"/>
                <w:sz w:val="20"/>
                <w:szCs w:val="20"/>
              </w:rPr>
            </w:pPr>
          </w:p>
        </w:tc>
        <w:tc>
          <w:tcPr>
            <w:tcW w:w="50" w:type="pct"/>
            <w:shd w:val="clear" w:color="auto" w:fill="auto"/>
            <w:vAlign w:val="center"/>
          </w:tcPr>
          <w:p w14:paraId="4E56A42E" w14:textId="77777777" w:rsidR="00DF3E10" w:rsidRDefault="00DF3E10">
            <w:pPr>
              <w:rPr>
                <w:rFonts w:ascii="Times New Roman" w:hAnsi="Times New Roman"/>
                <w:sz w:val="20"/>
                <w:szCs w:val="20"/>
              </w:rPr>
            </w:pPr>
          </w:p>
        </w:tc>
        <w:tc>
          <w:tcPr>
            <w:tcW w:w="50" w:type="pct"/>
            <w:shd w:val="clear" w:color="auto" w:fill="auto"/>
            <w:vAlign w:val="center"/>
          </w:tcPr>
          <w:p w14:paraId="4E56A42F" w14:textId="77777777" w:rsidR="00DF3E10" w:rsidRDefault="00DF3E10">
            <w:pPr>
              <w:rPr>
                <w:rFonts w:ascii="Times New Roman" w:hAnsi="Times New Roman"/>
                <w:sz w:val="20"/>
                <w:szCs w:val="20"/>
              </w:rPr>
            </w:pPr>
          </w:p>
        </w:tc>
        <w:tc>
          <w:tcPr>
            <w:tcW w:w="600" w:type="pct"/>
            <w:shd w:val="clear" w:color="auto" w:fill="auto"/>
            <w:vAlign w:val="center"/>
          </w:tcPr>
          <w:p w14:paraId="4E56A430" w14:textId="77777777" w:rsidR="00DF3E10" w:rsidRDefault="00DF3E10">
            <w:pPr>
              <w:rPr>
                <w:rFonts w:ascii="Times New Roman" w:hAnsi="Times New Roman"/>
                <w:sz w:val="20"/>
                <w:szCs w:val="20"/>
              </w:rPr>
            </w:pPr>
          </w:p>
        </w:tc>
        <w:tc>
          <w:tcPr>
            <w:tcW w:w="50" w:type="pct"/>
            <w:shd w:val="clear" w:color="auto" w:fill="auto"/>
            <w:vAlign w:val="center"/>
          </w:tcPr>
          <w:p w14:paraId="4E56A431" w14:textId="77777777" w:rsidR="00DF3E10" w:rsidRDefault="00DF3E10">
            <w:pPr>
              <w:rPr>
                <w:rFonts w:ascii="Times New Roman" w:hAnsi="Times New Roman"/>
                <w:sz w:val="20"/>
                <w:szCs w:val="20"/>
              </w:rPr>
            </w:pPr>
          </w:p>
        </w:tc>
        <w:tc>
          <w:tcPr>
            <w:tcW w:w="50" w:type="pct"/>
            <w:shd w:val="clear" w:color="auto" w:fill="auto"/>
            <w:vAlign w:val="center"/>
          </w:tcPr>
          <w:p w14:paraId="4E56A432" w14:textId="77777777" w:rsidR="00DF3E10" w:rsidRDefault="00DF3E10">
            <w:pPr>
              <w:rPr>
                <w:rFonts w:ascii="Times New Roman" w:hAnsi="Times New Roman"/>
                <w:sz w:val="20"/>
                <w:szCs w:val="20"/>
              </w:rPr>
            </w:pPr>
          </w:p>
        </w:tc>
        <w:tc>
          <w:tcPr>
            <w:tcW w:w="50" w:type="pct"/>
            <w:shd w:val="clear" w:color="auto" w:fill="auto"/>
            <w:vAlign w:val="center"/>
          </w:tcPr>
          <w:p w14:paraId="4E56A433" w14:textId="77777777" w:rsidR="00DF3E10" w:rsidRDefault="00DF3E10">
            <w:pPr>
              <w:rPr>
                <w:rFonts w:ascii="Times New Roman" w:hAnsi="Times New Roman"/>
                <w:sz w:val="20"/>
                <w:szCs w:val="20"/>
              </w:rPr>
            </w:pPr>
          </w:p>
        </w:tc>
        <w:tc>
          <w:tcPr>
            <w:tcW w:w="600" w:type="pct"/>
            <w:shd w:val="clear" w:color="auto" w:fill="auto"/>
            <w:vAlign w:val="center"/>
          </w:tcPr>
          <w:p w14:paraId="4E56A434" w14:textId="77777777" w:rsidR="00DF3E10" w:rsidRDefault="00DF3E10">
            <w:pPr>
              <w:rPr>
                <w:rFonts w:ascii="Times New Roman" w:hAnsi="Times New Roman"/>
                <w:sz w:val="20"/>
                <w:szCs w:val="20"/>
              </w:rPr>
            </w:pPr>
          </w:p>
        </w:tc>
        <w:tc>
          <w:tcPr>
            <w:tcW w:w="50" w:type="pct"/>
            <w:shd w:val="clear" w:color="auto" w:fill="auto"/>
            <w:vAlign w:val="center"/>
          </w:tcPr>
          <w:p w14:paraId="4E56A435" w14:textId="77777777" w:rsidR="00DF3E10" w:rsidRDefault="00DF3E10">
            <w:pPr>
              <w:rPr>
                <w:rFonts w:ascii="Times New Roman" w:hAnsi="Times New Roman"/>
                <w:sz w:val="20"/>
                <w:szCs w:val="20"/>
              </w:rPr>
            </w:pPr>
          </w:p>
        </w:tc>
      </w:tr>
      <w:tr w:rsidR="00DF3E10" w14:paraId="4E56A43D" w14:textId="77777777">
        <w:tc>
          <w:tcPr>
            <w:tcW w:w="0" w:type="auto"/>
            <w:shd w:val="clear" w:color="auto" w:fill="auto"/>
            <w:tcMar>
              <w:top w:w="40" w:type="dxa"/>
              <w:left w:w="40" w:type="dxa"/>
              <w:bottom w:w="40" w:type="dxa"/>
              <w:right w:w="40" w:type="dxa"/>
            </w:tcMar>
            <w:vAlign w:val="bottom"/>
          </w:tcPr>
          <w:p w14:paraId="4E56A437"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4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439"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4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E56A43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4E56A43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DF3E10" w14:paraId="4E56A44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E56A43E" w14:textId="77777777" w:rsidR="00DF3E10" w:rsidRDefault="006B6C28">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4E56A4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4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c>
          <w:tcPr>
            <w:tcW w:w="0" w:type="auto"/>
            <w:shd w:val="clear" w:color="auto" w:fill="auto"/>
            <w:tcMar>
              <w:top w:w="40" w:type="dxa"/>
              <w:left w:w="40" w:type="dxa"/>
              <w:bottom w:w="40" w:type="dxa"/>
              <w:right w:w="40" w:type="dxa"/>
            </w:tcMar>
            <w:vAlign w:val="bottom"/>
          </w:tcPr>
          <w:p w14:paraId="4E56A4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4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 (Level 1)</w:t>
            </w:r>
          </w:p>
        </w:tc>
        <w:tc>
          <w:tcPr>
            <w:tcW w:w="0" w:type="auto"/>
            <w:shd w:val="clear" w:color="auto" w:fill="auto"/>
            <w:tcMar>
              <w:top w:w="40" w:type="dxa"/>
              <w:left w:w="40" w:type="dxa"/>
              <w:bottom w:w="40" w:type="dxa"/>
              <w:right w:w="40" w:type="dxa"/>
            </w:tcMar>
            <w:vAlign w:val="bottom"/>
          </w:tcPr>
          <w:p w14:paraId="4E56A4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4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 (Level 2)</w:t>
            </w:r>
          </w:p>
        </w:tc>
        <w:tc>
          <w:tcPr>
            <w:tcW w:w="0" w:type="auto"/>
            <w:shd w:val="clear" w:color="auto" w:fill="auto"/>
            <w:tcMar>
              <w:top w:w="40" w:type="dxa"/>
              <w:left w:w="40" w:type="dxa"/>
              <w:bottom w:w="40" w:type="dxa"/>
              <w:right w:w="40" w:type="dxa"/>
            </w:tcMar>
            <w:vAlign w:val="bottom"/>
          </w:tcPr>
          <w:p w14:paraId="4E56A4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4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4E56A44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DF3E10" w14:paraId="4E56A452" w14:textId="77777777">
        <w:tc>
          <w:tcPr>
            <w:tcW w:w="0" w:type="auto"/>
            <w:shd w:val="clear" w:color="auto" w:fill="CCEEFF"/>
            <w:tcMar>
              <w:top w:w="40" w:type="dxa"/>
              <w:left w:w="40" w:type="dxa"/>
              <w:bottom w:w="40" w:type="dxa"/>
              <w:right w:w="40" w:type="dxa"/>
            </w:tcMar>
          </w:tcPr>
          <w:p w14:paraId="4E56A44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4E56A4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464" w14:textId="77777777">
        <w:tc>
          <w:tcPr>
            <w:tcW w:w="0" w:type="auto"/>
            <w:shd w:val="clear" w:color="auto" w:fill="auto"/>
            <w:tcMar>
              <w:top w:w="40" w:type="dxa"/>
              <w:left w:w="560" w:type="dxa"/>
              <w:bottom w:w="40" w:type="dxa"/>
              <w:right w:w="40" w:type="dxa"/>
            </w:tcMar>
          </w:tcPr>
          <w:p w14:paraId="4E56A45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4E56A4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4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4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4E56A4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4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45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4E56A45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4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45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5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4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46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63" w14:textId="77777777" w:rsidR="00DF3E10" w:rsidRDefault="00DF3E10">
            <w:pPr>
              <w:textAlignment w:val="bottom"/>
              <w:rPr>
                <w:rFonts w:ascii="Times New Roman" w:hAnsi="Times New Roman"/>
                <w:sz w:val="20"/>
                <w:szCs w:val="20"/>
              </w:rPr>
            </w:pPr>
          </w:p>
        </w:tc>
      </w:tr>
      <w:tr w:rsidR="00DF3E10" w14:paraId="4E56A472" w14:textId="77777777">
        <w:tc>
          <w:tcPr>
            <w:tcW w:w="0" w:type="auto"/>
            <w:shd w:val="clear" w:color="auto" w:fill="CCEEFF"/>
            <w:tcMar>
              <w:top w:w="40" w:type="dxa"/>
              <w:left w:w="560" w:type="dxa"/>
              <w:bottom w:w="40" w:type="dxa"/>
              <w:right w:w="40" w:type="dxa"/>
            </w:tcMar>
          </w:tcPr>
          <w:p w14:paraId="4E56A46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4E56A4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6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4E56A46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6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4E56A46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6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6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7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71" w14:textId="77777777" w:rsidR="00DF3E10" w:rsidRDefault="00DF3E10">
            <w:pPr>
              <w:textAlignment w:val="bottom"/>
              <w:rPr>
                <w:rFonts w:ascii="Times New Roman" w:hAnsi="Times New Roman"/>
                <w:sz w:val="20"/>
                <w:szCs w:val="20"/>
              </w:rPr>
            </w:pPr>
          </w:p>
        </w:tc>
      </w:tr>
      <w:tr w:rsidR="00DF3E10" w14:paraId="4E56A480" w14:textId="77777777">
        <w:tc>
          <w:tcPr>
            <w:tcW w:w="0" w:type="auto"/>
            <w:shd w:val="clear" w:color="auto" w:fill="auto"/>
            <w:tcMar>
              <w:top w:w="40" w:type="dxa"/>
              <w:left w:w="560" w:type="dxa"/>
              <w:bottom w:w="40" w:type="dxa"/>
              <w:right w:w="40" w:type="dxa"/>
            </w:tcMar>
          </w:tcPr>
          <w:p w14:paraId="4E56A47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4E56A4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7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4E56A47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4E56A47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7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7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7F" w14:textId="77777777" w:rsidR="00DF3E10" w:rsidRDefault="00DF3E10">
            <w:pPr>
              <w:textAlignment w:val="bottom"/>
              <w:rPr>
                <w:rFonts w:ascii="Times New Roman" w:hAnsi="Times New Roman"/>
                <w:sz w:val="20"/>
                <w:szCs w:val="20"/>
              </w:rPr>
            </w:pPr>
          </w:p>
        </w:tc>
      </w:tr>
      <w:tr w:rsidR="00DF3E10" w14:paraId="4E56A48E" w14:textId="77777777">
        <w:tc>
          <w:tcPr>
            <w:tcW w:w="0" w:type="auto"/>
            <w:shd w:val="clear" w:color="auto" w:fill="CCEEFF"/>
            <w:tcMar>
              <w:top w:w="40" w:type="dxa"/>
              <w:left w:w="560" w:type="dxa"/>
              <w:bottom w:w="40" w:type="dxa"/>
              <w:right w:w="40" w:type="dxa"/>
            </w:tcMar>
          </w:tcPr>
          <w:p w14:paraId="4E56A48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4E56A4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8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4E56A48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8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8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8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8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4E56A48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8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8D" w14:textId="77777777" w:rsidR="00DF3E10" w:rsidRDefault="00DF3E10">
            <w:pPr>
              <w:textAlignment w:val="bottom"/>
              <w:rPr>
                <w:rFonts w:ascii="Times New Roman" w:hAnsi="Times New Roman"/>
                <w:sz w:val="20"/>
                <w:szCs w:val="20"/>
              </w:rPr>
            </w:pPr>
          </w:p>
        </w:tc>
      </w:tr>
      <w:tr w:rsidR="00DF3E10" w14:paraId="4E56A49C" w14:textId="77777777">
        <w:tc>
          <w:tcPr>
            <w:tcW w:w="0" w:type="auto"/>
            <w:shd w:val="clear" w:color="auto" w:fill="auto"/>
            <w:tcMar>
              <w:top w:w="40" w:type="dxa"/>
              <w:left w:w="560" w:type="dxa"/>
              <w:bottom w:w="40" w:type="dxa"/>
              <w:right w:w="40" w:type="dxa"/>
            </w:tcMar>
          </w:tcPr>
          <w:p w14:paraId="4E56A48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4E56A4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9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4E56A49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9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9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9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4E56A49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9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9B" w14:textId="77777777" w:rsidR="00DF3E10" w:rsidRDefault="00DF3E10">
            <w:pPr>
              <w:textAlignment w:val="bottom"/>
              <w:rPr>
                <w:rFonts w:ascii="Times New Roman" w:hAnsi="Times New Roman"/>
                <w:sz w:val="20"/>
                <w:szCs w:val="20"/>
              </w:rPr>
            </w:pPr>
          </w:p>
        </w:tc>
      </w:tr>
      <w:tr w:rsidR="00DF3E10" w14:paraId="4E56A4A6" w14:textId="77777777">
        <w:tc>
          <w:tcPr>
            <w:tcW w:w="0" w:type="auto"/>
            <w:shd w:val="clear" w:color="auto" w:fill="CCEEFF"/>
            <w:tcMar>
              <w:top w:w="40" w:type="dxa"/>
              <w:left w:w="40" w:type="dxa"/>
              <w:bottom w:w="40" w:type="dxa"/>
              <w:right w:w="40" w:type="dxa"/>
            </w:tcMar>
          </w:tcPr>
          <w:p w14:paraId="4E56A49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4E56A4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4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4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4B4" w14:textId="77777777">
        <w:tc>
          <w:tcPr>
            <w:tcW w:w="0" w:type="auto"/>
            <w:shd w:val="clear" w:color="auto" w:fill="auto"/>
            <w:tcMar>
              <w:top w:w="40" w:type="dxa"/>
              <w:left w:w="560" w:type="dxa"/>
              <w:bottom w:w="40" w:type="dxa"/>
              <w:right w:w="40" w:type="dxa"/>
            </w:tcMar>
          </w:tcPr>
          <w:p w14:paraId="4E56A4A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4E56A4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4E56A4A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4E56A4A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B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4B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4E56A4B3" w14:textId="77777777" w:rsidR="00DF3E10" w:rsidRDefault="00DF3E10">
            <w:pPr>
              <w:textAlignment w:val="bottom"/>
              <w:rPr>
                <w:rFonts w:ascii="Times New Roman" w:hAnsi="Times New Roman"/>
                <w:sz w:val="20"/>
                <w:szCs w:val="20"/>
              </w:rPr>
            </w:pPr>
          </w:p>
        </w:tc>
      </w:tr>
      <w:tr w:rsidR="00DF3E10" w14:paraId="4E56A4C2" w14:textId="77777777">
        <w:tc>
          <w:tcPr>
            <w:tcW w:w="0" w:type="auto"/>
            <w:shd w:val="clear" w:color="auto" w:fill="CCEEFF"/>
            <w:tcMar>
              <w:top w:w="40" w:type="dxa"/>
              <w:left w:w="560" w:type="dxa"/>
              <w:bottom w:w="40" w:type="dxa"/>
              <w:right w:w="40" w:type="dxa"/>
            </w:tcMar>
          </w:tcPr>
          <w:p w14:paraId="4E56A4B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U.S. government agency </w:t>
            </w:r>
            <w:r>
              <w:rPr>
                <w:rFonts w:ascii="Times New Roman" w:eastAsia="宋体" w:hAnsi="Times New Roman"/>
                <w:sz w:val="20"/>
                <w:szCs w:val="20"/>
              </w:rPr>
              <w:t>securities</w:t>
            </w:r>
          </w:p>
        </w:tc>
        <w:tc>
          <w:tcPr>
            <w:tcW w:w="0" w:type="auto"/>
            <w:shd w:val="clear" w:color="auto" w:fill="CCEEFF"/>
            <w:tcMar>
              <w:top w:w="40" w:type="dxa"/>
              <w:left w:w="40" w:type="dxa"/>
              <w:bottom w:w="40" w:type="dxa"/>
              <w:right w:w="40" w:type="dxa"/>
            </w:tcMar>
            <w:vAlign w:val="bottom"/>
          </w:tcPr>
          <w:p w14:paraId="4E56A4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B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4E56A4B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B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4E56A4B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B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B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4C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4C1" w14:textId="77777777" w:rsidR="00DF3E10" w:rsidRDefault="00DF3E10">
            <w:pPr>
              <w:textAlignment w:val="bottom"/>
              <w:rPr>
                <w:rFonts w:ascii="Times New Roman" w:hAnsi="Times New Roman"/>
                <w:sz w:val="20"/>
                <w:szCs w:val="20"/>
              </w:rPr>
            </w:pPr>
          </w:p>
        </w:tc>
      </w:tr>
      <w:tr w:rsidR="00DF3E10" w14:paraId="4E56A4D0" w14:textId="77777777">
        <w:tc>
          <w:tcPr>
            <w:tcW w:w="0" w:type="auto"/>
            <w:shd w:val="clear" w:color="auto" w:fill="auto"/>
            <w:tcMar>
              <w:top w:w="40" w:type="dxa"/>
              <w:left w:w="560" w:type="dxa"/>
              <w:bottom w:w="40" w:type="dxa"/>
              <w:right w:w="40" w:type="dxa"/>
            </w:tcMar>
          </w:tcPr>
          <w:p w14:paraId="4E56A4C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4E56A4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C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4E56A4C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C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4E56A4C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C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4E56A4C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4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4C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4E56A4CF" w14:textId="77777777" w:rsidR="00DF3E10" w:rsidRDefault="00DF3E10">
            <w:pPr>
              <w:textAlignment w:val="bottom"/>
              <w:rPr>
                <w:rFonts w:ascii="Times New Roman" w:hAnsi="Times New Roman"/>
                <w:sz w:val="20"/>
                <w:szCs w:val="20"/>
              </w:rPr>
            </w:pPr>
          </w:p>
        </w:tc>
      </w:tr>
      <w:tr w:rsidR="00DF3E10" w14:paraId="4E56A4E2" w14:textId="77777777">
        <w:tc>
          <w:tcPr>
            <w:tcW w:w="0" w:type="auto"/>
            <w:shd w:val="clear" w:color="auto" w:fill="CCEEFF"/>
            <w:tcMar>
              <w:top w:w="40" w:type="dxa"/>
              <w:left w:w="40" w:type="dxa"/>
              <w:bottom w:w="40" w:type="dxa"/>
              <w:right w:w="40" w:type="dxa"/>
            </w:tcMar>
          </w:tcPr>
          <w:p w14:paraId="4E56A4D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4E56A4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4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4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50,120</w:t>
            </w:r>
          </w:p>
        </w:tc>
        <w:tc>
          <w:tcPr>
            <w:tcW w:w="0" w:type="auto"/>
            <w:tcBorders>
              <w:bottom w:val="double" w:sz="6" w:space="0" w:color="000000"/>
            </w:tcBorders>
            <w:shd w:val="clear" w:color="auto" w:fill="CCEEFF"/>
            <w:vAlign w:val="bottom"/>
          </w:tcPr>
          <w:p w14:paraId="4E56A4D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4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4D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39,437</w:t>
            </w:r>
          </w:p>
        </w:tc>
        <w:tc>
          <w:tcPr>
            <w:tcW w:w="0" w:type="auto"/>
            <w:tcBorders>
              <w:bottom w:val="double" w:sz="6" w:space="0" w:color="000000"/>
            </w:tcBorders>
            <w:shd w:val="clear" w:color="auto" w:fill="CCEEFF"/>
            <w:vAlign w:val="bottom"/>
          </w:tcPr>
          <w:p w14:paraId="4E56A4D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4D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4D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10,683</w:t>
            </w:r>
          </w:p>
        </w:tc>
        <w:tc>
          <w:tcPr>
            <w:tcW w:w="0" w:type="auto"/>
            <w:tcBorders>
              <w:bottom w:val="double" w:sz="6" w:space="0" w:color="000000"/>
            </w:tcBorders>
            <w:shd w:val="clear" w:color="auto" w:fill="CCEEFF"/>
            <w:vAlign w:val="bottom"/>
          </w:tcPr>
          <w:p w14:paraId="4E56A4D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4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4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4E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4E56A4E1" w14:textId="77777777" w:rsidR="00DF3E10" w:rsidRDefault="00DF3E10">
            <w:pPr>
              <w:textAlignment w:val="bottom"/>
              <w:rPr>
                <w:rFonts w:ascii="Times New Roman" w:hAnsi="Times New Roman"/>
                <w:sz w:val="20"/>
                <w:szCs w:val="20"/>
              </w:rPr>
            </w:pPr>
          </w:p>
        </w:tc>
      </w:tr>
    </w:tbl>
    <w:p w14:paraId="4E56A4E3" w14:textId="77777777" w:rsidR="00DF3E10" w:rsidRDefault="00DF3E10">
      <w:pPr>
        <w:spacing w:line="288" w:lineRule="auto"/>
        <w:rPr>
          <w:rFonts w:ascii="Times New Roman" w:hAnsi="Times New Roman"/>
          <w:sz w:val="20"/>
          <w:szCs w:val="20"/>
        </w:rPr>
      </w:pPr>
    </w:p>
    <w:p w14:paraId="4E56A4E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c</w:t>
      </w:r>
      <w:r>
        <w:rPr>
          <w:rFonts w:ascii="Times New Roman" w:eastAsia="宋体" w:hAnsi="Times New Roman"/>
          <w:sz w:val="20"/>
          <w:szCs w:val="20"/>
        </w:rPr>
        <w:t xml:space="preserve">lassify our cash equivalents and marketable securities within Level 1 or Level 2 because we use quoted market prices or alternative pricing sources and models utilizing market observable inputs to determine their fair value. </w:t>
      </w:r>
    </w:p>
    <w:p w14:paraId="4E56A4E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Beginning in 2020, we had othe</w:t>
      </w:r>
      <w:r>
        <w:rPr>
          <w:rFonts w:ascii="Times New Roman" w:eastAsia="宋体" w:hAnsi="Times New Roman"/>
          <w:sz w:val="20"/>
          <w:szCs w:val="20"/>
        </w:rPr>
        <w:t xml:space="preserve">r assets and liabilities classified within Level 3 as factors used to develop the estimated fair value are unobservable inputs that are not supported by market activity. The aggregate absolute value of these Level 3 assets and liabilities was not material </w:t>
      </w:r>
      <w:r>
        <w:rPr>
          <w:rFonts w:ascii="Times New Roman" w:eastAsia="宋体" w:hAnsi="Times New Roman"/>
          <w:sz w:val="20"/>
          <w:szCs w:val="20"/>
        </w:rPr>
        <w:t>to our condensed consolidated financial statements as of June 30, 2020.</w:t>
      </w:r>
    </w:p>
    <w:p w14:paraId="4E56A4E6" w14:textId="77777777" w:rsidR="00DF3E10" w:rsidRDefault="00DF3E10">
      <w:pPr>
        <w:spacing w:line="288" w:lineRule="auto"/>
        <w:ind w:firstLine="720"/>
        <w:jc w:val="both"/>
        <w:rPr>
          <w:rFonts w:ascii="Times New Roman" w:hAnsi="Times New Roman"/>
          <w:sz w:val="20"/>
          <w:szCs w:val="20"/>
        </w:rPr>
      </w:pPr>
    </w:p>
    <w:p w14:paraId="4E56A4E7" w14:textId="77777777" w:rsidR="00DF3E10" w:rsidRDefault="00DF3E10">
      <w:pPr>
        <w:rPr>
          <w:rFonts w:ascii="Times New Roman" w:hAnsi="Times New Roman"/>
          <w:sz w:val="20"/>
          <w:szCs w:val="20"/>
        </w:rPr>
      </w:pPr>
    </w:p>
    <w:p w14:paraId="4E56A4E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19</w:t>
      </w:r>
    </w:p>
    <w:p w14:paraId="4E56A4E9" w14:textId="77777777" w:rsidR="00DF3E10" w:rsidRDefault="006B6C28">
      <w:r>
        <w:rPr>
          <w:rFonts w:ascii="Times New Roman" w:hAnsi="Times New Roman"/>
          <w:sz w:val="20"/>
          <w:szCs w:val="20"/>
        </w:rPr>
        <w:pict w14:anchorId="4E56B760">
          <v:rect id="_x0000_i1043" style="width:415.3pt;height:1.5pt" o:hralign="center" o:hrstd="t" o:hr="t" fillcolor="#a0a0a0" stroked="f"/>
        </w:pict>
      </w:r>
    </w:p>
    <w:p w14:paraId="4E56A4EA" w14:textId="77777777" w:rsidR="00DF3E10" w:rsidRDefault="006B6C28">
      <w:pPr>
        <w:spacing w:line="288" w:lineRule="auto"/>
        <w:rPr>
          <w:rFonts w:ascii="Times New Roman" w:hAnsi="Times New Roman"/>
          <w:sz w:val="20"/>
          <w:szCs w:val="20"/>
        </w:rPr>
      </w:pPr>
      <w:hyperlink r:id="rId60" w:anchor="sC1FF62F0D4D85317B5B2C71C7C94F269" w:history="1">
        <w:r>
          <w:rPr>
            <w:rStyle w:val="a5"/>
            <w:rFonts w:ascii="Times New Roman" w:eastAsia="宋体" w:hAnsi="Times New Roman"/>
            <w:sz w:val="20"/>
            <w:szCs w:val="20"/>
          </w:rPr>
          <w:t>Table of Contents</w:t>
        </w:r>
      </w:hyperlink>
    </w:p>
    <w:p w14:paraId="4E56A4EB" w14:textId="77777777" w:rsidR="00DF3E10" w:rsidRDefault="00DF3E10">
      <w:pPr>
        <w:rPr>
          <w:rFonts w:ascii="Times New Roman" w:hAnsi="Times New Roman"/>
          <w:sz w:val="20"/>
          <w:szCs w:val="20"/>
        </w:rPr>
      </w:pPr>
    </w:p>
    <w:p w14:paraId="4E56A4EC"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Note 6. Property and Equipment</w:t>
      </w:r>
    </w:p>
    <w:p w14:paraId="4E56A4E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Property and equipment, net consists of the following</w:t>
      </w:r>
      <w:r>
        <w:rPr>
          <w:rFonts w:ascii="Times New Roman" w:eastAsia="宋体" w:hAnsi="Times New Roman"/>
          <w:sz w:val="20"/>
          <w:szCs w:val="20"/>
        </w:rPr>
        <w:t xml:space="preserve">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495"/>
        <w:gridCol w:w="140"/>
        <w:gridCol w:w="1093"/>
        <w:gridCol w:w="107"/>
        <w:gridCol w:w="130"/>
        <w:gridCol w:w="141"/>
        <w:gridCol w:w="1093"/>
        <w:gridCol w:w="107"/>
      </w:tblGrid>
      <w:tr w:rsidR="00DF3E10" w14:paraId="4E56A4EF" w14:textId="77777777">
        <w:tc>
          <w:tcPr>
            <w:tcW w:w="0" w:type="auto"/>
            <w:gridSpan w:val="8"/>
            <w:shd w:val="clear" w:color="auto" w:fill="auto"/>
            <w:vAlign w:val="center"/>
          </w:tcPr>
          <w:p w14:paraId="4E56A4EE" w14:textId="77777777" w:rsidR="00DF3E10" w:rsidRDefault="00DF3E10">
            <w:pPr>
              <w:rPr>
                <w:rFonts w:ascii="Times New Roman" w:hAnsi="Times New Roman"/>
                <w:sz w:val="20"/>
                <w:szCs w:val="20"/>
              </w:rPr>
            </w:pPr>
          </w:p>
        </w:tc>
      </w:tr>
      <w:tr w:rsidR="00DF3E10" w14:paraId="4E56A4F8" w14:textId="77777777">
        <w:tc>
          <w:tcPr>
            <w:tcW w:w="3350" w:type="pct"/>
            <w:shd w:val="clear" w:color="auto" w:fill="auto"/>
            <w:vAlign w:val="center"/>
          </w:tcPr>
          <w:p w14:paraId="4E56A4F0" w14:textId="77777777" w:rsidR="00DF3E10" w:rsidRDefault="00DF3E10">
            <w:pPr>
              <w:rPr>
                <w:rFonts w:ascii="Times New Roman" w:hAnsi="Times New Roman"/>
                <w:sz w:val="20"/>
                <w:szCs w:val="20"/>
              </w:rPr>
            </w:pPr>
          </w:p>
        </w:tc>
        <w:tc>
          <w:tcPr>
            <w:tcW w:w="50" w:type="pct"/>
            <w:shd w:val="clear" w:color="auto" w:fill="auto"/>
            <w:vAlign w:val="center"/>
          </w:tcPr>
          <w:p w14:paraId="4E56A4F1" w14:textId="77777777" w:rsidR="00DF3E10" w:rsidRDefault="00DF3E10">
            <w:pPr>
              <w:rPr>
                <w:rFonts w:ascii="Times New Roman" w:hAnsi="Times New Roman"/>
                <w:sz w:val="20"/>
                <w:szCs w:val="20"/>
              </w:rPr>
            </w:pPr>
          </w:p>
        </w:tc>
        <w:tc>
          <w:tcPr>
            <w:tcW w:w="700" w:type="pct"/>
            <w:shd w:val="clear" w:color="auto" w:fill="auto"/>
            <w:vAlign w:val="center"/>
          </w:tcPr>
          <w:p w14:paraId="4E56A4F2" w14:textId="77777777" w:rsidR="00DF3E10" w:rsidRDefault="00DF3E10">
            <w:pPr>
              <w:rPr>
                <w:rFonts w:ascii="Times New Roman" w:hAnsi="Times New Roman"/>
                <w:sz w:val="20"/>
                <w:szCs w:val="20"/>
              </w:rPr>
            </w:pPr>
          </w:p>
        </w:tc>
        <w:tc>
          <w:tcPr>
            <w:tcW w:w="50" w:type="pct"/>
            <w:shd w:val="clear" w:color="auto" w:fill="auto"/>
            <w:vAlign w:val="center"/>
          </w:tcPr>
          <w:p w14:paraId="4E56A4F3" w14:textId="77777777" w:rsidR="00DF3E10" w:rsidRDefault="00DF3E10">
            <w:pPr>
              <w:rPr>
                <w:rFonts w:ascii="Times New Roman" w:hAnsi="Times New Roman"/>
                <w:sz w:val="20"/>
                <w:szCs w:val="20"/>
              </w:rPr>
            </w:pPr>
          </w:p>
        </w:tc>
        <w:tc>
          <w:tcPr>
            <w:tcW w:w="50" w:type="pct"/>
            <w:shd w:val="clear" w:color="auto" w:fill="auto"/>
            <w:vAlign w:val="center"/>
          </w:tcPr>
          <w:p w14:paraId="4E56A4F4" w14:textId="77777777" w:rsidR="00DF3E10" w:rsidRDefault="00DF3E10">
            <w:pPr>
              <w:rPr>
                <w:rFonts w:ascii="Times New Roman" w:hAnsi="Times New Roman"/>
                <w:sz w:val="20"/>
                <w:szCs w:val="20"/>
              </w:rPr>
            </w:pPr>
          </w:p>
        </w:tc>
        <w:tc>
          <w:tcPr>
            <w:tcW w:w="50" w:type="pct"/>
            <w:shd w:val="clear" w:color="auto" w:fill="auto"/>
            <w:vAlign w:val="center"/>
          </w:tcPr>
          <w:p w14:paraId="4E56A4F5" w14:textId="77777777" w:rsidR="00DF3E10" w:rsidRDefault="00DF3E10">
            <w:pPr>
              <w:rPr>
                <w:rFonts w:ascii="Times New Roman" w:hAnsi="Times New Roman"/>
                <w:sz w:val="20"/>
                <w:szCs w:val="20"/>
              </w:rPr>
            </w:pPr>
          </w:p>
        </w:tc>
        <w:tc>
          <w:tcPr>
            <w:tcW w:w="700" w:type="pct"/>
            <w:shd w:val="clear" w:color="auto" w:fill="auto"/>
            <w:vAlign w:val="center"/>
          </w:tcPr>
          <w:p w14:paraId="4E56A4F6" w14:textId="77777777" w:rsidR="00DF3E10" w:rsidRDefault="00DF3E10">
            <w:pPr>
              <w:rPr>
                <w:rFonts w:ascii="Times New Roman" w:hAnsi="Times New Roman"/>
                <w:sz w:val="20"/>
                <w:szCs w:val="20"/>
              </w:rPr>
            </w:pPr>
          </w:p>
        </w:tc>
        <w:tc>
          <w:tcPr>
            <w:tcW w:w="50" w:type="pct"/>
            <w:shd w:val="clear" w:color="auto" w:fill="auto"/>
            <w:vAlign w:val="center"/>
          </w:tcPr>
          <w:p w14:paraId="4E56A4F7" w14:textId="77777777" w:rsidR="00DF3E10" w:rsidRDefault="00DF3E10">
            <w:pPr>
              <w:rPr>
                <w:rFonts w:ascii="Times New Roman" w:hAnsi="Times New Roman"/>
                <w:sz w:val="20"/>
                <w:szCs w:val="20"/>
              </w:rPr>
            </w:pPr>
          </w:p>
        </w:tc>
      </w:tr>
      <w:tr w:rsidR="00DF3E10" w14:paraId="4E56A4FD" w14:textId="77777777">
        <w:tc>
          <w:tcPr>
            <w:tcW w:w="0" w:type="auto"/>
            <w:shd w:val="clear" w:color="auto" w:fill="auto"/>
            <w:tcMar>
              <w:top w:w="40" w:type="dxa"/>
              <w:left w:w="40" w:type="dxa"/>
              <w:bottom w:w="40" w:type="dxa"/>
              <w:right w:w="40" w:type="dxa"/>
            </w:tcMar>
            <w:vAlign w:val="bottom"/>
          </w:tcPr>
          <w:p w14:paraId="4E56A4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F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4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4F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DF3E10" w14:paraId="4E56A506" w14:textId="77777777">
        <w:tc>
          <w:tcPr>
            <w:tcW w:w="0" w:type="auto"/>
            <w:shd w:val="clear" w:color="auto" w:fill="CCEEFF"/>
            <w:tcMar>
              <w:top w:w="40" w:type="dxa"/>
              <w:left w:w="40" w:type="dxa"/>
              <w:bottom w:w="40" w:type="dxa"/>
              <w:right w:w="40" w:type="dxa"/>
            </w:tcMar>
            <w:vAlign w:val="bottom"/>
          </w:tcPr>
          <w:p w14:paraId="4E56A4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Land</w:t>
            </w:r>
          </w:p>
        </w:tc>
        <w:tc>
          <w:tcPr>
            <w:tcW w:w="0" w:type="auto"/>
            <w:shd w:val="clear" w:color="auto" w:fill="CCEEFF"/>
            <w:tcMar>
              <w:top w:w="40" w:type="dxa"/>
              <w:left w:w="40" w:type="dxa"/>
              <w:bottom w:w="40" w:type="dxa"/>
            </w:tcMar>
            <w:vAlign w:val="bottom"/>
          </w:tcPr>
          <w:p w14:paraId="4E56A4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50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1,209</w:t>
            </w:r>
          </w:p>
        </w:tc>
        <w:tc>
          <w:tcPr>
            <w:tcW w:w="0" w:type="auto"/>
            <w:shd w:val="clear" w:color="auto" w:fill="CCEEFF"/>
            <w:vAlign w:val="bottom"/>
          </w:tcPr>
          <w:p w14:paraId="4E56A50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0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5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50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1,097</w:t>
            </w:r>
          </w:p>
        </w:tc>
        <w:tc>
          <w:tcPr>
            <w:tcW w:w="0" w:type="auto"/>
            <w:shd w:val="clear" w:color="auto" w:fill="CCEEFF"/>
            <w:vAlign w:val="bottom"/>
          </w:tcPr>
          <w:p w14:paraId="4E56A505" w14:textId="77777777" w:rsidR="00DF3E10" w:rsidRDefault="00DF3E10">
            <w:pPr>
              <w:textAlignment w:val="bottom"/>
              <w:rPr>
                <w:rFonts w:ascii="Times New Roman" w:hAnsi="Times New Roman"/>
                <w:sz w:val="20"/>
                <w:szCs w:val="20"/>
              </w:rPr>
            </w:pPr>
          </w:p>
        </w:tc>
      </w:tr>
      <w:tr w:rsidR="00DF3E10" w14:paraId="4E56A50D" w14:textId="77777777">
        <w:tc>
          <w:tcPr>
            <w:tcW w:w="0" w:type="auto"/>
            <w:shd w:val="clear" w:color="auto" w:fill="auto"/>
            <w:tcMar>
              <w:top w:w="40" w:type="dxa"/>
              <w:left w:w="40" w:type="dxa"/>
              <w:bottom w:w="40" w:type="dxa"/>
              <w:right w:w="40" w:type="dxa"/>
            </w:tcMar>
            <w:vAlign w:val="bottom"/>
          </w:tcPr>
          <w:p w14:paraId="4E56A5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gridSpan w:val="2"/>
            <w:shd w:val="clear" w:color="auto" w:fill="auto"/>
            <w:tcMar>
              <w:top w:w="40" w:type="dxa"/>
              <w:left w:w="40" w:type="dxa"/>
              <w:bottom w:w="40" w:type="dxa"/>
            </w:tcMar>
            <w:vAlign w:val="bottom"/>
          </w:tcPr>
          <w:p w14:paraId="4E56A50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13,359</w:t>
            </w:r>
          </w:p>
        </w:tc>
        <w:tc>
          <w:tcPr>
            <w:tcW w:w="0" w:type="auto"/>
            <w:shd w:val="clear" w:color="auto" w:fill="auto"/>
            <w:vAlign w:val="bottom"/>
          </w:tcPr>
          <w:p w14:paraId="4E56A50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0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0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11,226</w:t>
            </w:r>
          </w:p>
        </w:tc>
        <w:tc>
          <w:tcPr>
            <w:tcW w:w="0" w:type="auto"/>
            <w:shd w:val="clear" w:color="auto" w:fill="auto"/>
            <w:vAlign w:val="bottom"/>
          </w:tcPr>
          <w:p w14:paraId="4E56A50C" w14:textId="77777777" w:rsidR="00DF3E10" w:rsidRDefault="00DF3E10">
            <w:pPr>
              <w:textAlignment w:val="bottom"/>
              <w:rPr>
                <w:rFonts w:ascii="Times New Roman" w:hAnsi="Times New Roman"/>
                <w:sz w:val="20"/>
                <w:szCs w:val="20"/>
              </w:rPr>
            </w:pPr>
          </w:p>
        </w:tc>
      </w:tr>
      <w:tr w:rsidR="00DF3E10" w14:paraId="4E56A514" w14:textId="77777777">
        <w:tc>
          <w:tcPr>
            <w:tcW w:w="0" w:type="auto"/>
            <w:shd w:val="clear" w:color="auto" w:fill="CCEEFF"/>
            <w:tcMar>
              <w:top w:w="40" w:type="dxa"/>
              <w:left w:w="40" w:type="dxa"/>
              <w:bottom w:w="40" w:type="dxa"/>
              <w:right w:w="40" w:type="dxa"/>
            </w:tcMar>
            <w:vAlign w:val="bottom"/>
          </w:tcPr>
          <w:p w14:paraId="4E56A5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gridSpan w:val="2"/>
            <w:shd w:val="clear" w:color="auto" w:fill="CCEEFF"/>
            <w:tcMar>
              <w:top w:w="40" w:type="dxa"/>
              <w:left w:w="40" w:type="dxa"/>
              <w:bottom w:w="40" w:type="dxa"/>
            </w:tcMar>
            <w:vAlign w:val="bottom"/>
          </w:tcPr>
          <w:p w14:paraId="4E56A50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3,423</w:t>
            </w:r>
          </w:p>
        </w:tc>
        <w:tc>
          <w:tcPr>
            <w:tcW w:w="0" w:type="auto"/>
            <w:shd w:val="clear" w:color="auto" w:fill="CCEEFF"/>
            <w:vAlign w:val="bottom"/>
          </w:tcPr>
          <w:p w14:paraId="4E56A51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51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3,112</w:t>
            </w:r>
          </w:p>
        </w:tc>
        <w:tc>
          <w:tcPr>
            <w:tcW w:w="0" w:type="auto"/>
            <w:shd w:val="clear" w:color="auto" w:fill="CCEEFF"/>
            <w:vAlign w:val="bottom"/>
          </w:tcPr>
          <w:p w14:paraId="4E56A513" w14:textId="77777777" w:rsidR="00DF3E10" w:rsidRDefault="00DF3E10">
            <w:pPr>
              <w:textAlignment w:val="bottom"/>
              <w:rPr>
                <w:rFonts w:ascii="Times New Roman" w:hAnsi="Times New Roman"/>
                <w:sz w:val="20"/>
                <w:szCs w:val="20"/>
              </w:rPr>
            </w:pPr>
          </w:p>
        </w:tc>
      </w:tr>
      <w:tr w:rsidR="00DF3E10" w14:paraId="4E56A51B" w14:textId="77777777">
        <w:tc>
          <w:tcPr>
            <w:tcW w:w="0" w:type="auto"/>
            <w:shd w:val="clear" w:color="auto" w:fill="auto"/>
            <w:tcMar>
              <w:top w:w="40" w:type="dxa"/>
              <w:left w:w="40" w:type="dxa"/>
              <w:bottom w:w="40" w:type="dxa"/>
              <w:right w:w="40" w:type="dxa"/>
            </w:tcMar>
            <w:vAlign w:val="bottom"/>
          </w:tcPr>
          <w:p w14:paraId="4E56A5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Network equipment</w:t>
            </w:r>
          </w:p>
        </w:tc>
        <w:tc>
          <w:tcPr>
            <w:tcW w:w="0" w:type="auto"/>
            <w:gridSpan w:val="2"/>
            <w:shd w:val="clear" w:color="auto" w:fill="auto"/>
            <w:tcMar>
              <w:top w:w="40" w:type="dxa"/>
              <w:left w:w="40" w:type="dxa"/>
              <w:bottom w:w="40" w:type="dxa"/>
            </w:tcMar>
            <w:vAlign w:val="bottom"/>
          </w:tcPr>
          <w:p w14:paraId="4E56A51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19,047</w:t>
            </w:r>
          </w:p>
        </w:tc>
        <w:tc>
          <w:tcPr>
            <w:tcW w:w="0" w:type="auto"/>
            <w:shd w:val="clear" w:color="auto" w:fill="auto"/>
            <w:vAlign w:val="bottom"/>
          </w:tcPr>
          <w:p w14:paraId="4E56A51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1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17,004</w:t>
            </w:r>
          </w:p>
        </w:tc>
        <w:tc>
          <w:tcPr>
            <w:tcW w:w="0" w:type="auto"/>
            <w:shd w:val="clear" w:color="auto" w:fill="auto"/>
            <w:vAlign w:val="bottom"/>
          </w:tcPr>
          <w:p w14:paraId="4E56A51A" w14:textId="77777777" w:rsidR="00DF3E10" w:rsidRDefault="00DF3E10">
            <w:pPr>
              <w:textAlignment w:val="bottom"/>
              <w:rPr>
                <w:rFonts w:ascii="Times New Roman" w:hAnsi="Times New Roman"/>
                <w:sz w:val="20"/>
                <w:szCs w:val="20"/>
              </w:rPr>
            </w:pPr>
          </w:p>
        </w:tc>
      </w:tr>
      <w:tr w:rsidR="00DF3E10" w14:paraId="4E56A522" w14:textId="77777777">
        <w:tc>
          <w:tcPr>
            <w:tcW w:w="0" w:type="auto"/>
            <w:shd w:val="clear" w:color="auto" w:fill="CCEEFF"/>
            <w:tcMar>
              <w:top w:w="40" w:type="dxa"/>
              <w:left w:w="40" w:type="dxa"/>
              <w:bottom w:w="40" w:type="dxa"/>
              <w:right w:w="40" w:type="dxa"/>
            </w:tcMar>
            <w:vAlign w:val="bottom"/>
          </w:tcPr>
          <w:p w14:paraId="4E56A5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Computer software, office equipment and other</w:t>
            </w:r>
          </w:p>
        </w:tc>
        <w:tc>
          <w:tcPr>
            <w:tcW w:w="0" w:type="auto"/>
            <w:gridSpan w:val="2"/>
            <w:shd w:val="clear" w:color="auto" w:fill="CCEEFF"/>
            <w:tcMar>
              <w:top w:w="40" w:type="dxa"/>
              <w:left w:w="40" w:type="dxa"/>
              <w:bottom w:w="40" w:type="dxa"/>
            </w:tcMar>
            <w:vAlign w:val="bottom"/>
          </w:tcPr>
          <w:p w14:paraId="4E56A51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2,018</w:t>
            </w:r>
          </w:p>
        </w:tc>
        <w:tc>
          <w:tcPr>
            <w:tcW w:w="0" w:type="auto"/>
            <w:shd w:val="clear" w:color="auto" w:fill="CCEEFF"/>
            <w:vAlign w:val="bottom"/>
          </w:tcPr>
          <w:p w14:paraId="4E56A51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52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1,813</w:t>
            </w:r>
          </w:p>
        </w:tc>
        <w:tc>
          <w:tcPr>
            <w:tcW w:w="0" w:type="auto"/>
            <w:shd w:val="clear" w:color="auto" w:fill="CCEEFF"/>
            <w:vAlign w:val="bottom"/>
          </w:tcPr>
          <w:p w14:paraId="4E56A521" w14:textId="77777777" w:rsidR="00DF3E10" w:rsidRDefault="00DF3E10">
            <w:pPr>
              <w:textAlignment w:val="bottom"/>
              <w:rPr>
                <w:rFonts w:ascii="Times New Roman" w:hAnsi="Times New Roman"/>
                <w:sz w:val="20"/>
                <w:szCs w:val="20"/>
              </w:rPr>
            </w:pPr>
          </w:p>
        </w:tc>
      </w:tr>
      <w:tr w:rsidR="00DF3E10" w14:paraId="4E56A529" w14:textId="77777777">
        <w:tc>
          <w:tcPr>
            <w:tcW w:w="0" w:type="auto"/>
            <w:shd w:val="clear" w:color="auto" w:fill="auto"/>
            <w:tcMar>
              <w:top w:w="40" w:type="dxa"/>
              <w:left w:w="40" w:type="dxa"/>
              <w:bottom w:w="40" w:type="dxa"/>
              <w:right w:w="40" w:type="dxa"/>
            </w:tcMar>
            <w:vAlign w:val="bottom"/>
          </w:tcPr>
          <w:p w14:paraId="4E56A52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Finance lease right-of-use assets</w:t>
            </w:r>
          </w:p>
        </w:tc>
        <w:tc>
          <w:tcPr>
            <w:tcW w:w="0" w:type="auto"/>
            <w:gridSpan w:val="2"/>
            <w:shd w:val="clear" w:color="auto" w:fill="auto"/>
            <w:tcMar>
              <w:top w:w="40" w:type="dxa"/>
              <w:left w:w="40" w:type="dxa"/>
              <w:bottom w:w="40" w:type="dxa"/>
            </w:tcMar>
            <w:vAlign w:val="bottom"/>
          </w:tcPr>
          <w:p w14:paraId="4E56A52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1,756</w:t>
            </w:r>
          </w:p>
        </w:tc>
        <w:tc>
          <w:tcPr>
            <w:tcW w:w="0" w:type="auto"/>
            <w:shd w:val="clear" w:color="auto" w:fill="auto"/>
            <w:vAlign w:val="bottom"/>
          </w:tcPr>
          <w:p w14:paraId="4E56A52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2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1,635</w:t>
            </w:r>
          </w:p>
        </w:tc>
        <w:tc>
          <w:tcPr>
            <w:tcW w:w="0" w:type="auto"/>
            <w:shd w:val="clear" w:color="auto" w:fill="auto"/>
            <w:vAlign w:val="bottom"/>
          </w:tcPr>
          <w:p w14:paraId="4E56A528" w14:textId="77777777" w:rsidR="00DF3E10" w:rsidRDefault="00DF3E10">
            <w:pPr>
              <w:textAlignment w:val="bottom"/>
              <w:rPr>
                <w:rFonts w:ascii="Times New Roman" w:hAnsi="Times New Roman"/>
                <w:sz w:val="20"/>
                <w:szCs w:val="20"/>
              </w:rPr>
            </w:pPr>
          </w:p>
        </w:tc>
      </w:tr>
      <w:tr w:rsidR="00DF3E10" w14:paraId="4E56A530" w14:textId="77777777">
        <w:tc>
          <w:tcPr>
            <w:tcW w:w="0" w:type="auto"/>
            <w:shd w:val="clear" w:color="auto" w:fill="CCEEFF"/>
            <w:tcMar>
              <w:top w:w="40" w:type="dxa"/>
              <w:left w:w="40" w:type="dxa"/>
              <w:bottom w:w="40" w:type="dxa"/>
              <w:right w:w="40" w:type="dxa"/>
            </w:tcMar>
            <w:vAlign w:val="bottom"/>
          </w:tcPr>
          <w:p w14:paraId="4E56A5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Construction in progress</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52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11,276</w:t>
            </w:r>
          </w:p>
        </w:tc>
        <w:tc>
          <w:tcPr>
            <w:tcW w:w="0" w:type="auto"/>
            <w:tcBorders>
              <w:bottom w:val="single" w:sz="8" w:space="0" w:color="000000"/>
            </w:tcBorders>
            <w:shd w:val="clear" w:color="auto" w:fill="CCEEFF"/>
            <w:vAlign w:val="bottom"/>
          </w:tcPr>
          <w:p w14:paraId="4E56A52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5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10,099</w:t>
            </w:r>
          </w:p>
        </w:tc>
        <w:tc>
          <w:tcPr>
            <w:tcW w:w="0" w:type="auto"/>
            <w:tcBorders>
              <w:bottom w:val="single" w:sz="8" w:space="0" w:color="000000"/>
            </w:tcBorders>
            <w:shd w:val="clear" w:color="auto" w:fill="CCEEFF"/>
            <w:vAlign w:val="bottom"/>
          </w:tcPr>
          <w:p w14:paraId="4E56A52F" w14:textId="77777777" w:rsidR="00DF3E10" w:rsidRDefault="00DF3E10">
            <w:pPr>
              <w:textAlignment w:val="bottom"/>
              <w:rPr>
                <w:rFonts w:ascii="Times New Roman" w:hAnsi="Times New Roman"/>
                <w:sz w:val="20"/>
                <w:szCs w:val="20"/>
              </w:rPr>
            </w:pPr>
          </w:p>
        </w:tc>
      </w:tr>
      <w:tr w:rsidR="00DF3E10" w14:paraId="4E56A537" w14:textId="77777777">
        <w:tc>
          <w:tcPr>
            <w:tcW w:w="0" w:type="auto"/>
            <w:shd w:val="clear" w:color="auto" w:fill="auto"/>
            <w:tcMar>
              <w:top w:w="40" w:type="dxa"/>
              <w:left w:w="40" w:type="dxa"/>
              <w:bottom w:w="40" w:type="dxa"/>
              <w:right w:w="40" w:type="dxa"/>
            </w:tcMar>
            <w:vAlign w:val="bottom"/>
          </w:tcPr>
          <w:p w14:paraId="4E56A5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Total</w:t>
            </w:r>
          </w:p>
        </w:tc>
        <w:tc>
          <w:tcPr>
            <w:tcW w:w="0" w:type="auto"/>
            <w:gridSpan w:val="2"/>
            <w:shd w:val="clear" w:color="auto" w:fill="auto"/>
            <w:tcMar>
              <w:top w:w="40" w:type="dxa"/>
              <w:left w:w="40" w:type="dxa"/>
              <w:bottom w:w="40" w:type="dxa"/>
            </w:tcMar>
            <w:vAlign w:val="bottom"/>
          </w:tcPr>
          <w:p w14:paraId="4E56A53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52,088</w:t>
            </w:r>
          </w:p>
        </w:tc>
        <w:tc>
          <w:tcPr>
            <w:tcW w:w="0" w:type="auto"/>
            <w:shd w:val="clear" w:color="auto" w:fill="auto"/>
            <w:vAlign w:val="bottom"/>
          </w:tcPr>
          <w:p w14:paraId="4E56A5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3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45,986</w:t>
            </w:r>
          </w:p>
        </w:tc>
        <w:tc>
          <w:tcPr>
            <w:tcW w:w="0" w:type="auto"/>
            <w:shd w:val="clear" w:color="auto" w:fill="auto"/>
            <w:vAlign w:val="bottom"/>
          </w:tcPr>
          <w:p w14:paraId="4E56A536" w14:textId="77777777" w:rsidR="00DF3E10" w:rsidRDefault="00DF3E10">
            <w:pPr>
              <w:textAlignment w:val="bottom"/>
              <w:rPr>
                <w:rFonts w:ascii="Times New Roman" w:hAnsi="Times New Roman"/>
                <w:sz w:val="20"/>
                <w:szCs w:val="20"/>
              </w:rPr>
            </w:pPr>
          </w:p>
        </w:tc>
      </w:tr>
      <w:tr w:rsidR="00DF3E10" w14:paraId="4E56A53E" w14:textId="77777777">
        <w:tc>
          <w:tcPr>
            <w:tcW w:w="0" w:type="auto"/>
            <w:shd w:val="clear" w:color="auto" w:fill="CCEEFF"/>
            <w:tcMar>
              <w:top w:w="40" w:type="dxa"/>
              <w:left w:w="40" w:type="dxa"/>
              <w:bottom w:w="40" w:type="dxa"/>
              <w:right w:w="40" w:type="dxa"/>
            </w:tcMar>
            <w:vAlign w:val="bottom"/>
          </w:tcPr>
          <w:p w14:paraId="4E56A5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5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(13,082</w:t>
            </w:r>
          </w:p>
        </w:tc>
        <w:tc>
          <w:tcPr>
            <w:tcW w:w="0" w:type="auto"/>
            <w:tcBorders>
              <w:bottom w:val="single" w:sz="8" w:space="0" w:color="000000"/>
            </w:tcBorders>
            <w:shd w:val="clear" w:color="auto" w:fill="CCEEFF"/>
            <w:tcMar>
              <w:top w:w="40" w:type="dxa"/>
              <w:bottom w:w="40" w:type="dxa"/>
              <w:right w:w="40" w:type="dxa"/>
            </w:tcMar>
            <w:vAlign w:val="bottom"/>
          </w:tcPr>
          <w:p w14:paraId="4E56A5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5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53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(10,663</w:t>
            </w:r>
          </w:p>
        </w:tc>
        <w:tc>
          <w:tcPr>
            <w:tcW w:w="0" w:type="auto"/>
            <w:tcBorders>
              <w:bottom w:val="single" w:sz="8" w:space="0" w:color="000000"/>
            </w:tcBorders>
            <w:shd w:val="clear" w:color="auto" w:fill="CCEEFF"/>
            <w:tcMar>
              <w:top w:w="40" w:type="dxa"/>
              <w:bottom w:w="40" w:type="dxa"/>
              <w:right w:w="40" w:type="dxa"/>
            </w:tcMar>
            <w:vAlign w:val="bottom"/>
          </w:tcPr>
          <w:p w14:paraId="4E56A5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547" w14:textId="77777777">
        <w:tc>
          <w:tcPr>
            <w:tcW w:w="0" w:type="auto"/>
            <w:shd w:val="clear" w:color="auto" w:fill="auto"/>
            <w:tcMar>
              <w:top w:w="40" w:type="dxa"/>
              <w:left w:w="40" w:type="dxa"/>
              <w:bottom w:w="40" w:type="dxa"/>
              <w:right w:w="40" w:type="dxa"/>
            </w:tcMar>
            <w:vAlign w:val="bottom"/>
          </w:tcPr>
          <w:p w14:paraId="4E56A5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5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54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39,006</w:t>
            </w:r>
          </w:p>
        </w:tc>
        <w:tc>
          <w:tcPr>
            <w:tcW w:w="0" w:type="auto"/>
            <w:tcBorders>
              <w:top w:val="single" w:sz="8" w:space="0" w:color="000000"/>
              <w:bottom w:val="double" w:sz="6" w:space="0" w:color="000000"/>
            </w:tcBorders>
            <w:shd w:val="clear" w:color="auto" w:fill="auto"/>
            <w:vAlign w:val="bottom"/>
          </w:tcPr>
          <w:p w14:paraId="4E56A54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4E56A5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4E56A54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tcBorders>
              <w:bottom w:val="double" w:sz="6" w:space="0" w:color="000000"/>
            </w:tcBorders>
            <w:shd w:val="clear" w:color="auto" w:fill="auto"/>
            <w:vAlign w:val="bottom"/>
          </w:tcPr>
          <w:p w14:paraId="4E56A546" w14:textId="77777777" w:rsidR="00DF3E10" w:rsidRDefault="00DF3E10">
            <w:pPr>
              <w:textAlignment w:val="bottom"/>
              <w:rPr>
                <w:rFonts w:ascii="Times New Roman" w:hAnsi="Times New Roman"/>
                <w:sz w:val="20"/>
                <w:szCs w:val="20"/>
              </w:rPr>
            </w:pPr>
          </w:p>
        </w:tc>
      </w:tr>
    </w:tbl>
    <w:p w14:paraId="4E56A548" w14:textId="77777777" w:rsidR="00DF3E10" w:rsidRDefault="00DF3E10">
      <w:pPr>
        <w:spacing w:line="288" w:lineRule="auto"/>
        <w:rPr>
          <w:rFonts w:ascii="Times New Roman" w:hAnsi="Times New Roman"/>
          <w:sz w:val="20"/>
          <w:szCs w:val="20"/>
        </w:rPr>
      </w:pPr>
    </w:p>
    <w:p w14:paraId="4E56A54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Depreciation expense on property and equipment was </w:t>
      </w:r>
      <w:r>
        <w:rPr>
          <w:rFonts w:ascii="Times New Roman" w:eastAsia="宋体" w:hAnsi="Times New Roman"/>
          <w:color w:val="212529"/>
          <w:sz w:val="20"/>
          <w:szCs w:val="20"/>
        </w:rPr>
        <w:t>$1.58 billion</w:t>
      </w:r>
      <w:r>
        <w:rPr>
          <w:rFonts w:ascii="Times New Roman" w:eastAsia="宋体" w:hAnsi="Times New Roman"/>
          <w:sz w:val="20"/>
          <w:szCs w:val="20"/>
        </w:rPr>
        <w:t xml:space="preserve"> and </w:t>
      </w:r>
      <w:r>
        <w:rPr>
          <w:rFonts w:ascii="Times New Roman" w:eastAsia="宋体" w:hAnsi="Times New Roman"/>
          <w:color w:val="212529"/>
          <w:sz w:val="20"/>
          <w:szCs w:val="20"/>
        </w:rPr>
        <w:t>$1.34 billion</w:t>
      </w:r>
      <w:r>
        <w:rPr>
          <w:rFonts w:ascii="Times New Roman" w:eastAsia="宋体" w:hAnsi="Times New Roman"/>
          <w:sz w:val="20"/>
          <w:szCs w:val="20"/>
        </w:rPr>
        <w:t xml:space="preserve"> for the three months ended June 30, 2020 and 2019, respectively, and </w:t>
      </w:r>
      <w:r>
        <w:rPr>
          <w:rFonts w:ascii="Times New Roman" w:eastAsia="宋体" w:hAnsi="Times New Roman"/>
          <w:color w:val="212529"/>
          <w:sz w:val="20"/>
          <w:szCs w:val="20"/>
        </w:rPr>
        <w:t>$3.07 billion</w:t>
      </w:r>
      <w:r>
        <w:rPr>
          <w:rFonts w:ascii="Times New Roman" w:eastAsia="宋体" w:hAnsi="Times New Roman"/>
          <w:sz w:val="20"/>
          <w:szCs w:val="20"/>
        </w:rPr>
        <w:t xml:space="preserve"> and </w:t>
      </w:r>
      <w:r>
        <w:rPr>
          <w:rFonts w:ascii="Times New Roman" w:eastAsia="宋体" w:hAnsi="Times New Roman"/>
          <w:color w:val="212529"/>
          <w:sz w:val="20"/>
          <w:szCs w:val="20"/>
        </w:rPr>
        <w:t>$2.54 billion</w:t>
      </w:r>
      <w:r>
        <w:rPr>
          <w:rFonts w:ascii="Times New Roman" w:eastAsia="宋体" w:hAnsi="Times New Roman"/>
          <w:sz w:val="20"/>
          <w:szCs w:val="20"/>
        </w:rPr>
        <w:t xml:space="preserve"> for the six months ended June 30, 2020 and 2019, respectively. Construct</w:t>
      </w:r>
      <w:r>
        <w:rPr>
          <w:rFonts w:ascii="Times New Roman" w:eastAsia="宋体" w:hAnsi="Times New Roman"/>
          <w:sz w:val="20"/>
          <w:szCs w:val="20"/>
        </w:rPr>
        <w:t>ion in progress includes costs mostly related to construction of data centers, network equipment infrastructure to support our data centers around the world, and office buildings. No interest was capitalized for any period presented.</w:t>
      </w:r>
    </w:p>
    <w:p w14:paraId="4E56A54A" w14:textId="77777777" w:rsidR="00DF3E10" w:rsidRDefault="00DF3E10">
      <w:pPr>
        <w:spacing w:line="288" w:lineRule="auto"/>
        <w:ind w:firstLine="720"/>
        <w:jc w:val="both"/>
        <w:rPr>
          <w:rFonts w:ascii="Times New Roman" w:hAnsi="Times New Roman"/>
          <w:sz w:val="20"/>
          <w:szCs w:val="20"/>
        </w:rPr>
      </w:pPr>
    </w:p>
    <w:p w14:paraId="4E56A54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Note 7. Leases</w:t>
      </w:r>
    </w:p>
    <w:p w14:paraId="4E56A54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w:t>
      </w:r>
      <w:r>
        <w:rPr>
          <w:rFonts w:ascii="Times New Roman" w:eastAsia="宋体" w:hAnsi="Times New Roman"/>
          <w:sz w:val="20"/>
          <w:szCs w:val="20"/>
        </w:rPr>
        <w:t>e entered into various non-cancelable operating lease agreements for certain of our offices, data centers, land, colocations, and equipment. We have also entered into various non-cancelable finance lease agreements for certain network equipment. Our leases</w:t>
      </w:r>
      <w:r>
        <w:rPr>
          <w:rFonts w:ascii="Times New Roman" w:eastAsia="宋体" w:hAnsi="Times New Roman"/>
          <w:sz w:val="20"/>
          <w:szCs w:val="20"/>
        </w:rPr>
        <w:t xml:space="preserve"> have original lease periods expiring between the remainder of 2020 and 2093. Many leases include one or more options to renew. We do not assume renewals in our determination of the lease term unless the renewals are deemed to be reasonably assured. Our le</w:t>
      </w:r>
      <w:r>
        <w:rPr>
          <w:rFonts w:ascii="Times New Roman" w:eastAsia="宋体" w:hAnsi="Times New Roman"/>
          <w:sz w:val="20"/>
          <w:szCs w:val="20"/>
        </w:rPr>
        <w:t>ase agreements generally do not contain any material residual value guarantees or material restrictive covenants.</w:t>
      </w:r>
    </w:p>
    <w:p w14:paraId="4E56A54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components of lease costs, lease term and discount rate are as follows (in millions):</w:t>
      </w:r>
    </w:p>
    <w:tbl>
      <w:tblPr>
        <w:tblW w:w="5000" w:type="pct"/>
        <w:tblCellMar>
          <w:left w:w="0" w:type="dxa"/>
          <w:right w:w="0" w:type="dxa"/>
        </w:tblCellMar>
        <w:tblLook w:val="04A0" w:firstRow="1" w:lastRow="0" w:firstColumn="1" w:lastColumn="0" w:noHBand="0" w:noVBand="1"/>
      </w:tblPr>
      <w:tblGrid>
        <w:gridCol w:w="3564"/>
        <w:gridCol w:w="141"/>
        <w:gridCol w:w="740"/>
        <w:gridCol w:w="207"/>
        <w:gridCol w:w="130"/>
        <w:gridCol w:w="141"/>
        <w:gridCol w:w="740"/>
        <w:gridCol w:w="207"/>
        <w:gridCol w:w="130"/>
        <w:gridCol w:w="141"/>
        <w:gridCol w:w="740"/>
        <w:gridCol w:w="207"/>
        <w:gridCol w:w="130"/>
        <w:gridCol w:w="141"/>
        <w:gridCol w:w="740"/>
        <w:gridCol w:w="207"/>
      </w:tblGrid>
      <w:tr w:rsidR="00DF3E10" w14:paraId="4E56A54F" w14:textId="77777777">
        <w:tc>
          <w:tcPr>
            <w:tcW w:w="0" w:type="auto"/>
            <w:gridSpan w:val="16"/>
            <w:shd w:val="clear" w:color="auto" w:fill="auto"/>
            <w:vAlign w:val="center"/>
          </w:tcPr>
          <w:p w14:paraId="4E56A54E" w14:textId="77777777" w:rsidR="00DF3E10" w:rsidRDefault="00DF3E10">
            <w:pPr>
              <w:rPr>
                <w:rFonts w:ascii="Times New Roman" w:hAnsi="Times New Roman"/>
                <w:sz w:val="20"/>
                <w:szCs w:val="20"/>
              </w:rPr>
            </w:pPr>
          </w:p>
        </w:tc>
      </w:tr>
      <w:tr w:rsidR="00DF3E10" w14:paraId="4E56A560" w14:textId="77777777">
        <w:tc>
          <w:tcPr>
            <w:tcW w:w="2250" w:type="pct"/>
            <w:shd w:val="clear" w:color="auto" w:fill="auto"/>
            <w:vAlign w:val="center"/>
          </w:tcPr>
          <w:p w14:paraId="4E56A550" w14:textId="77777777" w:rsidR="00DF3E10" w:rsidRDefault="00DF3E10">
            <w:pPr>
              <w:rPr>
                <w:rFonts w:ascii="Times New Roman" w:hAnsi="Times New Roman"/>
                <w:sz w:val="20"/>
                <w:szCs w:val="20"/>
              </w:rPr>
            </w:pPr>
          </w:p>
        </w:tc>
        <w:tc>
          <w:tcPr>
            <w:tcW w:w="50" w:type="pct"/>
            <w:shd w:val="clear" w:color="auto" w:fill="auto"/>
            <w:vAlign w:val="center"/>
          </w:tcPr>
          <w:p w14:paraId="4E56A551" w14:textId="77777777" w:rsidR="00DF3E10" w:rsidRDefault="00DF3E10">
            <w:pPr>
              <w:rPr>
                <w:rFonts w:ascii="Times New Roman" w:hAnsi="Times New Roman"/>
                <w:sz w:val="20"/>
                <w:szCs w:val="20"/>
              </w:rPr>
            </w:pPr>
          </w:p>
        </w:tc>
        <w:tc>
          <w:tcPr>
            <w:tcW w:w="550" w:type="pct"/>
            <w:shd w:val="clear" w:color="auto" w:fill="auto"/>
            <w:vAlign w:val="center"/>
          </w:tcPr>
          <w:p w14:paraId="4E56A552" w14:textId="77777777" w:rsidR="00DF3E10" w:rsidRDefault="00DF3E10">
            <w:pPr>
              <w:rPr>
                <w:rFonts w:ascii="Times New Roman" w:hAnsi="Times New Roman"/>
                <w:sz w:val="20"/>
                <w:szCs w:val="20"/>
              </w:rPr>
            </w:pPr>
          </w:p>
        </w:tc>
        <w:tc>
          <w:tcPr>
            <w:tcW w:w="50" w:type="pct"/>
            <w:shd w:val="clear" w:color="auto" w:fill="auto"/>
            <w:vAlign w:val="center"/>
          </w:tcPr>
          <w:p w14:paraId="4E56A553" w14:textId="77777777" w:rsidR="00DF3E10" w:rsidRDefault="00DF3E10">
            <w:pPr>
              <w:rPr>
                <w:rFonts w:ascii="Times New Roman" w:hAnsi="Times New Roman"/>
                <w:sz w:val="20"/>
                <w:szCs w:val="20"/>
              </w:rPr>
            </w:pPr>
          </w:p>
        </w:tc>
        <w:tc>
          <w:tcPr>
            <w:tcW w:w="50" w:type="pct"/>
            <w:shd w:val="clear" w:color="auto" w:fill="auto"/>
            <w:vAlign w:val="center"/>
          </w:tcPr>
          <w:p w14:paraId="4E56A554" w14:textId="77777777" w:rsidR="00DF3E10" w:rsidRDefault="00DF3E10">
            <w:pPr>
              <w:rPr>
                <w:rFonts w:ascii="Times New Roman" w:hAnsi="Times New Roman"/>
                <w:sz w:val="20"/>
                <w:szCs w:val="20"/>
              </w:rPr>
            </w:pPr>
          </w:p>
        </w:tc>
        <w:tc>
          <w:tcPr>
            <w:tcW w:w="50" w:type="pct"/>
            <w:shd w:val="clear" w:color="auto" w:fill="auto"/>
            <w:vAlign w:val="center"/>
          </w:tcPr>
          <w:p w14:paraId="4E56A555" w14:textId="77777777" w:rsidR="00DF3E10" w:rsidRDefault="00DF3E10">
            <w:pPr>
              <w:rPr>
                <w:rFonts w:ascii="Times New Roman" w:hAnsi="Times New Roman"/>
                <w:sz w:val="20"/>
                <w:szCs w:val="20"/>
              </w:rPr>
            </w:pPr>
          </w:p>
        </w:tc>
        <w:tc>
          <w:tcPr>
            <w:tcW w:w="550" w:type="pct"/>
            <w:shd w:val="clear" w:color="auto" w:fill="auto"/>
            <w:vAlign w:val="center"/>
          </w:tcPr>
          <w:p w14:paraId="4E56A556" w14:textId="77777777" w:rsidR="00DF3E10" w:rsidRDefault="00DF3E10">
            <w:pPr>
              <w:rPr>
                <w:rFonts w:ascii="Times New Roman" w:hAnsi="Times New Roman"/>
                <w:sz w:val="20"/>
                <w:szCs w:val="20"/>
              </w:rPr>
            </w:pPr>
          </w:p>
        </w:tc>
        <w:tc>
          <w:tcPr>
            <w:tcW w:w="50" w:type="pct"/>
            <w:shd w:val="clear" w:color="auto" w:fill="auto"/>
            <w:vAlign w:val="center"/>
          </w:tcPr>
          <w:p w14:paraId="4E56A557" w14:textId="77777777" w:rsidR="00DF3E10" w:rsidRDefault="00DF3E10">
            <w:pPr>
              <w:rPr>
                <w:rFonts w:ascii="Times New Roman" w:hAnsi="Times New Roman"/>
                <w:sz w:val="20"/>
                <w:szCs w:val="20"/>
              </w:rPr>
            </w:pPr>
          </w:p>
        </w:tc>
        <w:tc>
          <w:tcPr>
            <w:tcW w:w="50" w:type="pct"/>
            <w:shd w:val="clear" w:color="auto" w:fill="auto"/>
            <w:vAlign w:val="center"/>
          </w:tcPr>
          <w:p w14:paraId="4E56A558" w14:textId="77777777" w:rsidR="00DF3E10" w:rsidRDefault="00DF3E10">
            <w:pPr>
              <w:rPr>
                <w:rFonts w:ascii="Times New Roman" w:hAnsi="Times New Roman"/>
                <w:sz w:val="20"/>
                <w:szCs w:val="20"/>
              </w:rPr>
            </w:pPr>
          </w:p>
        </w:tc>
        <w:tc>
          <w:tcPr>
            <w:tcW w:w="50" w:type="pct"/>
            <w:shd w:val="clear" w:color="auto" w:fill="auto"/>
            <w:vAlign w:val="center"/>
          </w:tcPr>
          <w:p w14:paraId="4E56A559" w14:textId="77777777" w:rsidR="00DF3E10" w:rsidRDefault="00DF3E10">
            <w:pPr>
              <w:rPr>
                <w:rFonts w:ascii="Times New Roman" w:hAnsi="Times New Roman"/>
                <w:sz w:val="20"/>
                <w:szCs w:val="20"/>
              </w:rPr>
            </w:pPr>
          </w:p>
        </w:tc>
        <w:tc>
          <w:tcPr>
            <w:tcW w:w="550" w:type="pct"/>
            <w:shd w:val="clear" w:color="auto" w:fill="auto"/>
            <w:vAlign w:val="center"/>
          </w:tcPr>
          <w:p w14:paraId="4E56A55A" w14:textId="77777777" w:rsidR="00DF3E10" w:rsidRDefault="00DF3E10">
            <w:pPr>
              <w:rPr>
                <w:rFonts w:ascii="Times New Roman" w:hAnsi="Times New Roman"/>
                <w:sz w:val="20"/>
                <w:szCs w:val="20"/>
              </w:rPr>
            </w:pPr>
          </w:p>
        </w:tc>
        <w:tc>
          <w:tcPr>
            <w:tcW w:w="50" w:type="pct"/>
            <w:shd w:val="clear" w:color="auto" w:fill="auto"/>
            <w:vAlign w:val="center"/>
          </w:tcPr>
          <w:p w14:paraId="4E56A55B" w14:textId="77777777" w:rsidR="00DF3E10" w:rsidRDefault="00DF3E10">
            <w:pPr>
              <w:rPr>
                <w:rFonts w:ascii="Times New Roman" w:hAnsi="Times New Roman"/>
                <w:sz w:val="20"/>
                <w:szCs w:val="20"/>
              </w:rPr>
            </w:pPr>
          </w:p>
        </w:tc>
        <w:tc>
          <w:tcPr>
            <w:tcW w:w="50" w:type="pct"/>
            <w:shd w:val="clear" w:color="auto" w:fill="auto"/>
            <w:vAlign w:val="center"/>
          </w:tcPr>
          <w:p w14:paraId="4E56A55C" w14:textId="77777777" w:rsidR="00DF3E10" w:rsidRDefault="00DF3E10">
            <w:pPr>
              <w:rPr>
                <w:rFonts w:ascii="Times New Roman" w:hAnsi="Times New Roman"/>
                <w:sz w:val="20"/>
                <w:szCs w:val="20"/>
              </w:rPr>
            </w:pPr>
          </w:p>
        </w:tc>
        <w:tc>
          <w:tcPr>
            <w:tcW w:w="50" w:type="pct"/>
            <w:shd w:val="clear" w:color="auto" w:fill="auto"/>
            <w:vAlign w:val="center"/>
          </w:tcPr>
          <w:p w14:paraId="4E56A55D" w14:textId="77777777" w:rsidR="00DF3E10" w:rsidRDefault="00DF3E10">
            <w:pPr>
              <w:rPr>
                <w:rFonts w:ascii="Times New Roman" w:hAnsi="Times New Roman"/>
                <w:sz w:val="20"/>
                <w:szCs w:val="20"/>
              </w:rPr>
            </w:pPr>
          </w:p>
        </w:tc>
        <w:tc>
          <w:tcPr>
            <w:tcW w:w="550" w:type="pct"/>
            <w:shd w:val="clear" w:color="auto" w:fill="auto"/>
            <w:vAlign w:val="center"/>
          </w:tcPr>
          <w:p w14:paraId="4E56A55E" w14:textId="77777777" w:rsidR="00DF3E10" w:rsidRDefault="00DF3E10">
            <w:pPr>
              <w:rPr>
                <w:rFonts w:ascii="Times New Roman" w:hAnsi="Times New Roman"/>
                <w:sz w:val="20"/>
                <w:szCs w:val="20"/>
              </w:rPr>
            </w:pPr>
          </w:p>
        </w:tc>
        <w:tc>
          <w:tcPr>
            <w:tcW w:w="50" w:type="pct"/>
            <w:shd w:val="clear" w:color="auto" w:fill="auto"/>
            <w:vAlign w:val="center"/>
          </w:tcPr>
          <w:p w14:paraId="4E56A55F" w14:textId="77777777" w:rsidR="00DF3E10" w:rsidRDefault="00DF3E10">
            <w:pPr>
              <w:rPr>
                <w:rFonts w:ascii="Times New Roman" w:hAnsi="Times New Roman"/>
                <w:sz w:val="20"/>
                <w:szCs w:val="20"/>
              </w:rPr>
            </w:pPr>
          </w:p>
        </w:tc>
      </w:tr>
      <w:tr w:rsidR="00DF3E10" w14:paraId="4E56A565" w14:textId="77777777">
        <w:tc>
          <w:tcPr>
            <w:tcW w:w="0" w:type="auto"/>
            <w:shd w:val="clear" w:color="auto" w:fill="auto"/>
            <w:tcMar>
              <w:top w:w="40" w:type="dxa"/>
              <w:left w:w="40" w:type="dxa"/>
              <w:bottom w:w="40" w:type="dxa"/>
              <w:right w:w="40" w:type="dxa"/>
            </w:tcMar>
            <w:vAlign w:val="bottom"/>
          </w:tcPr>
          <w:p w14:paraId="4E56A5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56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5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56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56E" w14:textId="77777777">
        <w:tc>
          <w:tcPr>
            <w:tcW w:w="0" w:type="auto"/>
            <w:shd w:val="clear" w:color="auto" w:fill="auto"/>
            <w:tcMar>
              <w:top w:w="40" w:type="dxa"/>
              <w:left w:w="40" w:type="dxa"/>
              <w:bottom w:w="40" w:type="dxa"/>
              <w:right w:w="40" w:type="dxa"/>
            </w:tcMar>
            <w:vAlign w:val="bottom"/>
          </w:tcPr>
          <w:p w14:paraId="4E56A5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567"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center"/>
          </w:tcPr>
          <w:p w14:paraId="4E56A568" w14:textId="77777777" w:rsidR="00DF3E10" w:rsidRDefault="00DF3E10">
            <w:pPr>
              <w:jc w:val="center"/>
              <w:textAlignment w:val="center"/>
              <w:rPr>
                <w:rFonts w:ascii="Times New Roman" w:hAnsi="Times New Roman"/>
                <w:sz w:val="16"/>
                <w:szCs w:val="16"/>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569"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5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56B"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5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56D"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DF3E10" w14:paraId="4E56A577" w14:textId="77777777">
        <w:tc>
          <w:tcPr>
            <w:tcW w:w="0" w:type="auto"/>
            <w:shd w:val="clear" w:color="auto" w:fill="CCEEFF"/>
            <w:tcMar>
              <w:top w:w="40" w:type="dxa"/>
              <w:left w:w="40" w:type="dxa"/>
              <w:bottom w:w="40" w:type="dxa"/>
              <w:right w:w="40" w:type="dxa"/>
            </w:tcMar>
          </w:tcPr>
          <w:p w14:paraId="4E56A56F"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Finance lease cost</w:t>
            </w:r>
          </w:p>
        </w:tc>
        <w:tc>
          <w:tcPr>
            <w:tcW w:w="0" w:type="auto"/>
            <w:gridSpan w:val="3"/>
            <w:shd w:val="clear" w:color="auto" w:fill="CCEEFF"/>
            <w:tcMar>
              <w:top w:w="40" w:type="dxa"/>
              <w:left w:w="40" w:type="dxa"/>
              <w:bottom w:w="40" w:type="dxa"/>
              <w:right w:w="40" w:type="dxa"/>
            </w:tcMar>
            <w:vAlign w:val="bottom"/>
          </w:tcPr>
          <w:p w14:paraId="4E56A5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588" w14:textId="77777777">
        <w:tc>
          <w:tcPr>
            <w:tcW w:w="0" w:type="auto"/>
            <w:shd w:val="clear" w:color="auto" w:fill="auto"/>
            <w:tcMar>
              <w:top w:w="40" w:type="dxa"/>
              <w:left w:w="240" w:type="dxa"/>
              <w:bottom w:w="40" w:type="dxa"/>
              <w:right w:w="40" w:type="dxa"/>
            </w:tcMar>
          </w:tcPr>
          <w:p w14:paraId="4E56A57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Amortization of right-of-use assets</w:t>
            </w:r>
          </w:p>
        </w:tc>
        <w:tc>
          <w:tcPr>
            <w:tcW w:w="0" w:type="auto"/>
            <w:shd w:val="clear" w:color="auto" w:fill="auto"/>
            <w:tcMar>
              <w:top w:w="40" w:type="dxa"/>
              <w:left w:w="40" w:type="dxa"/>
              <w:bottom w:w="40" w:type="dxa"/>
            </w:tcMar>
          </w:tcPr>
          <w:p w14:paraId="4E56A57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57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60</w:t>
            </w:r>
          </w:p>
        </w:tc>
        <w:tc>
          <w:tcPr>
            <w:tcW w:w="0" w:type="auto"/>
            <w:shd w:val="clear" w:color="auto" w:fill="auto"/>
            <w:vAlign w:val="bottom"/>
          </w:tcPr>
          <w:p w14:paraId="4E56A57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57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57E"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vAlign w:val="bottom"/>
          </w:tcPr>
          <w:p w14:paraId="4E56A57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8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58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582"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4E56A5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58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586"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89</w:t>
            </w:r>
          </w:p>
        </w:tc>
        <w:tc>
          <w:tcPr>
            <w:tcW w:w="0" w:type="auto"/>
            <w:shd w:val="clear" w:color="auto" w:fill="auto"/>
            <w:vAlign w:val="bottom"/>
          </w:tcPr>
          <w:p w14:paraId="4E56A587" w14:textId="77777777" w:rsidR="00DF3E10" w:rsidRDefault="00DF3E10">
            <w:pPr>
              <w:textAlignment w:val="bottom"/>
              <w:rPr>
                <w:rFonts w:ascii="Times New Roman" w:hAnsi="Times New Roman"/>
                <w:sz w:val="20"/>
                <w:szCs w:val="20"/>
              </w:rPr>
            </w:pPr>
          </w:p>
        </w:tc>
      </w:tr>
      <w:tr w:rsidR="00DF3E10" w14:paraId="4E56A595" w14:textId="77777777">
        <w:tc>
          <w:tcPr>
            <w:tcW w:w="0" w:type="auto"/>
            <w:shd w:val="clear" w:color="auto" w:fill="CCEEFF"/>
            <w:tcMar>
              <w:top w:w="40" w:type="dxa"/>
              <w:left w:w="240" w:type="dxa"/>
              <w:bottom w:w="40" w:type="dxa"/>
              <w:right w:w="40" w:type="dxa"/>
            </w:tcMar>
          </w:tcPr>
          <w:p w14:paraId="4E56A589"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Interest</w:t>
            </w:r>
          </w:p>
        </w:tc>
        <w:tc>
          <w:tcPr>
            <w:tcW w:w="0" w:type="auto"/>
            <w:gridSpan w:val="2"/>
            <w:shd w:val="clear" w:color="auto" w:fill="CCEEFF"/>
            <w:tcMar>
              <w:top w:w="40" w:type="dxa"/>
              <w:left w:w="40" w:type="dxa"/>
              <w:bottom w:w="40" w:type="dxa"/>
            </w:tcMar>
          </w:tcPr>
          <w:p w14:paraId="4E56A58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4E56A58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58D"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4E56A58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590"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4E56A59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593"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4E56A594" w14:textId="77777777" w:rsidR="00DF3E10" w:rsidRDefault="00DF3E10">
            <w:pPr>
              <w:textAlignment w:val="bottom"/>
              <w:rPr>
                <w:rFonts w:ascii="Times New Roman" w:hAnsi="Times New Roman"/>
                <w:sz w:val="20"/>
                <w:szCs w:val="20"/>
              </w:rPr>
            </w:pPr>
          </w:p>
        </w:tc>
      </w:tr>
      <w:tr w:rsidR="00DF3E10" w14:paraId="4E56A5A2" w14:textId="77777777">
        <w:tc>
          <w:tcPr>
            <w:tcW w:w="0" w:type="auto"/>
            <w:shd w:val="clear" w:color="auto" w:fill="auto"/>
            <w:tcMar>
              <w:top w:w="40" w:type="dxa"/>
              <w:left w:w="40" w:type="dxa"/>
              <w:bottom w:w="40" w:type="dxa"/>
              <w:right w:w="40" w:type="dxa"/>
            </w:tcMar>
          </w:tcPr>
          <w:p w14:paraId="4E56A59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Operating lease cost</w:t>
            </w:r>
          </w:p>
        </w:tc>
        <w:tc>
          <w:tcPr>
            <w:tcW w:w="0" w:type="auto"/>
            <w:gridSpan w:val="2"/>
            <w:shd w:val="clear" w:color="auto" w:fill="auto"/>
            <w:tcMar>
              <w:top w:w="40" w:type="dxa"/>
              <w:left w:w="40" w:type="dxa"/>
              <w:bottom w:w="40" w:type="dxa"/>
            </w:tcMar>
          </w:tcPr>
          <w:p w14:paraId="4E56A597"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344</w:t>
            </w:r>
          </w:p>
        </w:tc>
        <w:tc>
          <w:tcPr>
            <w:tcW w:w="0" w:type="auto"/>
            <w:shd w:val="clear" w:color="auto" w:fill="auto"/>
            <w:vAlign w:val="bottom"/>
          </w:tcPr>
          <w:p w14:paraId="4E56A59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59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274</w:t>
            </w:r>
          </w:p>
        </w:tc>
        <w:tc>
          <w:tcPr>
            <w:tcW w:w="0" w:type="auto"/>
            <w:shd w:val="clear" w:color="auto" w:fill="auto"/>
            <w:vAlign w:val="bottom"/>
          </w:tcPr>
          <w:p w14:paraId="4E56A59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9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59D"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684</w:t>
            </w:r>
          </w:p>
        </w:tc>
        <w:tc>
          <w:tcPr>
            <w:tcW w:w="0" w:type="auto"/>
            <w:shd w:val="clear" w:color="auto" w:fill="auto"/>
            <w:vAlign w:val="bottom"/>
          </w:tcPr>
          <w:p w14:paraId="4E56A59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5A0"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520</w:t>
            </w:r>
          </w:p>
        </w:tc>
        <w:tc>
          <w:tcPr>
            <w:tcW w:w="0" w:type="auto"/>
            <w:shd w:val="clear" w:color="auto" w:fill="auto"/>
            <w:vAlign w:val="bottom"/>
          </w:tcPr>
          <w:p w14:paraId="4E56A5A1" w14:textId="77777777" w:rsidR="00DF3E10" w:rsidRDefault="00DF3E10">
            <w:pPr>
              <w:textAlignment w:val="bottom"/>
              <w:rPr>
                <w:rFonts w:ascii="Times New Roman" w:hAnsi="Times New Roman"/>
                <w:sz w:val="20"/>
                <w:szCs w:val="20"/>
              </w:rPr>
            </w:pPr>
          </w:p>
        </w:tc>
      </w:tr>
      <w:tr w:rsidR="00DF3E10" w14:paraId="4E56A5AF" w14:textId="77777777">
        <w:tc>
          <w:tcPr>
            <w:tcW w:w="0" w:type="auto"/>
            <w:shd w:val="clear" w:color="auto" w:fill="CCEEFF"/>
            <w:tcMar>
              <w:top w:w="40" w:type="dxa"/>
              <w:left w:w="40" w:type="dxa"/>
              <w:bottom w:w="40" w:type="dxa"/>
              <w:right w:w="40" w:type="dxa"/>
            </w:tcMar>
          </w:tcPr>
          <w:p w14:paraId="4E56A5A3"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Variable lease cost and other, net</w:t>
            </w:r>
          </w:p>
        </w:tc>
        <w:tc>
          <w:tcPr>
            <w:tcW w:w="0" w:type="auto"/>
            <w:gridSpan w:val="2"/>
            <w:tcBorders>
              <w:bottom w:val="single" w:sz="8" w:space="0" w:color="000000"/>
            </w:tcBorders>
            <w:shd w:val="clear" w:color="auto" w:fill="CCEEFF"/>
            <w:tcMar>
              <w:top w:w="40" w:type="dxa"/>
              <w:left w:w="40" w:type="dxa"/>
              <w:bottom w:w="40" w:type="dxa"/>
            </w:tcMar>
          </w:tcPr>
          <w:p w14:paraId="4E56A5A4"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CCEEFF"/>
            <w:vAlign w:val="bottom"/>
          </w:tcPr>
          <w:p w14:paraId="4E56A5A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4E56A5A7"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CCEEFF"/>
            <w:vAlign w:val="bottom"/>
          </w:tcPr>
          <w:p w14:paraId="4E56A5A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4E56A5A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117</w:t>
            </w:r>
          </w:p>
        </w:tc>
        <w:tc>
          <w:tcPr>
            <w:tcW w:w="0" w:type="auto"/>
            <w:tcBorders>
              <w:bottom w:val="single" w:sz="8" w:space="0" w:color="000000"/>
            </w:tcBorders>
            <w:shd w:val="clear" w:color="auto" w:fill="CCEEFF"/>
            <w:vAlign w:val="bottom"/>
          </w:tcPr>
          <w:p w14:paraId="4E56A5A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4E56A5AD"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70</w:t>
            </w:r>
          </w:p>
        </w:tc>
        <w:tc>
          <w:tcPr>
            <w:tcW w:w="0" w:type="auto"/>
            <w:tcBorders>
              <w:bottom w:val="single" w:sz="8" w:space="0" w:color="000000"/>
            </w:tcBorders>
            <w:shd w:val="clear" w:color="auto" w:fill="CCEEFF"/>
            <w:vAlign w:val="bottom"/>
          </w:tcPr>
          <w:p w14:paraId="4E56A5AE" w14:textId="77777777" w:rsidR="00DF3E10" w:rsidRDefault="00DF3E10">
            <w:pPr>
              <w:textAlignment w:val="bottom"/>
              <w:rPr>
                <w:rFonts w:ascii="Times New Roman" w:hAnsi="Times New Roman"/>
                <w:sz w:val="20"/>
                <w:szCs w:val="20"/>
              </w:rPr>
            </w:pPr>
          </w:p>
        </w:tc>
      </w:tr>
      <w:tr w:rsidR="00DF3E10" w14:paraId="4E56A5C0" w14:textId="77777777">
        <w:tc>
          <w:tcPr>
            <w:tcW w:w="0" w:type="auto"/>
            <w:shd w:val="clear" w:color="auto" w:fill="auto"/>
            <w:tcMar>
              <w:top w:w="40" w:type="dxa"/>
              <w:left w:w="40" w:type="dxa"/>
              <w:bottom w:w="40" w:type="dxa"/>
              <w:right w:w="40" w:type="dxa"/>
            </w:tcMar>
          </w:tcPr>
          <w:p w14:paraId="4E56A5B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Total lease cost</w:t>
            </w:r>
          </w:p>
        </w:tc>
        <w:tc>
          <w:tcPr>
            <w:tcW w:w="0" w:type="auto"/>
            <w:tcBorders>
              <w:bottom w:val="double" w:sz="6" w:space="0" w:color="000000"/>
            </w:tcBorders>
            <w:shd w:val="clear" w:color="auto" w:fill="auto"/>
            <w:tcMar>
              <w:top w:w="40" w:type="dxa"/>
              <w:left w:w="40" w:type="dxa"/>
              <w:bottom w:w="40" w:type="dxa"/>
            </w:tcMar>
          </w:tcPr>
          <w:p w14:paraId="4E56A5B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4E56A5B2"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465</w:t>
            </w:r>
          </w:p>
        </w:tc>
        <w:tc>
          <w:tcPr>
            <w:tcW w:w="0" w:type="auto"/>
            <w:tcBorders>
              <w:bottom w:val="double" w:sz="6" w:space="0" w:color="000000"/>
            </w:tcBorders>
            <w:shd w:val="clear" w:color="auto" w:fill="auto"/>
            <w:vAlign w:val="bottom"/>
          </w:tcPr>
          <w:p w14:paraId="4E56A5B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4E56A5B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4E56A5B6"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345</w:t>
            </w:r>
          </w:p>
        </w:tc>
        <w:tc>
          <w:tcPr>
            <w:tcW w:w="0" w:type="auto"/>
            <w:tcBorders>
              <w:bottom w:val="double" w:sz="6" w:space="0" w:color="000000"/>
            </w:tcBorders>
            <w:shd w:val="clear" w:color="auto" w:fill="auto"/>
            <w:vAlign w:val="bottom"/>
          </w:tcPr>
          <w:p w14:paraId="4E56A5B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4E56A5B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4E56A5B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928</w:t>
            </w:r>
          </w:p>
        </w:tc>
        <w:tc>
          <w:tcPr>
            <w:tcW w:w="0" w:type="auto"/>
            <w:tcBorders>
              <w:bottom w:val="double" w:sz="6" w:space="0" w:color="000000"/>
            </w:tcBorders>
            <w:shd w:val="clear" w:color="auto" w:fill="auto"/>
            <w:vAlign w:val="bottom"/>
          </w:tcPr>
          <w:p w14:paraId="4E56A5B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4E56A5B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4E56A5BE"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684</w:t>
            </w:r>
          </w:p>
        </w:tc>
        <w:tc>
          <w:tcPr>
            <w:tcW w:w="0" w:type="auto"/>
            <w:tcBorders>
              <w:bottom w:val="double" w:sz="6" w:space="0" w:color="000000"/>
            </w:tcBorders>
            <w:shd w:val="clear" w:color="auto" w:fill="auto"/>
            <w:vAlign w:val="bottom"/>
          </w:tcPr>
          <w:p w14:paraId="4E56A5BF" w14:textId="77777777" w:rsidR="00DF3E10" w:rsidRDefault="00DF3E10">
            <w:pPr>
              <w:textAlignment w:val="bottom"/>
              <w:rPr>
                <w:rFonts w:ascii="Times New Roman" w:hAnsi="Times New Roman"/>
                <w:sz w:val="20"/>
                <w:szCs w:val="20"/>
              </w:rPr>
            </w:pPr>
          </w:p>
        </w:tc>
      </w:tr>
      <w:tr w:rsidR="00DF3E10" w14:paraId="4E56A5C9" w14:textId="77777777">
        <w:tc>
          <w:tcPr>
            <w:tcW w:w="0" w:type="auto"/>
            <w:shd w:val="clear" w:color="auto" w:fill="CCEEFF"/>
            <w:tcMar>
              <w:top w:w="40" w:type="dxa"/>
              <w:left w:w="40" w:type="dxa"/>
              <w:bottom w:w="40" w:type="dxa"/>
              <w:right w:w="40" w:type="dxa"/>
            </w:tcMar>
            <w:vAlign w:val="bottom"/>
          </w:tcPr>
          <w:p w14:paraId="4E56A5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5D2" w14:textId="77777777">
        <w:tc>
          <w:tcPr>
            <w:tcW w:w="0" w:type="auto"/>
            <w:shd w:val="clear" w:color="auto" w:fill="auto"/>
            <w:tcMar>
              <w:top w:w="40" w:type="dxa"/>
              <w:left w:w="40" w:type="dxa"/>
              <w:bottom w:w="40" w:type="dxa"/>
              <w:right w:w="40" w:type="dxa"/>
            </w:tcMar>
          </w:tcPr>
          <w:p w14:paraId="4E56A5C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Weighted-average remaining lease term</w:t>
            </w:r>
          </w:p>
        </w:tc>
        <w:tc>
          <w:tcPr>
            <w:tcW w:w="0" w:type="auto"/>
            <w:gridSpan w:val="3"/>
            <w:shd w:val="clear" w:color="auto" w:fill="auto"/>
            <w:tcMar>
              <w:top w:w="40" w:type="dxa"/>
              <w:left w:w="40" w:type="dxa"/>
              <w:bottom w:w="40" w:type="dxa"/>
              <w:right w:w="40" w:type="dxa"/>
            </w:tcMar>
            <w:vAlign w:val="bottom"/>
          </w:tcPr>
          <w:p w14:paraId="4E56A5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D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5DF" w14:textId="77777777">
        <w:tc>
          <w:tcPr>
            <w:tcW w:w="0" w:type="auto"/>
            <w:shd w:val="clear" w:color="auto" w:fill="CCEEFF"/>
            <w:tcMar>
              <w:top w:w="40" w:type="dxa"/>
              <w:left w:w="240" w:type="dxa"/>
              <w:bottom w:w="40" w:type="dxa"/>
              <w:right w:w="40" w:type="dxa"/>
            </w:tcMar>
          </w:tcPr>
          <w:p w14:paraId="4E56A5D3"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xml:space="preserve">     Operating leases </w:t>
            </w:r>
          </w:p>
        </w:tc>
        <w:tc>
          <w:tcPr>
            <w:tcW w:w="0" w:type="auto"/>
            <w:gridSpan w:val="2"/>
            <w:shd w:val="clear" w:color="auto" w:fill="CCEEFF"/>
            <w:tcMar>
              <w:top w:w="40" w:type="dxa"/>
              <w:left w:w="40" w:type="dxa"/>
              <w:bottom w:w="40" w:type="dxa"/>
            </w:tcMar>
            <w:vAlign w:val="bottom"/>
          </w:tcPr>
          <w:p w14:paraId="4E56A5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12.6 years</w:t>
            </w:r>
          </w:p>
        </w:tc>
        <w:tc>
          <w:tcPr>
            <w:tcW w:w="0" w:type="auto"/>
            <w:shd w:val="clear" w:color="auto" w:fill="CCEEFF"/>
            <w:vAlign w:val="bottom"/>
          </w:tcPr>
          <w:p w14:paraId="4E56A5D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5D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13.1 years</w:t>
            </w:r>
          </w:p>
        </w:tc>
        <w:tc>
          <w:tcPr>
            <w:tcW w:w="0" w:type="auto"/>
            <w:shd w:val="clear" w:color="auto" w:fill="CCEEFF"/>
            <w:vAlign w:val="bottom"/>
          </w:tcPr>
          <w:p w14:paraId="4E56A5D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5D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12.6 years</w:t>
            </w:r>
          </w:p>
        </w:tc>
        <w:tc>
          <w:tcPr>
            <w:tcW w:w="0" w:type="auto"/>
            <w:shd w:val="clear" w:color="auto" w:fill="CCEEFF"/>
            <w:vAlign w:val="bottom"/>
          </w:tcPr>
          <w:p w14:paraId="4E56A5D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5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5D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13.1 years</w:t>
            </w:r>
          </w:p>
        </w:tc>
        <w:tc>
          <w:tcPr>
            <w:tcW w:w="0" w:type="auto"/>
            <w:shd w:val="clear" w:color="auto" w:fill="CCEEFF"/>
            <w:vAlign w:val="bottom"/>
          </w:tcPr>
          <w:p w14:paraId="4E56A5DE" w14:textId="77777777" w:rsidR="00DF3E10" w:rsidRDefault="00DF3E10">
            <w:pPr>
              <w:textAlignment w:val="bottom"/>
              <w:rPr>
                <w:rFonts w:ascii="Times New Roman" w:hAnsi="Times New Roman"/>
                <w:sz w:val="20"/>
                <w:szCs w:val="20"/>
              </w:rPr>
            </w:pPr>
          </w:p>
        </w:tc>
      </w:tr>
      <w:tr w:rsidR="00DF3E10" w14:paraId="4E56A5EC" w14:textId="77777777">
        <w:tc>
          <w:tcPr>
            <w:tcW w:w="0" w:type="auto"/>
            <w:shd w:val="clear" w:color="auto" w:fill="auto"/>
            <w:tcMar>
              <w:top w:w="40" w:type="dxa"/>
              <w:left w:w="240" w:type="dxa"/>
              <w:bottom w:w="40" w:type="dxa"/>
              <w:right w:w="40" w:type="dxa"/>
            </w:tcMar>
          </w:tcPr>
          <w:p w14:paraId="4E56A5E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vAlign w:val="bottom"/>
          </w:tcPr>
          <w:p w14:paraId="4E56A5E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15.0 years</w:t>
            </w:r>
          </w:p>
        </w:tc>
        <w:tc>
          <w:tcPr>
            <w:tcW w:w="0" w:type="auto"/>
            <w:shd w:val="clear" w:color="auto" w:fill="auto"/>
            <w:vAlign w:val="bottom"/>
          </w:tcPr>
          <w:p w14:paraId="4E56A5E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E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15.3 years</w:t>
            </w:r>
          </w:p>
        </w:tc>
        <w:tc>
          <w:tcPr>
            <w:tcW w:w="0" w:type="auto"/>
            <w:shd w:val="clear" w:color="auto" w:fill="auto"/>
            <w:vAlign w:val="bottom"/>
          </w:tcPr>
          <w:p w14:paraId="4E56A5E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E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15.0 years</w:t>
            </w:r>
          </w:p>
        </w:tc>
        <w:tc>
          <w:tcPr>
            <w:tcW w:w="0" w:type="auto"/>
            <w:shd w:val="clear" w:color="auto" w:fill="auto"/>
            <w:vAlign w:val="bottom"/>
          </w:tcPr>
          <w:p w14:paraId="4E56A5E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5E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5E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15.3 years</w:t>
            </w:r>
          </w:p>
        </w:tc>
        <w:tc>
          <w:tcPr>
            <w:tcW w:w="0" w:type="auto"/>
            <w:shd w:val="clear" w:color="auto" w:fill="auto"/>
            <w:vAlign w:val="bottom"/>
          </w:tcPr>
          <w:p w14:paraId="4E56A5EB" w14:textId="77777777" w:rsidR="00DF3E10" w:rsidRDefault="00DF3E10">
            <w:pPr>
              <w:textAlignment w:val="bottom"/>
              <w:rPr>
                <w:rFonts w:ascii="Times New Roman" w:hAnsi="Times New Roman"/>
                <w:sz w:val="20"/>
                <w:szCs w:val="20"/>
              </w:rPr>
            </w:pPr>
          </w:p>
        </w:tc>
      </w:tr>
      <w:tr w:rsidR="00DF3E10" w14:paraId="4E56A5F5" w14:textId="77777777">
        <w:tc>
          <w:tcPr>
            <w:tcW w:w="0" w:type="auto"/>
            <w:shd w:val="clear" w:color="auto" w:fill="CCEEFF"/>
            <w:tcMar>
              <w:top w:w="40" w:type="dxa"/>
              <w:left w:w="40" w:type="dxa"/>
              <w:bottom w:w="40" w:type="dxa"/>
              <w:right w:w="40" w:type="dxa"/>
            </w:tcMar>
            <w:vAlign w:val="bottom"/>
          </w:tcPr>
          <w:p w14:paraId="4E56A5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E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5F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5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5FE" w14:textId="77777777">
        <w:tc>
          <w:tcPr>
            <w:tcW w:w="0" w:type="auto"/>
            <w:shd w:val="clear" w:color="auto" w:fill="auto"/>
            <w:tcMar>
              <w:top w:w="40" w:type="dxa"/>
              <w:left w:w="40" w:type="dxa"/>
              <w:bottom w:w="40" w:type="dxa"/>
              <w:right w:w="40" w:type="dxa"/>
            </w:tcMar>
          </w:tcPr>
          <w:p w14:paraId="4E56A5F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Weighted-average discount rate</w:t>
            </w:r>
          </w:p>
        </w:tc>
        <w:tc>
          <w:tcPr>
            <w:tcW w:w="0" w:type="auto"/>
            <w:gridSpan w:val="3"/>
            <w:shd w:val="clear" w:color="auto" w:fill="auto"/>
            <w:tcMar>
              <w:top w:w="40" w:type="dxa"/>
              <w:left w:w="40" w:type="dxa"/>
              <w:bottom w:w="40" w:type="dxa"/>
              <w:right w:w="40" w:type="dxa"/>
            </w:tcMar>
            <w:vAlign w:val="bottom"/>
          </w:tcPr>
          <w:p w14:paraId="4E56A5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F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5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5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60B" w14:textId="77777777">
        <w:tc>
          <w:tcPr>
            <w:tcW w:w="0" w:type="auto"/>
            <w:shd w:val="clear" w:color="auto" w:fill="CCEEFF"/>
            <w:tcMar>
              <w:top w:w="40" w:type="dxa"/>
              <w:left w:w="240" w:type="dxa"/>
              <w:bottom w:w="40" w:type="dxa"/>
              <w:right w:w="40" w:type="dxa"/>
            </w:tcMar>
          </w:tcPr>
          <w:p w14:paraId="4E56A5FF"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xml:space="preserve">     Operating leases </w:t>
            </w:r>
          </w:p>
        </w:tc>
        <w:tc>
          <w:tcPr>
            <w:tcW w:w="0" w:type="auto"/>
            <w:gridSpan w:val="2"/>
            <w:shd w:val="clear" w:color="auto" w:fill="CCEEFF"/>
            <w:tcMar>
              <w:top w:w="40" w:type="dxa"/>
              <w:left w:w="40" w:type="dxa"/>
              <w:bottom w:w="40" w:type="dxa"/>
            </w:tcMar>
            <w:vAlign w:val="bottom"/>
          </w:tcPr>
          <w:p w14:paraId="4E56A60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bottom w:w="40" w:type="dxa"/>
              <w:right w:w="40" w:type="dxa"/>
            </w:tcMar>
            <w:vAlign w:val="bottom"/>
          </w:tcPr>
          <w:p w14:paraId="4E56A6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60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603"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tcPr>
          <w:p w14:paraId="4E56A60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6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60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bottom w:w="40" w:type="dxa"/>
              <w:right w:w="40" w:type="dxa"/>
            </w:tcMar>
            <w:vAlign w:val="bottom"/>
          </w:tcPr>
          <w:p w14:paraId="4E56A6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60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609"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tcPr>
          <w:p w14:paraId="4E56A60A"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r>
      <w:tr w:rsidR="00DF3E10" w14:paraId="4E56A618" w14:textId="77777777">
        <w:tc>
          <w:tcPr>
            <w:tcW w:w="0" w:type="auto"/>
            <w:shd w:val="clear" w:color="auto" w:fill="auto"/>
            <w:tcMar>
              <w:top w:w="40" w:type="dxa"/>
              <w:left w:w="240" w:type="dxa"/>
              <w:bottom w:w="40" w:type="dxa"/>
              <w:right w:w="40" w:type="dxa"/>
            </w:tcMar>
          </w:tcPr>
          <w:p w14:paraId="4E56A60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gridSpan w:val="2"/>
            <w:shd w:val="clear" w:color="auto" w:fill="auto"/>
            <w:tcMar>
              <w:top w:w="40" w:type="dxa"/>
              <w:left w:w="40" w:type="dxa"/>
              <w:bottom w:w="40" w:type="dxa"/>
            </w:tcMar>
            <w:vAlign w:val="bottom"/>
          </w:tcPr>
          <w:p w14:paraId="4E56A6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4E56A6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6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10"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tcPr>
          <w:p w14:paraId="4E56A61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6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61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4E56A61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6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16"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tcPr>
          <w:p w14:paraId="4E56A61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r>
    </w:tbl>
    <w:p w14:paraId="4E56A619" w14:textId="77777777" w:rsidR="00DF3E10" w:rsidRDefault="00DF3E10">
      <w:pPr>
        <w:spacing w:line="288" w:lineRule="auto"/>
        <w:jc w:val="both"/>
        <w:rPr>
          <w:rFonts w:ascii="Times New Roman" w:hAnsi="Times New Roman"/>
          <w:sz w:val="20"/>
          <w:szCs w:val="20"/>
        </w:rPr>
      </w:pPr>
    </w:p>
    <w:p w14:paraId="4E56A61A" w14:textId="77777777" w:rsidR="00DF3E10" w:rsidRDefault="00DF3E10">
      <w:pPr>
        <w:rPr>
          <w:rFonts w:ascii="Times New Roman" w:hAnsi="Times New Roman"/>
          <w:sz w:val="20"/>
          <w:szCs w:val="20"/>
        </w:rPr>
      </w:pPr>
    </w:p>
    <w:p w14:paraId="4E56A61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20</w:t>
      </w:r>
    </w:p>
    <w:p w14:paraId="4E56A61C" w14:textId="77777777" w:rsidR="00DF3E10" w:rsidRDefault="006B6C28">
      <w:r>
        <w:rPr>
          <w:rFonts w:ascii="Times New Roman" w:hAnsi="Times New Roman"/>
          <w:sz w:val="20"/>
          <w:szCs w:val="20"/>
        </w:rPr>
        <w:pict w14:anchorId="4E56B761">
          <v:rect id="_x0000_i1044" style="width:415.3pt;height:1.5pt" o:hralign="center" o:hrstd="t" o:hr="t" fillcolor="#a0a0a0" stroked="f"/>
        </w:pict>
      </w:r>
    </w:p>
    <w:p w14:paraId="4E56A61D" w14:textId="77777777" w:rsidR="00DF3E10" w:rsidRDefault="006B6C28">
      <w:pPr>
        <w:spacing w:line="288" w:lineRule="auto"/>
        <w:rPr>
          <w:rFonts w:ascii="Times New Roman" w:hAnsi="Times New Roman"/>
          <w:sz w:val="20"/>
          <w:szCs w:val="20"/>
        </w:rPr>
      </w:pPr>
      <w:hyperlink r:id="rId61" w:anchor="sC1FF62F0D4D85317B5B2C71C7C94F269" w:history="1">
        <w:r>
          <w:rPr>
            <w:rStyle w:val="a5"/>
            <w:rFonts w:ascii="Times New Roman" w:eastAsia="宋体" w:hAnsi="Times New Roman"/>
            <w:sz w:val="20"/>
            <w:szCs w:val="20"/>
          </w:rPr>
          <w:t>Table of Contents</w:t>
        </w:r>
      </w:hyperlink>
    </w:p>
    <w:p w14:paraId="4E56A61E" w14:textId="77777777" w:rsidR="00DF3E10" w:rsidRDefault="00DF3E10">
      <w:pPr>
        <w:rPr>
          <w:rFonts w:ascii="Times New Roman" w:hAnsi="Times New Roman"/>
          <w:sz w:val="20"/>
          <w:szCs w:val="20"/>
        </w:rPr>
      </w:pPr>
    </w:p>
    <w:p w14:paraId="4E56A61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is a schedule, by years, of maturities of lease liabilities as of </w:t>
      </w:r>
      <w:r>
        <w:rPr>
          <w:rFonts w:ascii="Times New Roman" w:eastAsia="宋体" w:hAnsi="Times New Roman"/>
          <w:sz w:val="20"/>
          <w:szCs w:val="20"/>
        </w:rPr>
        <w:t>June 30, 2020 (in millions):</w:t>
      </w:r>
    </w:p>
    <w:tbl>
      <w:tblPr>
        <w:tblW w:w="5000" w:type="pct"/>
        <w:tblCellMar>
          <w:left w:w="0" w:type="dxa"/>
          <w:right w:w="0" w:type="dxa"/>
        </w:tblCellMar>
        <w:tblLook w:val="04A0" w:firstRow="1" w:lastRow="0" w:firstColumn="1" w:lastColumn="0" w:noHBand="0" w:noVBand="1"/>
      </w:tblPr>
      <w:tblGrid>
        <w:gridCol w:w="5661"/>
        <w:gridCol w:w="140"/>
        <w:gridCol w:w="1010"/>
        <w:gridCol w:w="107"/>
        <w:gridCol w:w="130"/>
        <w:gridCol w:w="141"/>
        <w:gridCol w:w="1010"/>
        <w:gridCol w:w="107"/>
      </w:tblGrid>
      <w:tr w:rsidR="00DF3E10" w14:paraId="4E56A621" w14:textId="77777777">
        <w:tc>
          <w:tcPr>
            <w:tcW w:w="0" w:type="auto"/>
            <w:gridSpan w:val="8"/>
            <w:shd w:val="clear" w:color="auto" w:fill="auto"/>
            <w:vAlign w:val="center"/>
          </w:tcPr>
          <w:p w14:paraId="4E56A620" w14:textId="77777777" w:rsidR="00DF3E10" w:rsidRDefault="00DF3E10">
            <w:pPr>
              <w:rPr>
                <w:rFonts w:ascii="Times New Roman" w:hAnsi="Times New Roman"/>
                <w:sz w:val="20"/>
                <w:szCs w:val="20"/>
              </w:rPr>
            </w:pPr>
          </w:p>
        </w:tc>
      </w:tr>
      <w:tr w:rsidR="00DF3E10" w14:paraId="4E56A62A" w14:textId="77777777">
        <w:tc>
          <w:tcPr>
            <w:tcW w:w="3449" w:type="pct"/>
            <w:shd w:val="clear" w:color="auto" w:fill="auto"/>
            <w:vAlign w:val="center"/>
          </w:tcPr>
          <w:p w14:paraId="4E56A622" w14:textId="77777777" w:rsidR="00DF3E10" w:rsidRDefault="00DF3E10">
            <w:pPr>
              <w:rPr>
                <w:rFonts w:ascii="Times New Roman" w:hAnsi="Times New Roman"/>
                <w:sz w:val="20"/>
                <w:szCs w:val="20"/>
              </w:rPr>
            </w:pPr>
          </w:p>
        </w:tc>
        <w:tc>
          <w:tcPr>
            <w:tcW w:w="50" w:type="pct"/>
            <w:shd w:val="clear" w:color="auto" w:fill="auto"/>
            <w:vAlign w:val="center"/>
          </w:tcPr>
          <w:p w14:paraId="4E56A623" w14:textId="77777777" w:rsidR="00DF3E10" w:rsidRDefault="00DF3E10">
            <w:pPr>
              <w:rPr>
                <w:rFonts w:ascii="Times New Roman" w:hAnsi="Times New Roman"/>
                <w:sz w:val="20"/>
                <w:szCs w:val="20"/>
              </w:rPr>
            </w:pPr>
          </w:p>
        </w:tc>
        <w:tc>
          <w:tcPr>
            <w:tcW w:w="650" w:type="pct"/>
            <w:shd w:val="clear" w:color="auto" w:fill="auto"/>
            <w:vAlign w:val="center"/>
          </w:tcPr>
          <w:p w14:paraId="4E56A624" w14:textId="77777777" w:rsidR="00DF3E10" w:rsidRDefault="00DF3E10">
            <w:pPr>
              <w:rPr>
                <w:rFonts w:ascii="Times New Roman" w:hAnsi="Times New Roman"/>
                <w:sz w:val="20"/>
                <w:szCs w:val="20"/>
              </w:rPr>
            </w:pPr>
          </w:p>
        </w:tc>
        <w:tc>
          <w:tcPr>
            <w:tcW w:w="50" w:type="pct"/>
            <w:shd w:val="clear" w:color="auto" w:fill="auto"/>
            <w:vAlign w:val="center"/>
          </w:tcPr>
          <w:p w14:paraId="4E56A625" w14:textId="77777777" w:rsidR="00DF3E10" w:rsidRDefault="00DF3E10">
            <w:pPr>
              <w:rPr>
                <w:rFonts w:ascii="Times New Roman" w:hAnsi="Times New Roman"/>
                <w:sz w:val="20"/>
                <w:szCs w:val="20"/>
              </w:rPr>
            </w:pPr>
          </w:p>
        </w:tc>
        <w:tc>
          <w:tcPr>
            <w:tcW w:w="50" w:type="pct"/>
            <w:shd w:val="clear" w:color="auto" w:fill="auto"/>
            <w:vAlign w:val="center"/>
          </w:tcPr>
          <w:p w14:paraId="4E56A626" w14:textId="77777777" w:rsidR="00DF3E10" w:rsidRDefault="00DF3E10">
            <w:pPr>
              <w:rPr>
                <w:rFonts w:ascii="Times New Roman" w:hAnsi="Times New Roman"/>
                <w:sz w:val="20"/>
                <w:szCs w:val="20"/>
              </w:rPr>
            </w:pPr>
          </w:p>
        </w:tc>
        <w:tc>
          <w:tcPr>
            <w:tcW w:w="50" w:type="pct"/>
            <w:shd w:val="clear" w:color="auto" w:fill="auto"/>
            <w:vAlign w:val="center"/>
          </w:tcPr>
          <w:p w14:paraId="4E56A627" w14:textId="77777777" w:rsidR="00DF3E10" w:rsidRDefault="00DF3E10">
            <w:pPr>
              <w:rPr>
                <w:rFonts w:ascii="Times New Roman" w:hAnsi="Times New Roman"/>
                <w:sz w:val="20"/>
                <w:szCs w:val="20"/>
              </w:rPr>
            </w:pPr>
          </w:p>
        </w:tc>
        <w:tc>
          <w:tcPr>
            <w:tcW w:w="650" w:type="pct"/>
            <w:shd w:val="clear" w:color="auto" w:fill="auto"/>
            <w:vAlign w:val="center"/>
          </w:tcPr>
          <w:p w14:paraId="4E56A628" w14:textId="77777777" w:rsidR="00DF3E10" w:rsidRDefault="00DF3E10">
            <w:pPr>
              <w:rPr>
                <w:rFonts w:ascii="Times New Roman" w:hAnsi="Times New Roman"/>
                <w:sz w:val="20"/>
                <w:szCs w:val="20"/>
              </w:rPr>
            </w:pPr>
          </w:p>
        </w:tc>
        <w:tc>
          <w:tcPr>
            <w:tcW w:w="50" w:type="pct"/>
            <w:shd w:val="clear" w:color="auto" w:fill="auto"/>
            <w:vAlign w:val="center"/>
          </w:tcPr>
          <w:p w14:paraId="4E56A629" w14:textId="77777777" w:rsidR="00DF3E10" w:rsidRDefault="00DF3E10">
            <w:pPr>
              <w:rPr>
                <w:rFonts w:ascii="Times New Roman" w:hAnsi="Times New Roman"/>
                <w:sz w:val="20"/>
                <w:szCs w:val="20"/>
              </w:rPr>
            </w:pPr>
          </w:p>
        </w:tc>
      </w:tr>
      <w:tr w:rsidR="00DF3E10" w14:paraId="4E56A62F" w14:textId="77777777">
        <w:tc>
          <w:tcPr>
            <w:tcW w:w="0" w:type="auto"/>
            <w:shd w:val="clear" w:color="auto" w:fill="auto"/>
            <w:tcMar>
              <w:top w:w="40" w:type="dxa"/>
              <w:left w:w="40" w:type="dxa"/>
              <w:bottom w:w="40" w:type="dxa"/>
              <w:right w:w="40" w:type="dxa"/>
            </w:tcMar>
            <w:vAlign w:val="bottom"/>
          </w:tcPr>
          <w:p w14:paraId="4E56A6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E56A62C"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Operating Leases</w:t>
            </w:r>
          </w:p>
        </w:tc>
        <w:tc>
          <w:tcPr>
            <w:tcW w:w="0" w:type="auto"/>
            <w:shd w:val="clear" w:color="auto" w:fill="auto"/>
            <w:tcMar>
              <w:top w:w="40" w:type="dxa"/>
              <w:left w:w="40" w:type="dxa"/>
              <w:bottom w:w="40" w:type="dxa"/>
              <w:right w:w="40" w:type="dxa"/>
            </w:tcMar>
            <w:vAlign w:val="bottom"/>
          </w:tcPr>
          <w:p w14:paraId="4E56A6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E56A62E"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Finance Leases</w:t>
            </w:r>
          </w:p>
        </w:tc>
      </w:tr>
      <w:tr w:rsidR="00DF3E10" w14:paraId="4E56A638" w14:textId="77777777">
        <w:tc>
          <w:tcPr>
            <w:tcW w:w="0" w:type="auto"/>
            <w:shd w:val="clear" w:color="auto" w:fill="CCEEFF"/>
            <w:tcMar>
              <w:top w:w="40" w:type="dxa"/>
              <w:left w:w="40" w:type="dxa"/>
              <w:bottom w:w="40" w:type="dxa"/>
              <w:right w:w="40" w:type="dxa"/>
            </w:tcMar>
          </w:tcPr>
          <w:p w14:paraId="4E56A630"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The remainder of 2020</w:t>
            </w:r>
          </w:p>
        </w:tc>
        <w:tc>
          <w:tcPr>
            <w:tcW w:w="0" w:type="auto"/>
            <w:shd w:val="clear" w:color="auto" w:fill="CCEEFF"/>
            <w:tcMar>
              <w:top w:w="40" w:type="dxa"/>
              <w:left w:w="40" w:type="dxa"/>
              <w:bottom w:w="40" w:type="dxa"/>
            </w:tcMar>
          </w:tcPr>
          <w:p w14:paraId="4E56A63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32"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528</w:t>
            </w:r>
          </w:p>
        </w:tc>
        <w:tc>
          <w:tcPr>
            <w:tcW w:w="0" w:type="auto"/>
            <w:shd w:val="clear" w:color="auto" w:fill="CCEEFF"/>
            <w:vAlign w:val="bottom"/>
          </w:tcPr>
          <w:p w14:paraId="4E56A63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E56A63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36"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4E56A637" w14:textId="77777777" w:rsidR="00DF3E10" w:rsidRDefault="00DF3E10">
            <w:pPr>
              <w:textAlignment w:val="bottom"/>
              <w:rPr>
                <w:rFonts w:ascii="Times New Roman" w:hAnsi="Times New Roman"/>
                <w:sz w:val="20"/>
                <w:szCs w:val="20"/>
              </w:rPr>
            </w:pPr>
          </w:p>
        </w:tc>
      </w:tr>
      <w:tr w:rsidR="00DF3E10" w14:paraId="4E56A63F" w14:textId="77777777">
        <w:tc>
          <w:tcPr>
            <w:tcW w:w="0" w:type="auto"/>
            <w:shd w:val="clear" w:color="auto" w:fill="auto"/>
            <w:tcMar>
              <w:top w:w="40" w:type="dxa"/>
              <w:left w:w="40" w:type="dxa"/>
              <w:bottom w:w="40" w:type="dxa"/>
              <w:right w:w="40" w:type="dxa"/>
            </w:tcMar>
          </w:tcPr>
          <w:p w14:paraId="4E56A63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tcPr>
          <w:p w14:paraId="4E56A63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1,315</w:t>
            </w:r>
          </w:p>
        </w:tc>
        <w:tc>
          <w:tcPr>
            <w:tcW w:w="0" w:type="auto"/>
            <w:shd w:val="clear" w:color="auto" w:fill="auto"/>
            <w:vAlign w:val="bottom"/>
          </w:tcPr>
          <w:p w14:paraId="4E56A63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3D"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vAlign w:val="bottom"/>
          </w:tcPr>
          <w:p w14:paraId="4E56A63E" w14:textId="77777777" w:rsidR="00DF3E10" w:rsidRDefault="00DF3E10">
            <w:pPr>
              <w:textAlignment w:val="bottom"/>
              <w:rPr>
                <w:rFonts w:ascii="Times New Roman" w:hAnsi="Times New Roman"/>
                <w:sz w:val="20"/>
                <w:szCs w:val="20"/>
              </w:rPr>
            </w:pPr>
          </w:p>
        </w:tc>
      </w:tr>
      <w:tr w:rsidR="00DF3E10" w14:paraId="4E56A646" w14:textId="77777777">
        <w:tc>
          <w:tcPr>
            <w:tcW w:w="0" w:type="auto"/>
            <w:shd w:val="clear" w:color="auto" w:fill="CCEEFF"/>
            <w:tcMar>
              <w:top w:w="40" w:type="dxa"/>
              <w:left w:w="40" w:type="dxa"/>
              <w:bottom w:w="40" w:type="dxa"/>
              <w:right w:w="40" w:type="dxa"/>
            </w:tcMar>
          </w:tcPr>
          <w:p w14:paraId="4E56A64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tcPr>
          <w:p w14:paraId="4E56A641"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1,254</w:t>
            </w:r>
          </w:p>
        </w:tc>
        <w:tc>
          <w:tcPr>
            <w:tcW w:w="0" w:type="auto"/>
            <w:shd w:val="clear" w:color="auto" w:fill="CCEEFF"/>
            <w:vAlign w:val="bottom"/>
          </w:tcPr>
          <w:p w14:paraId="4E56A64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644"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4E56A645" w14:textId="77777777" w:rsidR="00DF3E10" w:rsidRDefault="00DF3E10">
            <w:pPr>
              <w:textAlignment w:val="bottom"/>
              <w:rPr>
                <w:rFonts w:ascii="Times New Roman" w:hAnsi="Times New Roman"/>
                <w:sz w:val="20"/>
                <w:szCs w:val="20"/>
              </w:rPr>
            </w:pPr>
          </w:p>
        </w:tc>
      </w:tr>
      <w:tr w:rsidR="00DF3E10" w14:paraId="4E56A64D" w14:textId="77777777">
        <w:tc>
          <w:tcPr>
            <w:tcW w:w="0" w:type="auto"/>
            <w:shd w:val="clear" w:color="auto" w:fill="auto"/>
            <w:tcMar>
              <w:top w:w="40" w:type="dxa"/>
              <w:left w:w="40" w:type="dxa"/>
              <w:bottom w:w="40" w:type="dxa"/>
              <w:right w:w="40" w:type="dxa"/>
            </w:tcMar>
          </w:tcPr>
          <w:p w14:paraId="4E56A64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tcPr>
          <w:p w14:paraId="4E56A648"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1,174</w:t>
            </w:r>
          </w:p>
        </w:tc>
        <w:tc>
          <w:tcPr>
            <w:tcW w:w="0" w:type="auto"/>
            <w:shd w:val="clear" w:color="auto" w:fill="auto"/>
            <w:vAlign w:val="bottom"/>
          </w:tcPr>
          <w:p w14:paraId="4E56A64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4B"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4E56A64C" w14:textId="77777777" w:rsidR="00DF3E10" w:rsidRDefault="00DF3E10">
            <w:pPr>
              <w:textAlignment w:val="bottom"/>
              <w:rPr>
                <w:rFonts w:ascii="Times New Roman" w:hAnsi="Times New Roman"/>
                <w:sz w:val="20"/>
                <w:szCs w:val="20"/>
              </w:rPr>
            </w:pPr>
          </w:p>
        </w:tc>
      </w:tr>
      <w:tr w:rsidR="00DF3E10" w14:paraId="4E56A654" w14:textId="77777777">
        <w:tc>
          <w:tcPr>
            <w:tcW w:w="0" w:type="auto"/>
            <w:shd w:val="clear" w:color="auto" w:fill="CCEEFF"/>
            <w:tcMar>
              <w:top w:w="40" w:type="dxa"/>
              <w:left w:w="40" w:type="dxa"/>
              <w:bottom w:w="40" w:type="dxa"/>
              <w:right w:w="40" w:type="dxa"/>
            </w:tcMar>
          </w:tcPr>
          <w:p w14:paraId="4E56A64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tcPr>
          <w:p w14:paraId="4E56A64F"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1,099</w:t>
            </w:r>
          </w:p>
        </w:tc>
        <w:tc>
          <w:tcPr>
            <w:tcW w:w="0" w:type="auto"/>
            <w:shd w:val="clear" w:color="auto" w:fill="CCEEFF"/>
            <w:vAlign w:val="bottom"/>
          </w:tcPr>
          <w:p w14:paraId="4E56A65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4E56A652"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4E56A653" w14:textId="77777777" w:rsidR="00DF3E10" w:rsidRDefault="00DF3E10">
            <w:pPr>
              <w:textAlignment w:val="bottom"/>
              <w:rPr>
                <w:rFonts w:ascii="Times New Roman" w:hAnsi="Times New Roman"/>
                <w:sz w:val="20"/>
                <w:szCs w:val="20"/>
              </w:rPr>
            </w:pPr>
          </w:p>
        </w:tc>
      </w:tr>
      <w:tr w:rsidR="00DF3E10" w14:paraId="4E56A65B" w14:textId="77777777">
        <w:tc>
          <w:tcPr>
            <w:tcW w:w="0" w:type="auto"/>
            <w:shd w:val="clear" w:color="auto" w:fill="auto"/>
            <w:tcMar>
              <w:top w:w="40" w:type="dxa"/>
              <w:left w:w="40" w:type="dxa"/>
              <w:bottom w:w="40" w:type="dxa"/>
              <w:right w:w="40" w:type="dxa"/>
            </w:tcMar>
          </w:tcPr>
          <w:p w14:paraId="4E56A65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tcPr>
          <w:p w14:paraId="4E56A656"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7,932</w:t>
            </w:r>
          </w:p>
        </w:tc>
        <w:tc>
          <w:tcPr>
            <w:tcW w:w="0" w:type="auto"/>
            <w:shd w:val="clear" w:color="auto" w:fill="auto"/>
            <w:vAlign w:val="bottom"/>
          </w:tcPr>
          <w:p w14:paraId="4E56A6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59"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389</w:t>
            </w:r>
          </w:p>
        </w:tc>
        <w:tc>
          <w:tcPr>
            <w:tcW w:w="0" w:type="auto"/>
            <w:shd w:val="clear" w:color="auto" w:fill="auto"/>
            <w:vAlign w:val="bottom"/>
          </w:tcPr>
          <w:p w14:paraId="4E56A65A" w14:textId="77777777" w:rsidR="00DF3E10" w:rsidRDefault="00DF3E10">
            <w:pPr>
              <w:textAlignment w:val="bottom"/>
              <w:rPr>
                <w:rFonts w:ascii="Times New Roman" w:hAnsi="Times New Roman"/>
                <w:sz w:val="20"/>
                <w:szCs w:val="20"/>
              </w:rPr>
            </w:pPr>
          </w:p>
        </w:tc>
      </w:tr>
      <w:tr w:rsidR="00DF3E10" w14:paraId="4E56A662" w14:textId="77777777">
        <w:tc>
          <w:tcPr>
            <w:tcW w:w="0" w:type="auto"/>
            <w:shd w:val="clear" w:color="auto" w:fill="CCEEFF"/>
            <w:tcMar>
              <w:top w:w="40" w:type="dxa"/>
              <w:left w:w="40" w:type="dxa"/>
              <w:bottom w:w="40" w:type="dxa"/>
              <w:right w:w="40" w:type="dxa"/>
            </w:tcMar>
          </w:tcPr>
          <w:p w14:paraId="4E56A65C"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Total undiscounted cash flows</w:t>
            </w:r>
          </w:p>
        </w:tc>
        <w:tc>
          <w:tcPr>
            <w:tcW w:w="0" w:type="auto"/>
            <w:gridSpan w:val="2"/>
            <w:tcBorders>
              <w:top w:val="single" w:sz="8" w:space="0" w:color="000000"/>
            </w:tcBorders>
            <w:shd w:val="clear" w:color="auto" w:fill="CCEEFF"/>
            <w:tcMar>
              <w:top w:w="40" w:type="dxa"/>
              <w:left w:w="40" w:type="dxa"/>
              <w:bottom w:w="40" w:type="dxa"/>
            </w:tcMar>
          </w:tcPr>
          <w:p w14:paraId="4E56A65D"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13,302</w:t>
            </w:r>
          </w:p>
        </w:tc>
        <w:tc>
          <w:tcPr>
            <w:tcW w:w="0" w:type="auto"/>
            <w:tcBorders>
              <w:top w:val="single" w:sz="8" w:space="0" w:color="000000"/>
            </w:tcBorders>
            <w:shd w:val="clear" w:color="auto" w:fill="CCEEFF"/>
            <w:vAlign w:val="bottom"/>
          </w:tcPr>
          <w:p w14:paraId="4E56A65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4E56A660"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589</w:t>
            </w:r>
          </w:p>
        </w:tc>
        <w:tc>
          <w:tcPr>
            <w:tcW w:w="0" w:type="auto"/>
            <w:tcBorders>
              <w:top w:val="single" w:sz="8" w:space="0" w:color="000000"/>
            </w:tcBorders>
            <w:shd w:val="clear" w:color="auto" w:fill="CCEEFF"/>
            <w:vAlign w:val="bottom"/>
          </w:tcPr>
          <w:p w14:paraId="4E56A661" w14:textId="77777777" w:rsidR="00DF3E10" w:rsidRDefault="00DF3E10">
            <w:pPr>
              <w:textAlignment w:val="bottom"/>
              <w:rPr>
                <w:rFonts w:ascii="Times New Roman" w:hAnsi="Times New Roman"/>
                <w:sz w:val="20"/>
                <w:szCs w:val="20"/>
              </w:rPr>
            </w:pPr>
          </w:p>
        </w:tc>
      </w:tr>
      <w:tr w:rsidR="00DF3E10" w14:paraId="4E56A669" w14:textId="77777777">
        <w:tc>
          <w:tcPr>
            <w:tcW w:w="0" w:type="auto"/>
            <w:shd w:val="clear" w:color="auto" w:fill="auto"/>
            <w:tcMar>
              <w:top w:w="40" w:type="dxa"/>
              <w:left w:w="40" w:type="dxa"/>
              <w:bottom w:w="40" w:type="dxa"/>
              <w:right w:w="40" w:type="dxa"/>
            </w:tcMar>
          </w:tcPr>
          <w:p w14:paraId="4E56A66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Less: Imputed interest</w:t>
            </w:r>
          </w:p>
        </w:tc>
        <w:tc>
          <w:tcPr>
            <w:tcW w:w="0" w:type="auto"/>
            <w:gridSpan w:val="2"/>
            <w:shd w:val="clear" w:color="auto" w:fill="auto"/>
            <w:tcMar>
              <w:top w:w="40" w:type="dxa"/>
              <w:left w:w="40" w:type="dxa"/>
              <w:bottom w:w="40" w:type="dxa"/>
            </w:tcMar>
          </w:tcPr>
          <w:p w14:paraId="4E56A664"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(2,770</w:t>
            </w:r>
          </w:p>
        </w:tc>
        <w:tc>
          <w:tcPr>
            <w:tcW w:w="0" w:type="auto"/>
            <w:shd w:val="clear" w:color="auto" w:fill="auto"/>
            <w:tcMar>
              <w:top w:w="40" w:type="dxa"/>
              <w:bottom w:w="40" w:type="dxa"/>
              <w:right w:w="40" w:type="dxa"/>
            </w:tcMar>
          </w:tcPr>
          <w:p w14:paraId="4E56A66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6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4E56A667"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(117</w:t>
            </w:r>
          </w:p>
        </w:tc>
        <w:tc>
          <w:tcPr>
            <w:tcW w:w="0" w:type="auto"/>
            <w:shd w:val="clear" w:color="auto" w:fill="auto"/>
            <w:tcMar>
              <w:top w:w="40" w:type="dxa"/>
              <w:bottom w:w="40" w:type="dxa"/>
              <w:right w:w="40" w:type="dxa"/>
            </w:tcMar>
          </w:tcPr>
          <w:p w14:paraId="4E56A66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r>
      <w:tr w:rsidR="00DF3E10" w14:paraId="4E56A672" w14:textId="77777777">
        <w:tc>
          <w:tcPr>
            <w:tcW w:w="0" w:type="auto"/>
            <w:shd w:val="clear" w:color="auto" w:fill="CCEEFF"/>
            <w:tcMar>
              <w:top w:w="40" w:type="dxa"/>
              <w:left w:w="40" w:type="dxa"/>
              <w:bottom w:w="40" w:type="dxa"/>
              <w:right w:w="40" w:type="dxa"/>
            </w:tcMar>
          </w:tcPr>
          <w:p w14:paraId="4E56A66A"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Present value of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4E56A66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4E56A66C"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10,532</w:t>
            </w:r>
          </w:p>
        </w:tc>
        <w:tc>
          <w:tcPr>
            <w:tcW w:w="0" w:type="auto"/>
            <w:tcBorders>
              <w:top w:val="single" w:sz="8" w:space="0" w:color="000000"/>
              <w:bottom w:val="double" w:sz="6" w:space="0" w:color="000000"/>
            </w:tcBorders>
            <w:shd w:val="clear" w:color="auto" w:fill="CCEEFF"/>
            <w:vAlign w:val="bottom"/>
          </w:tcPr>
          <w:p w14:paraId="4E56A66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4E56A66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4E56A670"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472</w:t>
            </w:r>
          </w:p>
        </w:tc>
        <w:tc>
          <w:tcPr>
            <w:tcW w:w="0" w:type="auto"/>
            <w:tcBorders>
              <w:top w:val="single" w:sz="8" w:space="0" w:color="000000"/>
              <w:bottom w:val="double" w:sz="6" w:space="0" w:color="000000"/>
            </w:tcBorders>
            <w:shd w:val="clear" w:color="auto" w:fill="CCEEFF"/>
            <w:vAlign w:val="bottom"/>
          </w:tcPr>
          <w:p w14:paraId="4E56A671" w14:textId="77777777" w:rsidR="00DF3E10" w:rsidRDefault="00DF3E10">
            <w:pPr>
              <w:textAlignment w:val="bottom"/>
              <w:rPr>
                <w:rFonts w:ascii="Times New Roman" w:hAnsi="Times New Roman"/>
                <w:sz w:val="20"/>
                <w:szCs w:val="20"/>
              </w:rPr>
            </w:pPr>
          </w:p>
        </w:tc>
      </w:tr>
      <w:tr w:rsidR="00DF3E10" w14:paraId="4E56A677" w14:textId="77777777">
        <w:tc>
          <w:tcPr>
            <w:tcW w:w="0" w:type="auto"/>
            <w:shd w:val="clear" w:color="auto" w:fill="auto"/>
            <w:tcMar>
              <w:top w:w="40" w:type="dxa"/>
              <w:left w:w="40" w:type="dxa"/>
              <w:bottom w:w="40" w:type="dxa"/>
              <w:right w:w="40" w:type="dxa"/>
            </w:tcMar>
            <w:vAlign w:val="bottom"/>
          </w:tcPr>
          <w:p w14:paraId="4E56A6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6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67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6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680" w14:textId="77777777">
        <w:tc>
          <w:tcPr>
            <w:tcW w:w="0" w:type="auto"/>
            <w:shd w:val="clear" w:color="auto" w:fill="CCEEFF"/>
            <w:tcMar>
              <w:top w:w="40" w:type="dxa"/>
              <w:left w:w="40" w:type="dxa"/>
              <w:bottom w:w="40" w:type="dxa"/>
              <w:right w:w="40" w:type="dxa"/>
            </w:tcMar>
          </w:tcPr>
          <w:p w14:paraId="4E56A67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Lease liabilities, current</w:t>
            </w:r>
          </w:p>
        </w:tc>
        <w:tc>
          <w:tcPr>
            <w:tcW w:w="0" w:type="auto"/>
            <w:shd w:val="clear" w:color="auto" w:fill="CCEEFF"/>
            <w:tcMar>
              <w:top w:w="40" w:type="dxa"/>
              <w:left w:w="40" w:type="dxa"/>
              <w:bottom w:w="40" w:type="dxa"/>
            </w:tcMar>
            <w:vAlign w:val="bottom"/>
          </w:tcPr>
          <w:p w14:paraId="4E56A67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67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899</w:t>
            </w:r>
          </w:p>
        </w:tc>
        <w:tc>
          <w:tcPr>
            <w:tcW w:w="0" w:type="auto"/>
            <w:shd w:val="clear" w:color="auto" w:fill="CCEEFF"/>
            <w:vAlign w:val="bottom"/>
          </w:tcPr>
          <w:p w14:paraId="4E56A67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6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67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vAlign w:val="bottom"/>
          </w:tcPr>
          <w:p w14:paraId="4E56A67F" w14:textId="77777777" w:rsidR="00DF3E10" w:rsidRDefault="00DF3E10">
            <w:pPr>
              <w:textAlignment w:val="bottom"/>
              <w:rPr>
                <w:rFonts w:ascii="Times New Roman" w:hAnsi="Times New Roman"/>
                <w:sz w:val="20"/>
                <w:szCs w:val="20"/>
              </w:rPr>
            </w:pPr>
          </w:p>
        </w:tc>
      </w:tr>
      <w:tr w:rsidR="00DF3E10" w14:paraId="4E56A687" w14:textId="77777777">
        <w:tc>
          <w:tcPr>
            <w:tcW w:w="0" w:type="auto"/>
            <w:shd w:val="clear" w:color="auto" w:fill="auto"/>
            <w:tcMar>
              <w:top w:w="40" w:type="dxa"/>
              <w:left w:w="40" w:type="dxa"/>
              <w:bottom w:w="40" w:type="dxa"/>
              <w:right w:w="40" w:type="dxa"/>
            </w:tcMar>
          </w:tcPr>
          <w:p w14:paraId="4E56A68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Lease liabilities, 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4E56A6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9,633</w:t>
            </w:r>
          </w:p>
        </w:tc>
        <w:tc>
          <w:tcPr>
            <w:tcW w:w="0" w:type="auto"/>
            <w:tcBorders>
              <w:bottom w:val="single" w:sz="8" w:space="0" w:color="000000"/>
            </w:tcBorders>
            <w:shd w:val="clear" w:color="auto" w:fill="auto"/>
            <w:vAlign w:val="bottom"/>
          </w:tcPr>
          <w:p w14:paraId="4E56A6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6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424</w:t>
            </w:r>
          </w:p>
        </w:tc>
        <w:tc>
          <w:tcPr>
            <w:tcW w:w="0" w:type="auto"/>
            <w:tcBorders>
              <w:bottom w:val="single" w:sz="8" w:space="0" w:color="000000"/>
            </w:tcBorders>
            <w:shd w:val="clear" w:color="auto" w:fill="auto"/>
            <w:vAlign w:val="bottom"/>
          </w:tcPr>
          <w:p w14:paraId="4E56A686" w14:textId="77777777" w:rsidR="00DF3E10" w:rsidRDefault="00DF3E10">
            <w:pPr>
              <w:textAlignment w:val="bottom"/>
              <w:rPr>
                <w:rFonts w:ascii="Times New Roman" w:hAnsi="Times New Roman"/>
                <w:sz w:val="20"/>
                <w:szCs w:val="20"/>
              </w:rPr>
            </w:pPr>
          </w:p>
        </w:tc>
      </w:tr>
      <w:tr w:rsidR="00DF3E10" w14:paraId="4E56A690" w14:textId="77777777">
        <w:tc>
          <w:tcPr>
            <w:tcW w:w="0" w:type="auto"/>
            <w:shd w:val="clear" w:color="auto" w:fill="CCEEFF"/>
            <w:tcMar>
              <w:top w:w="40" w:type="dxa"/>
              <w:left w:w="560" w:type="dxa"/>
              <w:bottom w:w="40" w:type="dxa"/>
              <w:right w:w="40" w:type="dxa"/>
            </w:tcMar>
          </w:tcPr>
          <w:p w14:paraId="4E56A68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bottom w:val="double" w:sz="6" w:space="0" w:color="000000"/>
            </w:tcBorders>
            <w:shd w:val="clear" w:color="auto" w:fill="CCEEFF"/>
            <w:tcMar>
              <w:top w:w="40" w:type="dxa"/>
              <w:left w:w="40" w:type="dxa"/>
              <w:bottom w:w="40" w:type="dxa"/>
            </w:tcMar>
          </w:tcPr>
          <w:p w14:paraId="4E56A68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4E56A68A"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10,532</w:t>
            </w:r>
          </w:p>
        </w:tc>
        <w:tc>
          <w:tcPr>
            <w:tcW w:w="0" w:type="auto"/>
            <w:tcBorders>
              <w:bottom w:val="double" w:sz="6" w:space="0" w:color="000000"/>
            </w:tcBorders>
            <w:shd w:val="clear" w:color="auto" w:fill="CCEEFF"/>
            <w:vAlign w:val="bottom"/>
          </w:tcPr>
          <w:p w14:paraId="4E56A68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tcPr>
          <w:p w14:paraId="4E56A68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4E56A68E"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472</w:t>
            </w:r>
          </w:p>
        </w:tc>
        <w:tc>
          <w:tcPr>
            <w:tcW w:w="0" w:type="auto"/>
            <w:tcBorders>
              <w:bottom w:val="double" w:sz="6" w:space="0" w:color="000000"/>
            </w:tcBorders>
            <w:shd w:val="clear" w:color="auto" w:fill="CCEEFF"/>
            <w:vAlign w:val="bottom"/>
          </w:tcPr>
          <w:p w14:paraId="4E56A68F" w14:textId="77777777" w:rsidR="00DF3E10" w:rsidRDefault="00DF3E10">
            <w:pPr>
              <w:textAlignment w:val="bottom"/>
              <w:rPr>
                <w:rFonts w:ascii="Times New Roman" w:hAnsi="Times New Roman"/>
                <w:sz w:val="20"/>
                <w:szCs w:val="20"/>
              </w:rPr>
            </w:pPr>
          </w:p>
        </w:tc>
      </w:tr>
    </w:tbl>
    <w:p w14:paraId="4E56A691" w14:textId="77777777" w:rsidR="00DF3E10" w:rsidRDefault="00DF3E10">
      <w:pPr>
        <w:spacing w:line="288" w:lineRule="auto"/>
        <w:rPr>
          <w:rFonts w:ascii="Times New Roman" w:hAnsi="Times New Roman"/>
          <w:sz w:val="20"/>
          <w:szCs w:val="20"/>
        </w:rPr>
      </w:pPr>
    </w:p>
    <w:p w14:paraId="4E56A69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table above does not include lease payments that were not fixed at commencement or modification. As of June 30, 2020, we have additional operating and finance leases for facilities and network equipment that have not yet commenced with lease obligation</w:t>
      </w:r>
      <w:r>
        <w:rPr>
          <w:rFonts w:ascii="Times New Roman" w:eastAsia="宋体" w:hAnsi="Times New Roman"/>
          <w:sz w:val="20"/>
          <w:szCs w:val="20"/>
        </w:rPr>
        <w:t xml:space="preserve">s of approximately $4.91 billion and $364 million, respectively. These operating and finance leases will commence between the remainder of 2020 and 2023 with lease terms of greater than one year to 25 years. </w:t>
      </w:r>
    </w:p>
    <w:p w14:paraId="4E56A69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Subsequent to June 30, 2020, we entered into an</w:t>
      </w:r>
      <w:r>
        <w:rPr>
          <w:rFonts w:ascii="Times New Roman" w:eastAsia="宋体" w:hAnsi="Times New Roman"/>
          <w:sz w:val="20"/>
          <w:szCs w:val="20"/>
        </w:rPr>
        <w:t xml:space="preserve"> approximately $1.0 billion non-cancelable lease agreement for a data center.</w:t>
      </w:r>
    </w:p>
    <w:p w14:paraId="4E56A69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Supplemental cash flow information related to leases are as follows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DF3E10" w14:paraId="4E56A696" w14:textId="77777777">
        <w:tc>
          <w:tcPr>
            <w:tcW w:w="0" w:type="auto"/>
            <w:gridSpan w:val="8"/>
            <w:shd w:val="clear" w:color="auto" w:fill="auto"/>
            <w:vAlign w:val="center"/>
          </w:tcPr>
          <w:p w14:paraId="4E56A695" w14:textId="77777777" w:rsidR="00DF3E10" w:rsidRDefault="00DF3E10">
            <w:pPr>
              <w:rPr>
                <w:rFonts w:ascii="Times New Roman" w:hAnsi="Times New Roman"/>
                <w:sz w:val="20"/>
                <w:szCs w:val="20"/>
              </w:rPr>
            </w:pPr>
          </w:p>
        </w:tc>
      </w:tr>
      <w:tr w:rsidR="00DF3E10" w14:paraId="4E56A69F" w14:textId="77777777">
        <w:tc>
          <w:tcPr>
            <w:tcW w:w="3449" w:type="pct"/>
            <w:shd w:val="clear" w:color="auto" w:fill="auto"/>
            <w:vAlign w:val="center"/>
          </w:tcPr>
          <w:p w14:paraId="4E56A697" w14:textId="77777777" w:rsidR="00DF3E10" w:rsidRDefault="00DF3E10">
            <w:pPr>
              <w:rPr>
                <w:rFonts w:ascii="Times New Roman" w:hAnsi="Times New Roman"/>
                <w:sz w:val="20"/>
                <w:szCs w:val="20"/>
              </w:rPr>
            </w:pPr>
          </w:p>
        </w:tc>
        <w:tc>
          <w:tcPr>
            <w:tcW w:w="50" w:type="pct"/>
            <w:shd w:val="clear" w:color="auto" w:fill="auto"/>
            <w:vAlign w:val="center"/>
          </w:tcPr>
          <w:p w14:paraId="4E56A698" w14:textId="77777777" w:rsidR="00DF3E10" w:rsidRDefault="00DF3E10">
            <w:pPr>
              <w:rPr>
                <w:rFonts w:ascii="Times New Roman" w:hAnsi="Times New Roman"/>
                <w:sz w:val="20"/>
                <w:szCs w:val="20"/>
              </w:rPr>
            </w:pPr>
          </w:p>
        </w:tc>
        <w:tc>
          <w:tcPr>
            <w:tcW w:w="650" w:type="pct"/>
            <w:shd w:val="clear" w:color="auto" w:fill="auto"/>
            <w:vAlign w:val="center"/>
          </w:tcPr>
          <w:p w14:paraId="4E56A699" w14:textId="77777777" w:rsidR="00DF3E10" w:rsidRDefault="00DF3E10">
            <w:pPr>
              <w:rPr>
                <w:rFonts w:ascii="Times New Roman" w:hAnsi="Times New Roman"/>
                <w:sz w:val="20"/>
                <w:szCs w:val="20"/>
              </w:rPr>
            </w:pPr>
          </w:p>
        </w:tc>
        <w:tc>
          <w:tcPr>
            <w:tcW w:w="50" w:type="pct"/>
            <w:shd w:val="clear" w:color="auto" w:fill="auto"/>
            <w:vAlign w:val="center"/>
          </w:tcPr>
          <w:p w14:paraId="4E56A69A" w14:textId="77777777" w:rsidR="00DF3E10" w:rsidRDefault="00DF3E10">
            <w:pPr>
              <w:rPr>
                <w:rFonts w:ascii="Times New Roman" w:hAnsi="Times New Roman"/>
                <w:sz w:val="20"/>
                <w:szCs w:val="20"/>
              </w:rPr>
            </w:pPr>
          </w:p>
        </w:tc>
        <w:tc>
          <w:tcPr>
            <w:tcW w:w="50" w:type="pct"/>
            <w:shd w:val="clear" w:color="auto" w:fill="auto"/>
            <w:vAlign w:val="center"/>
          </w:tcPr>
          <w:p w14:paraId="4E56A69B" w14:textId="77777777" w:rsidR="00DF3E10" w:rsidRDefault="00DF3E10">
            <w:pPr>
              <w:rPr>
                <w:rFonts w:ascii="Times New Roman" w:hAnsi="Times New Roman"/>
                <w:sz w:val="20"/>
                <w:szCs w:val="20"/>
              </w:rPr>
            </w:pPr>
          </w:p>
        </w:tc>
        <w:tc>
          <w:tcPr>
            <w:tcW w:w="50" w:type="pct"/>
            <w:shd w:val="clear" w:color="auto" w:fill="auto"/>
            <w:vAlign w:val="center"/>
          </w:tcPr>
          <w:p w14:paraId="4E56A69C" w14:textId="77777777" w:rsidR="00DF3E10" w:rsidRDefault="00DF3E10">
            <w:pPr>
              <w:rPr>
                <w:rFonts w:ascii="Times New Roman" w:hAnsi="Times New Roman"/>
                <w:sz w:val="20"/>
                <w:szCs w:val="20"/>
              </w:rPr>
            </w:pPr>
          </w:p>
        </w:tc>
        <w:tc>
          <w:tcPr>
            <w:tcW w:w="650" w:type="pct"/>
            <w:shd w:val="clear" w:color="auto" w:fill="auto"/>
            <w:vAlign w:val="center"/>
          </w:tcPr>
          <w:p w14:paraId="4E56A69D" w14:textId="77777777" w:rsidR="00DF3E10" w:rsidRDefault="00DF3E10">
            <w:pPr>
              <w:rPr>
                <w:rFonts w:ascii="Times New Roman" w:hAnsi="Times New Roman"/>
                <w:sz w:val="20"/>
                <w:szCs w:val="20"/>
              </w:rPr>
            </w:pPr>
          </w:p>
        </w:tc>
        <w:tc>
          <w:tcPr>
            <w:tcW w:w="50" w:type="pct"/>
            <w:shd w:val="clear" w:color="auto" w:fill="auto"/>
            <w:vAlign w:val="center"/>
          </w:tcPr>
          <w:p w14:paraId="4E56A69E" w14:textId="77777777" w:rsidR="00DF3E10" w:rsidRDefault="00DF3E10">
            <w:pPr>
              <w:rPr>
                <w:rFonts w:ascii="Times New Roman" w:hAnsi="Times New Roman"/>
                <w:sz w:val="20"/>
                <w:szCs w:val="20"/>
              </w:rPr>
            </w:pPr>
          </w:p>
        </w:tc>
      </w:tr>
      <w:tr w:rsidR="00DF3E10" w14:paraId="4E56A6A2" w14:textId="77777777">
        <w:tc>
          <w:tcPr>
            <w:tcW w:w="0" w:type="auto"/>
            <w:shd w:val="clear" w:color="auto" w:fill="auto"/>
            <w:tcMar>
              <w:top w:w="40" w:type="dxa"/>
              <w:left w:w="40" w:type="dxa"/>
              <w:bottom w:w="40" w:type="dxa"/>
              <w:right w:w="40" w:type="dxa"/>
            </w:tcMar>
            <w:vAlign w:val="bottom"/>
          </w:tcPr>
          <w:p w14:paraId="4E56A6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4E56A6A1"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6A7" w14:textId="77777777">
        <w:tc>
          <w:tcPr>
            <w:tcW w:w="0" w:type="auto"/>
            <w:shd w:val="clear" w:color="auto" w:fill="auto"/>
            <w:tcMar>
              <w:top w:w="40" w:type="dxa"/>
              <w:left w:w="40" w:type="dxa"/>
              <w:bottom w:w="40" w:type="dxa"/>
              <w:right w:w="40" w:type="dxa"/>
            </w:tcMar>
            <w:vAlign w:val="bottom"/>
          </w:tcPr>
          <w:p w14:paraId="4E56A6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6A4"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6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E56A6A6" w14:textId="77777777" w:rsidR="00DF3E10" w:rsidRDefault="006B6C28">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DF3E10" w14:paraId="4E56A6AC" w14:textId="77777777">
        <w:tc>
          <w:tcPr>
            <w:tcW w:w="0" w:type="auto"/>
            <w:shd w:val="clear" w:color="auto" w:fill="CCEEFF"/>
            <w:tcMar>
              <w:top w:w="40" w:type="dxa"/>
              <w:left w:w="40" w:type="dxa"/>
              <w:bottom w:w="40" w:type="dxa"/>
              <w:right w:w="40" w:type="dxa"/>
            </w:tcMar>
          </w:tcPr>
          <w:p w14:paraId="4E56A6A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Cash paid for amounts included in the </w:t>
            </w:r>
            <w:r>
              <w:rPr>
                <w:rFonts w:ascii="Times New Roman" w:eastAsia="宋体" w:hAnsi="Times New Roman"/>
                <w:sz w:val="20"/>
                <w:szCs w:val="20"/>
              </w:rPr>
              <w:t>measurement of lease liabilities:</w:t>
            </w:r>
          </w:p>
        </w:tc>
        <w:tc>
          <w:tcPr>
            <w:tcW w:w="0" w:type="auto"/>
            <w:gridSpan w:val="3"/>
            <w:shd w:val="clear" w:color="auto" w:fill="CCEEFF"/>
            <w:tcMar>
              <w:top w:w="40" w:type="dxa"/>
              <w:left w:w="40" w:type="dxa"/>
              <w:bottom w:w="40" w:type="dxa"/>
              <w:right w:w="40" w:type="dxa"/>
            </w:tcMar>
            <w:vAlign w:val="bottom"/>
          </w:tcPr>
          <w:p w14:paraId="4E56A6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6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6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6B5" w14:textId="77777777">
        <w:tc>
          <w:tcPr>
            <w:tcW w:w="0" w:type="auto"/>
            <w:shd w:val="clear" w:color="auto" w:fill="auto"/>
            <w:tcMar>
              <w:top w:w="40" w:type="dxa"/>
              <w:left w:w="240" w:type="dxa"/>
              <w:bottom w:w="40" w:type="dxa"/>
              <w:right w:w="40" w:type="dxa"/>
            </w:tcMar>
          </w:tcPr>
          <w:p w14:paraId="4E56A6A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Operating cash flows from operating leases</w:t>
            </w:r>
          </w:p>
        </w:tc>
        <w:tc>
          <w:tcPr>
            <w:tcW w:w="0" w:type="auto"/>
            <w:shd w:val="clear" w:color="auto" w:fill="auto"/>
            <w:tcMar>
              <w:top w:w="40" w:type="dxa"/>
              <w:left w:w="40" w:type="dxa"/>
              <w:bottom w:w="40" w:type="dxa"/>
            </w:tcMar>
          </w:tcPr>
          <w:p w14:paraId="4E56A6A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AF"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572</w:t>
            </w:r>
          </w:p>
        </w:tc>
        <w:tc>
          <w:tcPr>
            <w:tcW w:w="0" w:type="auto"/>
            <w:shd w:val="clear" w:color="auto" w:fill="auto"/>
            <w:vAlign w:val="bottom"/>
          </w:tcPr>
          <w:p w14:paraId="4E56A6B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6B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B3"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4E56A6B4" w14:textId="77777777" w:rsidR="00DF3E10" w:rsidRDefault="00DF3E10">
            <w:pPr>
              <w:textAlignment w:val="bottom"/>
              <w:rPr>
                <w:rFonts w:ascii="Times New Roman" w:hAnsi="Times New Roman"/>
                <w:sz w:val="20"/>
                <w:szCs w:val="20"/>
              </w:rPr>
            </w:pPr>
          </w:p>
        </w:tc>
      </w:tr>
      <w:tr w:rsidR="00DF3E10" w14:paraId="4E56A6BE" w14:textId="77777777">
        <w:tc>
          <w:tcPr>
            <w:tcW w:w="0" w:type="auto"/>
            <w:shd w:val="clear" w:color="auto" w:fill="CCEEFF"/>
            <w:tcMar>
              <w:top w:w="40" w:type="dxa"/>
              <w:left w:w="240" w:type="dxa"/>
              <w:bottom w:w="40" w:type="dxa"/>
              <w:right w:w="40" w:type="dxa"/>
            </w:tcMar>
          </w:tcPr>
          <w:p w14:paraId="4E56A6B6"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Operating cash flows from finance leases</w:t>
            </w:r>
          </w:p>
        </w:tc>
        <w:tc>
          <w:tcPr>
            <w:tcW w:w="0" w:type="auto"/>
            <w:shd w:val="clear" w:color="auto" w:fill="CCEEFF"/>
            <w:tcMar>
              <w:top w:w="40" w:type="dxa"/>
              <w:left w:w="40" w:type="dxa"/>
              <w:bottom w:w="40" w:type="dxa"/>
            </w:tcMar>
          </w:tcPr>
          <w:p w14:paraId="4E56A6B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B8"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4E56A6B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B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E56A6B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BC"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4E56A6BD" w14:textId="77777777" w:rsidR="00DF3E10" w:rsidRDefault="00DF3E10">
            <w:pPr>
              <w:textAlignment w:val="bottom"/>
              <w:rPr>
                <w:rFonts w:ascii="Times New Roman" w:hAnsi="Times New Roman"/>
                <w:sz w:val="20"/>
                <w:szCs w:val="20"/>
              </w:rPr>
            </w:pPr>
          </w:p>
        </w:tc>
      </w:tr>
      <w:tr w:rsidR="00DF3E10" w14:paraId="4E56A6C7" w14:textId="77777777">
        <w:tc>
          <w:tcPr>
            <w:tcW w:w="0" w:type="auto"/>
            <w:shd w:val="clear" w:color="auto" w:fill="auto"/>
            <w:tcMar>
              <w:top w:w="40" w:type="dxa"/>
              <w:left w:w="240" w:type="dxa"/>
              <w:bottom w:w="40" w:type="dxa"/>
              <w:right w:w="40" w:type="dxa"/>
            </w:tcMar>
          </w:tcPr>
          <w:p w14:paraId="4E56A6B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Financing cash flows from finance leases</w:t>
            </w:r>
          </w:p>
        </w:tc>
        <w:tc>
          <w:tcPr>
            <w:tcW w:w="0" w:type="auto"/>
            <w:shd w:val="clear" w:color="auto" w:fill="auto"/>
            <w:tcMar>
              <w:top w:w="40" w:type="dxa"/>
              <w:left w:w="40" w:type="dxa"/>
              <w:bottom w:w="40" w:type="dxa"/>
            </w:tcMar>
          </w:tcPr>
          <w:p w14:paraId="4E56A6C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C1"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209</w:t>
            </w:r>
          </w:p>
        </w:tc>
        <w:tc>
          <w:tcPr>
            <w:tcW w:w="0" w:type="auto"/>
            <w:shd w:val="clear" w:color="auto" w:fill="auto"/>
            <w:vAlign w:val="bottom"/>
          </w:tcPr>
          <w:p w14:paraId="4E56A6C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6C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C5"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267</w:t>
            </w:r>
          </w:p>
        </w:tc>
        <w:tc>
          <w:tcPr>
            <w:tcW w:w="0" w:type="auto"/>
            <w:shd w:val="clear" w:color="auto" w:fill="auto"/>
            <w:vAlign w:val="bottom"/>
          </w:tcPr>
          <w:p w14:paraId="4E56A6C6" w14:textId="77777777" w:rsidR="00DF3E10" w:rsidRDefault="00DF3E10">
            <w:pPr>
              <w:textAlignment w:val="bottom"/>
              <w:rPr>
                <w:rFonts w:ascii="Times New Roman" w:hAnsi="Times New Roman"/>
                <w:sz w:val="20"/>
                <w:szCs w:val="20"/>
              </w:rPr>
            </w:pPr>
          </w:p>
        </w:tc>
      </w:tr>
      <w:tr w:rsidR="00DF3E10" w14:paraId="4E56A6CC" w14:textId="77777777">
        <w:tc>
          <w:tcPr>
            <w:tcW w:w="0" w:type="auto"/>
            <w:shd w:val="clear" w:color="auto" w:fill="CCEEFF"/>
            <w:tcMar>
              <w:top w:w="40" w:type="dxa"/>
              <w:left w:w="40" w:type="dxa"/>
              <w:bottom w:w="40" w:type="dxa"/>
              <w:right w:w="40" w:type="dxa"/>
            </w:tcMar>
          </w:tcPr>
          <w:p w14:paraId="4E56A6C8"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xml:space="preserve">Lease liabilities </w:t>
            </w:r>
            <w:r>
              <w:rPr>
                <w:rFonts w:ascii="Times New Roman" w:eastAsia="宋体" w:hAnsi="Times New Roman"/>
                <w:sz w:val="20"/>
                <w:szCs w:val="20"/>
                <w:shd w:val="clear" w:color="auto" w:fill="CCEEFF"/>
              </w:rPr>
              <w:t>arising from obtaining right-of-use assets:</w:t>
            </w:r>
          </w:p>
        </w:tc>
        <w:tc>
          <w:tcPr>
            <w:tcW w:w="0" w:type="auto"/>
            <w:gridSpan w:val="3"/>
            <w:shd w:val="clear" w:color="auto" w:fill="CCEEFF"/>
            <w:tcMar>
              <w:top w:w="40" w:type="dxa"/>
              <w:left w:w="40" w:type="dxa"/>
              <w:bottom w:w="40" w:type="dxa"/>
              <w:right w:w="40" w:type="dxa"/>
            </w:tcMar>
            <w:vAlign w:val="bottom"/>
          </w:tcPr>
          <w:p w14:paraId="4E56A6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E56A6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E56A6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6D5" w14:textId="77777777">
        <w:tc>
          <w:tcPr>
            <w:tcW w:w="0" w:type="auto"/>
            <w:shd w:val="clear" w:color="auto" w:fill="auto"/>
            <w:tcMar>
              <w:top w:w="40" w:type="dxa"/>
              <w:left w:w="240" w:type="dxa"/>
              <w:bottom w:w="40" w:type="dxa"/>
              <w:right w:w="40" w:type="dxa"/>
            </w:tcMar>
          </w:tcPr>
          <w:p w14:paraId="4E56A6C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shd w:val="clear" w:color="auto" w:fill="auto"/>
            <w:tcMar>
              <w:top w:w="40" w:type="dxa"/>
              <w:left w:w="40" w:type="dxa"/>
              <w:bottom w:w="40" w:type="dxa"/>
            </w:tcMar>
          </w:tcPr>
          <w:p w14:paraId="4E56A6C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CF"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689</w:t>
            </w:r>
          </w:p>
        </w:tc>
        <w:tc>
          <w:tcPr>
            <w:tcW w:w="0" w:type="auto"/>
            <w:shd w:val="clear" w:color="auto" w:fill="auto"/>
            <w:vAlign w:val="bottom"/>
          </w:tcPr>
          <w:p w14:paraId="4E56A6D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6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A6D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4E56A6D3"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2,203</w:t>
            </w:r>
          </w:p>
        </w:tc>
        <w:tc>
          <w:tcPr>
            <w:tcW w:w="0" w:type="auto"/>
            <w:shd w:val="clear" w:color="auto" w:fill="auto"/>
            <w:vAlign w:val="bottom"/>
          </w:tcPr>
          <w:p w14:paraId="4E56A6D4" w14:textId="77777777" w:rsidR="00DF3E10" w:rsidRDefault="00DF3E10">
            <w:pPr>
              <w:textAlignment w:val="bottom"/>
              <w:rPr>
                <w:rFonts w:ascii="Times New Roman" w:hAnsi="Times New Roman"/>
                <w:sz w:val="20"/>
                <w:szCs w:val="20"/>
              </w:rPr>
            </w:pPr>
          </w:p>
        </w:tc>
      </w:tr>
      <w:tr w:rsidR="00DF3E10" w14:paraId="4E56A6DE" w14:textId="77777777">
        <w:tc>
          <w:tcPr>
            <w:tcW w:w="0" w:type="auto"/>
            <w:shd w:val="clear" w:color="auto" w:fill="CCEEFF"/>
            <w:tcMar>
              <w:top w:w="40" w:type="dxa"/>
              <w:left w:w="240" w:type="dxa"/>
              <w:bottom w:w="40" w:type="dxa"/>
              <w:right w:w="40" w:type="dxa"/>
            </w:tcMar>
          </w:tcPr>
          <w:p w14:paraId="4E56A6D6" w14:textId="77777777" w:rsidR="00DF3E10" w:rsidRDefault="006B6C28">
            <w:pPr>
              <w:textAlignment w:val="top"/>
              <w:rPr>
                <w:rFonts w:ascii="Times New Roman" w:hAnsi="Times New Roman"/>
                <w:sz w:val="20"/>
                <w:szCs w:val="20"/>
              </w:rPr>
            </w:pPr>
            <w:r>
              <w:rPr>
                <w:rFonts w:ascii="Times New Roman" w:eastAsia="宋体" w:hAnsi="Times New Roman"/>
                <w:sz w:val="20"/>
                <w:szCs w:val="20"/>
                <w:shd w:val="clear" w:color="auto" w:fill="CCEEFF"/>
              </w:rPr>
              <w:t>     Finance leases</w:t>
            </w:r>
          </w:p>
        </w:tc>
        <w:tc>
          <w:tcPr>
            <w:tcW w:w="0" w:type="auto"/>
            <w:shd w:val="clear" w:color="auto" w:fill="CCEEFF"/>
            <w:tcMar>
              <w:top w:w="40" w:type="dxa"/>
              <w:left w:w="40" w:type="dxa"/>
              <w:bottom w:w="40" w:type="dxa"/>
            </w:tcMar>
          </w:tcPr>
          <w:p w14:paraId="4E56A6D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D8"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vAlign w:val="bottom"/>
          </w:tcPr>
          <w:p w14:paraId="4E56A6D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6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E56A6D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A6DC"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75</w:t>
            </w:r>
          </w:p>
        </w:tc>
        <w:tc>
          <w:tcPr>
            <w:tcW w:w="0" w:type="auto"/>
            <w:shd w:val="clear" w:color="auto" w:fill="CCEEFF"/>
            <w:vAlign w:val="bottom"/>
          </w:tcPr>
          <w:p w14:paraId="4E56A6DD" w14:textId="77777777" w:rsidR="00DF3E10" w:rsidRDefault="00DF3E10">
            <w:pPr>
              <w:textAlignment w:val="bottom"/>
              <w:rPr>
                <w:rFonts w:ascii="Times New Roman" w:hAnsi="Times New Roman"/>
                <w:sz w:val="20"/>
                <w:szCs w:val="20"/>
              </w:rPr>
            </w:pPr>
          </w:p>
        </w:tc>
      </w:tr>
    </w:tbl>
    <w:p w14:paraId="4E56A6DF" w14:textId="77777777" w:rsidR="00DF3E10" w:rsidRDefault="00DF3E10">
      <w:pPr>
        <w:spacing w:line="288" w:lineRule="auto"/>
        <w:rPr>
          <w:rFonts w:ascii="Times New Roman" w:hAnsi="Times New Roman"/>
          <w:sz w:val="20"/>
          <w:szCs w:val="20"/>
        </w:rPr>
      </w:pPr>
    </w:p>
    <w:p w14:paraId="4E56A6E0" w14:textId="77777777" w:rsidR="00DF3E10" w:rsidRDefault="00DF3E10">
      <w:pPr>
        <w:spacing w:line="288" w:lineRule="auto"/>
        <w:rPr>
          <w:rFonts w:ascii="Times New Roman" w:hAnsi="Times New Roman"/>
          <w:sz w:val="20"/>
          <w:szCs w:val="20"/>
        </w:rPr>
      </w:pPr>
    </w:p>
    <w:p w14:paraId="4E56A6E1"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8. Goodwill and Intangible Assets</w:t>
      </w:r>
    </w:p>
    <w:p w14:paraId="4E56A6E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During the six months ended June 30, 2020, we completed several business acquisitions that were not material to our condensed consolidated financial statements, either individually or in the aggregate. Accordingly, pro forma historical results of operation</w:t>
      </w:r>
      <w:r>
        <w:rPr>
          <w:rFonts w:ascii="Times New Roman" w:eastAsia="宋体" w:hAnsi="Times New Roman"/>
          <w:sz w:val="20"/>
          <w:szCs w:val="20"/>
        </w:rPr>
        <w:t>s related to these business acquisitions during the six months ended June 30, 2020 have not been presented. We have included the financial results of these business acquisitions in our condensed consolidated financial statements from their respective dates</w:t>
      </w:r>
      <w:r>
        <w:rPr>
          <w:rFonts w:ascii="Times New Roman" w:eastAsia="宋体" w:hAnsi="Times New Roman"/>
          <w:sz w:val="20"/>
          <w:szCs w:val="20"/>
        </w:rPr>
        <w:t xml:space="preserve"> of acquisition. </w:t>
      </w:r>
    </w:p>
    <w:p w14:paraId="4E56A6E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changes in the carrying amount of goodwill for the six months ended June 30, 2020 are as follows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DF3E10" w14:paraId="4E56A6E5" w14:textId="77777777">
        <w:tc>
          <w:tcPr>
            <w:tcW w:w="0" w:type="auto"/>
            <w:gridSpan w:val="4"/>
            <w:shd w:val="clear" w:color="auto" w:fill="auto"/>
            <w:vAlign w:val="center"/>
          </w:tcPr>
          <w:p w14:paraId="4E56A6E4" w14:textId="77777777" w:rsidR="00DF3E10" w:rsidRDefault="00DF3E10">
            <w:pPr>
              <w:rPr>
                <w:rFonts w:ascii="Times New Roman" w:hAnsi="Times New Roman"/>
                <w:sz w:val="20"/>
                <w:szCs w:val="20"/>
              </w:rPr>
            </w:pPr>
          </w:p>
        </w:tc>
      </w:tr>
      <w:tr w:rsidR="00DF3E10" w14:paraId="4E56A6EA" w14:textId="77777777">
        <w:tc>
          <w:tcPr>
            <w:tcW w:w="4250" w:type="pct"/>
            <w:shd w:val="clear" w:color="auto" w:fill="auto"/>
            <w:vAlign w:val="center"/>
          </w:tcPr>
          <w:p w14:paraId="4E56A6E6" w14:textId="77777777" w:rsidR="00DF3E10" w:rsidRDefault="00DF3E10">
            <w:pPr>
              <w:rPr>
                <w:rFonts w:ascii="Times New Roman" w:hAnsi="Times New Roman"/>
                <w:sz w:val="20"/>
                <w:szCs w:val="20"/>
              </w:rPr>
            </w:pPr>
          </w:p>
        </w:tc>
        <w:tc>
          <w:tcPr>
            <w:tcW w:w="50" w:type="pct"/>
            <w:shd w:val="clear" w:color="auto" w:fill="auto"/>
            <w:vAlign w:val="center"/>
          </w:tcPr>
          <w:p w14:paraId="4E56A6E7" w14:textId="77777777" w:rsidR="00DF3E10" w:rsidRDefault="00DF3E10">
            <w:pPr>
              <w:rPr>
                <w:rFonts w:ascii="Times New Roman" w:hAnsi="Times New Roman"/>
                <w:sz w:val="20"/>
                <w:szCs w:val="20"/>
              </w:rPr>
            </w:pPr>
          </w:p>
        </w:tc>
        <w:tc>
          <w:tcPr>
            <w:tcW w:w="650" w:type="pct"/>
            <w:shd w:val="clear" w:color="auto" w:fill="auto"/>
            <w:vAlign w:val="center"/>
          </w:tcPr>
          <w:p w14:paraId="4E56A6E8" w14:textId="77777777" w:rsidR="00DF3E10" w:rsidRDefault="00DF3E10">
            <w:pPr>
              <w:rPr>
                <w:rFonts w:ascii="Times New Roman" w:hAnsi="Times New Roman"/>
                <w:sz w:val="20"/>
                <w:szCs w:val="20"/>
              </w:rPr>
            </w:pPr>
          </w:p>
        </w:tc>
        <w:tc>
          <w:tcPr>
            <w:tcW w:w="50" w:type="pct"/>
            <w:shd w:val="clear" w:color="auto" w:fill="auto"/>
            <w:vAlign w:val="center"/>
          </w:tcPr>
          <w:p w14:paraId="4E56A6E9" w14:textId="77777777" w:rsidR="00DF3E10" w:rsidRDefault="00DF3E10">
            <w:pPr>
              <w:rPr>
                <w:rFonts w:ascii="Times New Roman" w:hAnsi="Times New Roman"/>
                <w:sz w:val="20"/>
                <w:szCs w:val="20"/>
              </w:rPr>
            </w:pPr>
          </w:p>
        </w:tc>
      </w:tr>
      <w:tr w:rsidR="00DF3E10" w14:paraId="4E56A6EF" w14:textId="77777777">
        <w:tc>
          <w:tcPr>
            <w:tcW w:w="0" w:type="auto"/>
            <w:shd w:val="clear" w:color="auto" w:fill="CCEEFF"/>
            <w:tcMar>
              <w:top w:w="40" w:type="dxa"/>
              <w:left w:w="40" w:type="dxa"/>
              <w:bottom w:w="40" w:type="dxa"/>
              <w:right w:w="40" w:type="dxa"/>
            </w:tcMar>
            <w:vAlign w:val="bottom"/>
          </w:tcPr>
          <w:p w14:paraId="4E56A6E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Balance as of December 31, 2019</w:t>
            </w:r>
          </w:p>
        </w:tc>
        <w:tc>
          <w:tcPr>
            <w:tcW w:w="0" w:type="auto"/>
            <w:shd w:val="clear" w:color="auto" w:fill="CCEEFF"/>
            <w:tcMar>
              <w:top w:w="40" w:type="dxa"/>
              <w:left w:w="40" w:type="dxa"/>
              <w:bottom w:w="40" w:type="dxa"/>
            </w:tcMar>
            <w:vAlign w:val="bottom"/>
          </w:tcPr>
          <w:p w14:paraId="4E56A6E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6E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4E56A6EE" w14:textId="77777777" w:rsidR="00DF3E10" w:rsidRDefault="00DF3E10">
            <w:pPr>
              <w:textAlignment w:val="bottom"/>
              <w:rPr>
                <w:rFonts w:ascii="Times New Roman" w:hAnsi="Times New Roman"/>
                <w:sz w:val="20"/>
                <w:szCs w:val="20"/>
              </w:rPr>
            </w:pPr>
          </w:p>
        </w:tc>
      </w:tr>
      <w:tr w:rsidR="00DF3E10" w14:paraId="4E56A6F3" w14:textId="77777777">
        <w:tc>
          <w:tcPr>
            <w:tcW w:w="0" w:type="auto"/>
            <w:shd w:val="clear" w:color="auto" w:fill="auto"/>
            <w:tcMar>
              <w:top w:w="40" w:type="dxa"/>
              <w:left w:w="40" w:type="dxa"/>
              <w:bottom w:w="40" w:type="dxa"/>
              <w:right w:w="40" w:type="dxa"/>
            </w:tcMar>
            <w:vAlign w:val="bottom"/>
          </w:tcPr>
          <w:p w14:paraId="4E56A6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Goodwill acquired</w:t>
            </w:r>
          </w:p>
        </w:tc>
        <w:tc>
          <w:tcPr>
            <w:tcW w:w="0" w:type="auto"/>
            <w:gridSpan w:val="2"/>
            <w:shd w:val="clear" w:color="auto" w:fill="auto"/>
            <w:tcMar>
              <w:top w:w="40" w:type="dxa"/>
              <w:left w:w="40" w:type="dxa"/>
              <w:bottom w:w="40" w:type="dxa"/>
            </w:tcMar>
            <w:vAlign w:val="bottom"/>
          </w:tcPr>
          <w:p w14:paraId="4E56A6F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314</w:t>
            </w:r>
          </w:p>
        </w:tc>
        <w:tc>
          <w:tcPr>
            <w:tcW w:w="0" w:type="auto"/>
            <w:shd w:val="clear" w:color="auto" w:fill="auto"/>
            <w:vAlign w:val="bottom"/>
          </w:tcPr>
          <w:p w14:paraId="4E56A6F2" w14:textId="77777777" w:rsidR="00DF3E10" w:rsidRDefault="00DF3E10">
            <w:pPr>
              <w:textAlignment w:val="bottom"/>
              <w:rPr>
                <w:rFonts w:ascii="Times New Roman" w:hAnsi="Times New Roman"/>
                <w:sz w:val="20"/>
                <w:szCs w:val="20"/>
              </w:rPr>
            </w:pPr>
          </w:p>
        </w:tc>
      </w:tr>
      <w:tr w:rsidR="00DF3E10" w14:paraId="4E56A6F8" w14:textId="77777777">
        <w:tc>
          <w:tcPr>
            <w:tcW w:w="0" w:type="auto"/>
            <w:shd w:val="clear" w:color="auto" w:fill="CCEEFF"/>
            <w:tcMar>
              <w:top w:w="40" w:type="dxa"/>
              <w:left w:w="40" w:type="dxa"/>
              <w:bottom w:w="40" w:type="dxa"/>
              <w:right w:w="40" w:type="dxa"/>
            </w:tcMar>
            <w:vAlign w:val="bottom"/>
          </w:tcPr>
          <w:p w14:paraId="4E56A6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Balance as of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6F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6F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19,029</w:t>
            </w:r>
          </w:p>
        </w:tc>
        <w:tc>
          <w:tcPr>
            <w:tcW w:w="0" w:type="auto"/>
            <w:tcBorders>
              <w:top w:val="single" w:sz="8" w:space="0" w:color="000000"/>
              <w:bottom w:val="double" w:sz="6" w:space="0" w:color="000000"/>
            </w:tcBorders>
            <w:shd w:val="clear" w:color="auto" w:fill="CCEEFF"/>
            <w:vAlign w:val="bottom"/>
          </w:tcPr>
          <w:p w14:paraId="4E56A6F7" w14:textId="77777777" w:rsidR="00DF3E10" w:rsidRDefault="00DF3E10">
            <w:pPr>
              <w:textAlignment w:val="bottom"/>
              <w:rPr>
                <w:rFonts w:ascii="Times New Roman" w:hAnsi="Times New Roman"/>
                <w:sz w:val="20"/>
                <w:szCs w:val="20"/>
              </w:rPr>
            </w:pPr>
          </w:p>
        </w:tc>
      </w:tr>
    </w:tbl>
    <w:p w14:paraId="4E56A6F9" w14:textId="77777777" w:rsidR="00DF3E10" w:rsidRDefault="00DF3E10">
      <w:pPr>
        <w:rPr>
          <w:rFonts w:ascii="Times New Roman" w:hAnsi="Times New Roman"/>
          <w:sz w:val="20"/>
          <w:szCs w:val="20"/>
        </w:rPr>
      </w:pPr>
    </w:p>
    <w:p w14:paraId="4E56A6F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21</w:t>
      </w:r>
    </w:p>
    <w:p w14:paraId="4E56A6FB" w14:textId="77777777" w:rsidR="00DF3E10" w:rsidRDefault="006B6C28">
      <w:r>
        <w:rPr>
          <w:rFonts w:ascii="Times New Roman" w:hAnsi="Times New Roman"/>
          <w:sz w:val="20"/>
          <w:szCs w:val="20"/>
        </w:rPr>
        <w:pict w14:anchorId="4E56B762">
          <v:rect id="_x0000_i1045" style="width:415.3pt;height:1.5pt" o:hralign="center" o:hrstd="t" o:hr="t" fillcolor="#a0a0a0" stroked="f"/>
        </w:pict>
      </w:r>
    </w:p>
    <w:p w14:paraId="4E56A6FC" w14:textId="77777777" w:rsidR="00DF3E10" w:rsidRDefault="006B6C28">
      <w:pPr>
        <w:spacing w:line="288" w:lineRule="auto"/>
        <w:rPr>
          <w:rFonts w:ascii="Times New Roman" w:hAnsi="Times New Roman"/>
          <w:sz w:val="20"/>
          <w:szCs w:val="20"/>
        </w:rPr>
      </w:pPr>
      <w:hyperlink r:id="rId62" w:anchor="sC1FF62F0D4D85317B5B2C71C7C94F269" w:history="1">
        <w:r>
          <w:rPr>
            <w:rStyle w:val="a5"/>
            <w:rFonts w:ascii="Times New Roman" w:eastAsia="宋体" w:hAnsi="Times New Roman"/>
            <w:sz w:val="20"/>
            <w:szCs w:val="20"/>
          </w:rPr>
          <w:t>Table of Contents</w:t>
        </w:r>
      </w:hyperlink>
    </w:p>
    <w:p w14:paraId="4E56A6FD" w14:textId="77777777" w:rsidR="00DF3E10" w:rsidRDefault="00DF3E10">
      <w:pPr>
        <w:rPr>
          <w:rFonts w:ascii="Times New Roman" w:hAnsi="Times New Roman"/>
          <w:sz w:val="20"/>
          <w:szCs w:val="20"/>
        </w:rPr>
      </w:pPr>
    </w:p>
    <w:p w14:paraId="4E56A6F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the major categories of the intangible assets and the</w:t>
      </w:r>
      <w:r>
        <w:rPr>
          <w:rFonts w:ascii="Times New Roman" w:eastAsia="宋体" w:hAnsi="Times New Roman"/>
          <w:sz w:val="20"/>
          <w:szCs w:val="20"/>
        </w:rPr>
        <w:t xml:space="preserve"> weighted</w:t>
      </w:r>
      <w:r>
        <w:rPr>
          <w:rFonts w:ascii="Times New Roman" w:eastAsia="宋体" w:hAnsi="Times New Roman"/>
          <w:sz w:val="20"/>
          <w:szCs w:val="20"/>
        </w:rPr>
        <w:noBreakHyphen/>
        <w:t>average remaining useful lives for those assets that are not already fully amortized (in millions):</w:t>
      </w:r>
    </w:p>
    <w:tbl>
      <w:tblPr>
        <w:tblW w:w="5000" w:type="pct"/>
        <w:tblCellMar>
          <w:left w:w="0" w:type="dxa"/>
          <w:right w:w="0" w:type="dxa"/>
        </w:tblCellMar>
        <w:tblLook w:val="04A0" w:firstRow="1" w:lastRow="0" w:firstColumn="1" w:lastColumn="0" w:noHBand="0" w:noVBand="1"/>
      </w:tblPr>
      <w:tblGrid>
        <w:gridCol w:w="960"/>
        <w:gridCol w:w="1347"/>
        <w:gridCol w:w="130"/>
        <w:gridCol w:w="140"/>
        <w:gridCol w:w="563"/>
        <w:gridCol w:w="70"/>
        <w:gridCol w:w="129"/>
        <w:gridCol w:w="139"/>
        <w:gridCol w:w="821"/>
        <w:gridCol w:w="106"/>
        <w:gridCol w:w="129"/>
        <w:gridCol w:w="140"/>
        <w:gridCol w:w="563"/>
        <w:gridCol w:w="70"/>
        <w:gridCol w:w="129"/>
        <w:gridCol w:w="140"/>
        <w:gridCol w:w="563"/>
        <w:gridCol w:w="70"/>
        <w:gridCol w:w="129"/>
        <w:gridCol w:w="139"/>
        <w:gridCol w:w="821"/>
        <w:gridCol w:w="106"/>
        <w:gridCol w:w="129"/>
        <w:gridCol w:w="140"/>
        <w:gridCol w:w="563"/>
        <w:gridCol w:w="70"/>
      </w:tblGrid>
      <w:tr w:rsidR="00DF3E10" w14:paraId="4E56A700" w14:textId="77777777">
        <w:tc>
          <w:tcPr>
            <w:tcW w:w="0" w:type="auto"/>
            <w:gridSpan w:val="26"/>
            <w:shd w:val="clear" w:color="auto" w:fill="auto"/>
            <w:vAlign w:val="center"/>
          </w:tcPr>
          <w:p w14:paraId="4E56A6FF" w14:textId="77777777" w:rsidR="00DF3E10" w:rsidRDefault="00DF3E10">
            <w:pPr>
              <w:rPr>
                <w:rFonts w:ascii="Times New Roman" w:hAnsi="Times New Roman"/>
                <w:sz w:val="20"/>
                <w:szCs w:val="20"/>
              </w:rPr>
            </w:pPr>
          </w:p>
        </w:tc>
      </w:tr>
      <w:tr w:rsidR="00DF3E10" w14:paraId="4E56A71B" w14:textId="77777777">
        <w:tc>
          <w:tcPr>
            <w:tcW w:w="900" w:type="pct"/>
            <w:shd w:val="clear" w:color="auto" w:fill="auto"/>
            <w:vAlign w:val="center"/>
          </w:tcPr>
          <w:p w14:paraId="4E56A701" w14:textId="77777777" w:rsidR="00DF3E10" w:rsidRDefault="00DF3E10">
            <w:pPr>
              <w:rPr>
                <w:rFonts w:ascii="Times New Roman" w:hAnsi="Times New Roman"/>
                <w:sz w:val="20"/>
                <w:szCs w:val="20"/>
              </w:rPr>
            </w:pPr>
          </w:p>
        </w:tc>
        <w:tc>
          <w:tcPr>
            <w:tcW w:w="600" w:type="pct"/>
            <w:shd w:val="clear" w:color="auto" w:fill="auto"/>
            <w:vAlign w:val="center"/>
          </w:tcPr>
          <w:p w14:paraId="4E56A702" w14:textId="77777777" w:rsidR="00DF3E10" w:rsidRDefault="00DF3E10">
            <w:pPr>
              <w:rPr>
                <w:rFonts w:ascii="Times New Roman" w:hAnsi="Times New Roman"/>
                <w:sz w:val="20"/>
                <w:szCs w:val="20"/>
              </w:rPr>
            </w:pPr>
          </w:p>
        </w:tc>
        <w:tc>
          <w:tcPr>
            <w:tcW w:w="50" w:type="pct"/>
            <w:shd w:val="clear" w:color="auto" w:fill="auto"/>
            <w:vAlign w:val="center"/>
          </w:tcPr>
          <w:p w14:paraId="4E56A703" w14:textId="77777777" w:rsidR="00DF3E10" w:rsidRDefault="00DF3E10">
            <w:pPr>
              <w:rPr>
                <w:rFonts w:ascii="Times New Roman" w:hAnsi="Times New Roman"/>
                <w:sz w:val="20"/>
                <w:szCs w:val="20"/>
              </w:rPr>
            </w:pPr>
          </w:p>
        </w:tc>
        <w:tc>
          <w:tcPr>
            <w:tcW w:w="50" w:type="pct"/>
            <w:shd w:val="clear" w:color="auto" w:fill="auto"/>
            <w:vAlign w:val="center"/>
          </w:tcPr>
          <w:p w14:paraId="4E56A704" w14:textId="77777777" w:rsidR="00DF3E10" w:rsidRDefault="00DF3E10">
            <w:pPr>
              <w:rPr>
                <w:rFonts w:ascii="Times New Roman" w:hAnsi="Times New Roman"/>
                <w:sz w:val="20"/>
                <w:szCs w:val="20"/>
              </w:rPr>
            </w:pPr>
          </w:p>
        </w:tc>
        <w:tc>
          <w:tcPr>
            <w:tcW w:w="400" w:type="pct"/>
            <w:shd w:val="clear" w:color="auto" w:fill="auto"/>
            <w:vAlign w:val="center"/>
          </w:tcPr>
          <w:p w14:paraId="4E56A705" w14:textId="77777777" w:rsidR="00DF3E10" w:rsidRDefault="00DF3E10">
            <w:pPr>
              <w:rPr>
                <w:rFonts w:ascii="Times New Roman" w:hAnsi="Times New Roman"/>
                <w:sz w:val="20"/>
                <w:szCs w:val="20"/>
              </w:rPr>
            </w:pPr>
          </w:p>
        </w:tc>
        <w:tc>
          <w:tcPr>
            <w:tcW w:w="50" w:type="pct"/>
            <w:shd w:val="clear" w:color="auto" w:fill="auto"/>
            <w:vAlign w:val="center"/>
          </w:tcPr>
          <w:p w14:paraId="4E56A706" w14:textId="77777777" w:rsidR="00DF3E10" w:rsidRDefault="00DF3E10">
            <w:pPr>
              <w:rPr>
                <w:rFonts w:ascii="Times New Roman" w:hAnsi="Times New Roman"/>
                <w:sz w:val="20"/>
                <w:szCs w:val="20"/>
              </w:rPr>
            </w:pPr>
          </w:p>
        </w:tc>
        <w:tc>
          <w:tcPr>
            <w:tcW w:w="50" w:type="pct"/>
            <w:shd w:val="clear" w:color="auto" w:fill="auto"/>
            <w:vAlign w:val="center"/>
          </w:tcPr>
          <w:p w14:paraId="4E56A707" w14:textId="77777777" w:rsidR="00DF3E10" w:rsidRDefault="00DF3E10">
            <w:pPr>
              <w:rPr>
                <w:rFonts w:ascii="Times New Roman" w:hAnsi="Times New Roman"/>
                <w:sz w:val="20"/>
                <w:szCs w:val="20"/>
              </w:rPr>
            </w:pPr>
          </w:p>
        </w:tc>
        <w:tc>
          <w:tcPr>
            <w:tcW w:w="50" w:type="pct"/>
            <w:shd w:val="clear" w:color="auto" w:fill="auto"/>
            <w:vAlign w:val="center"/>
          </w:tcPr>
          <w:p w14:paraId="4E56A708" w14:textId="77777777" w:rsidR="00DF3E10" w:rsidRDefault="00DF3E10">
            <w:pPr>
              <w:rPr>
                <w:rFonts w:ascii="Times New Roman" w:hAnsi="Times New Roman"/>
                <w:sz w:val="20"/>
                <w:szCs w:val="20"/>
              </w:rPr>
            </w:pPr>
          </w:p>
        </w:tc>
        <w:tc>
          <w:tcPr>
            <w:tcW w:w="500" w:type="pct"/>
            <w:shd w:val="clear" w:color="auto" w:fill="auto"/>
            <w:vAlign w:val="center"/>
          </w:tcPr>
          <w:p w14:paraId="4E56A709" w14:textId="77777777" w:rsidR="00DF3E10" w:rsidRDefault="00DF3E10">
            <w:pPr>
              <w:rPr>
                <w:rFonts w:ascii="Times New Roman" w:hAnsi="Times New Roman"/>
                <w:sz w:val="20"/>
                <w:szCs w:val="20"/>
              </w:rPr>
            </w:pPr>
          </w:p>
        </w:tc>
        <w:tc>
          <w:tcPr>
            <w:tcW w:w="50" w:type="pct"/>
            <w:shd w:val="clear" w:color="auto" w:fill="auto"/>
            <w:vAlign w:val="center"/>
          </w:tcPr>
          <w:p w14:paraId="4E56A70A" w14:textId="77777777" w:rsidR="00DF3E10" w:rsidRDefault="00DF3E10">
            <w:pPr>
              <w:rPr>
                <w:rFonts w:ascii="Times New Roman" w:hAnsi="Times New Roman"/>
                <w:sz w:val="20"/>
                <w:szCs w:val="20"/>
              </w:rPr>
            </w:pPr>
          </w:p>
        </w:tc>
        <w:tc>
          <w:tcPr>
            <w:tcW w:w="50" w:type="pct"/>
            <w:shd w:val="clear" w:color="auto" w:fill="auto"/>
            <w:vAlign w:val="center"/>
          </w:tcPr>
          <w:p w14:paraId="4E56A70B" w14:textId="77777777" w:rsidR="00DF3E10" w:rsidRDefault="00DF3E10">
            <w:pPr>
              <w:rPr>
                <w:rFonts w:ascii="Times New Roman" w:hAnsi="Times New Roman"/>
                <w:sz w:val="20"/>
                <w:szCs w:val="20"/>
              </w:rPr>
            </w:pPr>
          </w:p>
        </w:tc>
        <w:tc>
          <w:tcPr>
            <w:tcW w:w="50" w:type="pct"/>
            <w:shd w:val="clear" w:color="auto" w:fill="auto"/>
            <w:vAlign w:val="center"/>
          </w:tcPr>
          <w:p w14:paraId="4E56A70C" w14:textId="77777777" w:rsidR="00DF3E10" w:rsidRDefault="00DF3E10">
            <w:pPr>
              <w:rPr>
                <w:rFonts w:ascii="Times New Roman" w:hAnsi="Times New Roman"/>
                <w:sz w:val="20"/>
                <w:szCs w:val="20"/>
              </w:rPr>
            </w:pPr>
          </w:p>
        </w:tc>
        <w:tc>
          <w:tcPr>
            <w:tcW w:w="400" w:type="pct"/>
            <w:shd w:val="clear" w:color="auto" w:fill="auto"/>
            <w:vAlign w:val="center"/>
          </w:tcPr>
          <w:p w14:paraId="4E56A70D" w14:textId="77777777" w:rsidR="00DF3E10" w:rsidRDefault="00DF3E10">
            <w:pPr>
              <w:rPr>
                <w:rFonts w:ascii="Times New Roman" w:hAnsi="Times New Roman"/>
                <w:sz w:val="20"/>
                <w:szCs w:val="20"/>
              </w:rPr>
            </w:pPr>
          </w:p>
        </w:tc>
        <w:tc>
          <w:tcPr>
            <w:tcW w:w="50" w:type="pct"/>
            <w:shd w:val="clear" w:color="auto" w:fill="auto"/>
            <w:vAlign w:val="center"/>
          </w:tcPr>
          <w:p w14:paraId="4E56A70E" w14:textId="77777777" w:rsidR="00DF3E10" w:rsidRDefault="00DF3E10">
            <w:pPr>
              <w:rPr>
                <w:rFonts w:ascii="Times New Roman" w:hAnsi="Times New Roman"/>
                <w:sz w:val="20"/>
                <w:szCs w:val="20"/>
              </w:rPr>
            </w:pPr>
          </w:p>
        </w:tc>
        <w:tc>
          <w:tcPr>
            <w:tcW w:w="50" w:type="pct"/>
            <w:shd w:val="clear" w:color="auto" w:fill="auto"/>
            <w:vAlign w:val="center"/>
          </w:tcPr>
          <w:p w14:paraId="4E56A70F" w14:textId="77777777" w:rsidR="00DF3E10" w:rsidRDefault="00DF3E10">
            <w:pPr>
              <w:rPr>
                <w:rFonts w:ascii="Times New Roman" w:hAnsi="Times New Roman"/>
                <w:sz w:val="20"/>
                <w:szCs w:val="20"/>
              </w:rPr>
            </w:pPr>
          </w:p>
        </w:tc>
        <w:tc>
          <w:tcPr>
            <w:tcW w:w="50" w:type="pct"/>
            <w:shd w:val="clear" w:color="auto" w:fill="auto"/>
            <w:vAlign w:val="center"/>
          </w:tcPr>
          <w:p w14:paraId="4E56A710" w14:textId="77777777" w:rsidR="00DF3E10" w:rsidRDefault="00DF3E10">
            <w:pPr>
              <w:rPr>
                <w:rFonts w:ascii="Times New Roman" w:hAnsi="Times New Roman"/>
                <w:sz w:val="20"/>
                <w:szCs w:val="20"/>
              </w:rPr>
            </w:pPr>
          </w:p>
        </w:tc>
        <w:tc>
          <w:tcPr>
            <w:tcW w:w="400" w:type="pct"/>
            <w:shd w:val="clear" w:color="auto" w:fill="auto"/>
            <w:vAlign w:val="center"/>
          </w:tcPr>
          <w:p w14:paraId="4E56A711" w14:textId="77777777" w:rsidR="00DF3E10" w:rsidRDefault="00DF3E10">
            <w:pPr>
              <w:rPr>
                <w:rFonts w:ascii="Times New Roman" w:hAnsi="Times New Roman"/>
                <w:sz w:val="20"/>
                <w:szCs w:val="20"/>
              </w:rPr>
            </w:pPr>
          </w:p>
        </w:tc>
        <w:tc>
          <w:tcPr>
            <w:tcW w:w="50" w:type="pct"/>
            <w:shd w:val="clear" w:color="auto" w:fill="auto"/>
            <w:vAlign w:val="center"/>
          </w:tcPr>
          <w:p w14:paraId="4E56A712" w14:textId="77777777" w:rsidR="00DF3E10" w:rsidRDefault="00DF3E10">
            <w:pPr>
              <w:rPr>
                <w:rFonts w:ascii="Times New Roman" w:hAnsi="Times New Roman"/>
                <w:sz w:val="20"/>
                <w:szCs w:val="20"/>
              </w:rPr>
            </w:pPr>
          </w:p>
        </w:tc>
        <w:tc>
          <w:tcPr>
            <w:tcW w:w="50" w:type="pct"/>
            <w:shd w:val="clear" w:color="auto" w:fill="auto"/>
            <w:vAlign w:val="center"/>
          </w:tcPr>
          <w:p w14:paraId="4E56A713" w14:textId="77777777" w:rsidR="00DF3E10" w:rsidRDefault="00DF3E10">
            <w:pPr>
              <w:rPr>
                <w:rFonts w:ascii="Times New Roman" w:hAnsi="Times New Roman"/>
                <w:sz w:val="20"/>
                <w:szCs w:val="20"/>
              </w:rPr>
            </w:pPr>
          </w:p>
        </w:tc>
        <w:tc>
          <w:tcPr>
            <w:tcW w:w="50" w:type="pct"/>
            <w:shd w:val="clear" w:color="auto" w:fill="auto"/>
            <w:vAlign w:val="center"/>
          </w:tcPr>
          <w:p w14:paraId="4E56A714" w14:textId="77777777" w:rsidR="00DF3E10" w:rsidRDefault="00DF3E10">
            <w:pPr>
              <w:rPr>
                <w:rFonts w:ascii="Times New Roman" w:hAnsi="Times New Roman"/>
                <w:sz w:val="20"/>
                <w:szCs w:val="20"/>
              </w:rPr>
            </w:pPr>
          </w:p>
        </w:tc>
        <w:tc>
          <w:tcPr>
            <w:tcW w:w="500" w:type="pct"/>
            <w:shd w:val="clear" w:color="auto" w:fill="auto"/>
            <w:vAlign w:val="center"/>
          </w:tcPr>
          <w:p w14:paraId="4E56A715" w14:textId="77777777" w:rsidR="00DF3E10" w:rsidRDefault="00DF3E10">
            <w:pPr>
              <w:rPr>
                <w:rFonts w:ascii="Times New Roman" w:hAnsi="Times New Roman"/>
                <w:sz w:val="20"/>
                <w:szCs w:val="20"/>
              </w:rPr>
            </w:pPr>
          </w:p>
        </w:tc>
        <w:tc>
          <w:tcPr>
            <w:tcW w:w="50" w:type="pct"/>
            <w:shd w:val="clear" w:color="auto" w:fill="auto"/>
            <w:vAlign w:val="center"/>
          </w:tcPr>
          <w:p w14:paraId="4E56A716" w14:textId="77777777" w:rsidR="00DF3E10" w:rsidRDefault="00DF3E10">
            <w:pPr>
              <w:rPr>
                <w:rFonts w:ascii="Times New Roman" w:hAnsi="Times New Roman"/>
                <w:sz w:val="20"/>
                <w:szCs w:val="20"/>
              </w:rPr>
            </w:pPr>
          </w:p>
        </w:tc>
        <w:tc>
          <w:tcPr>
            <w:tcW w:w="50" w:type="pct"/>
            <w:shd w:val="clear" w:color="auto" w:fill="auto"/>
            <w:vAlign w:val="center"/>
          </w:tcPr>
          <w:p w14:paraId="4E56A717" w14:textId="77777777" w:rsidR="00DF3E10" w:rsidRDefault="00DF3E10">
            <w:pPr>
              <w:rPr>
                <w:rFonts w:ascii="Times New Roman" w:hAnsi="Times New Roman"/>
                <w:sz w:val="20"/>
                <w:szCs w:val="20"/>
              </w:rPr>
            </w:pPr>
          </w:p>
        </w:tc>
        <w:tc>
          <w:tcPr>
            <w:tcW w:w="50" w:type="pct"/>
            <w:shd w:val="clear" w:color="auto" w:fill="auto"/>
            <w:vAlign w:val="center"/>
          </w:tcPr>
          <w:p w14:paraId="4E56A718" w14:textId="77777777" w:rsidR="00DF3E10" w:rsidRDefault="00DF3E10">
            <w:pPr>
              <w:rPr>
                <w:rFonts w:ascii="Times New Roman" w:hAnsi="Times New Roman"/>
                <w:sz w:val="20"/>
                <w:szCs w:val="20"/>
              </w:rPr>
            </w:pPr>
          </w:p>
        </w:tc>
        <w:tc>
          <w:tcPr>
            <w:tcW w:w="400" w:type="pct"/>
            <w:shd w:val="clear" w:color="auto" w:fill="auto"/>
            <w:vAlign w:val="center"/>
          </w:tcPr>
          <w:p w14:paraId="4E56A719" w14:textId="77777777" w:rsidR="00DF3E10" w:rsidRDefault="00DF3E10">
            <w:pPr>
              <w:rPr>
                <w:rFonts w:ascii="Times New Roman" w:hAnsi="Times New Roman"/>
                <w:sz w:val="20"/>
                <w:szCs w:val="20"/>
              </w:rPr>
            </w:pPr>
          </w:p>
        </w:tc>
        <w:tc>
          <w:tcPr>
            <w:tcW w:w="50" w:type="pct"/>
            <w:shd w:val="clear" w:color="auto" w:fill="auto"/>
            <w:vAlign w:val="center"/>
          </w:tcPr>
          <w:p w14:paraId="4E56A71A" w14:textId="77777777" w:rsidR="00DF3E10" w:rsidRDefault="00DF3E10">
            <w:pPr>
              <w:rPr>
                <w:rFonts w:ascii="Times New Roman" w:hAnsi="Times New Roman"/>
                <w:sz w:val="20"/>
                <w:szCs w:val="20"/>
              </w:rPr>
            </w:pPr>
          </w:p>
        </w:tc>
      </w:tr>
      <w:tr w:rsidR="00DF3E10" w14:paraId="4E56A722" w14:textId="77777777">
        <w:tc>
          <w:tcPr>
            <w:tcW w:w="0" w:type="auto"/>
            <w:shd w:val="clear" w:color="auto" w:fill="auto"/>
            <w:tcMar>
              <w:top w:w="40" w:type="dxa"/>
              <w:left w:w="40" w:type="dxa"/>
              <w:bottom w:w="40" w:type="dxa"/>
              <w:right w:w="40" w:type="dxa"/>
            </w:tcMar>
            <w:vAlign w:val="bottom"/>
          </w:tcPr>
          <w:p w14:paraId="4E56A7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7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71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E56A71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72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E56A72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DF3E10" w14:paraId="4E56A731" w14:textId="77777777">
        <w:tc>
          <w:tcPr>
            <w:tcW w:w="0" w:type="auto"/>
            <w:shd w:val="clear" w:color="auto" w:fill="auto"/>
            <w:tcMar>
              <w:top w:w="40" w:type="dxa"/>
              <w:left w:w="40" w:type="dxa"/>
              <w:bottom w:w="40" w:type="dxa"/>
              <w:right w:w="40" w:type="dxa"/>
            </w:tcMar>
            <w:vAlign w:val="bottom"/>
          </w:tcPr>
          <w:p w14:paraId="4E56A72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A72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Weighted-Average Remaining Useful Lives (in years)</w:t>
            </w:r>
          </w:p>
        </w:tc>
        <w:tc>
          <w:tcPr>
            <w:tcW w:w="0" w:type="auto"/>
            <w:shd w:val="clear" w:color="auto" w:fill="auto"/>
            <w:tcMar>
              <w:top w:w="40" w:type="dxa"/>
              <w:left w:w="40" w:type="dxa"/>
              <w:bottom w:w="40" w:type="dxa"/>
              <w:right w:w="40" w:type="dxa"/>
            </w:tcMar>
            <w:vAlign w:val="bottom"/>
          </w:tcPr>
          <w:p w14:paraId="4E56A7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2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4E56A7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2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4E56A7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2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c>
          <w:tcPr>
            <w:tcW w:w="0" w:type="auto"/>
            <w:shd w:val="clear" w:color="auto" w:fill="auto"/>
            <w:tcMar>
              <w:top w:w="40" w:type="dxa"/>
              <w:left w:w="40" w:type="dxa"/>
              <w:bottom w:w="40" w:type="dxa"/>
              <w:right w:w="40" w:type="dxa"/>
            </w:tcMar>
            <w:vAlign w:val="bottom"/>
          </w:tcPr>
          <w:p w14:paraId="4E56A7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2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4E56A7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2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4E56A7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73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r>
      <w:tr w:rsidR="00DF3E10" w14:paraId="4E56A74C" w14:textId="77777777">
        <w:tc>
          <w:tcPr>
            <w:tcW w:w="0" w:type="auto"/>
            <w:shd w:val="clear" w:color="auto" w:fill="CCEEFF"/>
            <w:tcMar>
              <w:top w:w="40" w:type="dxa"/>
              <w:left w:w="40" w:type="dxa"/>
              <w:bottom w:w="40" w:type="dxa"/>
              <w:right w:w="40" w:type="dxa"/>
            </w:tcMar>
            <w:vAlign w:val="bottom"/>
          </w:tcPr>
          <w:p w14:paraId="4E56A7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Acquired users</w:t>
            </w:r>
          </w:p>
        </w:tc>
        <w:tc>
          <w:tcPr>
            <w:tcW w:w="0" w:type="auto"/>
            <w:shd w:val="clear" w:color="auto" w:fill="CCEEFF"/>
            <w:tcMar>
              <w:top w:w="40" w:type="dxa"/>
              <w:left w:w="40" w:type="dxa"/>
              <w:bottom w:w="40" w:type="dxa"/>
              <w:right w:w="40" w:type="dxa"/>
            </w:tcMar>
            <w:vAlign w:val="bottom"/>
          </w:tcPr>
          <w:p w14:paraId="4E56A733" w14:textId="77777777" w:rsidR="00DF3E10" w:rsidRDefault="006B6C28">
            <w:pPr>
              <w:jc w:val="center"/>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left w:w="40" w:type="dxa"/>
              <w:bottom w:w="40" w:type="dxa"/>
              <w:right w:w="40" w:type="dxa"/>
            </w:tcMar>
            <w:vAlign w:val="bottom"/>
          </w:tcPr>
          <w:p w14:paraId="4E56A7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4E56A73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3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(1,694</w:t>
            </w:r>
          </w:p>
        </w:tc>
        <w:tc>
          <w:tcPr>
            <w:tcW w:w="0" w:type="auto"/>
            <w:shd w:val="clear" w:color="auto" w:fill="CCEEFF"/>
            <w:tcMar>
              <w:top w:w="40" w:type="dxa"/>
              <w:bottom w:w="40" w:type="dxa"/>
              <w:right w:w="40" w:type="dxa"/>
            </w:tcMar>
            <w:vAlign w:val="bottom"/>
          </w:tcPr>
          <w:p w14:paraId="4E56A7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3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362</w:t>
            </w:r>
          </w:p>
        </w:tc>
        <w:tc>
          <w:tcPr>
            <w:tcW w:w="0" w:type="auto"/>
            <w:shd w:val="clear" w:color="auto" w:fill="CCEEFF"/>
            <w:vAlign w:val="bottom"/>
          </w:tcPr>
          <w:p w14:paraId="4E56A73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4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4E56A74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(1,550</w:t>
            </w:r>
          </w:p>
        </w:tc>
        <w:tc>
          <w:tcPr>
            <w:tcW w:w="0" w:type="auto"/>
            <w:shd w:val="clear" w:color="auto" w:fill="CCEEFF"/>
            <w:tcMar>
              <w:top w:w="40" w:type="dxa"/>
              <w:bottom w:w="40" w:type="dxa"/>
              <w:right w:w="40" w:type="dxa"/>
            </w:tcMar>
            <w:vAlign w:val="bottom"/>
          </w:tcPr>
          <w:p w14:paraId="4E56A7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7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506</w:t>
            </w:r>
          </w:p>
        </w:tc>
        <w:tc>
          <w:tcPr>
            <w:tcW w:w="0" w:type="auto"/>
            <w:shd w:val="clear" w:color="auto" w:fill="CCEEFF"/>
            <w:vAlign w:val="bottom"/>
          </w:tcPr>
          <w:p w14:paraId="4E56A74B" w14:textId="77777777" w:rsidR="00DF3E10" w:rsidRDefault="00DF3E10">
            <w:pPr>
              <w:textAlignment w:val="bottom"/>
              <w:rPr>
                <w:rFonts w:ascii="Times New Roman" w:hAnsi="Times New Roman"/>
                <w:sz w:val="20"/>
                <w:szCs w:val="20"/>
              </w:rPr>
            </w:pPr>
          </w:p>
        </w:tc>
      </w:tr>
      <w:tr w:rsidR="00DF3E10" w14:paraId="4E56A761" w14:textId="77777777">
        <w:tc>
          <w:tcPr>
            <w:tcW w:w="0" w:type="auto"/>
            <w:shd w:val="clear" w:color="auto" w:fill="auto"/>
            <w:tcMar>
              <w:top w:w="40" w:type="dxa"/>
              <w:left w:w="40" w:type="dxa"/>
              <w:bottom w:w="40" w:type="dxa"/>
              <w:right w:w="40" w:type="dxa"/>
            </w:tcMar>
            <w:vAlign w:val="bottom"/>
          </w:tcPr>
          <w:p w14:paraId="4E56A7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Acquired technology</w:t>
            </w:r>
          </w:p>
        </w:tc>
        <w:tc>
          <w:tcPr>
            <w:tcW w:w="0" w:type="auto"/>
            <w:shd w:val="clear" w:color="auto" w:fill="auto"/>
            <w:tcMar>
              <w:top w:w="40" w:type="dxa"/>
              <w:left w:w="40" w:type="dxa"/>
              <w:bottom w:w="40" w:type="dxa"/>
              <w:right w:w="40" w:type="dxa"/>
            </w:tcMar>
            <w:vAlign w:val="bottom"/>
          </w:tcPr>
          <w:p w14:paraId="4E56A74E" w14:textId="77777777" w:rsidR="00DF3E10" w:rsidRDefault="006B6C28">
            <w:pPr>
              <w:jc w:val="center"/>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4E56A7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1,288</w:t>
            </w:r>
          </w:p>
        </w:tc>
        <w:tc>
          <w:tcPr>
            <w:tcW w:w="0" w:type="auto"/>
            <w:shd w:val="clear" w:color="auto" w:fill="auto"/>
            <w:vAlign w:val="bottom"/>
          </w:tcPr>
          <w:p w14:paraId="4E56A75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(1,032</w:t>
            </w:r>
          </w:p>
        </w:tc>
        <w:tc>
          <w:tcPr>
            <w:tcW w:w="0" w:type="auto"/>
            <w:shd w:val="clear" w:color="auto" w:fill="auto"/>
            <w:tcMar>
              <w:top w:w="40" w:type="dxa"/>
              <w:bottom w:w="40" w:type="dxa"/>
              <w:right w:w="40" w:type="dxa"/>
            </w:tcMar>
            <w:vAlign w:val="bottom"/>
          </w:tcPr>
          <w:p w14:paraId="4E56A7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256</w:t>
            </w:r>
          </w:p>
        </w:tc>
        <w:tc>
          <w:tcPr>
            <w:tcW w:w="0" w:type="auto"/>
            <w:shd w:val="clear" w:color="auto" w:fill="auto"/>
            <w:vAlign w:val="bottom"/>
          </w:tcPr>
          <w:p w14:paraId="4E56A7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shd w:val="clear" w:color="auto" w:fill="auto"/>
            <w:vAlign w:val="bottom"/>
          </w:tcPr>
          <w:p w14:paraId="4E56A75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(986</w:t>
            </w:r>
          </w:p>
        </w:tc>
        <w:tc>
          <w:tcPr>
            <w:tcW w:w="0" w:type="auto"/>
            <w:shd w:val="clear" w:color="auto" w:fill="auto"/>
            <w:tcMar>
              <w:top w:w="40" w:type="dxa"/>
              <w:bottom w:w="40" w:type="dxa"/>
              <w:right w:w="40" w:type="dxa"/>
            </w:tcMar>
            <w:vAlign w:val="bottom"/>
          </w:tcPr>
          <w:p w14:paraId="4E56A7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auto"/>
            <w:vAlign w:val="bottom"/>
          </w:tcPr>
          <w:p w14:paraId="4E56A760" w14:textId="77777777" w:rsidR="00DF3E10" w:rsidRDefault="00DF3E10">
            <w:pPr>
              <w:textAlignment w:val="bottom"/>
              <w:rPr>
                <w:rFonts w:ascii="Times New Roman" w:hAnsi="Times New Roman"/>
                <w:sz w:val="20"/>
                <w:szCs w:val="20"/>
              </w:rPr>
            </w:pPr>
          </w:p>
        </w:tc>
      </w:tr>
      <w:tr w:rsidR="00DF3E10" w14:paraId="4E56A776" w14:textId="77777777">
        <w:tc>
          <w:tcPr>
            <w:tcW w:w="0" w:type="auto"/>
            <w:shd w:val="clear" w:color="auto" w:fill="CCEEFF"/>
            <w:tcMar>
              <w:top w:w="40" w:type="dxa"/>
              <w:left w:w="40" w:type="dxa"/>
              <w:bottom w:w="40" w:type="dxa"/>
              <w:right w:w="40" w:type="dxa"/>
            </w:tcMar>
            <w:vAlign w:val="bottom"/>
          </w:tcPr>
          <w:p w14:paraId="4E56A7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Acquired patents</w:t>
            </w:r>
          </w:p>
        </w:tc>
        <w:tc>
          <w:tcPr>
            <w:tcW w:w="0" w:type="auto"/>
            <w:shd w:val="clear" w:color="auto" w:fill="CCEEFF"/>
            <w:tcMar>
              <w:top w:w="40" w:type="dxa"/>
              <w:left w:w="40" w:type="dxa"/>
              <w:bottom w:w="40" w:type="dxa"/>
              <w:right w:w="40" w:type="dxa"/>
            </w:tcMar>
            <w:vAlign w:val="bottom"/>
          </w:tcPr>
          <w:p w14:paraId="4E56A763" w14:textId="77777777" w:rsidR="00DF3E10" w:rsidRDefault="006B6C28">
            <w:pPr>
              <w:jc w:val="center"/>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left w:w="40" w:type="dxa"/>
              <w:bottom w:w="40" w:type="dxa"/>
              <w:right w:w="40" w:type="dxa"/>
            </w:tcMar>
            <w:vAlign w:val="bottom"/>
          </w:tcPr>
          <w:p w14:paraId="4E56A76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6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4E56A76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(652</w:t>
            </w:r>
          </w:p>
        </w:tc>
        <w:tc>
          <w:tcPr>
            <w:tcW w:w="0" w:type="auto"/>
            <w:shd w:val="clear" w:color="auto" w:fill="CCEEFF"/>
            <w:tcMar>
              <w:top w:w="40" w:type="dxa"/>
              <w:bottom w:w="40" w:type="dxa"/>
              <w:right w:w="40" w:type="dxa"/>
            </w:tcMar>
            <w:vAlign w:val="bottom"/>
          </w:tcPr>
          <w:p w14:paraId="4E56A7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6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shd w:val="clear" w:color="auto" w:fill="CCEEFF"/>
            <w:vAlign w:val="bottom"/>
          </w:tcPr>
          <w:p w14:paraId="4E56A76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6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4E56A76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7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(625</w:t>
            </w:r>
          </w:p>
        </w:tc>
        <w:tc>
          <w:tcPr>
            <w:tcW w:w="0" w:type="auto"/>
            <w:shd w:val="clear" w:color="auto" w:fill="CCEEFF"/>
            <w:tcMar>
              <w:top w:w="40" w:type="dxa"/>
              <w:bottom w:w="40" w:type="dxa"/>
              <w:right w:w="40" w:type="dxa"/>
            </w:tcMar>
            <w:vAlign w:val="bottom"/>
          </w:tcPr>
          <w:p w14:paraId="4E56A7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7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CCEEFF"/>
            <w:vAlign w:val="bottom"/>
          </w:tcPr>
          <w:p w14:paraId="4E56A775" w14:textId="77777777" w:rsidR="00DF3E10" w:rsidRDefault="00DF3E10">
            <w:pPr>
              <w:textAlignment w:val="bottom"/>
              <w:rPr>
                <w:rFonts w:ascii="Times New Roman" w:hAnsi="Times New Roman"/>
                <w:sz w:val="20"/>
                <w:szCs w:val="20"/>
              </w:rPr>
            </w:pPr>
          </w:p>
        </w:tc>
      </w:tr>
      <w:tr w:rsidR="00DF3E10" w14:paraId="4E56A78B" w14:textId="77777777">
        <w:tc>
          <w:tcPr>
            <w:tcW w:w="0" w:type="auto"/>
            <w:shd w:val="clear" w:color="auto" w:fill="auto"/>
            <w:tcMar>
              <w:top w:w="40" w:type="dxa"/>
              <w:left w:w="40" w:type="dxa"/>
              <w:bottom w:w="40" w:type="dxa"/>
              <w:right w:w="40" w:type="dxa"/>
            </w:tcMar>
            <w:vAlign w:val="bottom"/>
          </w:tcPr>
          <w:p w14:paraId="4E56A7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shd w:val="clear" w:color="auto" w:fill="auto"/>
            <w:tcMar>
              <w:top w:w="40" w:type="dxa"/>
              <w:left w:w="40" w:type="dxa"/>
              <w:bottom w:w="40" w:type="dxa"/>
              <w:right w:w="40" w:type="dxa"/>
            </w:tcMar>
            <w:vAlign w:val="bottom"/>
          </w:tcPr>
          <w:p w14:paraId="4E56A778" w14:textId="77777777" w:rsidR="00DF3E10" w:rsidRDefault="006B6C28">
            <w:pPr>
              <w:jc w:val="center"/>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left w:w="40" w:type="dxa"/>
              <w:bottom w:w="40" w:type="dxa"/>
              <w:right w:w="40" w:type="dxa"/>
            </w:tcMar>
            <w:vAlign w:val="bottom"/>
          </w:tcPr>
          <w:p w14:paraId="4E56A77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7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auto"/>
            <w:vAlign w:val="bottom"/>
          </w:tcPr>
          <w:p w14:paraId="4E56A77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7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(614</w:t>
            </w:r>
          </w:p>
        </w:tc>
        <w:tc>
          <w:tcPr>
            <w:tcW w:w="0" w:type="auto"/>
            <w:shd w:val="clear" w:color="auto" w:fill="auto"/>
            <w:tcMar>
              <w:top w:w="40" w:type="dxa"/>
              <w:bottom w:w="40" w:type="dxa"/>
              <w:right w:w="40" w:type="dxa"/>
            </w:tcMar>
            <w:vAlign w:val="bottom"/>
          </w:tcPr>
          <w:p w14:paraId="4E56A7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7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8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4E56A78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8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vAlign w:val="bottom"/>
          </w:tcPr>
          <w:p w14:paraId="4E56A78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8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8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4E56A7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78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4E56A78A" w14:textId="77777777" w:rsidR="00DF3E10" w:rsidRDefault="00DF3E10">
            <w:pPr>
              <w:textAlignment w:val="bottom"/>
              <w:rPr>
                <w:rFonts w:ascii="Times New Roman" w:hAnsi="Times New Roman"/>
                <w:sz w:val="20"/>
                <w:szCs w:val="20"/>
              </w:rPr>
            </w:pPr>
          </w:p>
        </w:tc>
      </w:tr>
      <w:tr w:rsidR="00DF3E10" w14:paraId="4E56A7A0" w14:textId="77777777">
        <w:tc>
          <w:tcPr>
            <w:tcW w:w="0" w:type="auto"/>
            <w:shd w:val="clear" w:color="auto" w:fill="CCEEFF"/>
            <w:tcMar>
              <w:top w:w="40" w:type="dxa"/>
              <w:left w:w="40" w:type="dxa"/>
              <w:bottom w:w="40" w:type="dxa"/>
              <w:right w:w="40" w:type="dxa"/>
            </w:tcMar>
            <w:vAlign w:val="bottom"/>
          </w:tcPr>
          <w:p w14:paraId="4E56A7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right w:w="40" w:type="dxa"/>
            </w:tcMar>
            <w:vAlign w:val="bottom"/>
          </w:tcPr>
          <w:p w14:paraId="4E56A78D" w14:textId="77777777" w:rsidR="00DF3E10" w:rsidRDefault="006B6C28">
            <w:pPr>
              <w:jc w:val="center"/>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tcMar>
              <w:top w:w="40" w:type="dxa"/>
              <w:left w:w="40" w:type="dxa"/>
              <w:bottom w:w="40" w:type="dxa"/>
              <w:right w:w="40" w:type="dxa"/>
            </w:tcMar>
            <w:vAlign w:val="bottom"/>
          </w:tcPr>
          <w:p w14:paraId="4E56A7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CCEEFF"/>
            <w:vAlign w:val="bottom"/>
          </w:tcPr>
          <w:p w14:paraId="4E56A79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9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shd w:val="clear" w:color="auto" w:fill="CCEEFF"/>
            <w:tcMar>
              <w:top w:w="40" w:type="dxa"/>
              <w:bottom w:w="40" w:type="dxa"/>
              <w:right w:w="40" w:type="dxa"/>
            </w:tcMar>
            <w:vAlign w:val="bottom"/>
          </w:tcPr>
          <w:p w14:paraId="4E56A7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vAlign w:val="bottom"/>
          </w:tcPr>
          <w:p w14:paraId="4E56A79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9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4E56A79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7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9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tcMar>
              <w:top w:w="40" w:type="dxa"/>
              <w:bottom w:w="40" w:type="dxa"/>
              <w:right w:w="40" w:type="dxa"/>
            </w:tcMar>
            <w:vAlign w:val="bottom"/>
          </w:tcPr>
          <w:p w14:paraId="4E56A79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7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79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4E56A79F" w14:textId="77777777" w:rsidR="00DF3E10" w:rsidRDefault="00DF3E10">
            <w:pPr>
              <w:textAlignment w:val="bottom"/>
              <w:rPr>
                <w:rFonts w:ascii="Times New Roman" w:hAnsi="Times New Roman"/>
                <w:sz w:val="20"/>
                <w:szCs w:val="20"/>
              </w:rPr>
            </w:pPr>
          </w:p>
        </w:tc>
      </w:tr>
      <w:tr w:rsidR="00DF3E10" w14:paraId="4E56A7BB" w14:textId="77777777">
        <w:tc>
          <w:tcPr>
            <w:tcW w:w="0" w:type="auto"/>
            <w:shd w:val="clear" w:color="auto" w:fill="auto"/>
            <w:tcMar>
              <w:top w:w="40" w:type="dxa"/>
              <w:left w:w="40" w:type="dxa"/>
              <w:bottom w:w="40" w:type="dxa"/>
              <w:right w:w="40" w:type="dxa"/>
            </w:tcMar>
            <w:vAlign w:val="bottom"/>
          </w:tcPr>
          <w:p w14:paraId="4E56A7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Total intangible assets</w:t>
            </w:r>
          </w:p>
        </w:tc>
        <w:tc>
          <w:tcPr>
            <w:tcW w:w="0" w:type="auto"/>
            <w:shd w:val="clear" w:color="auto" w:fill="auto"/>
            <w:tcMar>
              <w:top w:w="40" w:type="dxa"/>
              <w:left w:w="40" w:type="dxa"/>
              <w:bottom w:w="40" w:type="dxa"/>
              <w:right w:w="40" w:type="dxa"/>
            </w:tcMar>
            <w:vAlign w:val="bottom"/>
          </w:tcPr>
          <w:p w14:paraId="4E56A7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7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5,010</w:t>
            </w:r>
          </w:p>
        </w:tc>
        <w:tc>
          <w:tcPr>
            <w:tcW w:w="0" w:type="auto"/>
            <w:tcBorders>
              <w:top w:val="single" w:sz="8" w:space="0" w:color="000000"/>
              <w:bottom w:val="double" w:sz="6" w:space="0" w:color="000000"/>
            </w:tcBorders>
            <w:shd w:val="clear" w:color="auto" w:fill="auto"/>
            <w:vAlign w:val="bottom"/>
          </w:tcPr>
          <w:p w14:paraId="4E56A7A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(4,151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7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A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859</w:t>
            </w:r>
          </w:p>
        </w:tc>
        <w:tc>
          <w:tcPr>
            <w:tcW w:w="0" w:type="auto"/>
            <w:tcBorders>
              <w:top w:val="single" w:sz="8" w:space="0" w:color="000000"/>
              <w:bottom w:val="double" w:sz="6" w:space="0" w:color="000000"/>
            </w:tcBorders>
            <w:shd w:val="clear" w:color="auto" w:fill="auto"/>
            <w:vAlign w:val="bottom"/>
          </w:tcPr>
          <w:p w14:paraId="4E56A7A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B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4,816</w:t>
            </w:r>
          </w:p>
        </w:tc>
        <w:tc>
          <w:tcPr>
            <w:tcW w:w="0" w:type="auto"/>
            <w:tcBorders>
              <w:top w:val="single" w:sz="8" w:space="0" w:color="000000"/>
              <w:bottom w:val="double" w:sz="6" w:space="0" w:color="000000"/>
            </w:tcBorders>
            <w:shd w:val="clear" w:color="auto" w:fill="auto"/>
            <w:vAlign w:val="bottom"/>
          </w:tcPr>
          <w:p w14:paraId="4E56A7B2"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7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B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7B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7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7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7B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tcBorders>
              <w:top w:val="single" w:sz="8" w:space="0" w:color="000000"/>
              <w:bottom w:val="double" w:sz="6" w:space="0" w:color="000000"/>
            </w:tcBorders>
            <w:shd w:val="clear" w:color="auto" w:fill="auto"/>
            <w:vAlign w:val="bottom"/>
          </w:tcPr>
          <w:p w14:paraId="4E56A7BA" w14:textId="77777777" w:rsidR="00DF3E10" w:rsidRDefault="00DF3E10">
            <w:pPr>
              <w:textAlignment w:val="bottom"/>
              <w:rPr>
                <w:rFonts w:ascii="Times New Roman" w:hAnsi="Times New Roman"/>
                <w:sz w:val="20"/>
                <w:szCs w:val="20"/>
              </w:rPr>
            </w:pPr>
          </w:p>
        </w:tc>
      </w:tr>
    </w:tbl>
    <w:p w14:paraId="4E56A7BC" w14:textId="77777777" w:rsidR="00DF3E10" w:rsidRDefault="00DF3E10">
      <w:pPr>
        <w:spacing w:line="288" w:lineRule="auto"/>
        <w:rPr>
          <w:rFonts w:ascii="Times New Roman" w:hAnsi="Times New Roman"/>
          <w:sz w:val="20"/>
          <w:szCs w:val="20"/>
        </w:rPr>
      </w:pPr>
    </w:p>
    <w:p w14:paraId="4E56A7B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Amortization expense of intangible assets was </w:t>
      </w:r>
      <w:r>
        <w:rPr>
          <w:rFonts w:ascii="Times New Roman" w:eastAsia="宋体" w:hAnsi="Times New Roman"/>
          <w:color w:val="212529"/>
          <w:sz w:val="20"/>
          <w:szCs w:val="20"/>
        </w:rPr>
        <w:t>$118 million</w:t>
      </w:r>
      <w:r>
        <w:rPr>
          <w:rFonts w:ascii="Times New Roman" w:eastAsia="宋体" w:hAnsi="Times New Roman"/>
          <w:sz w:val="20"/>
          <w:szCs w:val="20"/>
        </w:rPr>
        <w:t xml:space="preserve"> and </w:t>
      </w:r>
      <w:r>
        <w:rPr>
          <w:rFonts w:ascii="Times New Roman" w:eastAsia="宋体" w:hAnsi="Times New Roman"/>
          <w:color w:val="212529"/>
          <w:sz w:val="20"/>
          <w:szCs w:val="20"/>
        </w:rPr>
        <w:t>$229 million</w:t>
      </w:r>
      <w:r>
        <w:rPr>
          <w:rFonts w:ascii="Times New Roman" w:eastAsia="宋体" w:hAnsi="Times New Roman"/>
          <w:sz w:val="20"/>
          <w:szCs w:val="20"/>
        </w:rPr>
        <w:t xml:space="preserve"> for the three and </w:t>
      </w:r>
      <w:r>
        <w:rPr>
          <w:rFonts w:ascii="Times New Roman" w:eastAsia="宋体" w:hAnsi="Times New Roman"/>
          <w:sz w:val="20"/>
          <w:szCs w:val="20"/>
        </w:rPr>
        <w:t xml:space="preserve">six months ended June 30, 2020, respectively, and </w:t>
      </w:r>
      <w:r>
        <w:rPr>
          <w:rFonts w:ascii="Times New Roman" w:eastAsia="宋体" w:hAnsi="Times New Roman"/>
          <w:color w:val="212529"/>
          <w:sz w:val="20"/>
          <w:szCs w:val="20"/>
        </w:rPr>
        <w:t>$156 million</w:t>
      </w:r>
      <w:r>
        <w:rPr>
          <w:rFonts w:ascii="Times New Roman" w:eastAsia="宋体" w:hAnsi="Times New Roman"/>
          <w:sz w:val="20"/>
          <w:szCs w:val="20"/>
        </w:rPr>
        <w:t xml:space="preserve"> and </w:t>
      </w:r>
      <w:r>
        <w:rPr>
          <w:rFonts w:ascii="Times New Roman" w:eastAsia="宋体" w:hAnsi="Times New Roman"/>
          <w:color w:val="212529"/>
          <w:sz w:val="20"/>
          <w:szCs w:val="20"/>
        </w:rPr>
        <w:t>$312 million</w:t>
      </w:r>
      <w:r>
        <w:rPr>
          <w:rFonts w:ascii="Times New Roman" w:eastAsia="宋体" w:hAnsi="Times New Roman"/>
          <w:sz w:val="20"/>
          <w:szCs w:val="20"/>
        </w:rPr>
        <w:t xml:space="preserve"> for the three and six months ended June 30, 2019, respectively.</w:t>
      </w:r>
    </w:p>
    <w:p w14:paraId="4E56A7B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As of June 30, 2020, expected amortization expense for the unamortized acquired intangible assets for the next f</w:t>
      </w:r>
      <w:r>
        <w:rPr>
          <w:rFonts w:ascii="Times New Roman" w:eastAsia="宋体" w:hAnsi="Times New Roman"/>
          <w:sz w:val="20"/>
          <w:szCs w:val="20"/>
        </w:rPr>
        <w:t>ive years and thereafter is as follows (in millions):</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DF3E10" w14:paraId="4E56A7C0" w14:textId="77777777">
        <w:tc>
          <w:tcPr>
            <w:tcW w:w="0" w:type="auto"/>
            <w:gridSpan w:val="4"/>
            <w:shd w:val="clear" w:color="auto" w:fill="auto"/>
            <w:vAlign w:val="center"/>
          </w:tcPr>
          <w:p w14:paraId="4E56A7BF" w14:textId="77777777" w:rsidR="00DF3E10" w:rsidRDefault="00DF3E10">
            <w:pPr>
              <w:rPr>
                <w:rFonts w:ascii="Times New Roman" w:hAnsi="Times New Roman"/>
                <w:sz w:val="20"/>
                <w:szCs w:val="20"/>
              </w:rPr>
            </w:pPr>
          </w:p>
        </w:tc>
      </w:tr>
      <w:tr w:rsidR="00DF3E10" w14:paraId="4E56A7C5" w14:textId="77777777">
        <w:tc>
          <w:tcPr>
            <w:tcW w:w="4250" w:type="pct"/>
            <w:shd w:val="clear" w:color="auto" w:fill="auto"/>
            <w:vAlign w:val="center"/>
          </w:tcPr>
          <w:p w14:paraId="4E56A7C1" w14:textId="77777777" w:rsidR="00DF3E10" w:rsidRDefault="00DF3E10">
            <w:pPr>
              <w:rPr>
                <w:rFonts w:ascii="Times New Roman" w:hAnsi="Times New Roman"/>
                <w:sz w:val="20"/>
                <w:szCs w:val="20"/>
              </w:rPr>
            </w:pPr>
          </w:p>
        </w:tc>
        <w:tc>
          <w:tcPr>
            <w:tcW w:w="50" w:type="pct"/>
            <w:shd w:val="clear" w:color="auto" w:fill="auto"/>
            <w:vAlign w:val="center"/>
          </w:tcPr>
          <w:p w14:paraId="4E56A7C2" w14:textId="77777777" w:rsidR="00DF3E10" w:rsidRDefault="00DF3E10">
            <w:pPr>
              <w:rPr>
                <w:rFonts w:ascii="Times New Roman" w:hAnsi="Times New Roman"/>
                <w:sz w:val="20"/>
                <w:szCs w:val="20"/>
              </w:rPr>
            </w:pPr>
          </w:p>
        </w:tc>
        <w:tc>
          <w:tcPr>
            <w:tcW w:w="650" w:type="pct"/>
            <w:shd w:val="clear" w:color="auto" w:fill="auto"/>
            <w:vAlign w:val="center"/>
          </w:tcPr>
          <w:p w14:paraId="4E56A7C3" w14:textId="77777777" w:rsidR="00DF3E10" w:rsidRDefault="00DF3E10">
            <w:pPr>
              <w:rPr>
                <w:rFonts w:ascii="Times New Roman" w:hAnsi="Times New Roman"/>
                <w:sz w:val="20"/>
                <w:szCs w:val="20"/>
              </w:rPr>
            </w:pPr>
          </w:p>
        </w:tc>
        <w:tc>
          <w:tcPr>
            <w:tcW w:w="50" w:type="pct"/>
            <w:shd w:val="clear" w:color="auto" w:fill="auto"/>
            <w:vAlign w:val="center"/>
          </w:tcPr>
          <w:p w14:paraId="4E56A7C4" w14:textId="77777777" w:rsidR="00DF3E10" w:rsidRDefault="00DF3E10">
            <w:pPr>
              <w:rPr>
                <w:rFonts w:ascii="Times New Roman" w:hAnsi="Times New Roman"/>
                <w:sz w:val="20"/>
                <w:szCs w:val="20"/>
              </w:rPr>
            </w:pPr>
          </w:p>
        </w:tc>
      </w:tr>
      <w:tr w:rsidR="00DF3E10" w14:paraId="4E56A7CA" w14:textId="77777777">
        <w:tc>
          <w:tcPr>
            <w:tcW w:w="0" w:type="auto"/>
            <w:shd w:val="clear" w:color="auto" w:fill="CCEEFF"/>
            <w:tcMar>
              <w:top w:w="40" w:type="dxa"/>
              <w:left w:w="40" w:type="dxa"/>
              <w:bottom w:w="40" w:type="dxa"/>
              <w:right w:w="40" w:type="dxa"/>
            </w:tcMar>
          </w:tcPr>
          <w:p w14:paraId="4E56A7C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The remainder of 2020</w:t>
            </w:r>
          </w:p>
        </w:tc>
        <w:tc>
          <w:tcPr>
            <w:tcW w:w="0" w:type="auto"/>
            <w:shd w:val="clear" w:color="auto" w:fill="CCEEFF"/>
            <w:tcMar>
              <w:top w:w="40" w:type="dxa"/>
              <w:left w:w="40" w:type="dxa"/>
              <w:bottom w:w="40" w:type="dxa"/>
            </w:tcMar>
            <w:vAlign w:val="bottom"/>
          </w:tcPr>
          <w:p w14:paraId="4E56A7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7C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CCEEFF"/>
            <w:vAlign w:val="bottom"/>
          </w:tcPr>
          <w:p w14:paraId="4E56A7C9" w14:textId="77777777" w:rsidR="00DF3E10" w:rsidRDefault="00DF3E10">
            <w:pPr>
              <w:textAlignment w:val="bottom"/>
              <w:rPr>
                <w:rFonts w:ascii="Times New Roman" w:hAnsi="Times New Roman"/>
                <w:sz w:val="20"/>
                <w:szCs w:val="20"/>
              </w:rPr>
            </w:pPr>
          </w:p>
        </w:tc>
      </w:tr>
      <w:tr w:rsidR="00DF3E10" w14:paraId="4E56A7CE" w14:textId="77777777">
        <w:tc>
          <w:tcPr>
            <w:tcW w:w="0" w:type="auto"/>
            <w:shd w:val="clear" w:color="auto" w:fill="auto"/>
            <w:tcMar>
              <w:top w:w="40" w:type="dxa"/>
              <w:left w:w="40" w:type="dxa"/>
              <w:bottom w:w="40" w:type="dxa"/>
              <w:right w:w="40" w:type="dxa"/>
            </w:tcMar>
          </w:tcPr>
          <w:p w14:paraId="4E56A7C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4E56A7C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386</w:t>
            </w:r>
          </w:p>
        </w:tc>
        <w:tc>
          <w:tcPr>
            <w:tcW w:w="0" w:type="auto"/>
            <w:shd w:val="clear" w:color="auto" w:fill="auto"/>
            <w:vAlign w:val="bottom"/>
          </w:tcPr>
          <w:p w14:paraId="4E56A7CD" w14:textId="77777777" w:rsidR="00DF3E10" w:rsidRDefault="00DF3E10">
            <w:pPr>
              <w:textAlignment w:val="bottom"/>
              <w:rPr>
                <w:rFonts w:ascii="Times New Roman" w:hAnsi="Times New Roman"/>
                <w:sz w:val="20"/>
                <w:szCs w:val="20"/>
              </w:rPr>
            </w:pPr>
          </w:p>
        </w:tc>
      </w:tr>
      <w:tr w:rsidR="00DF3E10" w14:paraId="4E56A7D2" w14:textId="77777777">
        <w:tc>
          <w:tcPr>
            <w:tcW w:w="0" w:type="auto"/>
            <w:shd w:val="clear" w:color="auto" w:fill="CCEEFF"/>
            <w:tcMar>
              <w:top w:w="40" w:type="dxa"/>
              <w:left w:w="40" w:type="dxa"/>
              <w:bottom w:w="40" w:type="dxa"/>
              <w:right w:w="40" w:type="dxa"/>
            </w:tcMar>
          </w:tcPr>
          <w:p w14:paraId="4E56A7C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4E56A7D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CCEEFF"/>
            <w:vAlign w:val="bottom"/>
          </w:tcPr>
          <w:p w14:paraId="4E56A7D1" w14:textId="77777777" w:rsidR="00DF3E10" w:rsidRDefault="00DF3E10">
            <w:pPr>
              <w:textAlignment w:val="bottom"/>
              <w:rPr>
                <w:rFonts w:ascii="Times New Roman" w:hAnsi="Times New Roman"/>
                <w:sz w:val="20"/>
                <w:szCs w:val="20"/>
              </w:rPr>
            </w:pPr>
          </w:p>
        </w:tc>
      </w:tr>
      <w:tr w:rsidR="00DF3E10" w14:paraId="4E56A7D6" w14:textId="77777777">
        <w:tc>
          <w:tcPr>
            <w:tcW w:w="0" w:type="auto"/>
            <w:shd w:val="clear" w:color="auto" w:fill="auto"/>
            <w:tcMar>
              <w:top w:w="40" w:type="dxa"/>
              <w:left w:w="40" w:type="dxa"/>
              <w:bottom w:w="40" w:type="dxa"/>
              <w:right w:w="40" w:type="dxa"/>
            </w:tcMar>
          </w:tcPr>
          <w:p w14:paraId="4E56A7D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4E56A7D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4E56A7D5" w14:textId="77777777" w:rsidR="00DF3E10" w:rsidRDefault="00DF3E10">
            <w:pPr>
              <w:textAlignment w:val="bottom"/>
              <w:rPr>
                <w:rFonts w:ascii="Times New Roman" w:hAnsi="Times New Roman"/>
                <w:sz w:val="20"/>
                <w:szCs w:val="20"/>
              </w:rPr>
            </w:pPr>
          </w:p>
        </w:tc>
      </w:tr>
      <w:tr w:rsidR="00DF3E10" w14:paraId="4E56A7DA" w14:textId="77777777">
        <w:tc>
          <w:tcPr>
            <w:tcW w:w="0" w:type="auto"/>
            <w:shd w:val="clear" w:color="auto" w:fill="CCEEFF"/>
            <w:tcMar>
              <w:top w:w="40" w:type="dxa"/>
              <w:left w:w="40" w:type="dxa"/>
              <w:bottom w:w="40" w:type="dxa"/>
              <w:right w:w="40" w:type="dxa"/>
            </w:tcMar>
          </w:tcPr>
          <w:p w14:paraId="4E56A7D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4E56A7D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vAlign w:val="bottom"/>
          </w:tcPr>
          <w:p w14:paraId="4E56A7D9" w14:textId="77777777" w:rsidR="00DF3E10" w:rsidRDefault="00DF3E10">
            <w:pPr>
              <w:textAlignment w:val="bottom"/>
              <w:rPr>
                <w:rFonts w:ascii="Times New Roman" w:hAnsi="Times New Roman"/>
                <w:sz w:val="20"/>
                <w:szCs w:val="20"/>
              </w:rPr>
            </w:pPr>
          </w:p>
        </w:tc>
      </w:tr>
      <w:tr w:rsidR="00DF3E10" w14:paraId="4E56A7DE" w14:textId="77777777">
        <w:tc>
          <w:tcPr>
            <w:tcW w:w="0" w:type="auto"/>
            <w:shd w:val="clear" w:color="auto" w:fill="auto"/>
            <w:tcMar>
              <w:top w:w="40" w:type="dxa"/>
              <w:left w:w="40" w:type="dxa"/>
              <w:bottom w:w="40" w:type="dxa"/>
              <w:right w:w="40" w:type="dxa"/>
            </w:tcMar>
          </w:tcPr>
          <w:p w14:paraId="4E56A7D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4E56A7D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4E56A7DD" w14:textId="77777777" w:rsidR="00DF3E10" w:rsidRDefault="00DF3E10">
            <w:pPr>
              <w:textAlignment w:val="bottom"/>
              <w:rPr>
                <w:rFonts w:ascii="Times New Roman" w:hAnsi="Times New Roman"/>
                <w:sz w:val="20"/>
                <w:szCs w:val="20"/>
              </w:rPr>
            </w:pPr>
          </w:p>
        </w:tc>
      </w:tr>
      <w:tr w:rsidR="00DF3E10" w14:paraId="4E56A7E3" w14:textId="77777777">
        <w:tc>
          <w:tcPr>
            <w:tcW w:w="0" w:type="auto"/>
            <w:shd w:val="clear" w:color="auto" w:fill="CCEEFF"/>
            <w:tcMar>
              <w:top w:w="40" w:type="dxa"/>
              <w:left w:w="400" w:type="dxa"/>
              <w:bottom w:w="40" w:type="dxa"/>
              <w:right w:w="40" w:type="dxa"/>
            </w:tcMar>
          </w:tcPr>
          <w:p w14:paraId="4E56A7D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7E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7E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859</w:t>
            </w:r>
          </w:p>
        </w:tc>
        <w:tc>
          <w:tcPr>
            <w:tcW w:w="0" w:type="auto"/>
            <w:tcBorders>
              <w:top w:val="single" w:sz="8" w:space="0" w:color="000000"/>
              <w:bottom w:val="double" w:sz="6" w:space="0" w:color="000000"/>
            </w:tcBorders>
            <w:shd w:val="clear" w:color="auto" w:fill="CCEEFF"/>
            <w:vAlign w:val="bottom"/>
          </w:tcPr>
          <w:p w14:paraId="4E56A7E2" w14:textId="77777777" w:rsidR="00DF3E10" w:rsidRDefault="00DF3E10">
            <w:pPr>
              <w:textAlignment w:val="bottom"/>
              <w:rPr>
                <w:rFonts w:ascii="Times New Roman" w:hAnsi="Times New Roman"/>
                <w:sz w:val="20"/>
                <w:szCs w:val="20"/>
              </w:rPr>
            </w:pPr>
          </w:p>
        </w:tc>
      </w:tr>
    </w:tbl>
    <w:p w14:paraId="4E56A7E4" w14:textId="77777777" w:rsidR="00DF3E10" w:rsidRDefault="00DF3E10">
      <w:pPr>
        <w:spacing w:line="288" w:lineRule="auto"/>
        <w:rPr>
          <w:rFonts w:ascii="Times New Roman" w:hAnsi="Times New Roman"/>
          <w:sz w:val="20"/>
          <w:szCs w:val="20"/>
        </w:rPr>
      </w:pPr>
    </w:p>
    <w:p w14:paraId="4E56A7E5" w14:textId="77777777" w:rsidR="00DF3E10" w:rsidRDefault="00DF3E10">
      <w:pPr>
        <w:spacing w:line="288" w:lineRule="auto"/>
        <w:rPr>
          <w:rFonts w:ascii="Times New Roman" w:hAnsi="Times New Roman"/>
          <w:sz w:val="20"/>
          <w:szCs w:val="20"/>
        </w:rPr>
      </w:pPr>
    </w:p>
    <w:p w14:paraId="4E56A7E6"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9. Long-term Debt</w:t>
      </w:r>
    </w:p>
    <w:p w14:paraId="4E56A7E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a $2.0 billion senior unsecured revolving credit facility, and any amounts outstanding under this facility will be due and payable on May 20, 2021. As of </w:t>
      </w:r>
      <w:r>
        <w:rPr>
          <w:rFonts w:ascii="Times New Roman" w:eastAsia="宋体" w:hAnsi="Times New Roman"/>
          <w:color w:val="000000"/>
          <w:sz w:val="20"/>
          <w:szCs w:val="20"/>
        </w:rPr>
        <w:t>June 30, 2020</w:t>
      </w:r>
      <w:r>
        <w:rPr>
          <w:rFonts w:ascii="Times New Roman" w:eastAsia="宋体" w:hAnsi="Times New Roman"/>
          <w:sz w:val="20"/>
          <w:szCs w:val="20"/>
        </w:rPr>
        <w:t xml:space="preserve">, no amounts had been drawn down, and we were in compliance </w:t>
      </w:r>
      <w:r>
        <w:rPr>
          <w:rFonts w:ascii="Times New Roman" w:eastAsia="宋体" w:hAnsi="Times New Roman"/>
          <w:sz w:val="20"/>
          <w:szCs w:val="20"/>
        </w:rPr>
        <w:t>with the covenants under this facility.</w:t>
      </w:r>
    </w:p>
    <w:p w14:paraId="4E56A7E8" w14:textId="77777777" w:rsidR="00DF3E10" w:rsidRDefault="00DF3E10">
      <w:pPr>
        <w:spacing w:line="288" w:lineRule="auto"/>
        <w:ind w:firstLine="720"/>
        <w:jc w:val="both"/>
        <w:rPr>
          <w:rFonts w:ascii="Times New Roman" w:hAnsi="Times New Roman"/>
          <w:sz w:val="20"/>
          <w:szCs w:val="20"/>
        </w:rPr>
      </w:pPr>
    </w:p>
    <w:p w14:paraId="4E56A7E9"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 xml:space="preserve">Note 10. Commitments and Contingencies </w:t>
      </w:r>
    </w:p>
    <w:p w14:paraId="4E56A7EA"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Guarantee</w:t>
      </w:r>
    </w:p>
    <w:p w14:paraId="4E56A7E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2018, we established a multi-currency notional cash pool for certain of our entities with a third-party bank provider. Actual cash balances are not physically con</w:t>
      </w:r>
      <w:r>
        <w:rPr>
          <w:rFonts w:ascii="Times New Roman" w:eastAsia="宋体" w:hAnsi="Times New Roman"/>
          <w:sz w:val="20"/>
          <w:szCs w:val="20"/>
        </w:rPr>
        <w:t xml:space="preserve">verted and are not commingled between participating legal entities. As part of the notional cash pool agreement, the bank extends overdraft credit to our participating entities as needed, provided that the overall notionally pooled balance of all accounts </w:t>
      </w:r>
      <w:r>
        <w:rPr>
          <w:rFonts w:ascii="Times New Roman" w:eastAsia="宋体" w:hAnsi="Times New Roman"/>
          <w:sz w:val="20"/>
          <w:szCs w:val="20"/>
        </w:rPr>
        <w:t>in the pool at the end of each day is at least zero. In the unlikely event of a default by our collective entities participating in the pool, any overdraft balances incurred would be guaranteed by Facebook, Inc.</w:t>
      </w:r>
    </w:p>
    <w:p w14:paraId="4E56A7EC"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Other contractual commitments</w:t>
      </w:r>
    </w:p>
    <w:p w14:paraId="4E56A7E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also have $</w:t>
      </w:r>
      <w:r>
        <w:rPr>
          <w:rFonts w:ascii="Times New Roman" w:eastAsia="宋体" w:hAnsi="Times New Roman"/>
          <w:sz w:val="20"/>
          <w:szCs w:val="20"/>
        </w:rPr>
        <w:t>8.30 billion of non-cancelable contractual commitments as of June 30, 2020, which are mostly related to our investments in network infrastructure, content acquisitions, consumer hardware, and data center operations. These commitments are primarily due with</w:t>
      </w:r>
      <w:r>
        <w:rPr>
          <w:rFonts w:ascii="Times New Roman" w:eastAsia="宋体" w:hAnsi="Times New Roman"/>
          <w:sz w:val="20"/>
          <w:szCs w:val="20"/>
        </w:rPr>
        <w:t>in five years.</w:t>
      </w:r>
    </w:p>
    <w:p w14:paraId="4E56A7EE" w14:textId="77777777" w:rsidR="00DF3E10" w:rsidRDefault="00DF3E10">
      <w:pPr>
        <w:rPr>
          <w:rFonts w:ascii="Times New Roman" w:hAnsi="Times New Roman"/>
          <w:sz w:val="20"/>
          <w:szCs w:val="20"/>
        </w:rPr>
      </w:pPr>
    </w:p>
    <w:p w14:paraId="4E56A7EF"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22</w:t>
      </w:r>
    </w:p>
    <w:p w14:paraId="4E56A7F0" w14:textId="77777777" w:rsidR="00DF3E10" w:rsidRDefault="006B6C28">
      <w:r>
        <w:rPr>
          <w:rFonts w:ascii="Times New Roman" w:hAnsi="Times New Roman"/>
          <w:sz w:val="20"/>
          <w:szCs w:val="20"/>
        </w:rPr>
        <w:pict w14:anchorId="4E56B763">
          <v:rect id="_x0000_i1046" style="width:415.3pt;height:1.5pt" o:hralign="center" o:hrstd="t" o:hr="t" fillcolor="#a0a0a0" stroked="f"/>
        </w:pict>
      </w:r>
    </w:p>
    <w:p w14:paraId="4E56A7F1" w14:textId="77777777" w:rsidR="00DF3E10" w:rsidRDefault="006B6C28">
      <w:pPr>
        <w:spacing w:line="288" w:lineRule="auto"/>
        <w:rPr>
          <w:rFonts w:ascii="Times New Roman" w:hAnsi="Times New Roman"/>
          <w:sz w:val="20"/>
          <w:szCs w:val="20"/>
        </w:rPr>
      </w:pPr>
      <w:hyperlink r:id="rId63" w:anchor="sC1FF62F0D4D85317B5B2C71C7C94F269" w:history="1">
        <w:r>
          <w:rPr>
            <w:rStyle w:val="a5"/>
            <w:rFonts w:ascii="Times New Roman" w:eastAsia="宋体" w:hAnsi="Times New Roman"/>
            <w:sz w:val="20"/>
            <w:szCs w:val="20"/>
          </w:rPr>
          <w:t>Table of Contents</w:t>
        </w:r>
      </w:hyperlink>
    </w:p>
    <w:p w14:paraId="4E56A7F2" w14:textId="77777777" w:rsidR="00DF3E10" w:rsidRDefault="00DF3E10">
      <w:pPr>
        <w:rPr>
          <w:rFonts w:ascii="Times New Roman" w:hAnsi="Times New Roman"/>
          <w:sz w:val="20"/>
          <w:szCs w:val="20"/>
        </w:rPr>
      </w:pPr>
    </w:p>
    <w:p w14:paraId="4E56A7F3"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Legal Matters</w:t>
      </w:r>
    </w:p>
    <w:p w14:paraId="4E56A7F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March 20, 2018, multiple putative class actions and deriv</w:t>
      </w:r>
      <w:r>
        <w:rPr>
          <w:rFonts w:ascii="Times New Roman" w:eastAsia="宋体" w:hAnsi="Times New Roman"/>
          <w:sz w:val="20"/>
          <w:szCs w:val="20"/>
        </w:rPr>
        <w:t>ative actions were filed in state and federal courts in the United States and elsewhere against us and certain of our directors and officers alleging violations of securities laws, breach of fiduciary duties, and other causes of action in connection with o</w:t>
      </w:r>
      <w:r>
        <w:rPr>
          <w:rFonts w:ascii="Times New Roman" w:eastAsia="宋体" w:hAnsi="Times New Roman"/>
          <w:sz w:val="20"/>
          <w:szCs w:val="20"/>
        </w:rPr>
        <w:t>ur platform and user data practices as well as the misuse of certain data by a developer that shared such data with third parties in violation of our terms and policies, and seeking unspecified damages and injunctive relief. Beginning on July 27, 2018, two</w:t>
      </w:r>
      <w:r>
        <w:rPr>
          <w:rFonts w:ascii="Times New Roman" w:eastAsia="宋体" w:hAnsi="Times New Roman"/>
          <w:sz w:val="20"/>
          <w:szCs w:val="20"/>
        </w:rPr>
        <w:t xml:space="preserve"> putative class actions were filed in federal court in the United States against us and certain of our directors and officers alleging violations of securities laws in connection with the disclosure of our earnings results for the second quarter of 2018 an</w:t>
      </w:r>
      <w:r>
        <w:rPr>
          <w:rFonts w:ascii="Times New Roman" w:eastAsia="宋体" w:hAnsi="Times New Roman"/>
          <w:sz w:val="20"/>
          <w:szCs w:val="20"/>
        </w:rPr>
        <w:t>d seeking unspecified damages. These two actions subsequently were transferred and consolidated in the U.S. District Court for the Northern District of California with the putative securities class action described above relating to our platform and user d</w:t>
      </w:r>
      <w:r>
        <w:rPr>
          <w:rFonts w:ascii="Times New Roman" w:eastAsia="宋体" w:hAnsi="Times New Roman"/>
          <w:sz w:val="20"/>
          <w:szCs w:val="20"/>
        </w:rPr>
        <w:t>ata practices. On September 25, 2019, the district court granted our motion to dismiss the consolidated putative securities class action, with leave to amend. On November 15, 2019, an amended complaint was filed in the consolidated putative securities clas</w:t>
      </w:r>
      <w:r>
        <w:rPr>
          <w:rFonts w:ascii="Times New Roman" w:eastAsia="宋体" w:hAnsi="Times New Roman"/>
          <w:sz w:val="20"/>
          <w:szCs w:val="20"/>
        </w:rPr>
        <w:t xml:space="preserve">s action. We believe these lawsuits are without merit, and we are vigorously defending them. In addition, our platform and user data practices, as well as the events surrounding the misuse of certain data by a developer, became the subject of U.S. Federal </w:t>
      </w:r>
      <w:r>
        <w:rPr>
          <w:rFonts w:ascii="Times New Roman" w:eastAsia="宋体" w:hAnsi="Times New Roman"/>
          <w:sz w:val="20"/>
          <w:szCs w:val="20"/>
        </w:rPr>
        <w:t>Trade Commission (FTC), state attorneys general, and other government inquiries in the United States, Europe, and other jurisdictions. In July 2019, we entered into a settlement and modified consent order to resolve the FTC inquiry, which was approved by t</w:t>
      </w:r>
      <w:r>
        <w:rPr>
          <w:rFonts w:ascii="Times New Roman" w:eastAsia="宋体" w:hAnsi="Times New Roman"/>
          <w:sz w:val="20"/>
          <w:szCs w:val="20"/>
        </w:rPr>
        <w:t>he federal court and took effect in April 2020. Among other matters, our settlement with the FTC required us to pay a penalty of $5.0 billion which was paid in April 2020 upon the effectiveness of the modified consent order.</w:t>
      </w:r>
    </w:p>
    <w:p w14:paraId="4E56A7F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w:t>
      </w:r>
      <w:r>
        <w:rPr>
          <w:rFonts w:ascii="Times New Roman" w:eastAsia="宋体" w:hAnsi="Times New Roman"/>
          <w:sz w:val="20"/>
          <w:szCs w:val="20"/>
        </w:rPr>
        <w:t>ass action was filed against us in the U.S. District Court for the Northern District of California by Facebook users alleging that the "tag suggestions" facial recognition feature violates the Illinois Biometric Information Privacy Act, and seeking statuto</w:t>
      </w:r>
      <w:r>
        <w:rPr>
          <w:rFonts w:ascii="Times New Roman" w:eastAsia="宋体" w:hAnsi="Times New Roman"/>
          <w:sz w:val="20"/>
          <w:szCs w:val="20"/>
        </w:rPr>
        <w:t>ry damages and injunctive relief. On April 16, 2018, the district court certified a class of Illinois residents, and on May 14, 2018, the district court denied both parties' motions for summary judgment. On May 29, 2018, the U.S. Court of Appeals for the N</w:t>
      </w:r>
      <w:r>
        <w:rPr>
          <w:rFonts w:ascii="Times New Roman" w:eastAsia="宋体" w:hAnsi="Times New Roman"/>
          <w:sz w:val="20"/>
          <w:szCs w:val="20"/>
        </w:rPr>
        <w:t>inth Circuit granted our petition for review of the class certification order and stayed the proceeding. On August 8, 2019, the Ninth Circuit affirmed the class certification order. On December 2, 2019, we filed a petition with the U.S. Supreme Court seeki</w:t>
      </w:r>
      <w:r>
        <w:rPr>
          <w:rFonts w:ascii="Times New Roman" w:eastAsia="宋体" w:hAnsi="Times New Roman"/>
          <w:sz w:val="20"/>
          <w:szCs w:val="20"/>
        </w:rPr>
        <w:t>ng review of the decision of the Ninth Circuit, which was denied. On January 15, 2020, the parties agreed to a settlement in principle to resolve the lawsuit, which provided for a payment of $550 million by us and was subject to court approval. On or about</w:t>
      </w:r>
      <w:r>
        <w:rPr>
          <w:rFonts w:ascii="Times New Roman" w:eastAsia="宋体" w:hAnsi="Times New Roman"/>
          <w:sz w:val="20"/>
          <w:szCs w:val="20"/>
        </w:rPr>
        <w:t xml:space="preserve"> May 8, 2020, the parties executed a formal settlement agreement, and plaintiffs filed a motion for preliminary approval of the settlement by the district court. On June 4, 2020, the district court denied the plaintiffs' motion without prejudice. On July 2</w:t>
      </w:r>
      <w:r>
        <w:rPr>
          <w:rFonts w:ascii="Times New Roman" w:eastAsia="宋体" w:hAnsi="Times New Roman"/>
          <w:sz w:val="20"/>
          <w:szCs w:val="20"/>
        </w:rPr>
        <w:t>2, 2020, the parties executed an amended settlement agreement, which, among other terms, provides for a payment of $650 million by us. The settlement is subject to court approval. The settlement amount is reflected in accrued expenses and other current lia</w:t>
      </w:r>
      <w:r>
        <w:rPr>
          <w:rFonts w:ascii="Times New Roman" w:eastAsia="宋体" w:hAnsi="Times New Roman"/>
          <w:sz w:val="20"/>
          <w:szCs w:val="20"/>
        </w:rPr>
        <w:t>bilities on our condensed consolidated balance sheet as of June 30, 2020.</w:t>
      </w:r>
    </w:p>
    <w:p w14:paraId="4E56A7F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on September 28, 2018, multiple putative class actions were filed in state and federal courts in the United States and elsewhere against us alleging violations of consumer </w:t>
      </w:r>
      <w:r>
        <w:rPr>
          <w:rFonts w:ascii="Times New Roman" w:eastAsia="宋体" w:hAnsi="Times New Roman"/>
          <w:sz w:val="20"/>
          <w:szCs w:val="20"/>
        </w:rPr>
        <w:t>protection laws and other causes of action in connection with a third-party cyber-attack that exploited a vulnerability in Facebook's code to steal user access tokens and access certain profile information from user accounts on Facebook, and seeking unspec</w:t>
      </w:r>
      <w:r>
        <w:rPr>
          <w:rFonts w:ascii="Times New Roman" w:eastAsia="宋体" w:hAnsi="Times New Roman"/>
          <w:sz w:val="20"/>
          <w:szCs w:val="20"/>
        </w:rPr>
        <w:t>ified damages and injunctive relief. The actions filed in the United States were consolidated in the U.S. District Court for the Northern District of California. On November 26, 2019, the district court certified a class for injunctive relief purposes, but</w:t>
      </w:r>
      <w:r>
        <w:rPr>
          <w:rFonts w:ascii="Times New Roman" w:eastAsia="宋体" w:hAnsi="Times New Roman"/>
          <w:sz w:val="20"/>
          <w:szCs w:val="20"/>
        </w:rPr>
        <w:t xml:space="preserve"> denied certification of a class for purposes of pursuing damages. On January 16, 2020, the parties agreed to a settlement in principle to resolve the lawsuit. We believe the remaining lawsuits are without merit, and we are vigorously defending them. In ad</w:t>
      </w:r>
      <w:r>
        <w:rPr>
          <w:rFonts w:ascii="Times New Roman" w:eastAsia="宋体" w:hAnsi="Times New Roman"/>
          <w:sz w:val="20"/>
          <w:szCs w:val="20"/>
        </w:rPr>
        <w:t xml:space="preserve">dition, the events surrounding this cyber-attack became the subject of Irish Data Protection Commission (IDPC) and other government inquiries. </w:t>
      </w:r>
    </w:p>
    <w:p w14:paraId="4E56A7F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also notify the IDPC, our designated European privacy regulator under the General Data Prot</w:t>
      </w:r>
      <w:r>
        <w:rPr>
          <w:rFonts w:ascii="Times New Roman" w:eastAsia="宋体" w:hAnsi="Times New Roman"/>
          <w:sz w:val="20"/>
          <w:szCs w:val="20"/>
        </w:rPr>
        <w:t>ection Regulation, of certain other personal data breaches and privacy issues, and are subject to inquiries and investigations regarding various aspects of our regulatory compliance. Although we are vigorously defending our regulatory compliance, we believ</w:t>
      </w:r>
      <w:r>
        <w:rPr>
          <w:rFonts w:ascii="Times New Roman" w:eastAsia="宋体" w:hAnsi="Times New Roman"/>
          <w:sz w:val="20"/>
          <w:szCs w:val="20"/>
        </w:rPr>
        <w:t>e there is a reasonable possibility that the ultimate potential loss related to the inquiries and investigations by the IDPC could be material in the aggregate.</w:t>
      </w:r>
    </w:p>
    <w:p w14:paraId="4E56A7F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litigation and other proceedings involving la</w:t>
      </w:r>
      <w:r>
        <w:rPr>
          <w:rFonts w:ascii="Times New Roman" w:eastAsia="宋体" w:hAnsi="Times New Roman"/>
          <w:sz w:val="20"/>
          <w:szCs w:val="20"/>
        </w:rPr>
        <w:t>w enforcement and other regulatory agencies, including in particular in Brazil and Europe, in order to ascertain the precise scope of our legal obligations to comply with the requests of those agencies, including our obligation to disclose user information</w:t>
      </w:r>
      <w:r>
        <w:rPr>
          <w:rFonts w:ascii="Times New Roman" w:eastAsia="宋体" w:hAnsi="Times New Roman"/>
          <w:sz w:val="20"/>
          <w:szCs w:val="20"/>
        </w:rPr>
        <w:t xml:space="preserve"> in particular circumstances. A number of such instances have resulted in the assessment of fines and penalties against us. We believe we have multiple legal grounds to satisfy these requests or prevail against associated fines and penalties, and we intend</w:t>
      </w:r>
      <w:r>
        <w:rPr>
          <w:rFonts w:ascii="Times New Roman" w:eastAsia="宋体" w:hAnsi="Times New Roman"/>
          <w:sz w:val="20"/>
          <w:szCs w:val="20"/>
        </w:rPr>
        <w:t xml:space="preserve"> to vigorously defend such fines and penalties. </w:t>
      </w:r>
    </w:p>
    <w:p w14:paraId="4E56A7F9" w14:textId="77777777" w:rsidR="00DF3E10" w:rsidRDefault="00DF3E10">
      <w:pPr>
        <w:rPr>
          <w:rFonts w:ascii="Times New Roman" w:hAnsi="Times New Roman"/>
          <w:sz w:val="20"/>
          <w:szCs w:val="20"/>
        </w:rPr>
      </w:pPr>
    </w:p>
    <w:p w14:paraId="4E56A7F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23</w:t>
      </w:r>
    </w:p>
    <w:p w14:paraId="4E56A7FB" w14:textId="77777777" w:rsidR="00DF3E10" w:rsidRDefault="006B6C28">
      <w:r>
        <w:rPr>
          <w:rFonts w:ascii="Times New Roman" w:hAnsi="Times New Roman"/>
          <w:sz w:val="20"/>
          <w:szCs w:val="20"/>
        </w:rPr>
        <w:pict w14:anchorId="4E56B764">
          <v:rect id="_x0000_i1047" style="width:415.3pt;height:1.5pt" o:hralign="center" o:hrstd="t" o:hr="t" fillcolor="#a0a0a0" stroked="f"/>
        </w:pict>
      </w:r>
    </w:p>
    <w:p w14:paraId="4E56A7FC" w14:textId="77777777" w:rsidR="00DF3E10" w:rsidRDefault="006B6C28">
      <w:pPr>
        <w:spacing w:line="288" w:lineRule="auto"/>
        <w:rPr>
          <w:rFonts w:ascii="Times New Roman" w:hAnsi="Times New Roman"/>
          <w:sz w:val="20"/>
          <w:szCs w:val="20"/>
        </w:rPr>
      </w:pPr>
      <w:hyperlink r:id="rId64" w:anchor="sC1FF62F0D4D85317B5B2C71C7C94F269" w:history="1">
        <w:r>
          <w:rPr>
            <w:rStyle w:val="a5"/>
            <w:rFonts w:ascii="Times New Roman" w:eastAsia="宋体" w:hAnsi="Times New Roman"/>
            <w:sz w:val="20"/>
            <w:szCs w:val="20"/>
          </w:rPr>
          <w:t>Table of Contents</w:t>
        </w:r>
      </w:hyperlink>
    </w:p>
    <w:p w14:paraId="4E56A7FD" w14:textId="77777777" w:rsidR="00DF3E10" w:rsidRDefault="00DF3E10">
      <w:pPr>
        <w:rPr>
          <w:rFonts w:ascii="Times New Roman" w:hAnsi="Times New Roman"/>
          <w:sz w:val="20"/>
          <w:szCs w:val="20"/>
        </w:rPr>
      </w:pPr>
    </w:p>
    <w:p w14:paraId="4E56A7F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With respect to the cases, ac</w:t>
      </w:r>
      <w:r>
        <w:rPr>
          <w:rFonts w:ascii="Times New Roman" w:eastAsia="宋体" w:hAnsi="Times New Roman"/>
          <w:sz w:val="20"/>
          <w:szCs w:val="20"/>
        </w:rPr>
        <w:t>tions, and inquiries described above, we evaluate the associated developments on a regular basis and accrue a liability when we believe a loss is probable and the amount can be reasonably estimated. In addition, we believe there is a reasonable possibility</w:t>
      </w:r>
      <w:r>
        <w:rPr>
          <w:rFonts w:ascii="Times New Roman" w:eastAsia="宋体" w:hAnsi="Times New Roman"/>
          <w:sz w:val="20"/>
          <w:szCs w:val="20"/>
        </w:rPr>
        <w:t xml:space="preserve"> that we may incur a loss in some of these matters. With respect to the matters described above that do not include an estimate of the amount of loss or range of possible loss, such losses or range of possible losses either cannot be estimated or are not i</w:t>
      </w:r>
      <w:r>
        <w:rPr>
          <w:rFonts w:ascii="Times New Roman" w:eastAsia="宋体" w:hAnsi="Times New Roman"/>
          <w:sz w:val="20"/>
          <w:szCs w:val="20"/>
        </w:rPr>
        <w:t>ndividually material, but we believe there is a reasonable possibility that they may be material in the aggregate.</w:t>
      </w:r>
    </w:p>
    <w:p w14:paraId="4E56A7F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w:t>
      </w:r>
      <w:r>
        <w:rPr>
          <w:rFonts w:ascii="Times New Roman" w:eastAsia="宋体" w:hAnsi="Times New Roman"/>
          <w:sz w:val="20"/>
          <w:szCs w:val="20"/>
        </w:rPr>
        <w:t>e ordinary course of business. Additionally, we are required to comply with various legal and regulatory obligations around the world. The requirements for complying with these obligations may be uncertain and subject to interpretation and enforcement by r</w:t>
      </w:r>
      <w:r>
        <w:rPr>
          <w:rFonts w:ascii="Times New Roman" w:eastAsia="宋体" w:hAnsi="Times New Roman"/>
          <w:sz w:val="20"/>
          <w:szCs w:val="20"/>
        </w:rPr>
        <w:t>egulatory and other authorities, and any failure to comply with such obligations could eventually lead to asserted legal or regulatory action. With respect to these other matters, asserted and unasserted, we evaluate the associated developments on a regula</w:t>
      </w:r>
      <w:r>
        <w:rPr>
          <w:rFonts w:ascii="Times New Roman" w:eastAsia="宋体" w:hAnsi="Times New Roman"/>
          <w:sz w:val="20"/>
          <w:szCs w:val="20"/>
        </w:rPr>
        <w:t>r basis and accrue a liability when we believe a loss is probable and the amount can be reasonably estimated. In addition, we believe there is a reasonable possibility that we may incur a loss in some of these other matters. We believe that the amount of l</w:t>
      </w:r>
      <w:r>
        <w:rPr>
          <w:rFonts w:ascii="Times New Roman" w:eastAsia="宋体" w:hAnsi="Times New Roman"/>
          <w:sz w:val="20"/>
          <w:szCs w:val="20"/>
        </w:rPr>
        <w:t xml:space="preserve">osses or any estimable range of possible losses with respect to these other matters will not, either individually or in the aggregate, have a material adverse effect on our business and condensed consolidated financial statements. </w:t>
      </w:r>
    </w:p>
    <w:p w14:paraId="4E56A80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ultimate outcome of </w:t>
      </w:r>
      <w:r>
        <w:rPr>
          <w:rFonts w:ascii="Times New Roman" w:eastAsia="宋体" w:hAnsi="Times New Roman"/>
          <w:sz w:val="20"/>
          <w:szCs w:val="20"/>
        </w:rPr>
        <w:t xml:space="preserve">the legal matters described in this section, such as whether the likelihood of loss is remote, reasonably possible, or probable, or if and when the reasonably possible range of loss is estimable, is inherently uncertain. Therefore, if one or more of these </w:t>
      </w:r>
      <w:r>
        <w:rPr>
          <w:rFonts w:ascii="Times New Roman" w:eastAsia="宋体" w:hAnsi="Times New Roman"/>
          <w:sz w:val="20"/>
          <w:szCs w:val="20"/>
        </w:rPr>
        <w:t>matters were resolved against us for amounts in excess of management's estimates of loss, our results of operations and financial condition, including in a particular reporting period in which any such outcome becomes probable and estimable, could be mater</w:t>
      </w:r>
      <w:r>
        <w:rPr>
          <w:rFonts w:ascii="Times New Roman" w:eastAsia="宋体" w:hAnsi="Times New Roman"/>
          <w:sz w:val="20"/>
          <w:szCs w:val="20"/>
        </w:rPr>
        <w:t>ially adversely affected.</w:t>
      </w:r>
    </w:p>
    <w:p w14:paraId="4E56A801"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For information regarding income tax contingencies, see Note 12 — Income Taxes.</w:t>
      </w:r>
    </w:p>
    <w:p w14:paraId="4E56A802" w14:textId="77777777" w:rsidR="00DF3E10" w:rsidRDefault="00DF3E10">
      <w:pPr>
        <w:spacing w:line="288" w:lineRule="auto"/>
        <w:ind w:firstLine="720"/>
        <w:rPr>
          <w:rFonts w:ascii="Times New Roman" w:hAnsi="Times New Roman"/>
          <w:sz w:val="20"/>
          <w:szCs w:val="20"/>
        </w:rPr>
      </w:pPr>
    </w:p>
    <w:p w14:paraId="4E56A803"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11. Stockholders' Equity</w:t>
      </w:r>
    </w:p>
    <w:p w14:paraId="4E56A804"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Share Repurchase Program</w:t>
      </w:r>
    </w:p>
    <w:p w14:paraId="4E56A80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board of directors has authorized a share repurchase program of our Class A common stock, which does not have an expiration date. As of December 31, 2019, </w:t>
      </w:r>
      <w:r>
        <w:rPr>
          <w:rFonts w:ascii="Times New Roman" w:eastAsia="宋体" w:hAnsi="Times New Roman"/>
          <w:color w:val="212529"/>
          <w:sz w:val="20"/>
          <w:szCs w:val="20"/>
        </w:rPr>
        <w:t>$4.90 billion</w:t>
      </w:r>
      <w:r>
        <w:rPr>
          <w:rFonts w:ascii="Times New Roman" w:eastAsia="宋体" w:hAnsi="Times New Roman"/>
          <w:sz w:val="20"/>
          <w:szCs w:val="20"/>
        </w:rPr>
        <w:t xml:space="preserve"> remained available and authorized for repurchases. In January 2020, an additional </w:t>
      </w:r>
      <w:r>
        <w:rPr>
          <w:rFonts w:ascii="Times New Roman" w:eastAsia="宋体" w:hAnsi="Times New Roman"/>
          <w:color w:val="212529"/>
          <w:sz w:val="20"/>
          <w:szCs w:val="20"/>
        </w:rPr>
        <w:t>$</w:t>
      </w:r>
      <w:r>
        <w:rPr>
          <w:rFonts w:ascii="Times New Roman" w:eastAsia="宋体" w:hAnsi="Times New Roman"/>
          <w:color w:val="212529"/>
          <w:sz w:val="20"/>
          <w:szCs w:val="20"/>
        </w:rPr>
        <w:t>10.0 billion</w:t>
      </w:r>
      <w:r>
        <w:rPr>
          <w:rFonts w:ascii="Times New Roman" w:eastAsia="宋体" w:hAnsi="Times New Roman"/>
          <w:sz w:val="20"/>
          <w:szCs w:val="20"/>
        </w:rPr>
        <w:t xml:space="preserve"> of repurchases was authorized under this program. During the six months ended June 30, 2020, we repurchased and subsequently retired 13 million shares of our Class A common stock for an aggregate amount of </w:t>
      </w:r>
      <w:r>
        <w:rPr>
          <w:rFonts w:ascii="Times New Roman" w:eastAsia="宋体" w:hAnsi="Times New Roman"/>
          <w:color w:val="212529"/>
          <w:sz w:val="20"/>
          <w:szCs w:val="20"/>
        </w:rPr>
        <w:t>$2.62 billion</w:t>
      </w:r>
      <w:r>
        <w:rPr>
          <w:rFonts w:ascii="Times New Roman" w:eastAsia="宋体" w:hAnsi="Times New Roman"/>
          <w:sz w:val="20"/>
          <w:szCs w:val="20"/>
        </w:rPr>
        <w:t xml:space="preserve">. As of June 30, 2020, </w:t>
      </w:r>
      <w:r>
        <w:rPr>
          <w:rFonts w:ascii="Times New Roman" w:eastAsia="宋体" w:hAnsi="Times New Roman"/>
          <w:color w:val="212529"/>
          <w:sz w:val="20"/>
          <w:szCs w:val="20"/>
        </w:rPr>
        <w:t>$</w:t>
      </w:r>
      <w:r>
        <w:rPr>
          <w:rFonts w:ascii="Times New Roman" w:eastAsia="宋体" w:hAnsi="Times New Roman"/>
          <w:color w:val="212529"/>
          <w:sz w:val="20"/>
          <w:szCs w:val="20"/>
        </w:rPr>
        <w:t>12.28 billion</w:t>
      </w:r>
      <w:r>
        <w:rPr>
          <w:rFonts w:ascii="Times New Roman" w:eastAsia="宋体" w:hAnsi="Times New Roman"/>
          <w:sz w:val="20"/>
          <w:szCs w:val="20"/>
        </w:rPr>
        <w:t xml:space="preserve"> remained available and authorized for repurchases.</w:t>
      </w:r>
    </w:p>
    <w:p w14:paraId="4E56A80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timing and actual number of shares repurchased under the repurchase program depend on a variety of factors, including price, general business and market conditions, and other investment o</w:t>
      </w:r>
      <w:r>
        <w:rPr>
          <w:rFonts w:ascii="Times New Roman" w:eastAsia="宋体" w:hAnsi="Times New Roman"/>
          <w:sz w:val="20"/>
          <w:szCs w:val="20"/>
        </w:rPr>
        <w:t xml:space="preserve">pportunities, and shares may be repurchased through open market purchases or privately negotiated transactions, including through the use of trading plans intended to qualify under Rule 10b5-1 under the Securities Exchange Act of 1934, as amended. </w:t>
      </w:r>
    </w:p>
    <w:p w14:paraId="4E56A807"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Share-b</w:t>
      </w:r>
      <w:r>
        <w:rPr>
          <w:rFonts w:ascii="Times New Roman" w:eastAsia="宋体" w:hAnsi="Times New Roman"/>
          <w:b/>
          <w:bCs/>
          <w:i/>
          <w:iCs/>
          <w:sz w:val="20"/>
          <w:szCs w:val="20"/>
        </w:rPr>
        <w:t>ased Compensation Plans</w:t>
      </w:r>
    </w:p>
    <w:p w14:paraId="4E56A80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maintain two share-based employee compensation plans: the 2012 Equity Incentive Plan, which was amended in each of June 2016 and February 2018 (Amended 2012 Plan), and the 2005 Stock Plan (collectively, Stock Plans). Our </w:t>
      </w:r>
      <w:r>
        <w:rPr>
          <w:rFonts w:ascii="Times New Roman" w:eastAsia="宋体" w:hAnsi="Times New Roman"/>
          <w:sz w:val="20"/>
          <w:szCs w:val="20"/>
        </w:rPr>
        <w:t>Amended 2012 Plan serves as the successor to our 2005 Stock Plan and provides for the issuance of incentive and nonstatutory stock options, restricted stock awards, stock appreciation rights, RSUs, performance shares, and stock bonuses to qualified employe</w:t>
      </w:r>
      <w:r>
        <w:rPr>
          <w:rFonts w:ascii="Times New Roman" w:eastAsia="宋体" w:hAnsi="Times New Roman"/>
          <w:sz w:val="20"/>
          <w:szCs w:val="20"/>
        </w:rPr>
        <w:t>es, directors and consultants. Outstanding awards under the 2005 Stock Plan continue to be subject to the terms and conditions of the 2005 Stock Plan. Shares that are withheld in connection with the net settlement of RSUs or forfeited under our Stock Plans</w:t>
      </w:r>
      <w:r>
        <w:rPr>
          <w:rFonts w:ascii="Times New Roman" w:eastAsia="宋体" w:hAnsi="Times New Roman"/>
          <w:sz w:val="20"/>
          <w:szCs w:val="20"/>
        </w:rPr>
        <w:t xml:space="preserve"> are added to the reserves of the Amended 2012 Plan. We account for forfeitures as they occur.</w:t>
      </w:r>
    </w:p>
    <w:p w14:paraId="4E56A80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consists of our RSU expense. RSUs granted to employees are measured based on the grant-date fair value. In general, our RSUs ves</w:t>
      </w:r>
      <w:r>
        <w:rPr>
          <w:rFonts w:ascii="Times New Roman" w:eastAsia="宋体" w:hAnsi="Times New Roman"/>
          <w:sz w:val="20"/>
          <w:szCs w:val="20"/>
        </w:rPr>
        <w:t>t over a service period of four years. Share-based compensation expense is generally recognized based on the straight-line basis over the requisite service period.</w:t>
      </w:r>
    </w:p>
    <w:p w14:paraId="4E56A80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Effective January 1, 2020, there were 171 million shares of our Class A common stock reserve</w:t>
      </w:r>
      <w:r>
        <w:rPr>
          <w:rFonts w:ascii="Times New Roman" w:eastAsia="宋体" w:hAnsi="Times New Roman"/>
          <w:sz w:val="20"/>
          <w:szCs w:val="20"/>
        </w:rPr>
        <w:t>d for future issuance under our Amended 2012 Plan. The number of shares reserved for issuance under our Amended 2012 Plan increases automatically on January 1 of each of the calendar years during the term of the Amended 2012 Plan, which will continue throu</w:t>
      </w:r>
      <w:r>
        <w:rPr>
          <w:rFonts w:ascii="Times New Roman" w:eastAsia="宋体" w:hAnsi="Times New Roman"/>
          <w:sz w:val="20"/>
          <w:szCs w:val="20"/>
        </w:rPr>
        <w:t xml:space="preserve">gh April 2026, by </w:t>
      </w:r>
    </w:p>
    <w:p w14:paraId="4E56A80B" w14:textId="77777777" w:rsidR="00DF3E10" w:rsidRDefault="00DF3E10">
      <w:pPr>
        <w:rPr>
          <w:rFonts w:ascii="Times New Roman" w:hAnsi="Times New Roman"/>
          <w:sz w:val="20"/>
          <w:szCs w:val="20"/>
        </w:rPr>
      </w:pPr>
    </w:p>
    <w:p w14:paraId="4E56A80C"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24</w:t>
      </w:r>
    </w:p>
    <w:p w14:paraId="4E56A80D" w14:textId="77777777" w:rsidR="00DF3E10" w:rsidRDefault="006B6C28">
      <w:r>
        <w:rPr>
          <w:rFonts w:ascii="Times New Roman" w:hAnsi="Times New Roman"/>
          <w:sz w:val="20"/>
          <w:szCs w:val="20"/>
        </w:rPr>
        <w:pict w14:anchorId="4E56B765">
          <v:rect id="_x0000_i1048" style="width:415.3pt;height:1.5pt" o:hralign="center" o:hrstd="t" o:hr="t" fillcolor="#a0a0a0" stroked="f"/>
        </w:pict>
      </w:r>
    </w:p>
    <w:p w14:paraId="4E56A80E" w14:textId="77777777" w:rsidR="00DF3E10" w:rsidRDefault="006B6C28">
      <w:pPr>
        <w:spacing w:line="288" w:lineRule="auto"/>
        <w:rPr>
          <w:rFonts w:ascii="Times New Roman" w:hAnsi="Times New Roman"/>
          <w:sz w:val="20"/>
          <w:szCs w:val="20"/>
        </w:rPr>
      </w:pPr>
      <w:hyperlink r:id="rId65" w:anchor="sC1FF62F0D4D85317B5B2C71C7C94F269" w:history="1">
        <w:r>
          <w:rPr>
            <w:rStyle w:val="a5"/>
            <w:rFonts w:ascii="Times New Roman" w:eastAsia="宋体" w:hAnsi="Times New Roman"/>
            <w:sz w:val="20"/>
            <w:szCs w:val="20"/>
          </w:rPr>
          <w:t>Table of Contents</w:t>
        </w:r>
      </w:hyperlink>
    </w:p>
    <w:p w14:paraId="4E56A80F" w14:textId="77777777" w:rsidR="00DF3E10" w:rsidRDefault="00DF3E10">
      <w:pPr>
        <w:rPr>
          <w:rFonts w:ascii="Times New Roman" w:hAnsi="Times New Roman"/>
          <w:sz w:val="20"/>
          <w:szCs w:val="20"/>
        </w:rPr>
      </w:pPr>
    </w:p>
    <w:p w14:paraId="4E56A810"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a number of shares of Class A common stock equal to the les</w:t>
      </w:r>
      <w:r>
        <w:rPr>
          <w:rFonts w:ascii="Times New Roman" w:eastAsia="宋体" w:hAnsi="Times New Roman"/>
          <w:sz w:val="20"/>
          <w:szCs w:val="20"/>
        </w:rPr>
        <w:t>ser of (i) 2.5% of the total issued and outstanding shares of our Class A common stock as of the immediately preceding December 31st or (ii) a number of shares determined by our board of directors.</w:t>
      </w:r>
    </w:p>
    <w:p w14:paraId="4E56A81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summarizes the activities for our unve</w:t>
      </w:r>
      <w:r>
        <w:rPr>
          <w:rFonts w:ascii="Times New Roman" w:eastAsia="宋体" w:hAnsi="Times New Roman"/>
          <w:sz w:val="20"/>
          <w:szCs w:val="20"/>
        </w:rPr>
        <w:t xml:space="preserve">sted RSUs for the six months ended June 30, 2020: </w:t>
      </w:r>
    </w:p>
    <w:tbl>
      <w:tblPr>
        <w:tblW w:w="5000" w:type="pct"/>
        <w:tblCellMar>
          <w:left w:w="0" w:type="dxa"/>
          <w:right w:w="0" w:type="dxa"/>
        </w:tblCellMar>
        <w:tblLook w:val="04A0" w:firstRow="1" w:lastRow="0" w:firstColumn="1" w:lastColumn="0" w:noHBand="0" w:noVBand="1"/>
      </w:tblPr>
      <w:tblGrid>
        <w:gridCol w:w="5613"/>
        <w:gridCol w:w="1045"/>
        <w:gridCol w:w="108"/>
        <w:gridCol w:w="130"/>
        <w:gridCol w:w="141"/>
        <w:gridCol w:w="1179"/>
        <w:gridCol w:w="90"/>
      </w:tblGrid>
      <w:tr w:rsidR="00DF3E10" w14:paraId="4E56A813" w14:textId="77777777">
        <w:tc>
          <w:tcPr>
            <w:tcW w:w="0" w:type="auto"/>
            <w:gridSpan w:val="7"/>
            <w:shd w:val="clear" w:color="auto" w:fill="auto"/>
            <w:vAlign w:val="center"/>
          </w:tcPr>
          <w:p w14:paraId="4E56A812" w14:textId="77777777" w:rsidR="00DF3E10" w:rsidRDefault="00DF3E10">
            <w:pPr>
              <w:rPr>
                <w:rFonts w:ascii="Times New Roman" w:hAnsi="Times New Roman"/>
                <w:sz w:val="20"/>
                <w:szCs w:val="20"/>
              </w:rPr>
            </w:pPr>
          </w:p>
        </w:tc>
      </w:tr>
      <w:tr w:rsidR="00DF3E10" w14:paraId="4E56A81B" w14:textId="77777777">
        <w:tc>
          <w:tcPr>
            <w:tcW w:w="3449" w:type="pct"/>
            <w:shd w:val="clear" w:color="auto" w:fill="auto"/>
            <w:vAlign w:val="center"/>
          </w:tcPr>
          <w:p w14:paraId="4E56A814" w14:textId="77777777" w:rsidR="00DF3E10" w:rsidRDefault="00DF3E10">
            <w:pPr>
              <w:rPr>
                <w:rFonts w:ascii="Times New Roman" w:hAnsi="Times New Roman"/>
                <w:sz w:val="20"/>
                <w:szCs w:val="20"/>
              </w:rPr>
            </w:pPr>
          </w:p>
        </w:tc>
        <w:tc>
          <w:tcPr>
            <w:tcW w:w="700" w:type="pct"/>
            <w:shd w:val="clear" w:color="auto" w:fill="auto"/>
            <w:vAlign w:val="center"/>
          </w:tcPr>
          <w:p w14:paraId="4E56A815" w14:textId="77777777" w:rsidR="00DF3E10" w:rsidRDefault="00DF3E10">
            <w:pPr>
              <w:rPr>
                <w:rFonts w:ascii="Times New Roman" w:hAnsi="Times New Roman"/>
                <w:sz w:val="20"/>
                <w:szCs w:val="20"/>
              </w:rPr>
            </w:pPr>
          </w:p>
        </w:tc>
        <w:tc>
          <w:tcPr>
            <w:tcW w:w="50" w:type="pct"/>
            <w:shd w:val="clear" w:color="auto" w:fill="auto"/>
            <w:vAlign w:val="center"/>
          </w:tcPr>
          <w:p w14:paraId="4E56A816" w14:textId="77777777" w:rsidR="00DF3E10" w:rsidRDefault="00DF3E10">
            <w:pPr>
              <w:rPr>
                <w:rFonts w:ascii="Times New Roman" w:hAnsi="Times New Roman"/>
                <w:sz w:val="20"/>
                <w:szCs w:val="20"/>
              </w:rPr>
            </w:pPr>
          </w:p>
        </w:tc>
        <w:tc>
          <w:tcPr>
            <w:tcW w:w="50" w:type="pct"/>
            <w:shd w:val="clear" w:color="auto" w:fill="auto"/>
            <w:vAlign w:val="center"/>
          </w:tcPr>
          <w:p w14:paraId="4E56A817" w14:textId="77777777" w:rsidR="00DF3E10" w:rsidRDefault="00DF3E10">
            <w:pPr>
              <w:rPr>
                <w:rFonts w:ascii="Times New Roman" w:hAnsi="Times New Roman"/>
                <w:sz w:val="20"/>
                <w:szCs w:val="20"/>
              </w:rPr>
            </w:pPr>
          </w:p>
        </w:tc>
        <w:tc>
          <w:tcPr>
            <w:tcW w:w="50" w:type="pct"/>
            <w:shd w:val="clear" w:color="auto" w:fill="auto"/>
            <w:vAlign w:val="center"/>
          </w:tcPr>
          <w:p w14:paraId="4E56A818" w14:textId="77777777" w:rsidR="00DF3E10" w:rsidRDefault="00DF3E10">
            <w:pPr>
              <w:rPr>
                <w:rFonts w:ascii="Times New Roman" w:hAnsi="Times New Roman"/>
                <w:sz w:val="20"/>
                <w:szCs w:val="20"/>
              </w:rPr>
            </w:pPr>
          </w:p>
        </w:tc>
        <w:tc>
          <w:tcPr>
            <w:tcW w:w="650" w:type="pct"/>
            <w:shd w:val="clear" w:color="auto" w:fill="auto"/>
            <w:vAlign w:val="center"/>
          </w:tcPr>
          <w:p w14:paraId="4E56A819" w14:textId="77777777" w:rsidR="00DF3E10" w:rsidRDefault="00DF3E10">
            <w:pPr>
              <w:rPr>
                <w:rFonts w:ascii="Times New Roman" w:hAnsi="Times New Roman"/>
                <w:sz w:val="20"/>
                <w:szCs w:val="20"/>
              </w:rPr>
            </w:pPr>
          </w:p>
        </w:tc>
        <w:tc>
          <w:tcPr>
            <w:tcW w:w="50" w:type="pct"/>
            <w:shd w:val="clear" w:color="auto" w:fill="auto"/>
            <w:vAlign w:val="center"/>
          </w:tcPr>
          <w:p w14:paraId="4E56A81A" w14:textId="77777777" w:rsidR="00DF3E10" w:rsidRDefault="00DF3E10">
            <w:pPr>
              <w:rPr>
                <w:rFonts w:ascii="Times New Roman" w:hAnsi="Times New Roman"/>
                <w:sz w:val="20"/>
                <w:szCs w:val="20"/>
              </w:rPr>
            </w:pPr>
          </w:p>
        </w:tc>
      </w:tr>
      <w:tr w:rsidR="00DF3E10" w14:paraId="4E56A81E" w14:textId="77777777">
        <w:tc>
          <w:tcPr>
            <w:tcW w:w="0" w:type="auto"/>
            <w:shd w:val="clear" w:color="auto" w:fill="auto"/>
            <w:tcMar>
              <w:top w:w="40" w:type="dxa"/>
              <w:left w:w="40" w:type="dxa"/>
              <w:bottom w:w="40" w:type="dxa"/>
              <w:right w:w="40" w:type="dxa"/>
            </w:tcMar>
            <w:vAlign w:val="bottom"/>
          </w:tcPr>
          <w:p w14:paraId="4E56A8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4E56A81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Unvested RSUs</w:t>
            </w:r>
          </w:p>
        </w:tc>
      </w:tr>
      <w:tr w:rsidR="00DF3E10" w14:paraId="4E56A823" w14:textId="77777777">
        <w:tc>
          <w:tcPr>
            <w:tcW w:w="0" w:type="auto"/>
            <w:shd w:val="clear" w:color="auto" w:fill="auto"/>
            <w:tcMar>
              <w:top w:w="40" w:type="dxa"/>
              <w:left w:w="40" w:type="dxa"/>
              <w:bottom w:w="40" w:type="dxa"/>
              <w:right w:w="40" w:type="dxa"/>
            </w:tcMar>
            <w:vAlign w:val="bottom"/>
          </w:tcPr>
          <w:p w14:paraId="4E56A8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82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Number of Shares</w:t>
            </w:r>
          </w:p>
        </w:tc>
        <w:tc>
          <w:tcPr>
            <w:tcW w:w="0" w:type="auto"/>
            <w:shd w:val="clear" w:color="auto" w:fill="auto"/>
            <w:tcMar>
              <w:top w:w="40" w:type="dxa"/>
              <w:left w:w="40" w:type="dxa"/>
              <w:bottom w:w="40" w:type="dxa"/>
              <w:right w:w="40" w:type="dxa"/>
            </w:tcMar>
            <w:vAlign w:val="bottom"/>
          </w:tcPr>
          <w:p w14:paraId="4E56A8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82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Weighted-Average Grant Date Fair Value</w:t>
            </w:r>
          </w:p>
        </w:tc>
      </w:tr>
      <w:tr w:rsidR="00DF3E10" w14:paraId="4E56A828" w14:textId="77777777">
        <w:tc>
          <w:tcPr>
            <w:tcW w:w="0" w:type="auto"/>
            <w:shd w:val="clear" w:color="auto" w:fill="auto"/>
            <w:tcMar>
              <w:top w:w="40" w:type="dxa"/>
              <w:left w:w="40" w:type="dxa"/>
              <w:bottom w:w="40" w:type="dxa"/>
              <w:right w:w="40" w:type="dxa"/>
            </w:tcMar>
            <w:vAlign w:val="bottom"/>
          </w:tcPr>
          <w:p w14:paraId="4E56A8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82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4E56A8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8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830" w14:textId="77777777">
        <w:tc>
          <w:tcPr>
            <w:tcW w:w="0" w:type="auto"/>
            <w:shd w:val="clear" w:color="auto" w:fill="CCEEFF"/>
            <w:tcMar>
              <w:top w:w="40" w:type="dxa"/>
              <w:left w:w="40" w:type="dxa"/>
              <w:bottom w:w="40" w:type="dxa"/>
              <w:right w:w="40" w:type="dxa"/>
            </w:tcMar>
            <w:vAlign w:val="bottom"/>
          </w:tcPr>
          <w:p w14:paraId="4E56A8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Unvested at December 31, 2019</w:t>
            </w:r>
          </w:p>
        </w:tc>
        <w:tc>
          <w:tcPr>
            <w:tcW w:w="0" w:type="auto"/>
            <w:shd w:val="clear" w:color="auto" w:fill="CCEEFF"/>
            <w:tcMar>
              <w:top w:w="40" w:type="dxa"/>
              <w:left w:w="40" w:type="dxa"/>
              <w:bottom w:w="40" w:type="dxa"/>
            </w:tcMar>
            <w:vAlign w:val="bottom"/>
          </w:tcPr>
          <w:p w14:paraId="4E56A82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78,851</w:t>
            </w:r>
          </w:p>
        </w:tc>
        <w:tc>
          <w:tcPr>
            <w:tcW w:w="0" w:type="auto"/>
            <w:shd w:val="clear" w:color="auto" w:fill="CCEEFF"/>
            <w:vAlign w:val="bottom"/>
          </w:tcPr>
          <w:p w14:paraId="4E56A82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82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8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8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165.74</w:t>
            </w:r>
          </w:p>
        </w:tc>
        <w:tc>
          <w:tcPr>
            <w:tcW w:w="0" w:type="auto"/>
            <w:shd w:val="clear" w:color="auto" w:fill="CCEEFF"/>
            <w:vAlign w:val="bottom"/>
          </w:tcPr>
          <w:p w14:paraId="4E56A82F" w14:textId="77777777" w:rsidR="00DF3E10" w:rsidRDefault="00DF3E10">
            <w:pPr>
              <w:textAlignment w:val="bottom"/>
              <w:rPr>
                <w:rFonts w:ascii="Times New Roman" w:hAnsi="Times New Roman"/>
                <w:sz w:val="20"/>
                <w:szCs w:val="20"/>
              </w:rPr>
            </w:pPr>
          </w:p>
        </w:tc>
      </w:tr>
      <w:tr w:rsidR="00DF3E10" w14:paraId="4E56A838" w14:textId="77777777">
        <w:tc>
          <w:tcPr>
            <w:tcW w:w="0" w:type="auto"/>
            <w:shd w:val="clear" w:color="auto" w:fill="auto"/>
            <w:tcMar>
              <w:top w:w="40" w:type="dxa"/>
              <w:left w:w="400" w:type="dxa"/>
              <w:bottom w:w="40" w:type="dxa"/>
              <w:right w:w="40" w:type="dxa"/>
            </w:tcMar>
            <w:vAlign w:val="bottom"/>
          </w:tcPr>
          <w:p w14:paraId="4E56A8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4E56A83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48,395</w:t>
            </w:r>
          </w:p>
        </w:tc>
        <w:tc>
          <w:tcPr>
            <w:tcW w:w="0" w:type="auto"/>
            <w:shd w:val="clear" w:color="auto" w:fill="auto"/>
            <w:vAlign w:val="bottom"/>
          </w:tcPr>
          <w:p w14:paraId="4E56A8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8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8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8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168.66</w:t>
            </w:r>
          </w:p>
        </w:tc>
        <w:tc>
          <w:tcPr>
            <w:tcW w:w="0" w:type="auto"/>
            <w:shd w:val="clear" w:color="auto" w:fill="auto"/>
            <w:vAlign w:val="bottom"/>
          </w:tcPr>
          <w:p w14:paraId="4E56A837" w14:textId="77777777" w:rsidR="00DF3E10" w:rsidRDefault="00DF3E10">
            <w:pPr>
              <w:textAlignment w:val="bottom"/>
              <w:rPr>
                <w:rFonts w:ascii="Times New Roman" w:hAnsi="Times New Roman"/>
                <w:sz w:val="20"/>
                <w:szCs w:val="20"/>
              </w:rPr>
            </w:pPr>
          </w:p>
        </w:tc>
      </w:tr>
      <w:tr w:rsidR="00DF3E10" w14:paraId="4E56A840" w14:textId="77777777">
        <w:tc>
          <w:tcPr>
            <w:tcW w:w="0" w:type="auto"/>
            <w:shd w:val="clear" w:color="auto" w:fill="CCEEFF"/>
            <w:tcMar>
              <w:top w:w="40" w:type="dxa"/>
              <w:left w:w="400" w:type="dxa"/>
              <w:bottom w:w="40" w:type="dxa"/>
              <w:right w:w="40" w:type="dxa"/>
            </w:tcMar>
            <w:vAlign w:val="bottom"/>
          </w:tcPr>
          <w:p w14:paraId="4E56A8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4E56A83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(18,256</w:t>
            </w:r>
          </w:p>
        </w:tc>
        <w:tc>
          <w:tcPr>
            <w:tcW w:w="0" w:type="auto"/>
            <w:shd w:val="clear" w:color="auto" w:fill="CCEEFF"/>
            <w:tcMar>
              <w:top w:w="40" w:type="dxa"/>
              <w:bottom w:w="40" w:type="dxa"/>
              <w:right w:w="40" w:type="dxa"/>
            </w:tcMar>
            <w:vAlign w:val="bottom"/>
          </w:tcPr>
          <w:p w14:paraId="4E56A8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8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8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83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158.09</w:t>
            </w:r>
          </w:p>
        </w:tc>
        <w:tc>
          <w:tcPr>
            <w:tcW w:w="0" w:type="auto"/>
            <w:shd w:val="clear" w:color="auto" w:fill="CCEEFF"/>
            <w:vAlign w:val="bottom"/>
          </w:tcPr>
          <w:p w14:paraId="4E56A83F" w14:textId="77777777" w:rsidR="00DF3E10" w:rsidRDefault="00DF3E10">
            <w:pPr>
              <w:textAlignment w:val="bottom"/>
              <w:rPr>
                <w:rFonts w:ascii="Times New Roman" w:hAnsi="Times New Roman"/>
                <w:sz w:val="20"/>
                <w:szCs w:val="20"/>
              </w:rPr>
            </w:pPr>
          </w:p>
        </w:tc>
      </w:tr>
      <w:tr w:rsidR="00DF3E10" w14:paraId="4E56A848" w14:textId="77777777">
        <w:tc>
          <w:tcPr>
            <w:tcW w:w="0" w:type="auto"/>
            <w:shd w:val="clear" w:color="auto" w:fill="auto"/>
            <w:tcMar>
              <w:top w:w="40" w:type="dxa"/>
              <w:left w:w="400" w:type="dxa"/>
              <w:bottom w:w="40" w:type="dxa"/>
              <w:right w:w="40" w:type="dxa"/>
            </w:tcMar>
            <w:vAlign w:val="bottom"/>
          </w:tcPr>
          <w:p w14:paraId="4E56A8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4E56A84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(2,733</w:t>
            </w:r>
          </w:p>
        </w:tc>
        <w:tc>
          <w:tcPr>
            <w:tcW w:w="0" w:type="auto"/>
            <w:shd w:val="clear" w:color="auto" w:fill="auto"/>
            <w:tcMar>
              <w:top w:w="40" w:type="dxa"/>
              <w:bottom w:w="40" w:type="dxa"/>
              <w:right w:w="40" w:type="dxa"/>
            </w:tcMar>
            <w:vAlign w:val="bottom"/>
          </w:tcPr>
          <w:p w14:paraId="4E56A8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8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8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A8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161.28</w:t>
            </w:r>
          </w:p>
        </w:tc>
        <w:tc>
          <w:tcPr>
            <w:tcW w:w="0" w:type="auto"/>
            <w:shd w:val="clear" w:color="auto" w:fill="auto"/>
            <w:vAlign w:val="bottom"/>
          </w:tcPr>
          <w:p w14:paraId="4E56A847" w14:textId="77777777" w:rsidR="00DF3E10" w:rsidRDefault="00DF3E10">
            <w:pPr>
              <w:textAlignment w:val="bottom"/>
              <w:rPr>
                <w:rFonts w:ascii="Times New Roman" w:hAnsi="Times New Roman"/>
                <w:sz w:val="20"/>
                <w:szCs w:val="20"/>
              </w:rPr>
            </w:pPr>
          </w:p>
        </w:tc>
      </w:tr>
      <w:tr w:rsidR="00DF3E10" w14:paraId="4E56A850" w14:textId="77777777">
        <w:tc>
          <w:tcPr>
            <w:tcW w:w="0" w:type="auto"/>
            <w:shd w:val="clear" w:color="auto" w:fill="CCEEFF"/>
            <w:tcMar>
              <w:top w:w="40" w:type="dxa"/>
              <w:left w:w="40" w:type="dxa"/>
              <w:bottom w:w="40" w:type="dxa"/>
              <w:right w:w="40" w:type="dxa"/>
            </w:tcMar>
            <w:vAlign w:val="bottom"/>
          </w:tcPr>
          <w:p w14:paraId="4E56A8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Unvested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8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106,257</w:t>
            </w:r>
          </w:p>
        </w:tc>
        <w:tc>
          <w:tcPr>
            <w:tcW w:w="0" w:type="auto"/>
            <w:tcBorders>
              <w:top w:val="single" w:sz="8" w:space="0" w:color="000000"/>
              <w:bottom w:val="double" w:sz="6" w:space="0" w:color="000000"/>
            </w:tcBorders>
            <w:shd w:val="clear" w:color="auto" w:fill="CCEEFF"/>
            <w:vAlign w:val="bottom"/>
          </w:tcPr>
          <w:p w14:paraId="4E56A84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8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8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84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168.49</w:t>
            </w:r>
          </w:p>
        </w:tc>
        <w:tc>
          <w:tcPr>
            <w:tcW w:w="0" w:type="auto"/>
            <w:shd w:val="clear" w:color="auto" w:fill="CCEEFF"/>
            <w:vAlign w:val="bottom"/>
          </w:tcPr>
          <w:p w14:paraId="4E56A84F" w14:textId="77777777" w:rsidR="00DF3E10" w:rsidRDefault="00DF3E10">
            <w:pPr>
              <w:textAlignment w:val="bottom"/>
              <w:rPr>
                <w:rFonts w:ascii="Times New Roman" w:hAnsi="Times New Roman"/>
                <w:sz w:val="20"/>
                <w:szCs w:val="20"/>
              </w:rPr>
            </w:pPr>
          </w:p>
        </w:tc>
      </w:tr>
    </w:tbl>
    <w:p w14:paraId="4E56A851" w14:textId="77777777" w:rsidR="00DF3E10" w:rsidRDefault="00DF3E10">
      <w:pPr>
        <w:spacing w:line="288" w:lineRule="auto"/>
        <w:rPr>
          <w:rFonts w:ascii="Times New Roman" w:hAnsi="Times New Roman"/>
          <w:sz w:val="20"/>
          <w:szCs w:val="20"/>
        </w:rPr>
      </w:pPr>
    </w:p>
    <w:p w14:paraId="4E56A85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fair value as of the respective vesting dates of RSUs that vested during the three and six months ended June 30, 2020 was </w:t>
      </w:r>
      <w:r>
        <w:rPr>
          <w:rFonts w:ascii="Times New Roman" w:eastAsia="宋体" w:hAnsi="Times New Roman"/>
          <w:color w:val="212529"/>
          <w:sz w:val="20"/>
          <w:szCs w:val="20"/>
        </w:rPr>
        <w:t>$2.04 billion</w:t>
      </w:r>
      <w:r>
        <w:rPr>
          <w:rFonts w:ascii="Times New Roman" w:eastAsia="宋体" w:hAnsi="Times New Roman"/>
          <w:sz w:val="20"/>
          <w:szCs w:val="20"/>
        </w:rPr>
        <w:t xml:space="preserve"> and </w:t>
      </w:r>
      <w:r>
        <w:rPr>
          <w:rFonts w:ascii="Times New Roman" w:eastAsia="宋体" w:hAnsi="Times New Roman"/>
          <w:color w:val="212529"/>
          <w:sz w:val="20"/>
          <w:szCs w:val="20"/>
        </w:rPr>
        <w:t>$3.84 billion</w:t>
      </w:r>
      <w:r>
        <w:rPr>
          <w:rFonts w:ascii="Times New Roman" w:eastAsia="宋体" w:hAnsi="Times New Roman"/>
          <w:sz w:val="20"/>
          <w:szCs w:val="20"/>
        </w:rPr>
        <w:t xml:space="preserve">, respectively, and </w:t>
      </w:r>
      <w:r>
        <w:rPr>
          <w:rFonts w:ascii="Times New Roman" w:eastAsia="宋体" w:hAnsi="Times New Roman"/>
          <w:color w:val="212529"/>
          <w:sz w:val="20"/>
          <w:szCs w:val="20"/>
        </w:rPr>
        <w:t>$1.58 billion</w:t>
      </w:r>
      <w:r>
        <w:rPr>
          <w:rFonts w:ascii="Times New Roman" w:eastAsia="宋体" w:hAnsi="Times New Roman"/>
          <w:sz w:val="20"/>
          <w:szCs w:val="20"/>
        </w:rPr>
        <w:t xml:space="preserve"> and </w:t>
      </w:r>
      <w:r>
        <w:rPr>
          <w:rFonts w:ascii="Times New Roman" w:eastAsia="宋体" w:hAnsi="Times New Roman"/>
          <w:color w:val="212529"/>
          <w:sz w:val="20"/>
          <w:szCs w:val="20"/>
        </w:rPr>
        <w:t>$2.89 billion</w:t>
      </w:r>
      <w:r>
        <w:rPr>
          <w:rFonts w:ascii="Times New Roman" w:eastAsia="宋体" w:hAnsi="Times New Roman"/>
          <w:sz w:val="20"/>
          <w:szCs w:val="20"/>
        </w:rPr>
        <w:t xml:space="preserve"> during the three and six months ended June 30, </w:t>
      </w:r>
      <w:r>
        <w:rPr>
          <w:rFonts w:ascii="Times New Roman" w:eastAsia="宋体" w:hAnsi="Times New Roman"/>
          <w:sz w:val="20"/>
          <w:szCs w:val="20"/>
        </w:rPr>
        <w:t>2019, respectively.</w:t>
      </w:r>
    </w:p>
    <w:p w14:paraId="4E56A85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June 30, 2020, there was </w:t>
      </w:r>
      <w:r>
        <w:rPr>
          <w:rFonts w:ascii="Times New Roman" w:eastAsia="宋体" w:hAnsi="Times New Roman"/>
          <w:color w:val="212529"/>
          <w:sz w:val="20"/>
          <w:szCs w:val="20"/>
        </w:rPr>
        <w:t>$16.90 billion</w:t>
      </w:r>
      <w:r>
        <w:rPr>
          <w:rFonts w:ascii="Times New Roman" w:eastAsia="宋体" w:hAnsi="Times New Roman"/>
          <w:sz w:val="20"/>
          <w:szCs w:val="20"/>
        </w:rPr>
        <w:t xml:space="preserve"> of unrecognized share-based compensation expense related to RSUs awards. This unrecognized compensation expense is expected to be recognized over a weighted-average period of approximately t</w:t>
      </w:r>
      <w:r>
        <w:rPr>
          <w:rFonts w:ascii="Times New Roman" w:eastAsia="宋体" w:hAnsi="Times New Roman"/>
          <w:sz w:val="20"/>
          <w:szCs w:val="20"/>
        </w:rPr>
        <w:t>hree years based on vesting under the award service conditions.</w:t>
      </w:r>
    </w:p>
    <w:p w14:paraId="4E56A854" w14:textId="77777777" w:rsidR="00DF3E10" w:rsidRDefault="00DF3E10">
      <w:pPr>
        <w:spacing w:line="288" w:lineRule="auto"/>
        <w:ind w:firstLine="720"/>
        <w:jc w:val="both"/>
        <w:rPr>
          <w:rFonts w:ascii="Times New Roman" w:hAnsi="Times New Roman"/>
          <w:sz w:val="20"/>
          <w:szCs w:val="20"/>
        </w:rPr>
      </w:pPr>
    </w:p>
    <w:p w14:paraId="4E56A855"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12. Income Taxes</w:t>
      </w:r>
    </w:p>
    <w:p w14:paraId="4E56A85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tax provision for interim periods is determined using an estimated annual effective tax rate, adjusted for discrete items arising in that quarter. In each quarter, w</w:t>
      </w:r>
      <w:r>
        <w:rPr>
          <w:rFonts w:ascii="Times New Roman" w:eastAsia="宋体" w:hAnsi="Times New Roman"/>
          <w:sz w:val="20"/>
          <w:szCs w:val="20"/>
        </w:rPr>
        <w:t>e update the estimated annual effective tax rate and make a year-to-date adjustment to the provision. The estimated annual effective tax rate is subject to significant volatility due to several factors, including our ability to accurately predict the propo</w:t>
      </w:r>
      <w:r>
        <w:rPr>
          <w:rFonts w:ascii="Times New Roman" w:eastAsia="宋体" w:hAnsi="Times New Roman"/>
          <w:sz w:val="20"/>
          <w:szCs w:val="20"/>
        </w:rPr>
        <w:t>rtion of our income (loss) before provision for income taxes in multiple jurisdictions, the U.S. tax benefits from foreign derived intangible income, the effects of acquisitions, and the integration of those acquisitions.</w:t>
      </w:r>
    </w:p>
    <w:p w14:paraId="4E56A85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gross unrecognized tax benefit</w:t>
      </w:r>
      <w:r>
        <w:rPr>
          <w:rFonts w:ascii="Times New Roman" w:eastAsia="宋体" w:hAnsi="Times New Roman"/>
          <w:sz w:val="20"/>
          <w:szCs w:val="20"/>
        </w:rPr>
        <w:t>s were $8.06 billion and $7.86 billion on June 30, 2020 and December 31, 2019, respectively. If the gross unrecognized tax benefits as of June 30, 2020 were realized in a subsequent period, this would result in a tax benefit of $4.17 billion within our pro</w:t>
      </w:r>
      <w:r>
        <w:rPr>
          <w:rFonts w:ascii="Times New Roman" w:eastAsia="宋体" w:hAnsi="Times New Roman"/>
          <w:sz w:val="20"/>
          <w:szCs w:val="20"/>
        </w:rPr>
        <w:t>vision of income taxes at such time. The amount of interest and penalties accrued was $774 million and $747 million as of June 30, 2020 and December 31, 2019, respectively. We expect to continue to accrue unrecognized tax benefits for certain recurring tax</w:t>
      </w:r>
      <w:r>
        <w:rPr>
          <w:rFonts w:ascii="Times New Roman" w:eastAsia="宋体" w:hAnsi="Times New Roman"/>
          <w:sz w:val="20"/>
          <w:szCs w:val="20"/>
        </w:rPr>
        <w:t xml:space="preserve"> positions.</w:t>
      </w:r>
    </w:p>
    <w:p w14:paraId="4E56A85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July 27, 2015, the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 concluded that related parties in a cost sharing arrangement are not required to share expenses related to share-based c</w:t>
      </w:r>
      <w:r>
        <w:rPr>
          <w:rFonts w:ascii="Times New Roman" w:eastAsia="宋体" w:hAnsi="Times New Roman"/>
          <w:sz w:val="20"/>
          <w:szCs w:val="20"/>
        </w:rPr>
        <w:t>ompensation. The Tax Court Decision was appealed by the Commissioner to the Ninth Circuit Court of Appeals (Ninth Circuit). 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w:t>
      </w:r>
      <w:r>
        <w:rPr>
          <w:rFonts w:ascii="Times New Roman" w:eastAsia="宋体" w:hAnsi="Times New Roman"/>
          <w:sz w:val="20"/>
          <w:szCs w:val="20"/>
        </w:rPr>
        <w:t xml:space="preserve">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 the second quarter of 2019. On July 22, 2019, the taxpayer requested a rehearing before the full Ninth Circuit and the request was denied on November 12, 2019.</w:t>
      </w:r>
      <w:r>
        <w:rPr>
          <w:rFonts w:ascii="Times New Roman" w:eastAsia="宋体" w:hAnsi="Times New Roman"/>
          <w:sz w:val="20"/>
          <w:szCs w:val="20"/>
        </w:rPr>
        <w:t xml:space="preserve"> The taxpayer requested a hearing before the Supreme Court of the United States and the request was denied on June 22, 2020. Since we started to accrue income tax for stock-based compensation cost-sharing in the second quarter of 2019, the denial of the re</w:t>
      </w:r>
      <w:r>
        <w:rPr>
          <w:rFonts w:ascii="Times New Roman" w:eastAsia="宋体" w:hAnsi="Times New Roman"/>
          <w:sz w:val="20"/>
          <w:szCs w:val="20"/>
        </w:rPr>
        <w:t xml:space="preserve">quest by the Supreme Court did not have a material impact to our financial results in the second quarter of 2020. </w:t>
      </w:r>
    </w:p>
    <w:p w14:paraId="4E56A85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taxation in the United States and various other state and foreign jurisdictions. The material jurisdictions in which we are</w:t>
      </w:r>
      <w:r>
        <w:rPr>
          <w:rFonts w:ascii="Times New Roman" w:eastAsia="宋体" w:hAnsi="Times New Roman"/>
          <w:sz w:val="20"/>
          <w:szCs w:val="20"/>
        </w:rPr>
        <w:t xml:space="preserve"> subject to potential examination include the United States and Ireland. We are under examination by the Internal Revenue Service (IRS) for our 2014 through 2016 tax years and by the Ireland tax authorities for our 2012 through 2018 tax years. Our 2017 and</w:t>
      </w:r>
      <w:r>
        <w:rPr>
          <w:rFonts w:ascii="Times New Roman" w:eastAsia="宋体" w:hAnsi="Times New Roman"/>
          <w:sz w:val="20"/>
          <w:szCs w:val="20"/>
        </w:rPr>
        <w:t xml:space="preserve"> subsequent tax years remain open to examination by the IRS. Our 2019 and subsequent tax years remain open to examination in Ireland.</w:t>
      </w:r>
    </w:p>
    <w:p w14:paraId="4E56A85A" w14:textId="77777777" w:rsidR="00DF3E10" w:rsidRDefault="00DF3E10">
      <w:pPr>
        <w:rPr>
          <w:rFonts w:ascii="Times New Roman" w:hAnsi="Times New Roman"/>
          <w:sz w:val="20"/>
          <w:szCs w:val="20"/>
        </w:rPr>
      </w:pPr>
    </w:p>
    <w:p w14:paraId="4E56A85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25</w:t>
      </w:r>
    </w:p>
    <w:p w14:paraId="4E56A85C" w14:textId="77777777" w:rsidR="00DF3E10" w:rsidRDefault="006B6C28">
      <w:r>
        <w:rPr>
          <w:rFonts w:ascii="Times New Roman" w:hAnsi="Times New Roman"/>
          <w:sz w:val="20"/>
          <w:szCs w:val="20"/>
        </w:rPr>
        <w:pict w14:anchorId="4E56B766">
          <v:rect id="_x0000_i1049" style="width:415.3pt;height:1.5pt" o:hralign="center" o:hrstd="t" o:hr="t" fillcolor="#a0a0a0" stroked="f"/>
        </w:pict>
      </w:r>
    </w:p>
    <w:p w14:paraId="4E56A85D" w14:textId="77777777" w:rsidR="00DF3E10" w:rsidRDefault="006B6C28">
      <w:pPr>
        <w:spacing w:line="288" w:lineRule="auto"/>
        <w:rPr>
          <w:rFonts w:ascii="Times New Roman" w:hAnsi="Times New Roman"/>
          <w:sz w:val="20"/>
          <w:szCs w:val="20"/>
        </w:rPr>
      </w:pPr>
      <w:hyperlink r:id="rId66" w:anchor="sC1FF62F0D4D85317B5B2C71C7C94F269" w:history="1">
        <w:r>
          <w:rPr>
            <w:rStyle w:val="a5"/>
            <w:rFonts w:ascii="Times New Roman" w:eastAsia="宋体" w:hAnsi="Times New Roman"/>
            <w:sz w:val="20"/>
            <w:szCs w:val="20"/>
          </w:rPr>
          <w:t>Table of Contents</w:t>
        </w:r>
      </w:hyperlink>
    </w:p>
    <w:p w14:paraId="4E56A85E" w14:textId="77777777" w:rsidR="00DF3E10" w:rsidRDefault="00DF3E10">
      <w:pPr>
        <w:rPr>
          <w:rFonts w:ascii="Times New Roman" w:hAnsi="Times New Roman"/>
          <w:sz w:val="20"/>
          <w:szCs w:val="20"/>
        </w:rPr>
      </w:pPr>
    </w:p>
    <w:p w14:paraId="4E56A85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July 2016, we received a Statutory Notice of Deficiency (Notice) from the IRS related to transfer pricing with our foreign subsidiaries in conjunction with the examination of the 2010 tax year. While the Notice applies only to the 2010 tax year, the IRS</w:t>
      </w:r>
      <w:r>
        <w:rPr>
          <w:rFonts w:ascii="Times New Roman" w:eastAsia="宋体" w:hAnsi="Times New Roman"/>
          <w:sz w:val="20"/>
          <w:szCs w:val="20"/>
        </w:rPr>
        <w:t xml:space="preserve"> stated that it will also apply its position for tax years subsequent to 2010. We do not agree with the position of the IRS and have filed a petition in the Tax Court challenging the Notice. On January 15, 2020, the IRS filed its Pretrial Memorandum in the</w:t>
      </w:r>
      <w:r>
        <w:rPr>
          <w:rFonts w:ascii="Times New Roman" w:eastAsia="宋体" w:hAnsi="Times New Roman"/>
          <w:sz w:val="20"/>
          <w:szCs w:val="20"/>
        </w:rPr>
        <w:t xml:space="preserve"> case stating that it planned to assert at trial an adjustment that is higher than the adjustment stated in the Notice. The first session of the trial began in February 2020 and a second session is expected to continue in 2021. It is not clear how the IRS </w:t>
      </w:r>
      <w:r>
        <w:rPr>
          <w:rFonts w:ascii="Times New Roman" w:eastAsia="宋体" w:hAnsi="Times New Roman"/>
          <w:sz w:val="20"/>
          <w:szCs w:val="20"/>
        </w:rPr>
        <w:t>intends to apply the revised adjustment to future years. Based on the information provided, we believe that, if the IRS prevails in its updated position, this could result in an additional federal tax liability of an estimated, aggregate amount of up to ap</w:t>
      </w:r>
      <w:r>
        <w:rPr>
          <w:rFonts w:ascii="Times New Roman" w:eastAsia="宋体" w:hAnsi="Times New Roman"/>
          <w:sz w:val="20"/>
          <w:szCs w:val="20"/>
        </w:rPr>
        <w:t xml:space="preserve">proximately $9.0 billion in excess of the amounts in our originally filed U.S. return, plus interest and any penalties asserted. </w:t>
      </w:r>
    </w:p>
    <w:p w14:paraId="4E56A86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March 2018, we received a second Notice from the IRS in conjunction with the examination of our 2011 through 2013 tax years</w:t>
      </w:r>
      <w:r>
        <w:rPr>
          <w:rFonts w:ascii="Times New Roman" w:eastAsia="宋体" w:hAnsi="Times New Roman"/>
          <w:sz w:val="20"/>
          <w:szCs w:val="20"/>
        </w:rPr>
        <w:t xml:space="preserve">. The IRS applied its position from the 2010 tax year to each of these years and also proposed new adjustments related to other transfer pricing with our foreign subsidiaries and certain tax credits that we claimed. If the IRS prevails in its position for </w:t>
      </w:r>
      <w:r>
        <w:rPr>
          <w:rFonts w:ascii="Times New Roman" w:eastAsia="宋体" w:hAnsi="Times New Roman"/>
          <w:sz w:val="20"/>
          <w:szCs w:val="20"/>
        </w:rPr>
        <w:t xml:space="preserve">these new adjustments, this could result in an additional federal tax liability of up to approximately $680 million in excess of the amounts in our originally filed U.S. returns, plus interest and any penalties asserted. We do not agree with the positions </w:t>
      </w:r>
      <w:r>
        <w:rPr>
          <w:rFonts w:ascii="Times New Roman" w:eastAsia="宋体" w:hAnsi="Times New Roman"/>
          <w:sz w:val="20"/>
          <w:szCs w:val="20"/>
        </w:rPr>
        <w:t xml:space="preserve">of the IRS in the second Notice and have filed a petition in the Tax Court challenging the second Notice. </w:t>
      </w:r>
    </w:p>
    <w:p w14:paraId="4E56A86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that is lower than the potent</w:t>
      </w:r>
      <w:r>
        <w:rPr>
          <w:rFonts w:ascii="Times New Roman" w:eastAsia="宋体" w:hAnsi="Times New Roman"/>
          <w:sz w:val="20"/>
          <w:szCs w:val="20"/>
        </w:rPr>
        <w:t>ial additional federal tax liability from the positions taken by the IRS in the two Notices and its Pretrial Memorandum. In addition, if the IRS prevails in its positions related to transfer pricing with our foreign subsidiaries, the additional tax that we</w:t>
      </w:r>
      <w:r>
        <w:rPr>
          <w:rFonts w:ascii="Times New Roman" w:eastAsia="宋体" w:hAnsi="Times New Roman"/>
          <w:sz w:val="20"/>
          <w:szCs w:val="20"/>
        </w:rPr>
        <w:t xml:space="preserve"> would owe would be partially offset by a reduction in the tax that we owe under the mandatory transition tax on accumulated foreign earnings from the 2017 Tax Cuts and Jobs Act (Tax Act). As of June 30, 2020, we have not resolved these matters and proceed</w:t>
      </w:r>
      <w:r>
        <w:rPr>
          <w:rFonts w:ascii="Times New Roman" w:eastAsia="宋体" w:hAnsi="Times New Roman"/>
          <w:sz w:val="20"/>
          <w:szCs w:val="20"/>
        </w:rPr>
        <w:t>ings continue in the Tax Court.</w:t>
      </w:r>
    </w:p>
    <w:p w14:paraId="4E56A86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adequate amounts have been reserved in accordance with ASC 740 for any adjustments to the provision for income taxes or other tax items that may ultimately result from these examinations. The timing of the re</w:t>
      </w:r>
      <w:r>
        <w:rPr>
          <w:rFonts w:ascii="Times New Roman" w:eastAsia="宋体" w:hAnsi="Times New Roman"/>
          <w:sz w:val="20"/>
          <w:szCs w:val="20"/>
        </w:rPr>
        <w:t>solution, settlement, and closure of any audits is highly uncertain, and it is reasonably possible that the balance of gross unrecognized tax benefits could significantly change in the next 12 months. Given the number of years remaining that are subject to</w:t>
      </w:r>
      <w:r>
        <w:rPr>
          <w:rFonts w:ascii="Times New Roman" w:eastAsia="宋体" w:hAnsi="Times New Roman"/>
          <w:sz w:val="20"/>
          <w:szCs w:val="20"/>
        </w:rPr>
        <w:t xml:space="preserve"> examination, we are unable to estimate the full range of possible adjustments to the balance of gross unrecognized tax benefits. If the taxing authorities prevail in the assessment of additional tax due, the assessed tax, interest, and penalties, if any, </w:t>
      </w:r>
      <w:r>
        <w:rPr>
          <w:rFonts w:ascii="Times New Roman" w:eastAsia="宋体" w:hAnsi="Times New Roman"/>
          <w:sz w:val="20"/>
          <w:szCs w:val="20"/>
        </w:rPr>
        <w:t>could have a material adverse impact on our financial position, results of operations, and cash flows.</w:t>
      </w:r>
    </w:p>
    <w:p w14:paraId="4E56A863" w14:textId="77777777" w:rsidR="00DF3E10" w:rsidRDefault="00DF3E10">
      <w:pPr>
        <w:spacing w:line="288" w:lineRule="auto"/>
        <w:ind w:firstLine="720"/>
        <w:jc w:val="both"/>
        <w:rPr>
          <w:rFonts w:ascii="Times New Roman" w:hAnsi="Times New Roman"/>
          <w:sz w:val="20"/>
          <w:szCs w:val="20"/>
        </w:rPr>
      </w:pPr>
    </w:p>
    <w:p w14:paraId="4E56A864"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13. Geographical Information</w:t>
      </w:r>
    </w:p>
    <w:p w14:paraId="4E56A86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sets forth our long-lived assets by geographic area, which consist of property and equipment, net </w:t>
      </w:r>
      <w:r>
        <w:rPr>
          <w:rFonts w:ascii="Times New Roman" w:eastAsia="宋体" w:hAnsi="Times New Roman"/>
          <w:sz w:val="20"/>
          <w:szCs w:val="20"/>
        </w:rPr>
        <w:t>and operating lease right-of-use assets, net (in millions):</w:t>
      </w:r>
    </w:p>
    <w:tbl>
      <w:tblPr>
        <w:tblW w:w="5000" w:type="pct"/>
        <w:tblCellMar>
          <w:left w:w="0" w:type="dxa"/>
          <w:right w:w="0" w:type="dxa"/>
        </w:tblCellMar>
        <w:tblLook w:val="04A0" w:firstRow="1" w:lastRow="0" w:firstColumn="1" w:lastColumn="0" w:noHBand="0" w:noVBand="1"/>
      </w:tblPr>
      <w:tblGrid>
        <w:gridCol w:w="5694"/>
        <w:gridCol w:w="140"/>
        <w:gridCol w:w="1043"/>
        <w:gridCol w:w="47"/>
        <w:gridCol w:w="130"/>
        <w:gridCol w:w="141"/>
        <w:gridCol w:w="1044"/>
        <w:gridCol w:w="67"/>
      </w:tblGrid>
      <w:tr w:rsidR="00DF3E10" w14:paraId="4E56A867" w14:textId="77777777">
        <w:tc>
          <w:tcPr>
            <w:tcW w:w="0" w:type="auto"/>
            <w:gridSpan w:val="8"/>
            <w:shd w:val="clear" w:color="auto" w:fill="auto"/>
            <w:vAlign w:val="center"/>
          </w:tcPr>
          <w:p w14:paraId="4E56A866" w14:textId="77777777" w:rsidR="00DF3E10" w:rsidRDefault="00DF3E10">
            <w:pPr>
              <w:rPr>
                <w:rFonts w:ascii="Times New Roman" w:hAnsi="Times New Roman"/>
                <w:sz w:val="20"/>
                <w:szCs w:val="20"/>
              </w:rPr>
            </w:pPr>
          </w:p>
        </w:tc>
      </w:tr>
      <w:tr w:rsidR="00DF3E10" w14:paraId="4E56A870" w14:textId="77777777">
        <w:tc>
          <w:tcPr>
            <w:tcW w:w="3449" w:type="pct"/>
            <w:shd w:val="clear" w:color="auto" w:fill="auto"/>
            <w:vAlign w:val="center"/>
          </w:tcPr>
          <w:p w14:paraId="4E56A868" w14:textId="77777777" w:rsidR="00DF3E10" w:rsidRDefault="00DF3E10">
            <w:pPr>
              <w:rPr>
                <w:rFonts w:ascii="Times New Roman" w:hAnsi="Times New Roman"/>
                <w:sz w:val="20"/>
                <w:szCs w:val="20"/>
              </w:rPr>
            </w:pPr>
          </w:p>
        </w:tc>
        <w:tc>
          <w:tcPr>
            <w:tcW w:w="50" w:type="pct"/>
            <w:shd w:val="clear" w:color="auto" w:fill="auto"/>
            <w:vAlign w:val="center"/>
          </w:tcPr>
          <w:p w14:paraId="4E56A869" w14:textId="77777777" w:rsidR="00DF3E10" w:rsidRDefault="00DF3E10">
            <w:pPr>
              <w:rPr>
                <w:rFonts w:ascii="Times New Roman" w:hAnsi="Times New Roman"/>
                <w:sz w:val="20"/>
                <w:szCs w:val="20"/>
              </w:rPr>
            </w:pPr>
          </w:p>
        </w:tc>
        <w:tc>
          <w:tcPr>
            <w:tcW w:w="650" w:type="pct"/>
            <w:shd w:val="clear" w:color="auto" w:fill="auto"/>
            <w:vAlign w:val="center"/>
          </w:tcPr>
          <w:p w14:paraId="4E56A86A" w14:textId="77777777" w:rsidR="00DF3E10" w:rsidRDefault="00DF3E10">
            <w:pPr>
              <w:rPr>
                <w:rFonts w:ascii="Times New Roman" w:hAnsi="Times New Roman"/>
                <w:sz w:val="20"/>
                <w:szCs w:val="20"/>
              </w:rPr>
            </w:pPr>
          </w:p>
        </w:tc>
        <w:tc>
          <w:tcPr>
            <w:tcW w:w="50" w:type="pct"/>
            <w:shd w:val="clear" w:color="auto" w:fill="auto"/>
            <w:vAlign w:val="center"/>
          </w:tcPr>
          <w:p w14:paraId="4E56A86B" w14:textId="77777777" w:rsidR="00DF3E10" w:rsidRDefault="00DF3E10">
            <w:pPr>
              <w:rPr>
                <w:rFonts w:ascii="Times New Roman" w:hAnsi="Times New Roman"/>
                <w:sz w:val="20"/>
                <w:szCs w:val="20"/>
              </w:rPr>
            </w:pPr>
          </w:p>
        </w:tc>
        <w:tc>
          <w:tcPr>
            <w:tcW w:w="50" w:type="pct"/>
            <w:shd w:val="clear" w:color="auto" w:fill="auto"/>
            <w:vAlign w:val="center"/>
          </w:tcPr>
          <w:p w14:paraId="4E56A86C" w14:textId="77777777" w:rsidR="00DF3E10" w:rsidRDefault="00DF3E10">
            <w:pPr>
              <w:rPr>
                <w:rFonts w:ascii="Times New Roman" w:hAnsi="Times New Roman"/>
                <w:sz w:val="20"/>
                <w:szCs w:val="20"/>
              </w:rPr>
            </w:pPr>
          </w:p>
        </w:tc>
        <w:tc>
          <w:tcPr>
            <w:tcW w:w="50" w:type="pct"/>
            <w:shd w:val="clear" w:color="auto" w:fill="auto"/>
            <w:vAlign w:val="center"/>
          </w:tcPr>
          <w:p w14:paraId="4E56A86D" w14:textId="77777777" w:rsidR="00DF3E10" w:rsidRDefault="00DF3E10">
            <w:pPr>
              <w:rPr>
                <w:rFonts w:ascii="Times New Roman" w:hAnsi="Times New Roman"/>
                <w:sz w:val="20"/>
                <w:szCs w:val="20"/>
              </w:rPr>
            </w:pPr>
          </w:p>
        </w:tc>
        <w:tc>
          <w:tcPr>
            <w:tcW w:w="650" w:type="pct"/>
            <w:shd w:val="clear" w:color="auto" w:fill="auto"/>
            <w:vAlign w:val="center"/>
          </w:tcPr>
          <w:p w14:paraId="4E56A86E" w14:textId="77777777" w:rsidR="00DF3E10" w:rsidRDefault="00DF3E10">
            <w:pPr>
              <w:rPr>
                <w:rFonts w:ascii="Times New Roman" w:hAnsi="Times New Roman"/>
                <w:sz w:val="20"/>
                <w:szCs w:val="20"/>
              </w:rPr>
            </w:pPr>
          </w:p>
        </w:tc>
        <w:tc>
          <w:tcPr>
            <w:tcW w:w="50" w:type="pct"/>
            <w:shd w:val="clear" w:color="auto" w:fill="auto"/>
            <w:vAlign w:val="center"/>
          </w:tcPr>
          <w:p w14:paraId="4E56A86F" w14:textId="77777777" w:rsidR="00DF3E10" w:rsidRDefault="00DF3E10">
            <w:pPr>
              <w:rPr>
                <w:rFonts w:ascii="Times New Roman" w:hAnsi="Times New Roman"/>
                <w:sz w:val="20"/>
                <w:szCs w:val="20"/>
              </w:rPr>
            </w:pPr>
          </w:p>
        </w:tc>
      </w:tr>
      <w:tr w:rsidR="00DF3E10" w14:paraId="4E56A875" w14:textId="77777777">
        <w:tc>
          <w:tcPr>
            <w:tcW w:w="0" w:type="auto"/>
            <w:shd w:val="clear" w:color="auto" w:fill="auto"/>
            <w:tcMar>
              <w:top w:w="40" w:type="dxa"/>
              <w:left w:w="40" w:type="dxa"/>
              <w:bottom w:w="40" w:type="dxa"/>
              <w:right w:w="40" w:type="dxa"/>
            </w:tcMar>
            <w:vAlign w:val="bottom"/>
          </w:tcPr>
          <w:p w14:paraId="4E56A8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87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June 30, 2020</w:t>
            </w:r>
          </w:p>
        </w:tc>
        <w:tc>
          <w:tcPr>
            <w:tcW w:w="0" w:type="auto"/>
            <w:shd w:val="clear" w:color="auto" w:fill="auto"/>
            <w:tcMar>
              <w:top w:w="40" w:type="dxa"/>
              <w:left w:w="40" w:type="dxa"/>
              <w:bottom w:w="40" w:type="dxa"/>
              <w:right w:w="40" w:type="dxa"/>
            </w:tcMar>
            <w:vAlign w:val="bottom"/>
          </w:tcPr>
          <w:p w14:paraId="4E56A8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87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DF3E10" w14:paraId="4E56A87E" w14:textId="77777777">
        <w:tc>
          <w:tcPr>
            <w:tcW w:w="0" w:type="auto"/>
            <w:shd w:val="clear" w:color="auto" w:fill="CCEEFF"/>
            <w:tcMar>
              <w:top w:w="40" w:type="dxa"/>
              <w:left w:w="40" w:type="dxa"/>
              <w:bottom w:w="40" w:type="dxa"/>
              <w:right w:w="40" w:type="dxa"/>
            </w:tcMar>
          </w:tcPr>
          <w:p w14:paraId="4E56A87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CCEEFF"/>
            <w:tcMar>
              <w:top w:w="40" w:type="dxa"/>
              <w:left w:w="40" w:type="dxa"/>
              <w:bottom w:w="40" w:type="dxa"/>
            </w:tcMar>
            <w:vAlign w:val="bottom"/>
          </w:tcPr>
          <w:p w14:paraId="4E56A8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8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38,706</w:t>
            </w:r>
          </w:p>
        </w:tc>
        <w:tc>
          <w:tcPr>
            <w:tcW w:w="0" w:type="auto"/>
            <w:shd w:val="clear" w:color="auto" w:fill="CCEEFF"/>
            <w:vAlign w:val="bottom"/>
          </w:tcPr>
          <w:p w14:paraId="4E56A87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8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8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87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35,858</w:t>
            </w:r>
          </w:p>
        </w:tc>
        <w:tc>
          <w:tcPr>
            <w:tcW w:w="0" w:type="auto"/>
            <w:shd w:val="clear" w:color="auto" w:fill="CCEEFF"/>
            <w:vAlign w:val="bottom"/>
          </w:tcPr>
          <w:p w14:paraId="4E56A87D" w14:textId="77777777" w:rsidR="00DF3E10" w:rsidRDefault="00DF3E10">
            <w:pPr>
              <w:textAlignment w:val="bottom"/>
              <w:rPr>
                <w:rFonts w:ascii="Times New Roman" w:hAnsi="Times New Roman"/>
                <w:sz w:val="20"/>
                <w:szCs w:val="20"/>
              </w:rPr>
            </w:pPr>
          </w:p>
        </w:tc>
      </w:tr>
      <w:tr w:rsidR="00DF3E10" w14:paraId="4E56A885" w14:textId="77777777">
        <w:tc>
          <w:tcPr>
            <w:tcW w:w="0" w:type="auto"/>
            <w:shd w:val="clear" w:color="auto" w:fill="auto"/>
            <w:tcMar>
              <w:top w:w="40" w:type="dxa"/>
              <w:left w:w="40" w:type="dxa"/>
              <w:bottom w:w="40" w:type="dxa"/>
              <w:right w:w="40" w:type="dxa"/>
            </w:tcMar>
          </w:tcPr>
          <w:p w14:paraId="4E56A87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Rest of the world </w:t>
            </w:r>
            <w:r>
              <w:rPr>
                <w:rFonts w:ascii="Times New Roman" w:eastAsia="宋体" w:hAnsi="Times New Roman"/>
                <w:sz w:val="14"/>
                <w:szCs w:val="14"/>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4E56A88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9,729</w:t>
            </w:r>
          </w:p>
        </w:tc>
        <w:tc>
          <w:tcPr>
            <w:tcW w:w="0" w:type="auto"/>
            <w:tcBorders>
              <w:bottom w:val="single" w:sz="8" w:space="0" w:color="000000"/>
            </w:tcBorders>
            <w:shd w:val="clear" w:color="auto" w:fill="auto"/>
            <w:vAlign w:val="bottom"/>
          </w:tcPr>
          <w:p w14:paraId="4E56A88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8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88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8,925</w:t>
            </w:r>
          </w:p>
        </w:tc>
        <w:tc>
          <w:tcPr>
            <w:tcW w:w="0" w:type="auto"/>
            <w:tcBorders>
              <w:bottom w:val="single" w:sz="8" w:space="0" w:color="000000"/>
            </w:tcBorders>
            <w:shd w:val="clear" w:color="auto" w:fill="auto"/>
            <w:vAlign w:val="bottom"/>
          </w:tcPr>
          <w:p w14:paraId="4E56A884" w14:textId="77777777" w:rsidR="00DF3E10" w:rsidRDefault="00DF3E10">
            <w:pPr>
              <w:textAlignment w:val="bottom"/>
              <w:rPr>
                <w:rFonts w:ascii="Times New Roman" w:hAnsi="Times New Roman"/>
                <w:sz w:val="20"/>
                <w:szCs w:val="20"/>
              </w:rPr>
            </w:pPr>
          </w:p>
        </w:tc>
      </w:tr>
      <w:tr w:rsidR="00DF3E10" w14:paraId="4E56A88E" w14:textId="77777777">
        <w:tc>
          <w:tcPr>
            <w:tcW w:w="0" w:type="auto"/>
            <w:shd w:val="clear" w:color="auto" w:fill="CCEEFF"/>
            <w:tcMar>
              <w:top w:w="40" w:type="dxa"/>
              <w:left w:w="400" w:type="dxa"/>
              <w:bottom w:w="40" w:type="dxa"/>
              <w:right w:w="40" w:type="dxa"/>
            </w:tcMar>
          </w:tcPr>
          <w:p w14:paraId="4E56A88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long-lived assets</w:t>
            </w:r>
          </w:p>
        </w:tc>
        <w:tc>
          <w:tcPr>
            <w:tcW w:w="0" w:type="auto"/>
            <w:tcBorders>
              <w:bottom w:val="double" w:sz="6" w:space="0" w:color="000000"/>
            </w:tcBorders>
            <w:shd w:val="clear" w:color="auto" w:fill="CCEEFF"/>
            <w:tcMar>
              <w:top w:w="40" w:type="dxa"/>
              <w:left w:w="40" w:type="dxa"/>
              <w:bottom w:w="40" w:type="dxa"/>
            </w:tcMar>
            <w:vAlign w:val="bottom"/>
          </w:tcPr>
          <w:p w14:paraId="4E56A8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8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48,435</w:t>
            </w:r>
          </w:p>
        </w:tc>
        <w:tc>
          <w:tcPr>
            <w:tcW w:w="0" w:type="auto"/>
            <w:tcBorders>
              <w:bottom w:val="double" w:sz="6" w:space="0" w:color="000000"/>
            </w:tcBorders>
            <w:shd w:val="clear" w:color="auto" w:fill="CCEEFF"/>
            <w:vAlign w:val="bottom"/>
          </w:tcPr>
          <w:p w14:paraId="4E56A88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8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88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8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44,783</w:t>
            </w:r>
          </w:p>
        </w:tc>
        <w:tc>
          <w:tcPr>
            <w:tcW w:w="0" w:type="auto"/>
            <w:tcBorders>
              <w:bottom w:val="double" w:sz="6" w:space="0" w:color="000000"/>
            </w:tcBorders>
            <w:shd w:val="clear" w:color="auto" w:fill="CCEEFF"/>
            <w:vAlign w:val="bottom"/>
          </w:tcPr>
          <w:p w14:paraId="4E56A88D" w14:textId="77777777" w:rsidR="00DF3E10" w:rsidRDefault="00DF3E10">
            <w:pPr>
              <w:textAlignment w:val="bottom"/>
              <w:rPr>
                <w:rFonts w:ascii="Times New Roman" w:hAnsi="Times New Roman"/>
                <w:sz w:val="20"/>
                <w:szCs w:val="20"/>
              </w:rPr>
            </w:pPr>
          </w:p>
        </w:tc>
      </w:tr>
    </w:tbl>
    <w:p w14:paraId="4E56A88F" w14:textId="77777777" w:rsidR="00DF3E10" w:rsidRDefault="006B6C28">
      <w:pPr>
        <w:rPr>
          <w:rFonts w:ascii="Times New Roman" w:hAnsi="Times New Roman"/>
          <w:sz w:val="20"/>
          <w:szCs w:val="20"/>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DF3E10" w14:paraId="4E56A892" w14:textId="77777777">
        <w:trPr>
          <w:tblCellSpacing w:w="0" w:type="dxa"/>
        </w:trPr>
        <w:tc>
          <w:tcPr>
            <w:tcW w:w="480" w:type="dxa"/>
            <w:shd w:val="clear" w:color="auto" w:fill="auto"/>
            <w:vAlign w:val="center"/>
          </w:tcPr>
          <w:p w14:paraId="4E56A890" w14:textId="77777777" w:rsidR="00DF3E10" w:rsidRDefault="00DF3E10">
            <w:pPr>
              <w:rPr>
                <w:rFonts w:ascii="Times New Roman" w:hAnsi="Times New Roman"/>
                <w:sz w:val="20"/>
                <w:szCs w:val="20"/>
              </w:rPr>
            </w:pPr>
          </w:p>
        </w:tc>
        <w:tc>
          <w:tcPr>
            <w:tcW w:w="0" w:type="auto"/>
            <w:shd w:val="clear" w:color="auto" w:fill="auto"/>
            <w:vAlign w:val="center"/>
          </w:tcPr>
          <w:p w14:paraId="4E56A891" w14:textId="77777777" w:rsidR="00DF3E10" w:rsidRDefault="00DF3E10">
            <w:pPr>
              <w:rPr>
                <w:rFonts w:ascii="Times New Roman" w:hAnsi="Times New Roman"/>
                <w:sz w:val="20"/>
                <w:szCs w:val="20"/>
              </w:rPr>
            </w:pPr>
          </w:p>
        </w:tc>
      </w:tr>
      <w:tr w:rsidR="00DF3E10" w14:paraId="4E56A895" w14:textId="77777777">
        <w:trPr>
          <w:tblCellSpacing w:w="0" w:type="dxa"/>
        </w:trPr>
        <w:tc>
          <w:tcPr>
            <w:tcW w:w="0" w:type="auto"/>
            <w:shd w:val="clear" w:color="auto" w:fill="auto"/>
          </w:tcPr>
          <w:p w14:paraId="4E56A893"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A894"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No individual country, other than disclosed above, exceeded 10% of our total long-lived assets for any period presented.</w:t>
            </w:r>
          </w:p>
        </w:tc>
      </w:tr>
    </w:tbl>
    <w:p w14:paraId="4E56A896" w14:textId="77777777" w:rsidR="00DF3E10" w:rsidRDefault="00DF3E10">
      <w:pPr>
        <w:spacing w:line="288" w:lineRule="auto"/>
        <w:ind w:hanging="480"/>
        <w:jc w:val="both"/>
        <w:rPr>
          <w:rFonts w:ascii="Times New Roman" w:hAnsi="Times New Roman"/>
          <w:sz w:val="18"/>
          <w:szCs w:val="18"/>
        </w:rPr>
      </w:pPr>
    </w:p>
    <w:p w14:paraId="4E56A897"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Note 14. Subsequent Event</w:t>
      </w:r>
    </w:p>
    <w:p w14:paraId="4E56A89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April 21, 2020, we entered into a definitive </w:t>
      </w:r>
      <w:r>
        <w:rPr>
          <w:rFonts w:ascii="Times New Roman" w:eastAsia="宋体" w:hAnsi="Times New Roman"/>
          <w:sz w:val="20"/>
          <w:szCs w:val="20"/>
        </w:rPr>
        <w:t>agreement to invest in Jio Platforms Limited, a subsidiary of Reliance Industries Limited. The transaction closed on July 7, 2020, and we paid approximately $5.8 billion at the then</w:t>
      </w:r>
      <w:r>
        <w:rPr>
          <w:rFonts w:ascii="Times New Roman" w:eastAsia="宋体" w:hAnsi="Times New Roman"/>
          <w:sz w:val="20"/>
          <w:szCs w:val="20"/>
        </w:rPr>
        <w:noBreakHyphen/>
        <w:t>current exchange rate. We elected to use the measurement alternative for t</w:t>
      </w:r>
      <w:r>
        <w:rPr>
          <w:rFonts w:ascii="Times New Roman" w:eastAsia="宋体" w:hAnsi="Times New Roman"/>
          <w:sz w:val="20"/>
          <w:szCs w:val="20"/>
        </w:rPr>
        <w:t>his equity investment without a readily determinable fair value, which requires the investment to be held at cost and adjusted for impairment and to fair value for observable transactions for identical or similar investments of the same issuer.</w:t>
      </w:r>
    </w:p>
    <w:p w14:paraId="4E56A899" w14:textId="77777777" w:rsidR="00DF3E10" w:rsidRDefault="00DF3E10">
      <w:pPr>
        <w:spacing w:line="288" w:lineRule="auto"/>
        <w:ind w:firstLine="720"/>
        <w:jc w:val="both"/>
        <w:rPr>
          <w:rFonts w:ascii="Times New Roman" w:hAnsi="Times New Roman"/>
          <w:sz w:val="20"/>
          <w:szCs w:val="20"/>
        </w:rPr>
      </w:pPr>
    </w:p>
    <w:p w14:paraId="4E56A89A" w14:textId="77777777" w:rsidR="00DF3E10" w:rsidRDefault="00DF3E10">
      <w:pPr>
        <w:rPr>
          <w:rFonts w:ascii="Times New Roman" w:hAnsi="Times New Roman"/>
          <w:sz w:val="20"/>
          <w:szCs w:val="20"/>
        </w:rPr>
      </w:pPr>
    </w:p>
    <w:p w14:paraId="4E56A89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26</w:t>
      </w:r>
    </w:p>
    <w:p w14:paraId="4E56A89C" w14:textId="77777777" w:rsidR="00DF3E10" w:rsidRDefault="006B6C28">
      <w:r>
        <w:rPr>
          <w:rFonts w:ascii="Times New Roman" w:hAnsi="Times New Roman"/>
          <w:sz w:val="20"/>
          <w:szCs w:val="20"/>
        </w:rPr>
        <w:pict w14:anchorId="4E56B767">
          <v:rect id="_x0000_i1050" style="width:415.3pt;height:1.5pt" o:hralign="center" o:hrstd="t" o:hr="t" fillcolor="#a0a0a0" stroked="f"/>
        </w:pict>
      </w:r>
    </w:p>
    <w:p w14:paraId="4E56A89D" w14:textId="77777777" w:rsidR="00DF3E10" w:rsidRDefault="006B6C28">
      <w:pPr>
        <w:spacing w:line="288" w:lineRule="auto"/>
        <w:rPr>
          <w:rFonts w:ascii="Times New Roman" w:hAnsi="Times New Roman"/>
          <w:sz w:val="20"/>
          <w:szCs w:val="20"/>
        </w:rPr>
      </w:pPr>
      <w:hyperlink r:id="rId67" w:anchor="sC1FF62F0D4D85317B5B2C71C7C94F269" w:history="1">
        <w:r>
          <w:rPr>
            <w:rStyle w:val="a5"/>
            <w:rFonts w:ascii="Times New Roman" w:eastAsia="宋体" w:hAnsi="Times New Roman"/>
            <w:sz w:val="20"/>
            <w:szCs w:val="20"/>
          </w:rPr>
          <w:t>Table of Contents</w:t>
        </w:r>
      </w:hyperlink>
    </w:p>
    <w:p w14:paraId="4E56A89E" w14:textId="77777777" w:rsidR="00DF3E10" w:rsidRDefault="00DF3E10">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DF3E10" w14:paraId="4E56A8A1" w14:textId="77777777">
        <w:trPr>
          <w:tblCellSpacing w:w="0" w:type="dxa"/>
        </w:trPr>
        <w:tc>
          <w:tcPr>
            <w:tcW w:w="960" w:type="dxa"/>
            <w:shd w:val="clear" w:color="auto" w:fill="auto"/>
            <w:vAlign w:val="center"/>
          </w:tcPr>
          <w:p w14:paraId="4E56A89F" w14:textId="77777777" w:rsidR="00DF3E10" w:rsidRDefault="00DF3E10">
            <w:pPr>
              <w:rPr>
                <w:rFonts w:ascii="Times New Roman" w:hAnsi="Times New Roman"/>
                <w:sz w:val="20"/>
                <w:szCs w:val="20"/>
              </w:rPr>
            </w:pPr>
          </w:p>
        </w:tc>
        <w:tc>
          <w:tcPr>
            <w:tcW w:w="0" w:type="auto"/>
            <w:shd w:val="clear" w:color="auto" w:fill="auto"/>
            <w:vAlign w:val="center"/>
          </w:tcPr>
          <w:p w14:paraId="4E56A8A0" w14:textId="77777777" w:rsidR="00DF3E10" w:rsidRDefault="00DF3E10">
            <w:pPr>
              <w:rPr>
                <w:rFonts w:ascii="Times New Roman" w:hAnsi="Times New Roman"/>
                <w:sz w:val="20"/>
                <w:szCs w:val="20"/>
              </w:rPr>
            </w:pPr>
          </w:p>
        </w:tc>
      </w:tr>
      <w:tr w:rsidR="00DF3E10" w14:paraId="4E56A8A4" w14:textId="77777777">
        <w:trPr>
          <w:tblCellSpacing w:w="0" w:type="dxa"/>
        </w:trPr>
        <w:tc>
          <w:tcPr>
            <w:tcW w:w="0" w:type="auto"/>
            <w:shd w:val="clear" w:color="auto" w:fill="auto"/>
          </w:tcPr>
          <w:p w14:paraId="4E56A8A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4E56A8A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Management's Discussion and Analysis of Financial Condition and </w:t>
            </w:r>
            <w:r>
              <w:rPr>
                <w:rFonts w:ascii="Times New Roman" w:eastAsia="宋体" w:hAnsi="Times New Roman"/>
                <w:b/>
                <w:bCs/>
                <w:sz w:val="20"/>
                <w:szCs w:val="20"/>
              </w:rPr>
              <w:t>Results of Operations</w:t>
            </w:r>
          </w:p>
        </w:tc>
      </w:tr>
    </w:tbl>
    <w:p w14:paraId="4E56A8A5" w14:textId="77777777" w:rsidR="00DF3E10" w:rsidRDefault="006B6C28">
      <w:pPr>
        <w:spacing w:line="288" w:lineRule="auto"/>
        <w:jc w:val="both"/>
        <w:rPr>
          <w:rFonts w:ascii="Times New Roman" w:hAnsi="Times New Roman"/>
          <w:sz w:val="20"/>
          <w:szCs w:val="20"/>
        </w:rPr>
      </w:pPr>
      <w:r>
        <w:rPr>
          <w:rFonts w:ascii="Times New Roman" w:eastAsia="宋体" w:hAnsi="Times New Roman"/>
          <w:i/>
          <w:iCs/>
          <w:sz w:val="20"/>
          <w:szCs w:val="20"/>
        </w:rPr>
        <w:t>You should read the following discussion of our financial condition and results of operations in conjunction with our condensed consolidated financial statements and the related notes included elsewhere in this Quarterly Report on Fo</w:t>
      </w:r>
      <w:r>
        <w:rPr>
          <w:rFonts w:ascii="Times New Roman" w:eastAsia="宋体" w:hAnsi="Times New Roman"/>
          <w:i/>
          <w:iCs/>
          <w:sz w:val="20"/>
          <w:szCs w:val="20"/>
        </w:rPr>
        <w:t>rm 10-Q and with our audited consolidated financial statements included in our Annual Report on Form 10-K for the year ended December 31, 2019, as filed with the Securities and Exchange Commission. In addition to our historical condensed consolidated finan</w:t>
      </w:r>
      <w:r>
        <w:rPr>
          <w:rFonts w:ascii="Times New Roman" w:eastAsia="宋体" w:hAnsi="Times New Roman"/>
          <w:i/>
          <w:iCs/>
          <w:sz w:val="20"/>
          <w:szCs w:val="20"/>
        </w:rPr>
        <w:t>cial information, the following discussion contains forward-looking statements that reflect our plans, estimates, and beliefs. Our actual results could differ materially from those discussed in the forward-looking statements. Factors that could cause or co</w:t>
      </w:r>
      <w:r>
        <w:rPr>
          <w:rFonts w:ascii="Times New Roman" w:eastAsia="宋体" w:hAnsi="Times New Roman"/>
          <w:i/>
          <w:iCs/>
          <w:sz w:val="20"/>
          <w:szCs w:val="20"/>
        </w:rPr>
        <w:t>ntribute to these differences include those discussed below and elsewhere in this Quarterly Report on Form 10-Q, particularly in Part II, Item 1A, "Risk Factors." For a discussion of limitations in the measurement of certain of our community metrics, see t</w:t>
      </w:r>
      <w:r>
        <w:rPr>
          <w:rFonts w:ascii="Times New Roman" w:eastAsia="宋体" w:hAnsi="Times New Roman"/>
          <w:i/>
          <w:iCs/>
          <w:sz w:val="20"/>
          <w:szCs w:val="20"/>
        </w:rPr>
        <w:t>he section entitled "Limitations of Key Metrics and Other Data" in this Quarterly Report on Form 10-Q.</w:t>
      </w:r>
    </w:p>
    <w:p w14:paraId="4E56A8A6" w14:textId="77777777" w:rsidR="00DF3E10" w:rsidRDefault="006B6C28">
      <w:pPr>
        <w:spacing w:line="288" w:lineRule="auto"/>
        <w:jc w:val="both"/>
        <w:rPr>
          <w:rFonts w:ascii="Times New Roman" w:hAnsi="Times New Roman"/>
          <w:sz w:val="20"/>
          <w:szCs w:val="20"/>
        </w:rPr>
      </w:pPr>
      <w:r>
        <w:rPr>
          <w:rFonts w:ascii="Times New Roman" w:eastAsia="宋体" w:hAnsi="Times New Roman"/>
          <w:i/>
          <w:iCs/>
          <w:sz w:val="20"/>
          <w:szCs w:val="20"/>
        </w:rPr>
        <w:t>Certain revenue information in the section entitled "—Three and Six Months Ended June 30, 2020 and 2019—Revenue</w:t>
      </w:r>
      <w:r>
        <w:rPr>
          <w:rFonts w:ascii="Times New Roman" w:eastAsia="宋体" w:hAnsi="Times New Roman"/>
          <w:sz w:val="20"/>
          <w:szCs w:val="20"/>
        </w:rPr>
        <w:t>—</w:t>
      </w:r>
      <w:r>
        <w:rPr>
          <w:rFonts w:ascii="Times New Roman" w:eastAsia="宋体" w:hAnsi="Times New Roman"/>
          <w:i/>
          <w:iCs/>
          <w:sz w:val="20"/>
          <w:szCs w:val="20"/>
        </w:rPr>
        <w:t xml:space="preserve">Foreign Exchange Impact on </w:t>
      </w:r>
      <w:r>
        <w:rPr>
          <w:rFonts w:ascii="Times New Roman" w:eastAsia="宋体" w:hAnsi="Times New Roman"/>
          <w:i/>
          <w:iCs/>
          <w:sz w:val="20"/>
          <w:szCs w:val="20"/>
        </w:rPr>
        <w:t>Revenue" is presented on a constant currency basis. This information is a non-GAAP financial measure. To calculate revenue on a constant currency basis, we translated revenue for the three and six months ended June 30, 2020 using the prior year's monthly e</w:t>
      </w:r>
      <w:r>
        <w:rPr>
          <w:rFonts w:ascii="Times New Roman" w:eastAsia="宋体" w:hAnsi="Times New Roman"/>
          <w:i/>
          <w:iCs/>
          <w:sz w:val="20"/>
          <w:szCs w:val="20"/>
        </w:rPr>
        <w:t>xchange rates for our settlement or billing currencies other than the U.S. dollar. This non-GAAP financial measure is not intended to be considered in isolation or as a substitute for, or superior to, financial information prepared and presented in accorda</w:t>
      </w:r>
      <w:r>
        <w:rPr>
          <w:rFonts w:ascii="Times New Roman" w:eastAsia="宋体" w:hAnsi="Times New Roman"/>
          <w:i/>
          <w:iCs/>
          <w:sz w:val="20"/>
          <w:szCs w:val="20"/>
        </w:rPr>
        <w:t>nce with GAAP. This measure may be different from non-GAAP financial measures used by other companies, limiting its usefulness for comparison purposes. Moreover, presentation of revenue on a constant currency basis is provided for year-over-year comparison</w:t>
      </w:r>
      <w:r>
        <w:rPr>
          <w:rFonts w:ascii="Times New Roman" w:eastAsia="宋体" w:hAnsi="Times New Roman"/>
          <w:i/>
          <w:iCs/>
          <w:sz w:val="20"/>
          <w:szCs w:val="20"/>
        </w:rPr>
        <w:t xml:space="preserve"> purposes, and investors should be cautioned that the effect of changing foreign currency exchange rates has an actual effect on our operating results. We believe this non-GAAP financial measure provides investors with useful supplemental information about</w:t>
      </w:r>
      <w:r>
        <w:rPr>
          <w:rFonts w:ascii="Times New Roman" w:eastAsia="宋体" w:hAnsi="Times New Roman"/>
          <w:i/>
          <w:iCs/>
          <w:sz w:val="20"/>
          <w:szCs w:val="20"/>
        </w:rPr>
        <w:t xml:space="preserve"> the financial performance of our business, enables comparison of financial results between periods where certain items may vary independent of business performance, and allows for greater transparency with respect to key metrics used by management in oper</w:t>
      </w:r>
      <w:r>
        <w:rPr>
          <w:rFonts w:ascii="Times New Roman" w:eastAsia="宋体" w:hAnsi="Times New Roman"/>
          <w:i/>
          <w:iCs/>
          <w:sz w:val="20"/>
          <w:szCs w:val="20"/>
        </w:rPr>
        <w:t>ating our business.</w:t>
      </w:r>
    </w:p>
    <w:p w14:paraId="4E56A8A7"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Executive Overview of Second Quarter Results</w:t>
      </w:r>
    </w:p>
    <w:p w14:paraId="4E56A8A8"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Our key community metrics and financial results for the second quarter of 2020 are as follows:</w:t>
      </w:r>
    </w:p>
    <w:p w14:paraId="4E56A8A9"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Community growth:</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8AC" w14:textId="77777777">
        <w:trPr>
          <w:tblCellSpacing w:w="0" w:type="dxa"/>
        </w:trPr>
        <w:tc>
          <w:tcPr>
            <w:tcW w:w="960" w:type="dxa"/>
            <w:shd w:val="clear" w:color="auto" w:fill="auto"/>
            <w:vAlign w:val="center"/>
          </w:tcPr>
          <w:p w14:paraId="4E56A8AA" w14:textId="77777777" w:rsidR="00DF3E10" w:rsidRDefault="00DF3E10">
            <w:pPr>
              <w:rPr>
                <w:rFonts w:ascii="Times New Roman" w:hAnsi="Times New Roman"/>
                <w:sz w:val="20"/>
                <w:szCs w:val="20"/>
              </w:rPr>
            </w:pPr>
          </w:p>
        </w:tc>
        <w:tc>
          <w:tcPr>
            <w:tcW w:w="0" w:type="auto"/>
            <w:shd w:val="clear" w:color="auto" w:fill="auto"/>
            <w:vAlign w:val="center"/>
          </w:tcPr>
          <w:p w14:paraId="4E56A8AB" w14:textId="77777777" w:rsidR="00DF3E10" w:rsidRDefault="00DF3E10">
            <w:pPr>
              <w:rPr>
                <w:rFonts w:ascii="Times New Roman" w:hAnsi="Times New Roman"/>
                <w:sz w:val="20"/>
                <w:szCs w:val="20"/>
              </w:rPr>
            </w:pPr>
          </w:p>
        </w:tc>
      </w:tr>
      <w:tr w:rsidR="00DF3E10" w14:paraId="4E56A8AF" w14:textId="77777777">
        <w:trPr>
          <w:tblCellSpacing w:w="0" w:type="dxa"/>
        </w:trPr>
        <w:tc>
          <w:tcPr>
            <w:tcW w:w="0" w:type="auto"/>
            <w:shd w:val="clear" w:color="auto" w:fill="auto"/>
          </w:tcPr>
          <w:p w14:paraId="4E56A8A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A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Facebook daily active users (DAUs) were 1.79 billion on average for June </w:t>
            </w:r>
            <w:r>
              <w:rPr>
                <w:rFonts w:ascii="Times New Roman" w:eastAsia="宋体" w:hAnsi="Times New Roman"/>
                <w:sz w:val="20"/>
                <w:szCs w:val="20"/>
              </w:rPr>
              <w:t>2020, an increase of 12% year-over-year.</w:t>
            </w:r>
          </w:p>
        </w:tc>
      </w:tr>
    </w:tbl>
    <w:p w14:paraId="4E56A8B0"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DF3E10" w14:paraId="4E56A8B3" w14:textId="77777777">
        <w:trPr>
          <w:tblCellSpacing w:w="0" w:type="dxa"/>
        </w:trPr>
        <w:tc>
          <w:tcPr>
            <w:tcW w:w="960" w:type="dxa"/>
            <w:shd w:val="clear" w:color="auto" w:fill="auto"/>
            <w:vAlign w:val="center"/>
          </w:tcPr>
          <w:p w14:paraId="4E56A8B1" w14:textId="77777777" w:rsidR="00DF3E10" w:rsidRDefault="00DF3E10">
            <w:pPr>
              <w:rPr>
                <w:rFonts w:ascii="Times New Roman" w:hAnsi="Times New Roman"/>
                <w:sz w:val="20"/>
                <w:szCs w:val="20"/>
              </w:rPr>
            </w:pPr>
          </w:p>
        </w:tc>
        <w:tc>
          <w:tcPr>
            <w:tcW w:w="0" w:type="auto"/>
            <w:shd w:val="clear" w:color="auto" w:fill="auto"/>
            <w:vAlign w:val="center"/>
          </w:tcPr>
          <w:p w14:paraId="4E56A8B2" w14:textId="77777777" w:rsidR="00DF3E10" w:rsidRDefault="00DF3E10">
            <w:pPr>
              <w:rPr>
                <w:rFonts w:ascii="Times New Roman" w:hAnsi="Times New Roman"/>
                <w:sz w:val="20"/>
                <w:szCs w:val="20"/>
              </w:rPr>
            </w:pPr>
          </w:p>
        </w:tc>
      </w:tr>
      <w:tr w:rsidR="00DF3E10" w14:paraId="4E56A8B6" w14:textId="77777777">
        <w:trPr>
          <w:tblCellSpacing w:w="0" w:type="dxa"/>
        </w:trPr>
        <w:tc>
          <w:tcPr>
            <w:tcW w:w="0" w:type="auto"/>
            <w:shd w:val="clear" w:color="auto" w:fill="auto"/>
          </w:tcPr>
          <w:p w14:paraId="4E56A8B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B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Facebook monthly active users (MAUs) were 2.70 billion as of June 30, 2020, an increase of 12% year-over-year.</w:t>
            </w:r>
          </w:p>
        </w:tc>
      </w:tr>
    </w:tbl>
    <w:p w14:paraId="4E56A8B7"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DF3E10" w14:paraId="4E56A8BA" w14:textId="77777777">
        <w:trPr>
          <w:tblCellSpacing w:w="0" w:type="dxa"/>
        </w:trPr>
        <w:tc>
          <w:tcPr>
            <w:tcW w:w="960" w:type="dxa"/>
            <w:shd w:val="clear" w:color="auto" w:fill="auto"/>
            <w:vAlign w:val="center"/>
          </w:tcPr>
          <w:p w14:paraId="4E56A8B8" w14:textId="77777777" w:rsidR="00DF3E10" w:rsidRDefault="00DF3E10">
            <w:pPr>
              <w:rPr>
                <w:rFonts w:ascii="Times New Roman" w:hAnsi="Times New Roman"/>
                <w:sz w:val="20"/>
                <w:szCs w:val="20"/>
              </w:rPr>
            </w:pPr>
          </w:p>
        </w:tc>
        <w:tc>
          <w:tcPr>
            <w:tcW w:w="0" w:type="auto"/>
            <w:shd w:val="clear" w:color="auto" w:fill="auto"/>
            <w:vAlign w:val="center"/>
          </w:tcPr>
          <w:p w14:paraId="4E56A8B9" w14:textId="77777777" w:rsidR="00DF3E10" w:rsidRDefault="00DF3E10">
            <w:pPr>
              <w:rPr>
                <w:rFonts w:ascii="Times New Roman" w:hAnsi="Times New Roman"/>
                <w:sz w:val="20"/>
                <w:szCs w:val="20"/>
              </w:rPr>
            </w:pPr>
          </w:p>
        </w:tc>
      </w:tr>
      <w:tr w:rsidR="00DF3E10" w14:paraId="4E56A8BD" w14:textId="77777777">
        <w:trPr>
          <w:tblCellSpacing w:w="0" w:type="dxa"/>
        </w:trPr>
        <w:tc>
          <w:tcPr>
            <w:tcW w:w="0" w:type="auto"/>
            <w:shd w:val="clear" w:color="auto" w:fill="auto"/>
          </w:tcPr>
          <w:p w14:paraId="4E56A8B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B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Family daily active people (DAP) was 2.47 billion on average for June 2020, an </w:t>
            </w:r>
            <w:r>
              <w:rPr>
                <w:rFonts w:ascii="Times New Roman" w:eastAsia="宋体" w:hAnsi="Times New Roman"/>
                <w:sz w:val="20"/>
                <w:szCs w:val="20"/>
              </w:rPr>
              <w:t>increase of 15% year-over-year.</w:t>
            </w:r>
          </w:p>
        </w:tc>
      </w:tr>
    </w:tbl>
    <w:p w14:paraId="4E56A8BE"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DF3E10" w14:paraId="4E56A8C1" w14:textId="77777777">
        <w:trPr>
          <w:tblCellSpacing w:w="0" w:type="dxa"/>
        </w:trPr>
        <w:tc>
          <w:tcPr>
            <w:tcW w:w="960" w:type="dxa"/>
            <w:shd w:val="clear" w:color="auto" w:fill="auto"/>
            <w:vAlign w:val="center"/>
          </w:tcPr>
          <w:p w14:paraId="4E56A8BF" w14:textId="77777777" w:rsidR="00DF3E10" w:rsidRDefault="00DF3E10">
            <w:pPr>
              <w:rPr>
                <w:rFonts w:ascii="Times New Roman" w:hAnsi="Times New Roman"/>
                <w:sz w:val="20"/>
                <w:szCs w:val="20"/>
              </w:rPr>
            </w:pPr>
          </w:p>
        </w:tc>
        <w:tc>
          <w:tcPr>
            <w:tcW w:w="0" w:type="auto"/>
            <w:shd w:val="clear" w:color="auto" w:fill="auto"/>
            <w:vAlign w:val="center"/>
          </w:tcPr>
          <w:p w14:paraId="4E56A8C0" w14:textId="77777777" w:rsidR="00DF3E10" w:rsidRDefault="00DF3E10">
            <w:pPr>
              <w:rPr>
                <w:rFonts w:ascii="Times New Roman" w:hAnsi="Times New Roman"/>
                <w:sz w:val="20"/>
                <w:szCs w:val="20"/>
              </w:rPr>
            </w:pPr>
          </w:p>
        </w:tc>
      </w:tr>
      <w:tr w:rsidR="00DF3E10" w14:paraId="4E56A8C4" w14:textId="77777777">
        <w:trPr>
          <w:tblCellSpacing w:w="0" w:type="dxa"/>
        </w:trPr>
        <w:tc>
          <w:tcPr>
            <w:tcW w:w="0" w:type="auto"/>
            <w:shd w:val="clear" w:color="auto" w:fill="auto"/>
          </w:tcPr>
          <w:p w14:paraId="4E56A8C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C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Family monthly active people (MAP) was 3.14 billion as of June 30, 2020, an increase of 14% year-over-year.</w:t>
            </w:r>
          </w:p>
        </w:tc>
      </w:tr>
    </w:tbl>
    <w:p w14:paraId="4E56A8C5"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Financial results:</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8C8" w14:textId="77777777">
        <w:trPr>
          <w:tblCellSpacing w:w="0" w:type="dxa"/>
        </w:trPr>
        <w:tc>
          <w:tcPr>
            <w:tcW w:w="960" w:type="dxa"/>
            <w:shd w:val="clear" w:color="auto" w:fill="auto"/>
            <w:vAlign w:val="center"/>
          </w:tcPr>
          <w:p w14:paraId="4E56A8C6" w14:textId="77777777" w:rsidR="00DF3E10" w:rsidRDefault="00DF3E10">
            <w:pPr>
              <w:rPr>
                <w:rFonts w:ascii="Times New Roman" w:hAnsi="Times New Roman"/>
                <w:sz w:val="20"/>
                <w:szCs w:val="20"/>
              </w:rPr>
            </w:pPr>
          </w:p>
        </w:tc>
        <w:tc>
          <w:tcPr>
            <w:tcW w:w="0" w:type="auto"/>
            <w:shd w:val="clear" w:color="auto" w:fill="auto"/>
            <w:vAlign w:val="center"/>
          </w:tcPr>
          <w:p w14:paraId="4E56A8C7" w14:textId="77777777" w:rsidR="00DF3E10" w:rsidRDefault="00DF3E10">
            <w:pPr>
              <w:rPr>
                <w:rFonts w:ascii="Times New Roman" w:hAnsi="Times New Roman"/>
                <w:sz w:val="20"/>
                <w:szCs w:val="20"/>
              </w:rPr>
            </w:pPr>
          </w:p>
        </w:tc>
      </w:tr>
      <w:tr w:rsidR="00DF3E10" w14:paraId="4E56A8CB" w14:textId="77777777">
        <w:trPr>
          <w:tblCellSpacing w:w="0" w:type="dxa"/>
        </w:trPr>
        <w:tc>
          <w:tcPr>
            <w:tcW w:w="0" w:type="auto"/>
            <w:shd w:val="clear" w:color="auto" w:fill="auto"/>
          </w:tcPr>
          <w:p w14:paraId="4E56A8C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C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Revenue was </w:t>
            </w:r>
            <w:r>
              <w:rPr>
                <w:rFonts w:ascii="Times New Roman" w:eastAsia="宋体" w:hAnsi="Times New Roman"/>
                <w:color w:val="212529"/>
                <w:sz w:val="20"/>
                <w:szCs w:val="20"/>
              </w:rPr>
              <w:t>$18.69 billion</w:t>
            </w:r>
            <w:r>
              <w:rPr>
                <w:rFonts w:ascii="Times New Roman" w:eastAsia="宋体" w:hAnsi="Times New Roman"/>
                <w:sz w:val="20"/>
                <w:szCs w:val="20"/>
              </w:rPr>
              <w:t xml:space="preserve">, up 11% year-over-year, and advertising revenue was </w:t>
            </w:r>
            <w:r>
              <w:rPr>
                <w:rFonts w:ascii="Times New Roman" w:eastAsia="宋体" w:hAnsi="Times New Roman"/>
                <w:color w:val="212529"/>
                <w:sz w:val="20"/>
                <w:szCs w:val="20"/>
              </w:rPr>
              <w:t>$18.32 billion</w:t>
            </w:r>
            <w:r>
              <w:rPr>
                <w:rFonts w:ascii="Times New Roman" w:eastAsia="宋体" w:hAnsi="Times New Roman"/>
                <w:sz w:val="20"/>
                <w:szCs w:val="20"/>
              </w:rPr>
              <w:t>, up 10% year-over-year.</w:t>
            </w:r>
          </w:p>
        </w:tc>
      </w:tr>
    </w:tbl>
    <w:p w14:paraId="4E56A8CC"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644"/>
      </w:tblGrid>
      <w:tr w:rsidR="00DF3E10" w14:paraId="4E56A8CF" w14:textId="77777777">
        <w:trPr>
          <w:tblCellSpacing w:w="0" w:type="dxa"/>
        </w:trPr>
        <w:tc>
          <w:tcPr>
            <w:tcW w:w="960" w:type="dxa"/>
            <w:shd w:val="clear" w:color="auto" w:fill="auto"/>
            <w:vAlign w:val="center"/>
          </w:tcPr>
          <w:p w14:paraId="4E56A8CD" w14:textId="77777777" w:rsidR="00DF3E10" w:rsidRDefault="00DF3E10">
            <w:pPr>
              <w:rPr>
                <w:rFonts w:ascii="Times New Roman" w:hAnsi="Times New Roman"/>
                <w:sz w:val="20"/>
                <w:szCs w:val="20"/>
              </w:rPr>
            </w:pPr>
          </w:p>
        </w:tc>
        <w:tc>
          <w:tcPr>
            <w:tcW w:w="0" w:type="auto"/>
            <w:shd w:val="clear" w:color="auto" w:fill="auto"/>
            <w:vAlign w:val="center"/>
          </w:tcPr>
          <w:p w14:paraId="4E56A8CE" w14:textId="77777777" w:rsidR="00DF3E10" w:rsidRDefault="00DF3E10">
            <w:pPr>
              <w:rPr>
                <w:rFonts w:ascii="Times New Roman" w:hAnsi="Times New Roman"/>
                <w:sz w:val="20"/>
                <w:szCs w:val="20"/>
              </w:rPr>
            </w:pPr>
          </w:p>
        </w:tc>
      </w:tr>
      <w:tr w:rsidR="00DF3E10" w14:paraId="4E56A8D2" w14:textId="77777777">
        <w:trPr>
          <w:tblCellSpacing w:w="0" w:type="dxa"/>
        </w:trPr>
        <w:tc>
          <w:tcPr>
            <w:tcW w:w="0" w:type="auto"/>
            <w:shd w:val="clear" w:color="auto" w:fill="auto"/>
          </w:tcPr>
          <w:p w14:paraId="4E56A8D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D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Total costs and expenses were </w:t>
            </w:r>
            <w:r>
              <w:rPr>
                <w:rFonts w:ascii="Times New Roman" w:eastAsia="宋体" w:hAnsi="Times New Roman"/>
                <w:color w:val="212529"/>
                <w:sz w:val="20"/>
                <w:szCs w:val="20"/>
              </w:rPr>
              <w:t>$12.72 billion</w:t>
            </w:r>
            <w:r>
              <w:rPr>
                <w:rFonts w:ascii="Times New Roman" w:eastAsia="宋体" w:hAnsi="Times New Roman"/>
                <w:sz w:val="20"/>
                <w:szCs w:val="20"/>
              </w:rPr>
              <w:t>.</w:t>
            </w:r>
          </w:p>
        </w:tc>
      </w:tr>
    </w:tbl>
    <w:p w14:paraId="4E56A8D3"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994"/>
      </w:tblGrid>
      <w:tr w:rsidR="00DF3E10" w14:paraId="4E56A8D6" w14:textId="77777777">
        <w:trPr>
          <w:tblCellSpacing w:w="0" w:type="dxa"/>
        </w:trPr>
        <w:tc>
          <w:tcPr>
            <w:tcW w:w="960" w:type="dxa"/>
            <w:shd w:val="clear" w:color="auto" w:fill="auto"/>
            <w:vAlign w:val="center"/>
          </w:tcPr>
          <w:p w14:paraId="4E56A8D4" w14:textId="77777777" w:rsidR="00DF3E10" w:rsidRDefault="00DF3E10">
            <w:pPr>
              <w:rPr>
                <w:rFonts w:ascii="Times New Roman" w:hAnsi="Times New Roman"/>
                <w:sz w:val="20"/>
                <w:szCs w:val="20"/>
              </w:rPr>
            </w:pPr>
          </w:p>
        </w:tc>
        <w:tc>
          <w:tcPr>
            <w:tcW w:w="0" w:type="auto"/>
            <w:shd w:val="clear" w:color="auto" w:fill="auto"/>
            <w:vAlign w:val="center"/>
          </w:tcPr>
          <w:p w14:paraId="4E56A8D5" w14:textId="77777777" w:rsidR="00DF3E10" w:rsidRDefault="00DF3E10">
            <w:pPr>
              <w:rPr>
                <w:rFonts w:ascii="Times New Roman" w:hAnsi="Times New Roman"/>
                <w:sz w:val="20"/>
                <w:szCs w:val="20"/>
              </w:rPr>
            </w:pPr>
          </w:p>
        </w:tc>
      </w:tr>
      <w:tr w:rsidR="00DF3E10" w14:paraId="4E56A8D9" w14:textId="77777777">
        <w:trPr>
          <w:tblCellSpacing w:w="0" w:type="dxa"/>
        </w:trPr>
        <w:tc>
          <w:tcPr>
            <w:tcW w:w="0" w:type="auto"/>
            <w:shd w:val="clear" w:color="auto" w:fill="auto"/>
          </w:tcPr>
          <w:p w14:paraId="4E56A8D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D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Income from operations was </w:t>
            </w:r>
            <w:r>
              <w:rPr>
                <w:rFonts w:ascii="Times New Roman" w:eastAsia="宋体" w:hAnsi="Times New Roman"/>
                <w:color w:val="212529"/>
                <w:sz w:val="20"/>
                <w:szCs w:val="20"/>
              </w:rPr>
              <w:t>$5.96 billion</w:t>
            </w:r>
            <w:r>
              <w:rPr>
                <w:rFonts w:ascii="Times New Roman" w:eastAsia="宋体" w:hAnsi="Times New Roman"/>
                <w:sz w:val="20"/>
                <w:szCs w:val="20"/>
              </w:rPr>
              <w:t>, and operating margin was 32%.</w:t>
            </w:r>
          </w:p>
        </w:tc>
      </w:tr>
    </w:tbl>
    <w:p w14:paraId="4E56A8DA"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94"/>
      </w:tblGrid>
      <w:tr w:rsidR="00DF3E10" w14:paraId="4E56A8DD" w14:textId="77777777">
        <w:trPr>
          <w:tblCellSpacing w:w="0" w:type="dxa"/>
        </w:trPr>
        <w:tc>
          <w:tcPr>
            <w:tcW w:w="960" w:type="dxa"/>
            <w:shd w:val="clear" w:color="auto" w:fill="auto"/>
            <w:vAlign w:val="center"/>
          </w:tcPr>
          <w:p w14:paraId="4E56A8DB" w14:textId="77777777" w:rsidR="00DF3E10" w:rsidRDefault="00DF3E10">
            <w:pPr>
              <w:rPr>
                <w:rFonts w:ascii="Times New Roman" w:hAnsi="Times New Roman"/>
                <w:sz w:val="20"/>
                <w:szCs w:val="20"/>
              </w:rPr>
            </w:pPr>
          </w:p>
        </w:tc>
        <w:tc>
          <w:tcPr>
            <w:tcW w:w="0" w:type="auto"/>
            <w:shd w:val="clear" w:color="auto" w:fill="auto"/>
            <w:vAlign w:val="center"/>
          </w:tcPr>
          <w:p w14:paraId="4E56A8DC" w14:textId="77777777" w:rsidR="00DF3E10" w:rsidRDefault="00DF3E10">
            <w:pPr>
              <w:rPr>
                <w:rFonts w:ascii="Times New Roman" w:hAnsi="Times New Roman"/>
                <w:sz w:val="20"/>
                <w:szCs w:val="20"/>
              </w:rPr>
            </w:pPr>
          </w:p>
        </w:tc>
      </w:tr>
      <w:tr w:rsidR="00DF3E10" w14:paraId="4E56A8E0" w14:textId="77777777">
        <w:trPr>
          <w:tblCellSpacing w:w="0" w:type="dxa"/>
        </w:trPr>
        <w:tc>
          <w:tcPr>
            <w:tcW w:w="0" w:type="auto"/>
            <w:shd w:val="clear" w:color="auto" w:fill="auto"/>
          </w:tcPr>
          <w:p w14:paraId="4E56A8D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D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 xml:space="preserve">Net income was </w:t>
            </w:r>
            <w:r>
              <w:rPr>
                <w:rFonts w:ascii="Times New Roman" w:eastAsia="宋体" w:hAnsi="Times New Roman"/>
                <w:color w:val="212529"/>
                <w:sz w:val="20"/>
                <w:szCs w:val="20"/>
              </w:rPr>
              <w:t>$5.18 billion</w:t>
            </w:r>
            <w:r>
              <w:rPr>
                <w:rFonts w:ascii="Times New Roman" w:eastAsia="宋体" w:hAnsi="Times New Roman"/>
                <w:sz w:val="20"/>
                <w:szCs w:val="20"/>
              </w:rPr>
              <w:t>, with diluted earnings per share of $1.80.</w:t>
            </w:r>
          </w:p>
        </w:tc>
      </w:tr>
    </w:tbl>
    <w:p w14:paraId="4E56A8E1"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10"/>
      </w:tblGrid>
      <w:tr w:rsidR="00DF3E10" w14:paraId="4E56A8E4" w14:textId="77777777">
        <w:trPr>
          <w:tblCellSpacing w:w="0" w:type="dxa"/>
        </w:trPr>
        <w:tc>
          <w:tcPr>
            <w:tcW w:w="960" w:type="dxa"/>
            <w:shd w:val="clear" w:color="auto" w:fill="auto"/>
            <w:vAlign w:val="center"/>
          </w:tcPr>
          <w:p w14:paraId="4E56A8E2" w14:textId="77777777" w:rsidR="00DF3E10" w:rsidRDefault="00DF3E10">
            <w:pPr>
              <w:rPr>
                <w:rFonts w:ascii="Times New Roman" w:hAnsi="Times New Roman"/>
                <w:sz w:val="20"/>
                <w:szCs w:val="20"/>
              </w:rPr>
            </w:pPr>
          </w:p>
        </w:tc>
        <w:tc>
          <w:tcPr>
            <w:tcW w:w="0" w:type="auto"/>
            <w:shd w:val="clear" w:color="auto" w:fill="auto"/>
            <w:vAlign w:val="center"/>
          </w:tcPr>
          <w:p w14:paraId="4E56A8E3" w14:textId="77777777" w:rsidR="00DF3E10" w:rsidRDefault="00DF3E10">
            <w:pPr>
              <w:rPr>
                <w:rFonts w:ascii="Times New Roman" w:hAnsi="Times New Roman"/>
                <w:sz w:val="20"/>
                <w:szCs w:val="20"/>
              </w:rPr>
            </w:pPr>
          </w:p>
        </w:tc>
      </w:tr>
      <w:tr w:rsidR="00DF3E10" w14:paraId="4E56A8E7" w14:textId="77777777">
        <w:trPr>
          <w:tblCellSpacing w:w="0" w:type="dxa"/>
        </w:trPr>
        <w:tc>
          <w:tcPr>
            <w:tcW w:w="0" w:type="auto"/>
            <w:shd w:val="clear" w:color="auto" w:fill="auto"/>
          </w:tcPr>
          <w:p w14:paraId="4E56A8E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E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Capital expenditures, including principal payments on finance leases, were </w:t>
            </w:r>
            <w:r>
              <w:rPr>
                <w:rFonts w:ascii="Times New Roman" w:eastAsia="宋体" w:hAnsi="Times New Roman"/>
                <w:color w:val="212529"/>
                <w:sz w:val="20"/>
                <w:szCs w:val="20"/>
              </w:rPr>
              <w:t>$3.36 billion</w:t>
            </w:r>
            <w:r>
              <w:rPr>
                <w:rFonts w:ascii="Times New Roman" w:eastAsia="宋体" w:hAnsi="Times New Roman"/>
                <w:sz w:val="20"/>
                <w:szCs w:val="20"/>
              </w:rPr>
              <w:t>.</w:t>
            </w:r>
          </w:p>
        </w:tc>
      </w:tr>
    </w:tbl>
    <w:p w14:paraId="4E56A8E8"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205"/>
      </w:tblGrid>
      <w:tr w:rsidR="00DF3E10" w14:paraId="4E56A8EB" w14:textId="77777777">
        <w:trPr>
          <w:tblCellSpacing w:w="0" w:type="dxa"/>
        </w:trPr>
        <w:tc>
          <w:tcPr>
            <w:tcW w:w="960" w:type="dxa"/>
            <w:shd w:val="clear" w:color="auto" w:fill="auto"/>
            <w:vAlign w:val="center"/>
          </w:tcPr>
          <w:p w14:paraId="4E56A8E9" w14:textId="77777777" w:rsidR="00DF3E10" w:rsidRDefault="00DF3E10">
            <w:pPr>
              <w:rPr>
                <w:rFonts w:ascii="Times New Roman" w:hAnsi="Times New Roman"/>
                <w:sz w:val="20"/>
                <w:szCs w:val="20"/>
              </w:rPr>
            </w:pPr>
          </w:p>
        </w:tc>
        <w:tc>
          <w:tcPr>
            <w:tcW w:w="0" w:type="auto"/>
            <w:shd w:val="clear" w:color="auto" w:fill="auto"/>
            <w:vAlign w:val="center"/>
          </w:tcPr>
          <w:p w14:paraId="4E56A8EA" w14:textId="77777777" w:rsidR="00DF3E10" w:rsidRDefault="00DF3E10">
            <w:pPr>
              <w:rPr>
                <w:rFonts w:ascii="Times New Roman" w:hAnsi="Times New Roman"/>
                <w:sz w:val="20"/>
                <w:szCs w:val="20"/>
              </w:rPr>
            </w:pPr>
          </w:p>
        </w:tc>
      </w:tr>
      <w:tr w:rsidR="00DF3E10" w14:paraId="4E56A8EE" w14:textId="77777777">
        <w:trPr>
          <w:tblCellSpacing w:w="0" w:type="dxa"/>
        </w:trPr>
        <w:tc>
          <w:tcPr>
            <w:tcW w:w="0" w:type="auto"/>
            <w:shd w:val="clear" w:color="auto" w:fill="auto"/>
          </w:tcPr>
          <w:p w14:paraId="4E56A8E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E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Effective tax rate was 16%.</w:t>
            </w:r>
          </w:p>
        </w:tc>
      </w:tr>
    </w:tbl>
    <w:p w14:paraId="4E56A8EF"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DF3E10" w14:paraId="4E56A8F2" w14:textId="77777777">
        <w:trPr>
          <w:tblCellSpacing w:w="0" w:type="dxa"/>
        </w:trPr>
        <w:tc>
          <w:tcPr>
            <w:tcW w:w="960" w:type="dxa"/>
            <w:shd w:val="clear" w:color="auto" w:fill="auto"/>
            <w:vAlign w:val="center"/>
          </w:tcPr>
          <w:p w14:paraId="4E56A8F0" w14:textId="77777777" w:rsidR="00DF3E10" w:rsidRDefault="00DF3E10">
            <w:pPr>
              <w:rPr>
                <w:rFonts w:ascii="Times New Roman" w:hAnsi="Times New Roman"/>
                <w:sz w:val="20"/>
                <w:szCs w:val="20"/>
              </w:rPr>
            </w:pPr>
          </w:p>
        </w:tc>
        <w:tc>
          <w:tcPr>
            <w:tcW w:w="0" w:type="auto"/>
            <w:shd w:val="clear" w:color="auto" w:fill="auto"/>
            <w:vAlign w:val="center"/>
          </w:tcPr>
          <w:p w14:paraId="4E56A8F1" w14:textId="77777777" w:rsidR="00DF3E10" w:rsidRDefault="00DF3E10">
            <w:pPr>
              <w:rPr>
                <w:rFonts w:ascii="Times New Roman" w:hAnsi="Times New Roman"/>
                <w:sz w:val="20"/>
                <w:szCs w:val="20"/>
              </w:rPr>
            </w:pPr>
          </w:p>
        </w:tc>
      </w:tr>
      <w:tr w:rsidR="00DF3E10" w14:paraId="4E56A8F5" w14:textId="77777777">
        <w:trPr>
          <w:tblCellSpacing w:w="0" w:type="dxa"/>
        </w:trPr>
        <w:tc>
          <w:tcPr>
            <w:tcW w:w="0" w:type="auto"/>
            <w:shd w:val="clear" w:color="auto" w:fill="auto"/>
          </w:tcPr>
          <w:p w14:paraId="4E56A8F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F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Cash and cash equivalents and marketable securities were </w:t>
            </w:r>
            <w:r>
              <w:rPr>
                <w:rFonts w:ascii="Times New Roman" w:eastAsia="宋体" w:hAnsi="Times New Roman"/>
                <w:color w:val="212529"/>
                <w:sz w:val="20"/>
                <w:szCs w:val="20"/>
              </w:rPr>
              <w:t>$58.24 billion</w:t>
            </w:r>
            <w:r>
              <w:rPr>
                <w:rFonts w:ascii="Times New Roman" w:eastAsia="宋体" w:hAnsi="Times New Roman"/>
                <w:sz w:val="20"/>
                <w:szCs w:val="20"/>
              </w:rPr>
              <w:t xml:space="preserve"> as of June 30, 2020.</w:t>
            </w:r>
          </w:p>
        </w:tc>
      </w:tr>
    </w:tbl>
    <w:p w14:paraId="4E56A8F6" w14:textId="77777777" w:rsidR="00DF3E10" w:rsidRDefault="00DF3E1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332"/>
      </w:tblGrid>
      <w:tr w:rsidR="00DF3E10" w14:paraId="4E56A8F9" w14:textId="77777777">
        <w:trPr>
          <w:tblCellSpacing w:w="0" w:type="dxa"/>
        </w:trPr>
        <w:tc>
          <w:tcPr>
            <w:tcW w:w="960" w:type="dxa"/>
            <w:shd w:val="clear" w:color="auto" w:fill="auto"/>
            <w:vAlign w:val="center"/>
          </w:tcPr>
          <w:p w14:paraId="4E56A8F7" w14:textId="77777777" w:rsidR="00DF3E10" w:rsidRDefault="00DF3E10">
            <w:pPr>
              <w:rPr>
                <w:rFonts w:ascii="Times New Roman" w:hAnsi="Times New Roman"/>
                <w:sz w:val="20"/>
                <w:szCs w:val="20"/>
              </w:rPr>
            </w:pPr>
          </w:p>
        </w:tc>
        <w:tc>
          <w:tcPr>
            <w:tcW w:w="0" w:type="auto"/>
            <w:shd w:val="clear" w:color="auto" w:fill="auto"/>
            <w:vAlign w:val="center"/>
          </w:tcPr>
          <w:p w14:paraId="4E56A8F8" w14:textId="77777777" w:rsidR="00DF3E10" w:rsidRDefault="00DF3E10">
            <w:pPr>
              <w:rPr>
                <w:rFonts w:ascii="Times New Roman" w:hAnsi="Times New Roman"/>
                <w:sz w:val="20"/>
                <w:szCs w:val="20"/>
              </w:rPr>
            </w:pPr>
          </w:p>
        </w:tc>
      </w:tr>
      <w:tr w:rsidR="00DF3E10" w14:paraId="4E56A8FC" w14:textId="77777777">
        <w:trPr>
          <w:tblCellSpacing w:w="0" w:type="dxa"/>
        </w:trPr>
        <w:tc>
          <w:tcPr>
            <w:tcW w:w="0" w:type="auto"/>
            <w:shd w:val="clear" w:color="auto" w:fill="auto"/>
          </w:tcPr>
          <w:p w14:paraId="4E56A8F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8F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Headcount was 52,534 as of June 30, 2020, an increase of 32% year-over-year.</w:t>
            </w:r>
          </w:p>
        </w:tc>
      </w:tr>
    </w:tbl>
    <w:p w14:paraId="4E56A8F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second quarter of 2020, we continued to focus on our main </w:t>
      </w:r>
      <w:r>
        <w:rPr>
          <w:rFonts w:ascii="Times New Roman" w:eastAsia="宋体" w:hAnsi="Times New Roman"/>
          <w:sz w:val="20"/>
          <w:szCs w:val="20"/>
        </w:rPr>
        <w:t>revenue growth priorities: (i) helping marketers use our products to connect with consumers where they are and (ii) making our ads more relevant and effective.</w:t>
      </w:r>
    </w:p>
    <w:p w14:paraId="4E56A8F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response to the COVID-19 pandemic, we have focused on helping people stay connected, assistin</w:t>
      </w:r>
      <w:r>
        <w:rPr>
          <w:rFonts w:ascii="Times New Roman" w:eastAsia="宋体" w:hAnsi="Times New Roman"/>
          <w:sz w:val="20"/>
          <w:szCs w:val="20"/>
        </w:rPr>
        <w:t>g the public health response, and working on the economic recovery. We have also continued to invest based on the following company priorities that we believe will further our mission to give people the power to build community and bring the world closer t</w:t>
      </w:r>
      <w:r>
        <w:rPr>
          <w:rFonts w:ascii="Times New Roman" w:eastAsia="宋体" w:hAnsi="Times New Roman"/>
          <w:sz w:val="20"/>
          <w:szCs w:val="20"/>
        </w:rPr>
        <w:t>ogether: (i) continue making progress on the major social issues facing the internet and our company, including privacy, safety, and security; (ii) build new experiences that meaningfully improve people's lives today and set the stage for even bigger impro</w:t>
      </w:r>
      <w:r>
        <w:rPr>
          <w:rFonts w:ascii="Times New Roman" w:eastAsia="宋体" w:hAnsi="Times New Roman"/>
          <w:sz w:val="20"/>
          <w:szCs w:val="20"/>
        </w:rPr>
        <w:t xml:space="preserve">vements in the future; (iii) keep building our business by supporting the millions of businesses that rely on our services to grow and create jobs; and (iv) communicate more transparently about what we're doing and the role our services play in the world. </w:t>
      </w:r>
    </w:p>
    <w:p w14:paraId="4E56A8FF" w14:textId="77777777" w:rsidR="00DF3E10" w:rsidRDefault="00DF3E10">
      <w:pPr>
        <w:rPr>
          <w:rFonts w:ascii="Times New Roman" w:hAnsi="Times New Roman"/>
          <w:sz w:val="20"/>
          <w:szCs w:val="20"/>
        </w:rPr>
      </w:pPr>
    </w:p>
    <w:p w14:paraId="4E56A900"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27</w:t>
      </w:r>
    </w:p>
    <w:p w14:paraId="4E56A901" w14:textId="77777777" w:rsidR="00DF3E10" w:rsidRDefault="006B6C28">
      <w:r>
        <w:rPr>
          <w:rFonts w:ascii="Times New Roman" w:hAnsi="Times New Roman"/>
          <w:sz w:val="20"/>
          <w:szCs w:val="20"/>
        </w:rPr>
        <w:pict w14:anchorId="4E56B768">
          <v:rect id="_x0000_i1051" style="width:415.3pt;height:1.5pt" o:hralign="center" o:hrstd="t" o:hr="t" fillcolor="#a0a0a0" stroked="f"/>
        </w:pict>
      </w:r>
    </w:p>
    <w:p w14:paraId="4E56A902" w14:textId="77777777" w:rsidR="00DF3E10" w:rsidRDefault="006B6C28">
      <w:pPr>
        <w:spacing w:line="288" w:lineRule="auto"/>
        <w:rPr>
          <w:rFonts w:ascii="Times New Roman" w:hAnsi="Times New Roman"/>
          <w:sz w:val="20"/>
          <w:szCs w:val="20"/>
        </w:rPr>
      </w:pPr>
      <w:hyperlink r:id="rId68" w:anchor="sC1FF62F0D4D85317B5B2C71C7C94F269" w:history="1">
        <w:r>
          <w:rPr>
            <w:rStyle w:val="a5"/>
            <w:rFonts w:ascii="Times New Roman" w:eastAsia="宋体" w:hAnsi="Times New Roman"/>
            <w:sz w:val="20"/>
            <w:szCs w:val="20"/>
          </w:rPr>
          <w:t>Table of Contents</w:t>
        </w:r>
      </w:hyperlink>
    </w:p>
    <w:p w14:paraId="4E56A903" w14:textId="77777777" w:rsidR="00DF3E10" w:rsidRDefault="00DF3E10">
      <w:pPr>
        <w:rPr>
          <w:rFonts w:ascii="Times New Roman" w:hAnsi="Times New Roman"/>
          <w:sz w:val="20"/>
          <w:szCs w:val="20"/>
        </w:rPr>
      </w:pPr>
    </w:p>
    <w:p w14:paraId="4E56A90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business has been impacted by the COVID-19 pandemic, which has resulted in autho</w:t>
      </w:r>
      <w:r>
        <w:rPr>
          <w:rFonts w:ascii="Times New Roman" w:eastAsia="宋体" w:hAnsi="Times New Roman"/>
          <w:sz w:val="20"/>
          <w:szCs w:val="20"/>
        </w:rPr>
        <w:t>rities implementing numerous preventative measures to contain or mitigate the outbreak of the virus, such as travel bans and restrictions, limitations on business activity, quarantines, and shelter-in-place orders. These measures have caused, and are conti</w:t>
      </w:r>
      <w:r>
        <w:rPr>
          <w:rFonts w:ascii="Times New Roman" w:eastAsia="宋体" w:hAnsi="Times New Roman"/>
          <w:sz w:val="20"/>
          <w:szCs w:val="20"/>
        </w:rPr>
        <w:t xml:space="preserve">nuing to cause, business slowdowns or shutdowns in affected areas, both regionally and worldwide, which have significantly impacted our business and results of operations. Beginning in the first quarter of 2020, we experienced significant increases in the </w:t>
      </w:r>
      <w:r>
        <w:rPr>
          <w:rFonts w:ascii="Times New Roman" w:eastAsia="宋体" w:hAnsi="Times New Roman"/>
          <w:sz w:val="20"/>
          <w:szCs w:val="20"/>
        </w:rPr>
        <w:t>size and engagement of our active user base across a number of regions as a result of the COVID-19 pandemic. More recently, we have seen user growth and engagement trending towards pre-pandemic levels as various preventative measures such as shelter-in-pla</w:t>
      </w:r>
      <w:r>
        <w:rPr>
          <w:rFonts w:ascii="Times New Roman" w:eastAsia="宋体" w:hAnsi="Times New Roman"/>
          <w:sz w:val="20"/>
          <w:szCs w:val="20"/>
        </w:rPr>
        <w:t>ce restrictions have been relaxed in certain regions. We expect this trend to continue as such measures are lifted in the future, although we are unable to predict the impact of the pandemic on user growth and engagement with any certainty. At the same tim</w:t>
      </w:r>
      <w:r>
        <w:rPr>
          <w:rFonts w:ascii="Times New Roman" w:eastAsia="宋体" w:hAnsi="Times New Roman"/>
          <w:sz w:val="20"/>
          <w:szCs w:val="20"/>
        </w:rPr>
        <w:t>e, we experienced a reduction in the demand for advertising, as well as a related decline in the pricing of our ads, in the second quarter of 2020. The demand for and pricing of our advertising services, as well as our overall results of operations, may be</w:t>
      </w:r>
      <w:r>
        <w:rPr>
          <w:rFonts w:ascii="Times New Roman" w:eastAsia="宋体" w:hAnsi="Times New Roman"/>
          <w:sz w:val="20"/>
          <w:szCs w:val="20"/>
        </w:rPr>
        <w:t xml:space="preserve"> materially and adversely impacted by the pandemic for the duration of 2020 or longer, and we are unable to predict the duration or degree of such impact with any certainty. In addition, we expect that future advertising revenue growth will continue to be </w:t>
      </w:r>
      <w:r>
        <w:rPr>
          <w:rFonts w:ascii="Times New Roman" w:eastAsia="宋体" w:hAnsi="Times New Roman"/>
          <w:sz w:val="20"/>
          <w:szCs w:val="20"/>
        </w:rPr>
        <w:t xml:space="preserve">adversely affected by limitations on our ad targeting and measurement tools arising from changes to the regulatory environment and third-party mobile operating systems and browsers. We also intend to continue to invest in our business based on our company </w:t>
      </w:r>
      <w:r>
        <w:rPr>
          <w:rFonts w:ascii="Times New Roman" w:eastAsia="宋体" w:hAnsi="Times New Roman"/>
          <w:sz w:val="20"/>
          <w:szCs w:val="20"/>
        </w:rPr>
        <w:t>priorities, and we anticipate that additional investments in our data center capacity, network infrastructure, and office facilities, as well as scaling our headcount to support our growth and certain initiatives related to the COVID-19 pandemic, will cont</w:t>
      </w:r>
      <w:r>
        <w:rPr>
          <w:rFonts w:ascii="Times New Roman" w:eastAsia="宋体" w:hAnsi="Times New Roman"/>
          <w:sz w:val="20"/>
          <w:szCs w:val="20"/>
        </w:rPr>
        <w:t>inue to drive expense growth in 2020.</w:t>
      </w:r>
    </w:p>
    <w:p w14:paraId="4E56A905" w14:textId="77777777" w:rsidR="00DF3E10" w:rsidRDefault="00DF3E10">
      <w:pPr>
        <w:rPr>
          <w:rFonts w:ascii="Times New Roman" w:hAnsi="Times New Roman"/>
          <w:sz w:val="20"/>
          <w:szCs w:val="20"/>
        </w:rPr>
      </w:pPr>
    </w:p>
    <w:p w14:paraId="4E56A90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28</w:t>
      </w:r>
    </w:p>
    <w:p w14:paraId="4E56A907" w14:textId="77777777" w:rsidR="00DF3E10" w:rsidRDefault="006B6C28">
      <w:r>
        <w:rPr>
          <w:rFonts w:ascii="Times New Roman" w:hAnsi="Times New Roman"/>
          <w:sz w:val="20"/>
          <w:szCs w:val="20"/>
        </w:rPr>
        <w:pict w14:anchorId="4E56B769">
          <v:rect id="_x0000_i1052" style="width:415.3pt;height:1.5pt" o:hralign="center" o:hrstd="t" o:hr="t" fillcolor="#a0a0a0" stroked="f"/>
        </w:pict>
      </w:r>
    </w:p>
    <w:p w14:paraId="4E56A908" w14:textId="77777777" w:rsidR="00DF3E10" w:rsidRDefault="006B6C28">
      <w:pPr>
        <w:spacing w:line="288" w:lineRule="auto"/>
        <w:rPr>
          <w:rFonts w:ascii="Times New Roman" w:hAnsi="Times New Roman"/>
          <w:sz w:val="20"/>
          <w:szCs w:val="20"/>
        </w:rPr>
      </w:pPr>
      <w:hyperlink r:id="rId69" w:anchor="sC1FF62F0D4D85317B5B2C71C7C94F269" w:history="1">
        <w:r>
          <w:rPr>
            <w:rStyle w:val="a5"/>
            <w:rFonts w:ascii="Times New Roman" w:eastAsia="宋体" w:hAnsi="Times New Roman"/>
            <w:sz w:val="20"/>
            <w:szCs w:val="20"/>
          </w:rPr>
          <w:t>Table of Contents</w:t>
        </w:r>
      </w:hyperlink>
    </w:p>
    <w:p w14:paraId="4E56A909" w14:textId="77777777" w:rsidR="00DF3E10" w:rsidRDefault="00DF3E10">
      <w:pPr>
        <w:rPr>
          <w:rFonts w:ascii="Times New Roman" w:hAnsi="Times New Roman"/>
          <w:sz w:val="20"/>
          <w:szCs w:val="20"/>
        </w:rPr>
      </w:pPr>
    </w:p>
    <w:p w14:paraId="4E56A90A"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Trends in Our Facebook User Metrics</w:t>
      </w:r>
    </w:p>
    <w:p w14:paraId="4E56A90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numbers for our key Facebook metrics, our DAUs, MAUs, and average revenue per user (ARPU), do not include users on Instagram, WhatsApp, or our other products, unless they would otherwise qualify as DAUs or MAUs, respectively, based on their other activitie</w:t>
      </w:r>
      <w:r>
        <w:rPr>
          <w:rFonts w:ascii="Times New Roman" w:eastAsia="宋体" w:hAnsi="Times New Roman"/>
          <w:sz w:val="20"/>
          <w:szCs w:val="20"/>
        </w:rPr>
        <w:t>s on Facebook.</w:t>
      </w:r>
    </w:p>
    <w:p w14:paraId="4E56A90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users affect our revenue and financial results by influencing the number of ads we are able to show, the value of our ads to marketers, the volume of Payments transactions, as well as our expenses and capital expendit</w:t>
      </w:r>
      <w:r>
        <w:rPr>
          <w:rFonts w:ascii="Times New Roman" w:eastAsia="宋体" w:hAnsi="Times New Roman"/>
          <w:sz w:val="20"/>
          <w:szCs w:val="20"/>
        </w:rPr>
        <w:t>ures. Substantially all of our daily and monthly active users (as defined below) access Facebook on mobile devices.</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90F" w14:textId="77777777">
        <w:trPr>
          <w:tblCellSpacing w:w="0" w:type="dxa"/>
        </w:trPr>
        <w:tc>
          <w:tcPr>
            <w:tcW w:w="960" w:type="dxa"/>
            <w:shd w:val="clear" w:color="auto" w:fill="auto"/>
            <w:vAlign w:val="center"/>
          </w:tcPr>
          <w:p w14:paraId="4E56A90D" w14:textId="77777777" w:rsidR="00DF3E10" w:rsidRDefault="00DF3E10">
            <w:pPr>
              <w:rPr>
                <w:rFonts w:ascii="Times New Roman" w:hAnsi="Times New Roman"/>
                <w:sz w:val="20"/>
                <w:szCs w:val="20"/>
              </w:rPr>
            </w:pPr>
          </w:p>
        </w:tc>
        <w:tc>
          <w:tcPr>
            <w:tcW w:w="0" w:type="auto"/>
            <w:shd w:val="clear" w:color="auto" w:fill="auto"/>
            <w:vAlign w:val="center"/>
          </w:tcPr>
          <w:p w14:paraId="4E56A90E" w14:textId="77777777" w:rsidR="00DF3E10" w:rsidRDefault="00DF3E10">
            <w:pPr>
              <w:rPr>
                <w:rFonts w:ascii="Times New Roman" w:hAnsi="Times New Roman"/>
                <w:sz w:val="20"/>
                <w:szCs w:val="20"/>
              </w:rPr>
            </w:pPr>
          </w:p>
        </w:tc>
      </w:tr>
      <w:tr w:rsidR="00DF3E10" w14:paraId="4E56A912" w14:textId="77777777">
        <w:trPr>
          <w:tblCellSpacing w:w="0" w:type="dxa"/>
        </w:trPr>
        <w:tc>
          <w:tcPr>
            <w:tcW w:w="0" w:type="auto"/>
            <w:shd w:val="clear" w:color="auto" w:fill="auto"/>
          </w:tcPr>
          <w:p w14:paraId="4E56A91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91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Users (DAUs)</w:t>
            </w:r>
            <w:r>
              <w:rPr>
                <w:rFonts w:ascii="Times New Roman" w:eastAsia="宋体" w:hAnsi="Times New Roman"/>
                <w:sz w:val="20"/>
                <w:szCs w:val="20"/>
              </w:rPr>
              <w:t xml:space="preserve">. We define a daily active user as a registered and logged-in Facebook user who visited Facebook </w:t>
            </w:r>
            <w:r>
              <w:rPr>
                <w:rFonts w:ascii="Times New Roman" w:eastAsia="宋体" w:hAnsi="Times New Roman"/>
                <w:sz w:val="20"/>
                <w:szCs w:val="20"/>
              </w:rPr>
              <w:t>through our website or a mobile device, or used our Messenger application (and is also a registered Facebook user), on a given day. We view DAUs, and DAUs as a percentage of MAUs, as measures of user engagement on Facebook.</w:t>
            </w:r>
          </w:p>
        </w:tc>
      </w:tr>
    </w:tbl>
    <w:p w14:paraId="4E56A91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INCLUDEPICTURE \d "/Users/xuxin</w:instrText>
      </w:r>
      <w:r>
        <w:rPr>
          <w:rFonts w:ascii="Times New Roman" w:eastAsia="宋体" w:hAnsi="Times New Roman"/>
          <w:sz w:val="20"/>
          <w:szCs w:val="20"/>
        </w:rPr>
        <w:instrText xml:space="preserve">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Viewer10_files/dauq220a06.jpg"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6A" wp14:editId="4E56B76B">
            <wp:extent cx="304800" cy="304800"/>
            <wp:effectExtent l="0" t="0" r="0" b="0"/>
            <wp:docPr id="1"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descr="IMG_256"/>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14" w14:textId="77777777" w:rsidR="00DF3E10" w:rsidRDefault="00DF3E10">
      <w:pPr>
        <w:spacing w:line="288" w:lineRule="auto"/>
        <w:rPr>
          <w:rFonts w:ascii="Times New Roman" w:hAnsi="Times New Roman"/>
          <w:sz w:val="16"/>
          <w:szCs w:val="16"/>
        </w:rPr>
      </w:pPr>
    </w:p>
    <w:p w14:paraId="4E56A915" w14:textId="77777777" w:rsidR="00DF3E10" w:rsidRDefault="006B6C28">
      <w:pPr>
        <w:spacing w:line="288" w:lineRule="auto"/>
        <w:rPr>
          <w:rFonts w:ascii="Times New Roman" w:hAnsi="Times New Roman"/>
          <w:sz w:val="16"/>
          <w:szCs w:val="16"/>
        </w:rPr>
      </w:pPr>
      <w:r>
        <w:rPr>
          <w:rFonts w:ascii="Times New Roman" w:eastAsia="宋体" w:hAnsi="Times New Roman"/>
          <w:i/>
          <w:iCs/>
          <w:sz w:val="16"/>
          <w:szCs w:val="16"/>
        </w:rPr>
        <w:t>Note: For purposes of reporting DAUs, MAUs, and ARPU by geographic region, Europe includes all users in Russia and Turkey and Rest of Wo</w:t>
      </w:r>
      <w:r>
        <w:rPr>
          <w:rFonts w:ascii="Times New Roman" w:eastAsia="宋体" w:hAnsi="Times New Roman"/>
          <w:i/>
          <w:iCs/>
          <w:sz w:val="16"/>
          <w:szCs w:val="16"/>
        </w:rPr>
        <w:t xml:space="preserve">rld includes all users in Africa, Latin America, and the Middle East. </w:t>
      </w:r>
    </w:p>
    <w:p w14:paraId="4E56A91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DAUs increased 12% to 1.79 billion on average during June 2020 from 1.59 billion during June 2019. Users in India, Indonesia, and the United States represented the top three sources of growth in DAUs during June 2020, relative to the same period </w:t>
      </w:r>
      <w:r>
        <w:rPr>
          <w:rFonts w:ascii="Times New Roman" w:eastAsia="宋体" w:hAnsi="Times New Roman"/>
          <w:sz w:val="20"/>
          <w:szCs w:val="20"/>
        </w:rPr>
        <w:t xml:space="preserve">in 2019. </w:t>
      </w:r>
    </w:p>
    <w:p w14:paraId="4E56A917" w14:textId="77777777" w:rsidR="00DF3E10" w:rsidRDefault="00DF3E10">
      <w:pPr>
        <w:rPr>
          <w:rFonts w:ascii="Times New Roman" w:hAnsi="Times New Roman"/>
          <w:sz w:val="20"/>
          <w:szCs w:val="20"/>
        </w:rPr>
      </w:pPr>
    </w:p>
    <w:p w14:paraId="4E56A91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29</w:t>
      </w:r>
    </w:p>
    <w:p w14:paraId="4E56A919" w14:textId="77777777" w:rsidR="00DF3E10" w:rsidRDefault="006B6C28">
      <w:r>
        <w:rPr>
          <w:rFonts w:ascii="Times New Roman" w:hAnsi="Times New Roman"/>
          <w:sz w:val="20"/>
          <w:szCs w:val="20"/>
        </w:rPr>
        <w:pict w14:anchorId="4E56B76C">
          <v:rect id="_x0000_i1053" style="width:415.3pt;height:1.5pt" o:hralign="center" o:hrstd="t" o:hr="t" fillcolor="#a0a0a0" stroked="f"/>
        </w:pict>
      </w:r>
    </w:p>
    <w:p w14:paraId="4E56A91A" w14:textId="77777777" w:rsidR="00DF3E10" w:rsidRDefault="006B6C28">
      <w:pPr>
        <w:spacing w:line="288" w:lineRule="auto"/>
        <w:rPr>
          <w:rFonts w:ascii="Times New Roman" w:hAnsi="Times New Roman"/>
          <w:sz w:val="20"/>
          <w:szCs w:val="20"/>
        </w:rPr>
      </w:pPr>
      <w:hyperlink r:id="rId71" w:anchor="sC1FF62F0D4D85317B5B2C71C7C94F269" w:history="1">
        <w:r>
          <w:rPr>
            <w:rStyle w:val="a5"/>
            <w:rFonts w:ascii="Times New Roman" w:eastAsia="宋体" w:hAnsi="Times New Roman"/>
            <w:sz w:val="20"/>
            <w:szCs w:val="20"/>
          </w:rPr>
          <w:t>Table of Contents</w:t>
        </w:r>
      </w:hyperlink>
    </w:p>
    <w:p w14:paraId="4E56A91B"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91E" w14:textId="77777777">
        <w:trPr>
          <w:tblCellSpacing w:w="0" w:type="dxa"/>
        </w:trPr>
        <w:tc>
          <w:tcPr>
            <w:tcW w:w="960" w:type="dxa"/>
            <w:shd w:val="clear" w:color="auto" w:fill="auto"/>
            <w:vAlign w:val="center"/>
          </w:tcPr>
          <w:p w14:paraId="4E56A91C" w14:textId="77777777" w:rsidR="00DF3E10" w:rsidRDefault="00DF3E10">
            <w:pPr>
              <w:rPr>
                <w:rFonts w:ascii="Times New Roman" w:hAnsi="Times New Roman"/>
                <w:sz w:val="20"/>
                <w:szCs w:val="20"/>
              </w:rPr>
            </w:pPr>
          </w:p>
        </w:tc>
        <w:tc>
          <w:tcPr>
            <w:tcW w:w="0" w:type="auto"/>
            <w:shd w:val="clear" w:color="auto" w:fill="auto"/>
            <w:vAlign w:val="center"/>
          </w:tcPr>
          <w:p w14:paraId="4E56A91D" w14:textId="77777777" w:rsidR="00DF3E10" w:rsidRDefault="00DF3E10">
            <w:pPr>
              <w:rPr>
                <w:rFonts w:ascii="Times New Roman" w:hAnsi="Times New Roman"/>
                <w:sz w:val="20"/>
                <w:szCs w:val="20"/>
              </w:rPr>
            </w:pPr>
          </w:p>
        </w:tc>
      </w:tr>
      <w:tr w:rsidR="00DF3E10" w14:paraId="4E56A921" w14:textId="77777777">
        <w:trPr>
          <w:tblCellSpacing w:w="0" w:type="dxa"/>
        </w:trPr>
        <w:tc>
          <w:tcPr>
            <w:tcW w:w="0" w:type="auto"/>
            <w:shd w:val="clear" w:color="auto" w:fill="auto"/>
          </w:tcPr>
          <w:p w14:paraId="4E56A91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4E56A92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Users (MAUs)</w:t>
            </w:r>
            <w:r>
              <w:rPr>
                <w:rFonts w:ascii="Times New Roman" w:eastAsia="宋体" w:hAnsi="Times New Roman"/>
                <w:sz w:val="20"/>
                <w:szCs w:val="20"/>
              </w:rPr>
              <w:t>.</w:t>
            </w:r>
            <w:r>
              <w:rPr>
                <w:rFonts w:ascii="Times New Roman" w:eastAsia="宋体" w:hAnsi="Times New Roman"/>
                <w:b/>
                <w:bCs/>
                <w:i/>
                <w:iCs/>
                <w:sz w:val="20"/>
                <w:szCs w:val="20"/>
              </w:rPr>
              <w:t xml:space="preserve"> </w:t>
            </w:r>
            <w:r>
              <w:rPr>
                <w:rFonts w:ascii="Times New Roman" w:eastAsia="宋体" w:hAnsi="Times New Roman"/>
                <w:sz w:val="20"/>
                <w:szCs w:val="20"/>
              </w:rPr>
              <w:t xml:space="preserve">We define a monthly active </w:t>
            </w:r>
            <w:r>
              <w:rPr>
                <w:rFonts w:ascii="Times New Roman" w:eastAsia="宋体" w:hAnsi="Times New Roman"/>
                <w:sz w:val="20"/>
                <w:szCs w:val="20"/>
              </w:rPr>
              <w:t xml:space="preserve">user as a registered and logged-in Facebook user who visited Facebook through our website or a mobile device, or used our Messenger application (and is also a registered Facebook user), in the last 30 days as of the date of measurement. MAUs are a measure </w:t>
            </w:r>
            <w:r>
              <w:rPr>
                <w:rFonts w:ascii="Times New Roman" w:eastAsia="宋体" w:hAnsi="Times New Roman"/>
                <w:sz w:val="20"/>
                <w:szCs w:val="20"/>
              </w:rPr>
              <w:t>of the size of our global active user community on Facebook.</w:t>
            </w:r>
          </w:p>
        </w:tc>
      </w:tr>
    </w:tbl>
    <w:p w14:paraId="4E56A92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Viewer10_files/mauq220a04.jpg"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6D" wp14:editId="4E56B76E">
            <wp:extent cx="304800" cy="304800"/>
            <wp:effectExtent l="0" t="0" r="0" b="0"/>
            <wp:docPr id="2" name="图片 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4" descr="IMG_257"/>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2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As of June 30, 2020, we had 2.70 billion MAU</w:t>
      </w:r>
      <w:r>
        <w:rPr>
          <w:rFonts w:ascii="Times New Roman" w:eastAsia="宋体" w:hAnsi="Times New Roman"/>
          <w:sz w:val="20"/>
          <w:szCs w:val="20"/>
        </w:rPr>
        <w:t>s, an increase of 12% from June 30, 2019. Users in India, Indonesia, and the Philippines represented the top three sources of growth in the second quarter of 2020, relative to the same period in 2019.</w:t>
      </w:r>
    </w:p>
    <w:p w14:paraId="4E56A924" w14:textId="77777777" w:rsidR="00DF3E10" w:rsidRDefault="00DF3E10">
      <w:pPr>
        <w:rPr>
          <w:rFonts w:ascii="Times New Roman" w:hAnsi="Times New Roman"/>
          <w:sz w:val="20"/>
          <w:szCs w:val="20"/>
        </w:rPr>
      </w:pPr>
    </w:p>
    <w:p w14:paraId="4E56A925"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30</w:t>
      </w:r>
    </w:p>
    <w:p w14:paraId="4E56A926" w14:textId="77777777" w:rsidR="00DF3E10" w:rsidRDefault="006B6C28">
      <w:r>
        <w:rPr>
          <w:rFonts w:ascii="Times New Roman" w:hAnsi="Times New Roman"/>
          <w:sz w:val="20"/>
          <w:szCs w:val="20"/>
        </w:rPr>
        <w:pict w14:anchorId="4E56B76F">
          <v:rect id="_x0000_i1054" style="width:415.3pt;height:1.5pt" o:hralign="center" o:hrstd="t" o:hr="t" fillcolor="#a0a0a0" stroked="f"/>
        </w:pict>
      </w:r>
    </w:p>
    <w:p w14:paraId="4E56A927" w14:textId="77777777" w:rsidR="00DF3E10" w:rsidRDefault="006B6C28">
      <w:pPr>
        <w:spacing w:line="288" w:lineRule="auto"/>
        <w:rPr>
          <w:rFonts w:ascii="Times New Roman" w:hAnsi="Times New Roman"/>
          <w:sz w:val="20"/>
          <w:szCs w:val="20"/>
        </w:rPr>
      </w:pPr>
      <w:hyperlink r:id="rId72" w:anchor="sC1FF62F0D4D85317B5B2C71C7C94F269" w:history="1">
        <w:r>
          <w:rPr>
            <w:rStyle w:val="a5"/>
            <w:rFonts w:ascii="Times New Roman" w:eastAsia="宋体" w:hAnsi="Times New Roman"/>
            <w:sz w:val="20"/>
            <w:szCs w:val="20"/>
          </w:rPr>
          <w:t>Table of Contents</w:t>
        </w:r>
      </w:hyperlink>
    </w:p>
    <w:p w14:paraId="4E56A928" w14:textId="77777777" w:rsidR="00DF3E10" w:rsidRDefault="00DF3E10">
      <w:pPr>
        <w:rPr>
          <w:rFonts w:ascii="Times New Roman" w:hAnsi="Times New Roman"/>
          <w:sz w:val="20"/>
          <w:szCs w:val="20"/>
        </w:rPr>
      </w:pPr>
    </w:p>
    <w:p w14:paraId="4E56A929"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 xml:space="preserve">Trends in Our Monetization by Facebook User Geography </w:t>
      </w:r>
    </w:p>
    <w:p w14:paraId="4E56A92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calculate our </w:t>
      </w:r>
      <w:r>
        <w:rPr>
          <w:rFonts w:ascii="Times New Roman" w:eastAsia="宋体" w:hAnsi="Times New Roman"/>
          <w:sz w:val="20"/>
          <w:szCs w:val="20"/>
        </w:rPr>
        <w:t>revenue by Facebook user geography based on our estimate of the geography in which ad impressions are delivered, virtual and digital goods are purchased, or consumer hardware devices are shipped. We define ARPU as our total revenue in a given geography dur</w:t>
      </w:r>
      <w:r>
        <w:rPr>
          <w:rFonts w:ascii="Times New Roman" w:eastAsia="宋体" w:hAnsi="Times New Roman"/>
          <w:sz w:val="20"/>
          <w:szCs w:val="20"/>
        </w:rPr>
        <w:t>ing a given quarter, divided by the average of the number of MAUs in the geography at the beginning and end of the quarter. While ARPU includes all sources of revenue, the number of MAUs used in this calculation only includes users of Facebook and Messenge</w:t>
      </w:r>
      <w:r>
        <w:rPr>
          <w:rFonts w:ascii="Times New Roman" w:eastAsia="宋体" w:hAnsi="Times New Roman"/>
          <w:sz w:val="20"/>
          <w:szCs w:val="20"/>
        </w:rPr>
        <w:t>r as described in the definition of MAU above. The share of revenue from users who are not also Facebook or Messenger MAUs was not material. The geography of our users affects our revenue and financial results because we currently monetize users in differe</w:t>
      </w:r>
      <w:r>
        <w:rPr>
          <w:rFonts w:ascii="Times New Roman" w:eastAsia="宋体" w:hAnsi="Times New Roman"/>
          <w:sz w:val="20"/>
          <w:szCs w:val="20"/>
        </w:rPr>
        <w:t>nt geographies at different average rates. Our revenue and ARPU in regions such as United States &amp; Canada and Europe are relatively higher primarily due to the size and maturity of those online and mobile advertising markets. For example, ARPU in the secon</w:t>
      </w:r>
      <w:r>
        <w:rPr>
          <w:rFonts w:ascii="Times New Roman" w:eastAsia="宋体" w:hAnsi="Times New Roman"/>
          <w:sz w:val="20"/>
          <w:szCs w:val="20"/>
        </w:rPr>
        <w:t>d quarter of 2020 in the United States &amp; Canada region was more than 12 times higher than in the Asia-Pacific region.</w:t>
      </w:r>
    </w:p>
    <w:p w14:paraId="4E56A92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Viewer10_files/revenueq220a03.jpg" \* MERGE</w:instrText>
      </w:r>
      <w:r>
        <w:rPr>
          <w:rFonts w:ascii="Times New Roman" w:eastAsia="宋体" w:hAnsi="Times New Roman"/>
          <w:sz w:val="20"/>
          <w:szCs w:val="20"/>
        </w:rPr>
        <w:instrText xml:space="preserv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0" wp14:editId="4E56B771">
            <wp:extent cx="304800" cy="304800"/>
            <wp:effectExtent l="0" t="0" r="0" b="0"/>
            <wp:docPr id="13" name="图片 6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6" descr="IMG_258"/>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2C" w14:textId="77777777" w:rsidR="00DF3E10" w:rsidRDefault="00DF3E10">
      <w:pPr>
        <w:spacing w:line="288" w:lineRule="auto"/>
        <w:jc w:val="center"/>
        <w:rPr>
          <w:rFonts w:ascii="Times New Roman" w:hAnsi="Times New Roman"/>
          <w:sz w:val="20"/>
          <w:szCs w:val="20"/>
        </w:rPr>
      </w:pPr>
    </w:p>
    <w:p w14:paraId="4E56A92D"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Viewer10_files/adrevenueandotherrevenuea04.jpg"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2" wp14:editId="4E56B773">
            <wp:extent cx="304800" cy="304800"/>
            <wp:effectExtent l="0" t="0" r="0" b="0"/>
            <wp:docPr id="14" name="图片 6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7" descr="IMG_259"/>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2E" w14:textId="77777777" w:rsidR="00DF3E10" w:rsidRDefault="00DF3E10">
      <w:pPr>
        <w:spacing w:line="288" w:lineRule="auto"/>
        <w:jc w:val="both"/>
        <w:rPr>
          <w:rFonts w:ascii="Times New Roman" w:hAnsi="Times New Roman"/>
          <w:sz w:val="16"/>
          <w:szCs w:val="16"/>
        </w:rPr>
      </w:pPr>
    </w:p>
    <w:p w14:paraId="4E56A92F" w14:textId="77777777" w:rsidR="00DF3E10" w:rsidRDefault="006B6C28">
      <w:pPr>
        <w:spacing w:line="288" w:lineRule="auto"/>
        <w:jc w:val="both"/>
        <w:rPr>
          <w:rFonts w:ascii="Times New Roman" w:hAnsi="Times New Roman"/>
          <w:sz w:val="16"/>
          <w:szCs w:val="16"/>
        </w:rPr>
      </w:pPr>
      <w:r>
        <w:rPr>
          <w:rFonts w:ascii="Times New Roman" w:eastAsia="宋体" w:hAnsi="Times New Roman"/>
          <w:i/>
          <w:iCs/>
          <w:sz w:val="16"/>
          <w:szCs w:val="16"/>
        </w:rPr>
        <w:t>Note: Our revenue by Facebook user geography in the charts above is geo</w:t>
      </w:r>
      <w:r>
        <w:rPr>
          <w:rFonts w:ascii="Times New Roman" w:eastAsia="宋体" w:hAnsi="Times New Roman"/>
          <w:i/>
          <w:iCs/>
          <w:sz w:val="16"/>
          <w:szCs w:val="16"/>
        </w:rPr>
        <w:t>graphically apportioned based on our estimation of the geographic location of our Facebook users when they perform a revenue-generating activity. This allocation differs from our revenue disaggregated by geography disclosure in our condensed consolidated f</w:t>
      </w:r>
      <w:r>
        <w:rPr>
          <w:rFonts w:ascii="Times New Roman" w:eastAsia="宋体" w:hAnsi="Times New Roman"/>
          <w:i/>
          <w:iCs/>
          <w:sz w:val="16"/>
          <w:szCs w:val="16"/>
        </w:rPr>
        <w:t>inancial statements where revenue is geographically apportioned based on the addresses of our customers.</w:t>
      </w:r>
    </w:p>
    <w:p w14:paraId="4E56A930" w14:textId="77777777" w:rsidR="00DF3E10" w:rsidRDefault="00DF3E10">
      <w:pPr>
        <w:rPr>
          <w:rFonts w:ascii="Times New Roman" w:hAnsi="Times New Roman"/>
          <w:sz w:val="20"/>
          <w:szCs w:val="20"/>
        </w:rPr>
      </w:pPr>
    </w:p>
    <w:p w14:paraId="4E56A93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31</w:t>
      </w:r>
    </w:p>
    <w:p w14:paraId="4E56A932" w14:textId="77777777" w:rsidR="00DF3E10" w:rsidRDefault="006B6C28">
      <w:r>
        <w:rPr>
          <w:rFonts w:ascii="Times New Roman" w:hAnsi="Times New Roman"/>
          <w:sz w:val="20"/>
          <w:szCs w:val="20"/>
        </w:rPr>
        <w:pict w14:anchorId="4E56B774">
          <v:rect id="_x0000_i1055" style="width:415.3pt;height:1.5pt" o:hralign="center" o:hrstd="t" o:hr="t" fillcolor="#a0a0a0" stroked="f"/>
        </w:pict>
      </w:r>
    </w:p>
    <w:p w14:paraId="4E56A933" w14:textId="77777777" w:rsidR="00DF3E10" w:rsidRDefault="006B6C28">
      <w:pPr>
        <w:spacing w:line="288" w:lineRule="auto"/>
        <w:rPr>
          <w:rFonts w:ascii="Times New Roman" w:hAnsi="Times New Roman"/>
          <w:sz w:val="20"/>
          <w:szCs w:val="20"/>
        </w:rPr>
      </w:pPr>
      <w:hyperlink r:id="rId73" w:anchor="sC1FF62F0D4D85317B5B2C71C7C94F269" w:history="1">
        <w:r>
          <w:rPr>
            <w:rStyle w:val="a5"/>
            <w:rFonts w:ascii="Times New Roman" w:eastAsia="宋体" w:hAnsi="Times New Roman"/>
            <w:sz w:val="20"/>
            <w:szCs w:val="20"/>
          </w:rPr>
          <w:t>Table of Contents</w:t>
        </w:r>
      </w:hyperlink>
    </w:p>
    <w:p w14:paraId="4E56A934" w14:textId="77777777" w:rsidR="00DF3E10" w:rsidRDefault="00DF3E10">
      <w:pPr>
        <w:rPr>
          <w:rFonts w:ascii="Times New Roman" w:hAnsi="Times New Roman"/>
          <w:sz w:val="20"/>
          <w:szCs w:val="20"/>
        </w:rPr>
      </w:pPr>
    </w:p>
    <w:p w14:paraId="4E56A93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During the second quarter of 2020 and 2019, worldwide ARPU was $7.05. Over this period, ARPU increased by 10% in United States &amp; Canada and 3% in Europe, and ARPU decreased by 2% in Asia-Pacific and 16% in Rest of World. In addit</w:t>
      </w:r>
      <w:r>
        <w:rPr>
          <w:rFonts w:ascii="Times New Roman" w:eastAsia="宋体" w:hAnsi="Times New Roman"/>
          <w:sz w:val="20"/>
          <w:szCs w:val="20"/>
        </w:rPr>
        <w:t xml:space="preserve">ion, user growth was more rapid in geographies with relatively lower ARPU, such as Asia-Pacific and Rest of World. We expect that user growth in the future will be primarily concentrated in those regions where ARPU is relatively lower, such that worldwide </w:t>
      </w:r>
      <w:r>
        <w:rPr>
          <w:rFonts w:ascii="Times New Roman" w:eastAsia="宋体" w:hAnsi="Times New Roman"/>
          <w:sz w:val="20"/>
          <w:szCs w:val="20"/>
        </w:rPr>
        <w:t>ARPU may continue to increase at a slower rate relative to ARPU in any geographic region, or potentially decrease even if ARPU increases in each geographic region.</w:t>
      </w:r>
    </w:p>
    <w:p w14:paraId="4E56A936" w14:textId="77777777" w:rsidR="00DF3E10" w:rsidRDefault="00DF3E10">
      <w:pPr>
        <w:rPr>
          <w:rFonts w:ascii="Times New Roman" w:hAnsi="Times New Roman"/>
          <w:sz w:val="20"/>
          <w:szCs w:val="20"/>
        </w:rPr>
      </w:pPr>
    </w:p>
    <w:p w14:paraId="4E56A937"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32</w:t>
      </w:r>
    </w:p>
    <w:p w14:paraId="4E56A938" w14:textId="77777777" w:rsidR="00DF3E10" w:rsidRDefault="006B6C28">
      <w:r>
        <w:rPr>
          <w:rFonts w:ascii="Times New Roman" w:hAnsi="Times New Roman"/>
          <w:sz w:val="20"/>
          <w:szCs w:val="20"/>
        </w:rPr>
        <w:pict w14:anchorId="4E56B775">
          <v:rect id="_x0000_i1056" style="width:415.3pt;height:1.5pt" o:hralign="center" o:hrstd="t" o:hr="t" fillcolor="#a0a0a0" stroked="f"/>
        </w:pict>
      </w:r>
    </w:p>
    <w:p w14:paraId="4E56A939" w14:textId="77777777" w:rsidR="00DF3E10" w:rsidRDefault="006B6C28">
      <w:pPr>
        <w:spacing w:line="288" w:lineRule="auto"/>
        <w:rPr>
          <w:rFonts w:ascii="Times New Roman" w:hAnsi="Times New Roman"/>
          <w:sz w:val="20"/>
          <w:szCs w:val="20"/>
        </w:rPr>
      </w:pPr>
      <w:hyperlink r:id="rId74" w:anchor="sC1FF62F0D4D85317B5B2C71C7C94F269" w:history="1">
        <w:r>
          <w:rPr>
            <w:rStyle w:val="a5"/>
            <w:rFonts w:ascii="Times New Roman" w:eastAsia="宋体" w:hAnsi="Times New Roman"/>
            <w:sz w:val="20"/>
            <w:szCs w:val="20"/>
          </w:rPr>
          <w:t>Table of Contents</w:t>
        </w:r>
      </w:hyperlink>
    </w:p>
    <w:p w14:paraId="4E56A93A" w14:textId="77777777" w:rsidR="00DF3E10" w:rsidRDefault="00DF3E10">
      <w:pPr>
        <w:rPr>
          <w:rFonts w:ascii="Times New Roman" w:hAnsi="Times New Roman"/>
          <w:sz w:val="20"/>
          <w:szCs w:val="20"/>
        </w:rPr>
      </w:pPr>
    </w:p>
    <w:p w14:paraId="4E56A93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Trends in Our Family Metrics</w:t>
      </w:r>
    </w:p>
    <w:p w14:paraId="4E56A93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Family metrics, our DAP, MAP, and average revenue per person (ARPP), do not include users on our other products unles</w:t>
      </w:r>
      <w:r>
        <w:rPr>
          <w:rFonts w:ascii="Times New Roman" w:eastAsia="宋体" w:hAnsi="Times New Roman"/>
          <w:sz w:val="20"/>
          <w:szCs w:val="20"/>
        </w:rPr>
        <w:t xml:space="preserve">s they would otherwise qualify as MAP or DAP, respectively, based on their other activities on our Family products. </w:t>
      </w:r>
    </w:p>
    <w:p w14:paraId="4E56A93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people in our community affect our revenue and financial results by influencing the number of ads we are able to sh</w:t>
      </w:r>
      <w:r>
        <w:rPr>
          <w:rFonts w:ascii="Times New Roman" w:eastAsia="宋体" w:hAnsi="Times New Roman"/>
          <w:sz w:val="20"/>
          <w:szCs w:val="20"/>
        </w:rPr>
        <w:t>ow, the value of our ads to marketers, the volume of Payments transactions, as well as our expenses and capital expenditures. Substantially all of our daily and monthly active people (as defined below) access our Family products on mobile devices.</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940" w14:textId="77777777">
        <w:trPr>
          <w:tblCellSpacing w:w="0" w:type="dxa"/>
        </w:trPr>
        <w:tc>
          <w:tcPr>
            <w:tcW w:w="960" w:type="dxa"/>
            <w:shd w:val="clear" w:color="auto" w:fill="auto"/>
            <w:vAlign w:val="center"/>
          </w:tcPr>
          <w:p w14:paraId="4E56A93E" w14:textId="77777777" w:rsidR="00DF3E10" w:rsidRDefault="00DF3E10">
            <w:pPr>
              <w:rPr>
                <w:rFonts w:ascii="Times New Roman" w:hAnsi="Times New Roman"/>
                <w:sz w:val="20"/>
                <w:szCs w:val="20"/>
              </w:rPr>
            </w:pPr>
          </w:p>
        </w:tc>
        <w:tc>
          <w:tcPr>
            <w:tcW w:w="0" w:type="auto"/>
            <w:shd w:val="clear" w:color="auto" w:fill="auto"/>
            <w:vAlign w:val="center"/>
          </w:tcPr>
          <w:p w14:paraId="4E56A93F" w14:textId="77777777" w:rsidR="00DF3E10" w:rsidRDefault="00DF3E10">
            <w:pPr>
              <w:rPr>
                <w:rFonts w:ascii="Times New Roman" w:hAnsi="Times New Roman"/>
                <w:sz w:val="20"/>
                <w:szCs w:val="20"/>
              </w:rPr>
            </w:pPr>
          </w:p>
        </w:tc>
      </w:tr>
      <w:tr w:rsidR="00DF3E10" w14:paraId="4E56A943" w14:textId="77777777">
        <w:trPr>
          <w:tblCellSpacing w:w="0" w:type="dxa"/>
        </w:trPr>
        <w:tc>
          <w:tcPr>
            <w:tcW w:w="0" w:type="auto"/>
            <w:shd w:val="clear" w:color="auto" w:fill="auto"/>
          </w:tcPr>
          <w:p w14:paraId="4E56A94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4E56A94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People (DAP).</w:t>
            </w:r>
            <w:r>
              <w:rPr>
                <w:rFonts w:ascii="Times New Roman" w:eastAsia="宋体" w:hAnsi="Times New Roman"/>
                <w:sz w:val="20"/>
                <w:szCs w:val="20"/>
              </w:rPr>
              <w:t xml:space="preserve"> We define a daily active person as a registered and logged-in user of Facebook, Instagram, Messenger, and/or WhatsApp (collectively, our "Family" of products) who visited at least one of these Family products through a mobile dev</w:t>
            </w:r>
            <w:r>
              <w:rPr>
                <w:rFonts w:ascii="Times New Roman" w:eastAsia="宋体" w:hAnsi="Times New Roman"/>
                <w:sz w:val="20"/>
                <w:szCs w:val="20"/>
              </w:rPr>
              <w:t>ice application or using a web or mobile browser on a given day. We do not require people to use a common identifier or link their accounts to use multiple products in our Family, and therefore must seek to attribute multiple user accounts within and acros</w:t>
            </w:r>
            <w:r>
              <w:rPr>
                <w:rFonts w:ascii="Times New Roman" w:eastAsia="宋体" w:hAnsi="Times New Roman"/>
                <w:sz w:val="20"/>
                <w:szCs w:val="20"/>
              </w:rPr>
              <w:t>s products to individual people. Our calculations of DAP rely upon complex techniques, algorithms, and machine learning models that seek to estimate the underlying number of unique people using one or more of these products, including by matching user acco</w:t>
            </w:r>
            <w:r>
              <w:rPr>
                <w:rFonts w:ascii="Times New Roman" w:eastAsia="宋体" w:hAnsi="Times New Roman"/>
                <w:sz w:val="20"/>
                <w:szCs w:val="20"/>
              </w:rPr>
              <w:t xml:space="preserve">unts within an individual product and across multiple products when we believe they are attributable to a single person, and counting such group of accounts as one person. As these techniques and models require significant judgment, are developed based on </w:t>
            </w:r>
            <w:r>
              <w:rPr>
                <w:rFonts w:ascii="Times New Roman" w:eastAsia="宋体" w:hAnsi="Times New Roman"/>
                <w:sz w:val="20"/>
                <w:szCs w:val="20"/>
              </w:rPr>
              <w:t>internal reviews of limited samples of user accounts, and are calibrated against user survey data, there is necessarily some margin of error in our estimates. We view DAP, and DAP as a percentage of MAP, as measures of engagement across our products. For a</w:t>
            </w:r>
            <w:r>
              <w:rPr>
                <w:rFonts w:ascii="Times New Roman" w:eastAsia="宋体" w:hAnsi="Times New Roman"/>
                <w:sz w:val="20"/>
                <w:szCs w:val="20"/>
              </w:rPr>
              <w:t>dditional information, see the section entitled "Limitations of Key Metrics and Other Data" in this Quarterly Report on Form 10-Q.</w:t>
            </w:r>
          </w:p>
        </w:tc>
      </w:tr>
    </w:tbl>
    <w:p w14:paraId="4E56A944" w14:textId="77777777" w:rsidR="00DF3E10" w:rsidRDefault="006B6C28">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Viewer10_files/dapq220.jpg" \</w:instrText>
      </w:r>
      <w:r>
        <w:rPr>
          <w:rFonts w:ascii="Times New Roman" w:eastAsia="宋体" w:hAnsi="Times New Roman"/>
          <w:sz w:val="20"/>
          <w:szCs w:val="20"/>
        </w:rPr>
        <w:instrText xml:space="preserve">*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6" wp14:editId="4E56B777">
            <wp:extent cx="304800" cy="304800"/>
            <wp:effectExtent l="0" t="0" r="0" b="0"/>
            <wp:docPr id="15" name="图片 7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0" descr="IMG_260"/>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45" w14:textId="77777777" w:rsidR="00DF3E10" w:rsidRDefault="006B6C28">
      <w:pPr>
        <w:spacing w:line="288" w:lineRule="auto"/>
        <w:jc w:val="both"/>
        <w:rPr>
          <w:rFonts w:ascii="Times New Roman" w:hAnsi="Times New Roman"/>
          <w:sz w:val="16"/>
          <w:szCs w:val="16"/>
        </w:rPr>
      </w:pPr>
      <w:r>
        <w:rPr>
          <w:rFonts w:ascii="Times New Roman" w:eastAsia="宋体" w:hAnsi="Times New Roman"/>
          <w:i/>
          <w:iCs/>
          <w:sz w:val="16"/>
          <w:szCs w:val="16"/>
        </w:rPr>
        <w:t xml:space="preserve">Note: We report the numbers of DAP and MAP as specific amounts, but these numbers are estimates of the numbers of unique people using our products and are subject to statistical variances and errors. While we expect the error margin </w:t>
      </w:r>
      <w:r>
        <w:rPr>
          <w:rFonts w:ascii="Times New Roman" w:eastAsia="宋体" w:hAnsi="Times New Roman"/>
          <w:i/>
          <w:iCs/>
          <w:sz w:val="16"/>
          <w:szCs w:val="16"/>
        </w:rPr>
        <w:t>for these estimates to vary from period to period, we estimate that such margin generally will be approximately 3% of our worldwide MAP. At our scale, it is very difficult to attribute multiple user accounts within and across products to individual people,</w:t>
      </w:r>
      <w:r>
        <w:rPr>
          <w:rFonts w:ascii="Times New Roman" w:eastAsia="宋体" w:hAnsi="Times New Roman"/>
          <w:i/>
          <w:iCs/>
          <w:sz w:val="16"/>
          <w:szCs w:val="16"/>
        </w:rPr>
        <w:t xml:space="preserve"> and it is possible that the actual numbers of unique people using our products may vary significantly from our estimates, potentially beyond our estimated error margins. For additional information, see the section entitled "Limitations of Key Metrics and </w:t>
      </w:r>
      <w:r>
        <w:rPr>
          <w:rFonts w:ascii="Times New Roman" w:eastAsia="宋体" w:hAnsi="Times New Roman"/>
          <w:i/>
          <w:iCs/>
          <w:sz w:val="16"/>
          <w:szCs w:val="16"/>
        </w:rPr>
        <w:t>Other Data" in this Quarterly Report on Form 10-Q. In the second quarter of 2020, we updated our Family metrics calculations to reflect recent data from a periodic WhatsApp user survey and to incorporate certain methodology improvements, and we estimate su</w:t>
      </w:r>
      <w:r>
        <w:rPr>
          <w:rFonts w:ascii="Times New Roman" w:eastAsia="宋体" w:hAnsi="Times New Roman"/>
          <w:i/>
          <w:iCs/>
          <w:sz w:val="16"/>
          <w:szCs w:val="16"/>
        </w:rPr>
        <w:t>ch updates contributed an aggregate of approximately 40 million DAP to our reported worldwide DAP in June 2020.</w:t>
      </w:r>
    </w:p>
    <w:p w14:paraId="4E56A94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DAP increased 15% to 2.47 billion on average during June 2020 from 2.14 billion during June 2019. </w:t>
      </w:r>
    </w:p>
    <w:p w14:paraId="4E56A947" w14:textId="77777777" w:rsidR="00DF3E10" w:rsidRDefault="00DF3E10">
      <w:pPr>
        <w:rPr>
          <w:rFonts w:ascii="Times New Roman" w:hAnsi="Times New Roman"/>
          <w:sz w:val="20"/>
          <w:szCs w:val="20"/>
        </w:rPr>
      </w:pPr>
    </w:p>
    <w:p w14:paraId="4E56A94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33</w:t>
      </w:r>
    </w:p>
    <w:p w14:paraId="4E56A949" w14:textId="77777777" w:rsidR="00DF3E10" w:rsidRDefault="006B6C28">
      <w:r>
        <w:rPr>
          <w:rFonts w:ascii="Times New Roman" w:hAnsi="Times New Roman"/>
          <w:sz w:val="20"/>
          <w:szCs w:val="20"/>
        </w:rPr>
        <w:pict w14:anchorId="4E56B778">
          <v:rect id="_x0000_i1057" style="width:415.3pt;height:1.5pt" o:hralign="center" o:hrstd="t" o:hr="t" fillcolor="#a0a0a0" stroked="f"/>
        </w:pict>
      </w:r>
    </w:p>
    <w:p w14:paraId="4E56A94A" w14:textId="77777777" w:rsidR="00DF3E10" w:rsidRDefault="006B6C28">
      <w:pPr>
        <w:spacing w:line="288" w:lineRule="auto"/>
        <w:rPr>
          <w:rFonts w:ascii="Times New Roman" w:hAnsi="Times New Roman"/>
          <w:sz w:val="20"/>
          <w:szCs w:val="20"/>
        </w:rPr>
      </w:pPr>
      <w:hyperlink r:id="rId75" w:anchor="sC1FF62F0D4D85317B5B2C71C7C94F269" w:history="1">
        <w:r>
          <w:rPr>
            <w:rStyle w:val="a5"/>
            <w:rFonts w:ascii="Times New Roman" w:eastAsia="宋体" w:hAnsi="Times New Roman"/>
            <w:sz w:val="20"/>
            <w:szCs w:val="20"/>
          </w:rPr>
          <w:t>Table of Contents</w:t>
        </w:r>
      </w:hyperlink>
    </w:p>
    <w:p w14:paraId="4E56A94B"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94E" w14:textId="77777777">
        <w:trPr>
          <w:tblCellSpacing w:w="0" w:type="dxa"/>
        </w:trPr>
        <w:tc>
          <w:tcPr>
            <w:tcW w:w="960" w:type="dxa"/>
            <w:shd w:val="clear" w:color="auto" w:fill="auto"/>
            <w:vAlign w:val="center"/>
          </w:tcPr>
          <w:p w14:paraId="4E56A94C" w14:textId="77777777" w:rsidR="00DF3E10" w:rsidRDefault="00DF3E10">
            <w:pPr>
              <w:rPr>
                <w:rFonts w:ascii="Times New Roman" w:hAnsi="Times New Roman"/>
                <w:sz w:val="20"/>
                <w:szCs w:val="20"/>
              </w:rPr>
            </w:pPr>
          </w:p>
        </w:tc>
        <w:tc>
          <w:tcPr>
            <w:tcW w:w="0" w:type="auto"/>
            <w:shd w:val="clear" w:color="auto" w:fill="auto"/>
            <w:vAlign w:val="center"/>
          </w:tcPr>
          <w:p w14:paraId="4E56A94D" w14:textId="77777777" w:rsidR="00DF3E10" w:rsidRDefault="00DF3E10">
            <w:pPr>
              <w:rPr>
                <w:rFonts w:ascii="Times New Roman" w:hAnsi="Times New Roman"/>
                <w:sz w:val="20"/>
                <w:szCs w:val="20"/>
              </w:rPr>
            </w:pPr>
          </w:p>
        </w:tc>
      </w:tr>
      <w:tr w:rsidR="00DF3E10" w14:paraId="4E56A951" w14:textId="77777777">
        <w:trPr>
          <w:tblCellSpacing w:w="0" w:type="dxa"/>
        </w:trPr>
        <w:tc>
          <w:tcPr>
            <w:tcW w:w="0" w:type="auto"/>
            <w:shd w:val="clear" w:color="auto" w:fill="auto"/>
          </w:tcPr>
          <w:p w14:paraId="4E56A94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4E56A95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People (MAP).</w:t>
            </w:r>
            <w:r>
              <w:rPr>
                <w:rFonts w:ascii="Times New Roman" w:eastAsia="宋体" w:hAnsi="Times New Roman"/>
                <w:i/>
                <w:iCs/>
                <w:sz w:val="20"/>
                <w:szCs w:val="20"/>
              </w:rPr>
              <w:t xml:space="preserve"> </w:t>
            </w:r>
            <w:r>
              <w:rPr>
                <w:rFonts w:ascii="Times New Roman" w:eastAsia="宋体" w:hAnsi="Times New Roman"/>
                <w:sz w:val="20"/>
                <w:szCs w:val="20"/>
              </w:rPr>
              <w:t>We define a monthly active person as a registered and logged-in user of one or more Family products who visited at least one of these Family products through a mobile device application or us</w:t>
            </w:r>
            <w:r>
              <w:rPr>
                <w:rFonts w:ascii="Times New Roman" w:eastAsia="宋体" w:hAnsi="Times New Roman"/>
                <w:sz w:val="20"/>
                <w:szCs w:val="20"/>
              </w:rPr>
              <w:t>ing a web or mobile browser in the last 30 days as of the date of measurement. We do not require people to use a common identifier or link their accounts to use multiple products in our Family, and therefore must seek to attribute multiple user accounts wi</w:t>
            </w:r>
            <w:r>
              <w:rPr>
                <w:rFonts w:ascii="Times New Roman" w:eastAsia="宋体" w:hAnsi="Times New Roman"/>
                <w:sz w:val="20"/>
                <w:szCs w:val="20"/>
              </w:rPr>
              <w:t>thin and across products to individual people. Our calculations of MAP rely upon complex techniques, algorithms, and machine learning models that seek to estimate the underlying number of unique people using one or more of these products, including by matc</w:t>
            </w:r>
            <w:r>
              <w:rPr>
                <w:rFonts w:ascii="Times New Roman" w:eastAsia="宋体" w:hAnsi="Times New Roman"/>
                <w:sz w:val="20"/>
                <w:szCs w:val="20"/>
              </w:rPr>
              <w:t>hing user accounts within an individual product and across multiple products when we believe they are attributable to a single person, and counting such group of accounts as one person. As these techniques and models require significant judgment, are devel</w:t>
            </w:r>
            <w:r>
              <w:rPr>
                <w:rFonts w:ascii="Times New Roman" w:eastAsia="宋体" w:hAnsi="Times New Roman"/>
                <w:sz w:val="20"/>
                <w:szCs w:val="20"/>
              </w:rPr>
              <w:t>oped based on internal reviews of limited samples of user accounts, and are calibrated against user survey data, there is necessarily some margin of error in our estimates. We view MAP as a measure of the size of our global active community of people using</w:t>
            </w:r>
            <w:r>
              <w:rPr>
                <w:rFonts w:ascii="Times New Roman" w:eastAsia="宋体" w:hAnsi="Times New Roman"/>
                <w:sz w:val="20"/>
                <w:szCs w:val="20"/>
              </w:rPr>
              <w:t xml:space="preserve"> our products. For additional information, see the section entitled "Limitations of Key Metrics and Other Data" in this Quarterly Report on Form 10-Q.</w:t>
            </w:r>
          </w:p>
        </w:tc>
      </w:tr>
    </w:tbl>
    <w:p w14:paraId="4E56A952" w14:textId="77777777" w:rsidR="00DF3E10" w:rsidRDefault="006B6C28">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Viewer10_files/mapq220.jpg"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9" wp14:editId="4E56B77A">
            <wp:extent cx="304800" cy="304800"/>
            <wp:effectExtent l="0" t="0" r="0" b="0"/>
            <wp:docPr id="48" name="图片 7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2" descr="IMG_261"/>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53" w14:textId="77777777" w:rsidR="00DF3E10" w:rsidRDefault="006B6C28">
      <w:pPr>
        <w:spacing w:line="288" w:lineRule="auto"/>
        <w:jc w:val="both"/>
        <w:rPr>
          <w:rFonts w:ascii="Times New Roman" w:hAnsi="Times New Roman"/>
          <w:sz w:val="16"/>
          <w:szCs w:val="16"/>
        </w:rPr>
      </w:pPr>
      <w:r>
        <w:rPr>
          <w:rFonts w:ascii="Times New Roman" w:eastAsia="宋体" w:hAnsi="Times New Roman"/>
          <w:i/>
          <w:iCs/>
          <w:sz w:val="16"/>
          <w:szCs w:val="16"/>
        </w:rPr>
        <w:t xml:space="preserve">Note: We report the numbers of DAP and MAP as specific amounts, but these numbers are estimates of the </w:t>
      </w:r>
      <w:r>
        <w:rPr>
          <w:rFonts w:ascii="Times New Roman" w:eastAsia="宋体" w:hAnsi="Times New Roman"/>
          <w:i/>
          <w:iCs/>
          <w:sz w:val="16"/>
          <w:szCs w:val="16"/>
        </w:rPr>
        <w:t>numbers of unique people using our products and are subject to statistical variances and errors. While we expect the error margin for these estimates to vary from period to period, we estimate that such margin generally will be approximately 3% of our worl</w:t>
      </w:r>
      <w:r>
        <w:rPr>
          <w:rFonts w:ascii="Times New Roman" w:eastAsia="宋体" w:hAnsi="Times New Roman"/>
          <w:i/>
          <w:iCs/>
          <w:sz w:val="16"/>
          <w:szCs w:val="16"/>
        </w:rPr>
        <w:t>dwide MAP. At our scale, it is very difficult to attribute multiple user accounts within and across products to individual people, and it is possible that the actual numbers of unique people using our products may vary significantly from our estimates, pot</w:t>
      </w:r>
      <w:r>
        <w:rPr>
          <w:rFonts w:ascii="Times New Roman" w:eastAsia="宋体" w:hAnsi="Times New Roman"/>
          <w:i/>
          <w:iCs/>
          <w:sz w:val="16"/>
          <w:szCs w:val="16"/>
        </w:rPr>
        <w:t>entially beyond our estimated error margins. For additional information, see the section entitled "Limitations of Key Metrics and Other Data" in this Quarterly Report on Form 10-Q. In the second quarter of 2020, we updated our Family metrics calculations t</w:t>
      </w:r>
      <w:r>
        <w:rPr>
          <w:rFonts w:ascii="Times New Roman" w:eastAsia="宋体" w:hAnsi="Times New Roman"/>
          <w:i/>
          <w:iCs/>
          <w:sz w:val="16"/>
          <w:szCs w:val="16"/>
        </w:rPr>
        <w:t>o reflect recent data from a periodic WhatsApp user survey and to incorporate certain methodology improvements, and we estimate such updates contributed an aggregate of approximately 50 million MAP to our reported worldwide MAP in June 2020.</w:t>
      </w:r>
    </w:p>
    <w:p w14:paraId="4E56A954"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As of June 30,</w:t>
      </w:r>
      <w:r>
        <w:rPr>
          <w:rFonts w:ascii="Times New Roman" w:eastAsia="宋体" w:hAnsi="Times New Roman"/>
          <w:sz w:val="20"/>
          <w:szCs w:val="20"/>
        </w:rPr>
        <w:t xml:space="preserve"> 2020, we had 3.14 billion MAP, an increase of 14% from 2.76 billion as of June 30, 2019. </w:t>
      </w:r>
    </w:p>
    <w:p w14:paraId="4E56A955" w14:textId="77777777" w:rsidR="00DF3E10" w:rsidRDefault="00DF3E10">
      <w:pPr>
        <w:rPr>
          <w:rFonts w:ascii="Times New Roman" w:hAnsi="Times New Roman"/>
          <w:sz w:val="20"/>
          <w:szCs w:val="20"/>
        </w:rPr>
      </w:pPr>
    </w:p>
    <w:p w14:paraId="4E56A95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34</w:t>
      </w:r>
    </w:p>
    <w:p w14:paraId="4E56A957" w14:textId="77777777" w:rsidR="00DF3E10" w:rsidRDefault="006B6C28">
      <w:r>
        <w:rPr>
          <w:rFonts w:ascii="Times New Roman" w:hAnsi="Times New Roman"/>
          <w:sz w:val="20"/>
          <w:szCs w:val="20"/>
        </w:rPr>
        <w:pict w14:anchorId="4E56B77B">
          <v:rect id="_x0000_i1058" style="width:415.3pt;height:1.5pt" o:hralign="center" o:hrstd="t" o:hr="t" fillcolor="#a0a0a0" stroked="f"/>
        </w:pict>
      </w:r>
    </w:p>
    <w:p w14:paraId="4E56A958" w14:textId="77777777" w:rsidR="00DF3E10" w:rsidRDefault="006B6C28">
      <w:pPr>
        <w:spacing w:line="288" w:lineRule="auto"/>
        <w:rPr>
          <w:rFonts w:ascii="Times New Roman" w:hAnsi="Times New Roman"/>
          <w:sz w:val="20"/>
          <w:szCs w:val="20"/>
        </w:rPr>
      </w:pPr>
      <w:hyperlink r:id="rId76" w:anchor="sC1FF62F0D4D85317B5B2C71C7C94F269"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4E56A959"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DF3E10" w14:paraId="4E56A95C" w14:textId="77777777">
        <w:trPr>
          <w:tblCellSpacing w:w="0" w:type="dxa"/>
        </w:trPr>
        <w:tc>
          <w:tcPr>
            <w:tcW w:w="960" w:type="dxa"/>
            <w:shd w:val="clear" w:color="auto" w:fill="auto"/>
            <w:vAlign w:val="center"/>
          </w:tcPr>
          <w:p w14:paraId="4E56A95A" w14:textId="77777777" w:rsidR="00DF3E10" w:rsidRDefault="00DF3E10">
            <w:pPr>
              <w:rPr>
                <w:rFonts w:ascii="Times New Roman" w:hAnsi="Times New Roman"/>
                <w:sz w:val="20"/>
                <w:szCs w:val="20"/>
              </w:rPr>
            </w:pPr>
          </w:p>
        </w:tc>
        <w:tc>
          <w:tcPr>
            <w:tcW w:w="0" w:type="auto"/>
            <w:shd w:val="clear" w:color="auto" w:fill="auto"/>
            <w:vAlign w:val="center"/>
          </w:tcPr>
          <w:p w14:paraId="4E56A95B" w14:textId="77777777" w:rsidR="00DF3E10" w:rsidRDefault="00DF3E10">
            <w:pPr>
              <w:rPr>
                <w:rFonts w:ascii="Times New Roman" w:hAnsi="Times New Roman"/>
                <w:sz w:val="20"/>
                <w:szCs w:val="20"/>
              </w:rPr>
            </w:pPr>
          </w:p>
        </w:tc>
      </w:tr>
      <w:tr w:rsidR="00DF3E10" w14:paraId="4E56A95F" w14:textId="77777777">
        <w:trPr>
          <w:tblCellSpacing w:w="0" w:type="dxa"/>
        </w:trPr>
        <w:tc>
          <w:tcPr>
            <w:tcW w:w="0" w:type="auto"/>
            <w:shd w:val="clear" w:color="auto" w:fill="auto"/>
          </w:tcPr>
          <w:p w14:paraId="4E56A95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4E56A95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Average Revenue Per Person (ARPP).</w:t>
            </w:r>
            <w:r>
              <w:rPr>
                <w:rFonts w:ascii="Times New Roman" w:eastAsia="宋体" w:hAnsi="Times New Roman"/>
                <w:i/>
                <w:iCs/>
                <w:sz w:val="20"/>
                <w:szCs w:val="20"/>
              </w:rPr>
              <w:t xml:space="preserve"> </w:t>
            </w:r>
            <w:r>
              <w:rPr>
                <w:rFonts w:ascii="Times New Roman" w:eastAsia="宋体" w:hAnsi="Times New Roman"/>
                <w:sz w:val="20"/>
                <w:szCs w:val="20"/>
              </w:rPr>
              <w:t>We define ARPP as our total revenue during a given quarter, divided by the average of the number of MAP at the beginning and end of the quarter. While ARPP includes all sources of revenue, the number of MAP used in this calculation only includes users of o</w:t>
            </w:r>
            <w:r>
              <w:rPr>
                <w:rFonts w:ascii="Times New Roman" w:eastAsia="宋体" w:hAnsi="Times New Roman"/>
                <w:sz w:val="20"/>
                <w:szCs w:val="20"/>
              </w:rPr>
              <w:t xml:space="preserve">ur Family products as described in the definition of MAP above. The share of revenue from users who are not also MAP was not material. </w:t>
            </w:r>
          </w:p>
        </w:tc>
      </w:tr>
    </w:tbl>
    <w:p w14:paraId="4E56A960"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Viewer10_files/arppq220.</w:instrText>
      </w:r>
      <w:r>
        <w:rPr>
          <w:rFonts w:ascii="Times New Roman" w:eastAsia="宋体" w:hAnsi="Times New Roman"/>
          <w:sz w:val="20"/>
          <w:szCs w:val="20"/>
        </w:rPr>
        <w:instrText xml:space="preserv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C" wp14:editId="4E56B77D">
            <wp:extent cx="304800" cy="304800"/>
            <wp:effectExtent l="0" t="0" r="0" b="0"/>
            <wp:docPr id="47" name="图片 7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4" descr="IMG_262"/>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61" w14:textId="77777777" w:rsidR="00DF3E10" w:rsidRDefault="006B6C28">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Viewer10_files/adrevenueandotherrevenuea07.jpg"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E56B77E" wp14:editId="4E56B77F">
            <wp:extent cx="304800" cy="304800"/>
            <wp:effectExtent l="0" t="0" r="0" b="0"/>
            <wp:docPr id="49" name="图片 7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5" descr="IMG_263"/>
                    <pic:cNvPicPr>
                      <a:picLocks noChangeAspect="1"/>
                    </pic:cNvPicPr>
                  </pic:nvPicPr>
                  <pic:blipFill>
                    <a:blip r:embed="rId7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E56A962"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 xml:space="preserve">During the second quarter of 2020, worldwide ARPP was $6.10, a decrease of 2% from the second quarter of 2019. </w:t>
      </w:r>
    </w:p>
    <w:p w14:paraId="4E56A963" w14:textId="77777777" w:rsidR="00DF3E10" w:rsidRDefault="00DF3E10">
      <w:pPr>
        <w:rPr>
          <w:rFonts w:ascii="Times New Roman" w:hAnsi="Times New Roman"/>
          <w:sz w:val="20"/>
          <w:szCs w:val="20"/>
        </w:rPr>
      </w:pPr>
    </w:p>
    <w:p w14:paraId="4E56A964"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35</w:t>
      </w:r>
    </w:p>
    <w:p w14:paraId="4E56A965" w14:textId="77777777" w:rsidR="00DF3E10" w:rsidRDefault="006B6C28">
      <w:r>
        <w:rPr>
          <w:rFonts w:ascii="Times New Roman" w:hAnsi="Times New Roman"/>
          <w:sz w:val="20"/>
          <w:szCs w:val="20"/>
        </w:rPr>
        <w:pict w14:anchorId="4E56B780">
          <v:rect id="_x0000_i1059" style="width:415.3pt;height:1.5pt" o:hralign="center" o:hrstd="t" o:hr="t" fillcolor="#a0a0a0" stroked="f"/>
        </w:pict>
      </w:r>
    </w:p>
    <w:p w14:paraId="4E56A966" w14:textId="77777777" w:rsidR="00DF3E10" w:rsidRDefault="006B6C28">
      <w:pPr>
        <w:spacing w:line="288" w:lineRule="auto"/>
        <w:rPr>
          <w:rFonts w:ascii="Times New Roman" w:hAnsi="Times New Roman"/>
          <w:sz w:val="20"/>
          <w:szCs w:val="20"/>
        </w:rPr>
      </w:pPr>
      <w:hyperlink r:id="rId77" w:anchor="sC1FF62F0D4D85317B5B2C71C7C94F269" w:history="1">
        <w:r>
          <w:rPr>
            <w:rStyle w:val="a5"/>
            <w:rFonts w:ascii="Times New Roman" w:eastAsia="宋体" w:hAnsi="Times New Roman"/>
            <w:sz w:val="20"/>
            <w:szCs w:val="20"/>
          </w:rPr>
          <w:t>Table of Contents</w:t>
        </w:r>
      </w:hyperlink>
    </w:p>
    <w:p w14:paraId="4E56A967" w14:textId="77777777" w:rsidR="00DF3E10" w:rsidRDefault="00DF3E10">
      <w:pPr>
        <w:rPr>
          <w:rFonts w:ascii="Times New Roman" w:hAnsi="Times New Roman"/>
          <w:sz w:val="20"/>
          <w:szCs w:val="20"/>
        </w:rPr>
      </w:pPr>
    </w:p>
    <w:p w14:paraId="4E56A968"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Components of Results of Operations</w:t>
      </w:r>
    </w:p>
    <w:p w14:paraId="4E56A969"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Revenue</w:t>
      </w:r>
    </w:p>
    <w:p w14:paraId="4E56A96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Advertising.</w:t>
      </w:r>
      <w:r>
        <w:rPr>
          <w:rFonts w:ascii="Times New Roman" w:eastAsia="宋体" w:hAnsi="Times New Roman"/>
          <w:sz w:val="20"/>
          <w:szCs w:val="20"/>
        </w:rPr>
        <w:t xml:space="preserve"> We generate substantially a</w:t>
      </w:r>
      <w:r>
        <w:rPr>
          <w:rFonts w:ascii="Times New Roman" w:eastAsia="宋体" w:hAnsi="Times New Roman"/>
          <w:sz w:val="20"/>
          <w:szCs w:val="20"/>
        </w:rPr>
        <w:t>ll of our revenue from advertising. Our advertising revenue is generated by displaying ad products on Facebook, Instagram, Messenger, and third-party affiliated websites or mobile applications. Marketers pay for ad products either directly or through their</w:t>
      </w:r>
      <w:r>
        <w:rPr>
          <w:rFonts w:ascii="Times New Roman" w:eastAsia="宋体" w:hAnsi="Times New Roman"/>
          <w:sz w:val="20"/>
          <w:szCs w:val="20"/>
        </w:rPr>
        <w:t xml:space="preserve"> relationships with advertising agencies or resellers, based on the number of impressions delivered or the number of actions, such as clicks, taken by users. </w:t>
      </w:r>
    </w:p>
    <w:p w14:paraId="4E56A96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revenue from the display of impression-based ads in the contracted period in which t</w:t>
      </w:r>
      <w:r>
        <w:rPr>
          <w:rFonts w:ascii="Times New Roman" w:eastAsia="宋体" w:hAnsi="Times New Roman"/>
          <w:sz w:val="20"/>
          <w:szCs w:val="20"/>
        </w:rPr>
        <w:t>he impressions are delivered. Impressions are considered delivered when an ad is displayed to a user. We recognize revenue from the delivery of action-based ads in the period in which a user takes the action the marketer contracted for. The number of ads w</w:t>
      </w:r>
      <w:r>
        <w:rPr>
          <w:rFonts w:ascii="Times New Roman" w:eastAsia="宋体" w:hAnsi="Times New Roman"/>
          <w:sz w:val="20"/>
          <w:szCs w:val="20"/>
        </w:rPr>
        <w:t>e show is subject to methodological changes as we continue to evolve our ads business and the structure of our ads products. We calculate price per ad as total ad revenue divided by the number of ads delivered, representing the effective price paid per imp</w:t>
      </w:r>
      <w:r>
        <w:rPr>
          <w:rFonts w:ascii="Times New Roman" w:eastAsia="宋体" w:hAnsi="Times New Roman"/>
          <w:sz w:val="20"/>
          <w:szCs w:val="20"/>
        </w:rPr>
        <w:t>ression by a marketer regardless of their desired objective such as impression or action. For advertising revenue arrangements where we are not the principal, we recognize revenue on a net basis.</w:t>
      </w:r>
    </w:p>
    <w:p w14:paraId="4E56A96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Other revenue.</w:t>
      </w:r>
      <w:r>
        <w:rPr>
          <w:rFonts w:ascii="Times New Roman" w:eastAsia="宋体" w:hAnsi="Times New Roman"/>
          <w:sz w:val="20"/>
          <w:szCs w:val="20"/>
        </w:rPr>
        <w:t xml:space="preserve"> Other revenue consists of revenue from the de</w:t>
      </w:r>
      <w:r>
        <w:rPr>
          <w:rFonts w:ascii="Times New Roman" w:eastAsia="宋体" w:hAnsi="Times New Roman"/>
          <w:sz w:val="20"/>
          <w:szCs w:val="20"/>
        </w:rPr>
        <w:t>livery of consumer hardware devices and net fees we receive from developers using our Payments infrastructure, as well as revenue from various other sources.</w:t>
      </w:r>
    </w:p>
    <w:p w14:paraId="4E56A96D"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Cost of Revenue and Operating Expenses</w:t>
      </w:r>
    </w:p>
    <w:p w14:paraId="4E56A96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Cost of revenue.</w:t>
      </w:r>
      <w:r>
        <w:rPr>
          <w:rFonts w:ascii="Times New Roman" w:eastAsia="宋体" w:hAnsi="Times New Roman"/>
          <w:sz w:val="20"/>
          <w:szCs w:val="20"/>
        </w:rPr>
        <w:t xml:space="preserve"> Our cost of revenue consists primarily of </w:t>
      </w:r>
      <w:r>
        <w:rPr>
          <w:rFonts w:ascii="Times New Roman" w:eastAsia="宋体" w:hAnsi="Times New Roman"/>
          <w:sz w:val="20"/>
          <w:szCs w:val="20"/>
        </w:rPr>
        <w:t>expenses associated with the delivery and distribution of our products. These include expenses related to the operation of our data centers and technical infrastructure, such as facility and server equipment depreciation, salaries, benefits, and share-base</w:t>
      </w:r>
      <w:r>
        <w:rPr>
          <w:rFonts w:ascii="Times New Roman" w:eastAsia="宋体" w:hAnsi="Times New Roman"/>
          <w:sz w:val="20"/>
          <w:szCs w:val="20"/>
        </w:rPr>
        <w:t>d compensation for employees on our operations teams, and energy and bandwidth costs. Cost of revenue also includes costs associated with partner arrangements, including traffic acquisition and content acquisition costs, credit card and other transaction f</w:t>
      </w:r>
      <w:r>
        <w:rPr>
          <w:rFonts w:ascii="Times New Roman" w:eastAsia="宋体" w:hAnsi="Times New Roman"/>
          <w:sz w:val="20"/>
          <w:szCs w:val="20"/>
        </w:rPr>
        <w:t>ees related to processing customer transactions, and cost of consumer hardware devices.</w:t>
      </w:r>
    </w:p>
    <w:p w14:paraId="4E56A96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Research and development.</w:t>
      </w:r>
      <w:r>
        <w:rPr>
          <w:rFonts w:ascii="Times New Roman" w:eastAsia="宋体" w:hAnsi="Times New Roman"/>
          <w:sz w:val="20"/>
          <w:szCs w:val="20"/>
        </w:rPr>
        <w:t xml:space="preserve"> Research and development expenses consist primarily of salaries and benefits, share-based compensation, and facilities-related costs for emplo</w:t>
      </w:r>
      <w:r>
        <w:rPr>
          <w:rFonts w:ascii="Times New Roman" w:eastAsia="宋体" w:hAnsi="Times New Roman"/>
          <w:sz w:val="20"/>
          <w:szCs w:val="20"/>
        </w:rPr>
        <w:t xml:space="preserve">yees on our engineering and technical teams who are responsible for building new products as well as improving existing products. </w:t>
      </w:r>
    </w:p>
    <w:p w14:paraId="4E56A97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Marketing and sales.</w:t>
      </w:r>
      <w:r>
        <w:rPr>
          <w:rFonts w:ascii="Times New Roman" w:eastAsia="宋体" w:hAnsi="Times New Roman"/>
          <w:sz w:val="20"/>
          <w:szCs w:val="20"/>
        </w:rPr>
        <w:t xml:space="preserve"> Marketing and sales expenses consist of salaries and benefits, and share-based compensation for our empl</w:t>
      </w:r>
      <w:r>
        <w:rPr>
          <w:rFonts w:ascii="Times New Roman" w:eastAsia="宋体" w:hAnsi="Times New Roman"/>
          <w:sz w:val="20"/>
          <w:szCs w:val="20"/>
        </w:rPr>
        <w:t xml:space="preserve">oyees engaged in sales, sales support, marketing, business development, and customer service functions. Our marketing and sales expenses also include marketing and promotional expenditures and professional services such as content reviewers to support our </w:t>
      </w:r>
      <w:r>
        <w:rPr>
          <w:rFonts w:ascii="Times New Roman" w:eastAsia="宋体" w:hAnsi="Times New Roman"/>
          <w:sz w:val="20"/>
          <w:szCs w:val="20"/>
        </w:rPr>
        <w:t>community and product operations.</w:t>
      </w:r>
    </w:p>
    <w:p w14:paraId="4E56A97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b/>
          <w:bCs/>
          <w:sz w:val="20"/>
          <w:szCs w:val="20"/>
        </w:rPr>
        <w:t>General and administrative.</w:t>
      </w:r>
      <w:r>
        <w:rPr>
          <w:rFonts w:ascii="Times New Roman" w:eastAsia="宋体" w:hAnsi="Times New Roman"/>
          <w:sz w:val="20"/>
          <w:szCs w:val="20"/>
        </w:rPr>
        <w:t xml:space="preserve"> General and administrative expenses consist of legal-related costs; salaries and benefits, and share-based compensation for certain of our executives as well as our legal, finance, human resourc</w:t>
      </w:r>
      <w:r>
        <w:rPr>
          <w:rFonts w:ascii="Times New Roman" w:eastAsia="宋体" w:hAnsi="Times New Roman"/>
          <w:sz w:val="20"/>
          <w:szCs w:val="20"/>
        </w:rPr>
        <w:t xml:space="preserve">es, corporate communications and policy, and other administrative employees; and professional services. </w:t>
      </w:r>
    </w:p>
    <w:p w14:paraId="4E56A972" w14:textId="77777777" w:rsidR="00DF3E10" w:rsidRDefault="00DF3E10">
      <w:pPr>
        <w:rPr>
          <w:rFonts w:ascii="Times New Roman" w:hAnsi="Times New Roman"/>
          <w:sz w:val="20"/>
          <w:szCs w:val="20"/>
        </w:rPr>
      </w:pPr>
    </w:p>
    <w:p w14:paraId="4E56A97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36</w:t>
      </w:r>
    </w:p>
    <w:p w14:paraId="4E56A974" w14:textId="77777777" w:rsidR="00DF3E10" w:rsidRDefault="006B6C28">
      <w:r>
        <w:rPr>
          <w:rFonts w:ascii="Times New Roman" w:hAnsi="Times New Roman"/>
          <w:sz w:val="20"/>
          <w:szCs w:val="20"/>
        </w:rPr>
        <w:pict w14:anchorId="4E56B781">
          <v:rect id="_x0000_i1060" style="width:415.3pt;height:1.5pt" o:hralign="center" o:hrstd="t" o:hr="t" fillcolor="#a0a0a0" stroked="f"/>
        </w:pict>
      </w:r>
    </w:p>
    <w:p w14:paraId="4E56A975" w14:textId="77777777" w:rsidR="00DF3E10" w:rsidRDefault="006B6C28">
      <w:pPr>
        <w:spacing w:line="288" w:lineRule="auto"/>
        <w:rPr>
          <w:rFonts w:ascii="Times New Roman" w:hAnsi="Times New Roman"/>
          <w:sz w:val="20"/>
          <w:szCs w:val="20"/>
        </w:rPr>
      </w:pPr>
      <w:hyperlink r:id="rId78" w:anchor="sC1FF62F0D4D85317B5B2C71C7C94F269" w:history="1">
        <w:r>
          <w:rPr>
            <w:rStyle w:val="a5"/>
            <w:rFonts w:ascii="Times New Roman" w:eastAsia="宋体" w:hAnsi="Times New Roman"/>
            <w:sz w:val="20"/>
            <w:szCs w:val="20"/>
          </w:rPr>
          <w:t>Table of Contents</w:t>
        </w:r>
      </w:hyperlink>
    </w:p>
    <w:p w14:paraId="4E56A976" w14:textId="77777777" w:rsidR="00DF3E10" w:rsidRDefault="00DF3E10">
      <w:pPr>
        <w:rPr>
          <w:rFonts w:ascii="Times New Roman" w:hAnsi="Times New Roman"/>
          <w:sz w:val="20"/>
          <w:szCs w:val="20"/>
        </w:rPr>
      </w:pPr>
    </w:p>
    <w:p w14:paraId="4E56A977"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4E56A978"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The following table sets forth our condensed consolidated statements of income data:</w:t>
      </w:r>
    </w:p>
    <w:tbl>
      <w:tblPr>
        <w:tblW w:w="5000" w:type="pct"/>
        <w:tblCellMar>
          <w:left w:w="0" w:type="dxa"/>
          <w:right w:w="0" w:type="dxa"/>
        </w:tblCellMar>
        <w:tblLook w:val="04A0" w:firstRow="1" w:lastRow="0" w:firstColumn="1" w:lastColumn="0" w:noHBand="0" w:noVBand="1"/>
      </w:tblPr>
      <w:tblGrid>
        <w:gridCol w:w="4028"/>
        <w:gridCol w:w="140"/>
        <w:gridCol w:w="790"/>
        <w:gridCol w:w="42"/>
        <w:gridCol w:w="130"/>
        <w:gridCol w:w="140"/>
        <w:gridCol w:w="790"/>
        <w:gridCol w:w="42"/>
        <w:gridCol w:w="130"/>
        <w:gridCol w:w="140"/>
        <w:gridCol w:w="790"/>
        <w:gridCol w:w="42"/>
        <w:gridCol w:w="130"/>
        <w:gridCol w:w="140"/>
        <w:gridCol w:w="790"/>
        <w:gridCol w:w="42"/>
      </w:tblGrid>
      <w:tr w:rsidR="00DF3E10" w14:paraId="4E56A97A" w14:textId="77777777">
        <w:tc>
          <w:tcPr>
            <w:tcW w:w="0" w:type="auto"/>
            <w:gridSpan w:val="16"/>
            <w:shd w:val="clear" w:color="auto" w:fill="auto"/>
            <w:vAlign w:val="center"/>
          </w:tcPr>
          <w:p w14:paraId="4E56A979" w14:textId="77777777" w:rsidR="00DF3E10" w:rsidRDefault="00DF3E10">
            <w:pPr>
              <w:rPr>
                <w:rFonts w:ascii="Times New Roman" w:hAnsi="Times New Roman"/>
                <w:sz w:val="20"/>
                <w:szCs w:val="20"/>
              </w:rPr>
            </w:pPr>
          </w:p>
        </w:tc>
      </w:tr>
      <w:tr w:rsidR="00DF3E10" w14:paraId="4E56A98B" w14:textId="77777777">
        <w:tc>
          <w:tcPr>
            <w:tcW w:w="2450" w:type="pct"/>
            <w:shd w:val="clear" w:color="auto" w:fill="auto"/>
            <w:vAlign w:val="center"/>
          </w:tcPr>
          <w:p w14:paraId="4E56A97B" w14:textId="77777777" w:rsidR="00DF3E10" w:rsidRDefault="00DF3E10">
            <w:pPr>
              <w:rPr>
                <w:rFonts w:ascii="Times New Roman" w:hAnsi="Times New Roman"/>
                <w:sz w:val="20"/>
                <w:szCs w:val="20"/>
              </w:rPr>
            </w:pPr>
          </w:p>
        </w:tc>
        <w:tc>
          <w:tcPr>
            <w:tcW w:w="50" w:type="pct"/>
            <w:shd w:val="clear" w:color="auto" w:fill="auto"/>
            <w:vAlign w:val="center"/>
          </w:tcPr>
          <w:p w14:paraId="4E56A97C" w14:textId="77777777" w:rsidR="00DF3E10" w:rsidRDefault="00DF3E10">
            <w:pPr>
              <w:rPr>
                <w:rFonts w:ascii="Times New Roman" w:hAnsi="Times New Roman"/>
                <w:sz w:val="20"/>
                <w:szCs w:val="20"/>
              </w:rPr>
            </w:pPr>
          </w:p>
        </w:tc>
        <w:tc>
          <w:tcPr>
            <w:tcW w:w="500" w:type="pct"/>
            <w:shd w:val="clear" w:color="auto" w:fill="auto"/>
            <w:vAlign w:val="center"/>
          </w:tcPr>
          <w:p w14:paraId="4E56A97D" w14:textId="77777777" w:rsidR="00DF3E10" w:rsidRDefault="00DF3E10">
            <w:pPr>
              <w:rPr>
                <w:rFonts w:ascii="Times New Roman" w:hAnsi="Times New Roman"/>
                <w:sz w:val="20"/>
                <w:szCs w:val="20"/>
              </w:rPr>
            </w:pPr>
          </w:p>
        </w:tc>
        <w:tc>
          <w:tcPr>
            <w:tcW w:w="50" w:type="pct"/>
            <w:shd w:val="clear" w:color="auto" w:fill="auto"/>
            <w:vAlign w:val="center"/>
          </w:tcPr>
          <w:p w14:paraId="4E56A97E" w14:textId="77777777" w:rsidR="00DF3E10" w:rsidRDefault="00DF3E10">
            <w:pPr>
              <w:rPr>
                <w:rFonts w:ascii="Times New Roman" w:hAnsi="Times New Roman"/>
                <w:sz w:val="20"/>
                <w:szCs w:val="20"/>
              </w:rPr>
            </w:pPr>
          </w:p>
        </w:tc>
        <w:tc>
          <w:tcPr>
            <w:tcW w:w="50" w:type="pct"/>
            <w:shd w:val="clear" w:color="auto" w:fill="auto"/>
            <w:vAlign w:val="center"/>
          </w:tcPr>
          <w:p w14:paraId="4E56A97F" w14:textId="77777777" w:rsidR="00DF3E10" w:rsidRDefault="00DF3E10">
            <w:pPr>
              <w:rPr>
                <w:rFonts w:ascii="Times New Roman" w:hAnsi="Times New Roman"/>
                <w:sz w:val="20"/>
                <w:szCs w:val="20"/>
              </w:rPr>
            </w:pPr>
          </w:p>
        </w:tc>
        <w:tc>
          <w:tcPr>
            <w:tcW w:w="50" w:type="pct"/>
            <w:shd w:val="clear" w:color="auto" w:fill="auto"/>
            <w:vAlign w:val="center"/>
          </w:tcPr>
          <w:p w14:paraId="4E56A980" w14:textId="77777777" w:rsidR="00DF3E10" w:rsidRDefault="00DF3E10">
            <w:pPr>
              <w:rPr>
                <w:rFonts w:ascii="Times New Roman" w:hAnsi="Times New Roman"/>
                <w:sz w:val="20"/>
                <w:szCs w:val="20"/>
              </w:rPr>
            </w:pPr>
          </w:p>
        </w:tc>
        <w:tc>
          <w:tcPr>
            <w:tcW w:w="500" w:type="pct"/>
            <w:shd w:val="clear" w:color="auto" w:fill="auto"/>
            <w:vAlign w:val="center"/>
          </w:tcPr>
          <w:p w14:paraId="4E56A981" w14:textId="77777777" w:rsidR="00DF3E10" w:rsidRDefault="00DF3E10">
            <w:pPr>
              <w:rPr>
                <w:rFonts w:ascii="Times New Roman" w:hAnsi="Times New Roman"/>
                <w:sz w:val="20"/>
                <w:szCs w:val="20"/>
              </w:rPr>
            </w:pPr>
          </w:p>
        </w:tc>
        <w:tc>
          <w:tcPr>
            <w:tcW w:w="50" w:type="pct"/>
            <w:shd w:val="clear" w:color="auto" w:fill="auto"/>
            <w:vAlign w:val="center"/>
          </w:tcPr>
          <w:p w14:paraId="4E56A982" w14:textId="77777777" w:rsidR="00DF3E10" w:rsidRDefault="00DF3E10">
            <w:pPr>
              <w:rPr>
                <w:rFonts w:ascii="Times New Roman" w:hAnsi="Times New Roman"/>
                <w:sz w:val="20"/>
                <w:szCs w:val="20"/>
              </w:rPr>
            </w:pPr>
          </w:p>
        </w:tc>
        <w:tc>
          <w:tcPr>
            <w:tcW w:w="50" w:type="pct"/>
            <w:shd w:val="clear" w:color="auto" w:fill="auto"/>
            <w:vAlign w:val="center"/>
          </w:tcPr>
          <w:p w14:paraId="4E56A983" w14:textId="77777777" w:rsidR="00DF3E10" w:rsidRDefault="00DF3E10">
            <w:pPr>
              <w:rPr>
                <w:rFonts w:ascii="Times New Roman" w:hAnsi="Times New Roman"/>
                <w:sz w:val="20"/>
                <w:szCs w:val="20"/>
              </w:rPr>
            </w:pPr>
          </w:p>
        </w:tc>
        <w:tc>
          <w:tcPr>
            <w:tcW w:w="50" w:type="pct"/>
            <w:shd w:val="clear" w:color="auto" w:fill="auto"/>
            <w:vAlign w:val="center"/>
          </w:tcPr>
          <w:p w14:paraId="4E56A984" w14:textId="77777777" w:rsidR="00DF3E10" w:rsidRDefault="00DF3E10">
            <w:pPr>
              <w:rPr>
                <w:rFonts w:ascii="Times New Roman" w:hAnsi="Times New Roman"/>
                <w:sz w:val="20"/>
                <w:szCs w:val="20"/>
              </w:rPr>
            </w:pPr>
          </w:p>
        </w:tc>
        <w:tc>
          <w:tcPr>
            <w:tcW w:w="500" w:type="pct"/>
            <w:shd w:val="clear" w:color="auto" w:fill="auto"/>
            <w:vAlign w:val="center"/>
          </w:tcPr>
          <w:p w14:paraId="4E56A985" w14:textId="77777777" w:rsidR="00DF3E10" w:rsidRDefault="00DF3E10">
            <w:pPr>
              <w:rPr>
                <w:rFonts w:ascii="Times New Roman" w:hAnsi="Times New Roman"/>
                <w:sz w:val="20"/>
                <w:szCs w:val="20"/>
              </w:rPr>
            </w:pPr>
          </w:p>
        </w:tc>
        <w:tc>
          <w:tcPr>
            <w:tcW w:w="50" w:type="pct"/>
            <w:shd w:val="clear" w:color="auto" w:fill="auto"/>
            <w:vAlign w:val="center"/>
          </w:tcPr>
          <w:p w14:paraId="4E56A986" w14:textId="77777777" w:rsidR="00DF3E10" w:rsidRDefault="00DF3E10">
            <w:pPr>
              <w:rPr>
                <w:rFonts w:ascii="Times New Roman" w:hAnsi="Times New Roman"/>
                <w:sz w:val="20"/>
                <w:szCs w:val="20"/>
              </w:rPr>
            </w:pPr>
          </w:p>
        </w:tc>
        <w:tc>
          <w:tcPr>
            <w:tcW w:w="50" w:type="pct"/>
            <w:shd w:val="clear" w:color="auto" w:fill="auto"/>
            <w:vAlign w:val="center"/>
          </w:tcPr>
          <w:p w14:paraId="4E56A987" w14:textId="77777777" w:rsidR="00DF3E10" w:rsidRDefault="00DF3E10">
            <w:pPr>
              <w:rPr>
                <w:rFonts w:ascii="Times New Roman" w:hAnsi="Times New Roman"/>
                <w:sz w:val="20"/>
                <w:szCs w:val="20"/>
              </w:rPr>
            </w:pPr>
          </w:p>
        </w:tc>
        <w:tc>
          <w:tcPr>
            <w:tcW w:w="50" w:type="pct"/>
            <w:shd w:val="clear" w:color="auto" w:fill="auto"/>
            <w:vAlign w:val="center"/>
          </w:tcPr>
          <w:p w14:paraId="4E56A988" w14:textId="77777777" w:rsidR="00DF3E10" w:rsidRDefault="00DF3E10">
            <w:pPr>
              <w:rPr>
                <w:rFonts w:ascii="Times New Roman" w:hAnsi="Times New Roman"/>
                <w:sz w:val="20"/>
                <w:szCs w:val="20"/>
              </w:rPr>
            </w:pPr>
          </w:p>
        </w:tc>
        <w:tc>
          <w:tcPr>
            <w:tcW w:w="500" w:type="pct"/>
            <w:shd w:val="clear" w:color="auto" w:fill="auto"/>
            <w:vAlign w:val="center"/>
          </w:tcPr>
          <w:p w14:paraId="4E56A989" w14:textId="77777777" w:rsidR="00DF3E10" w:rsidRDefault="00DF3E10">
            <w:pPr>
              <w:rPr>
                <w:rFonts w:ascii="Times New Roman" w:hAnsi="Times New Roman"/>
                <w:sz w:val="20"/>
                <w:szCs w:val="20"/>
              </w:rPr>
            </w:pPr>
          </w:p>
        </w:tc>
        <w:tc>
          <w:tcPr>
            <w:tcW w:w="50" w:type="pct"/>
            <w:shd w:val="clear" w:color="auto" w:fill="auto"/>
            <w:vAlign w:val="center"/>
          </w:tcPr>
          <w:p w14:paraId="4E56A98A" w14:textId="77777777" w:rsidR="00DF3E10" w:rsidRDefault="00DF3E10">
            <w:pPr>
              <w:rPr>
                <w:rFonts w:ascii="Times New Roman" w:hAnsi="Times New Roman"/>
                <w:sz w:val="20"/>
                <w:szCs w:val="20"/>
              </w:rPr>
            </w:pPr>
          </w:p>
        </w:tc>
      </w:tr>
      <w:tr w:rsidR="00DF3E10" w14:paraId="4E56A990" w14:textId="77777777">
        <w:tc>
          <w:tcPr>
            <w:tcW w:w="0" w:type="auto"/>
            <w:shd w:val="clear" w:color="auto" w:fill="auto"/>
            <w:tcMar>
              <w:top w:w="40" w:type="dxa"/>
              <w:left w:w="40" w:type="dxa"/>
              <w:bottom w:w="40" w:type="dxa"/>
              <w:right w:w="40" w:type="dxa"/>
            </w:tcMar>
            <w:vAlign w:val="bottom"/>
          </w:tcPr>
          <w:p w14:paraId="4E56A9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98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9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98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999" w14:textId="77777777">
        <w:tc>
          <w:tcPr>
            <w:tcW w:w="0" w:type="auto"/>
            <w:shd w:val="clear" w:color="auto" w:fill="auto"/>
            <w:tcMar>
              <w:top w:w="40" w:type="dxa"/>
              <w:left w:w="40" w:type="dxa"/>
              <w:bottom w:w="40" w:type="dxa"/>
              <w:right w:w="40" w:type="dxa"/>
            </w:tcMar>
            <w:vAlign w:val="bottom"/>
          </w:tcPr>
          <w:p w14:paraId="4E56A991"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99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9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99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9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99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9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99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99C" w14:textId="77777777">
        <w:tc>
          <w:tcPr>
            <w:tcW w:w="0" w:type="auto"/>
            <w:shd w:val="clear" w:color="auto" w:fill="auto"/>
            <w:tcMar>
              <w:top w:w="40" w:type="dxa"/>
              <w:left w:w="40" w:type="dxa"/>
              <w:bottom w:w="40" w:type="dxa"/>
              <w:right w:w="40" w:type="dxa"/>
            </w:tcMar>
            <w:vAlign w:val="bottom"/>
          </w:tcPr>
          <w:p w14:paraId="4E56A9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4E56A99B"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 xml:space="preserve">(in </w:t>
            </w:r>
            <w:r>
              <w:rPr>
                <w:rFonts w:ascii="Times New Roman" w:eastAsia="宋体" w:hAnsi="Times New Roman"/>
                <w:b/>
                <w:bCs/>
                <w:i/>
                <w:iCs/>
                <w:sz w:val="16"/>
                <w:szCs w:val="16"/>
              </w:rPr>
              <w:t>millions)</w:t>
            </w:r>
          </w:p>
        </w:tc>
      </w:tr>
      <w:tr w:rsidR="00DF3E10" w14:paraId="4E56A9AD" w14:textId="77777777">
        <w:tc>
          <w:tcPr>
            <w:tcW w:w="0" w:type="auto"/>
            <w:shd w:val="clear" w:color="auto" w:fill="CCEEFF"/>
            <w:tcMar>
              <w:top w:w="40" w:type="dxa"/>
              <w:left w:w="40" w:type="dxa"/>
              <w:bottom w:w="40" w:type="dxa"/>
              <w:right w:w="40" w:type="dxa"/>
            </w:tcMar>
          </w:tcPr>
          <w:p w14:paraId="4E56A99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tcMar>
            <w:vAlign w:val="bottom"/>
          </w:tcPr>
          <w:p w14:paraId="4E56A9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9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18,687</w:t>
            </w:r>
          </w:p>
        </w:tc>
        <w:tc>
          <w:tcPr>
            <w:tcW w:w="0" w:type="auto"/>
            <w:shd w:val="clear" w:color="auto" w:fill="CCEEFF"/>
            <w:vAlign w:val="bottom"/>
          </w:tcPr>
          <w:p w14:paraId="4E56A9A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9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9A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shd w:val="clear" w:color="auto" w:fill="CCEEFF"/>
            <w:vAlign w:val="bottom"/>
          </w:tcPr>
          <w:p w14:paraId="4E56A9A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9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9A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36,423</w:t>
            </w:r>
          </w:p>
        </w:tc>
        <w:tc>
          <w:tcPr>
            <w:tcW w:w="0" w:type="auto"/>
            <w:shd w:val="clear" w:color="auto" w:fill="CCEEFF"/>
            <w:vAlign w:val="bottom"/>
          </w:tcPr>
          <w:p w14:paraId="4E56A9A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9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9A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31,963</w:t>
            </w:r>
          </w:p>
        </w:tc>
        <w:tc>
          <w:tcPr>
            <w:tcW w:w="0" w:type="auto"/>
            <w:shd w:val="clear" w:color="auto" w:fill="CCEEFF"/>
            <w:vAlign w:val="bottom"/>
          </w:tcPr>
          <w:p w14:paraId="4E56A9AC" w14:textId="77777777" w:rsidR="00DF3E10" w:rsidRDefault="00DF3E10">
            <w:pPr>
              <w:textAlignment w:val="bottom"/>
              <w:rPr>
                <w:rFonts w:ascii="Times New Roman" w:hAnsi="Times New Roman"/>
                <w:sz w:val="20"/>
                <w:szCs w:val="20"/>
              </w:rPr>
            </w:pPr>
          </w:p>
        </w:tc>
      </w:tr>
      <w:tr w:rsidR="00DF3E10" w14:paraId="4E56A9B6" w14:textId="77777777">
        <w:tc>
          <w:tcPr>
            <w:tcW w:w="0" w:type="auto"/>
            <w:shd w:val="clear" w:color="auto" w:fill="auto"/>
            <w:tcMar>
              <w:top w:w="40" w:type="dxa"/>
              <w:left w:w="40" w:type="dxa"/>
              <w:bottom w:w="40" w:type="dxa"/>
              <w:right w:w="40" w:type="dxa"/>
            </w:tcMar>
          </w:tcPr>
          <w:p w14:paraId="4E56A9A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3"/>
            <w:shd w:val="clear" w:color="auto" w:fill="auto"/>
            <w:tcMar>
              <w:top w:w="40" w:type="dxa"/>
              <w:left w:w="40" w:type="dxa"/>
              <w:bottom w:w="40" w:type="dxa"/>
              <w:right w:w="40" w:type="dxa"/>
            </w:tcMar>
            <w:vAlign w:val="bottom"/>
          </w:tcPr>
          <w:p w14:paraId="4E56A9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9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9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9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9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9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9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9C3" w14:textId="77777777">
        <w:tc>
          <w:tcPr>
            <w:tcW w:w="0" w:type="auto"/>
            <w:shd w:val="clear" w:color="auto" w:fill="CCEEFF"/>
            <w:tcMar>
              <w:top w:w="40" w:type="dxa"/>
              <w:left w:w="560" w:type="dxa"/>
              <w:bottom w:w="40" w:type="dxa"/>
              <w:right w:w="40" w:type="dxa"/>
            </w:tcMar>
          </w:tcPr>
          <w:p w14:paraId="4E56A9B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4E56A9B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3,829</w:t>
            </w:r>
          </w:p>
        </w:tc>
        <w:tc>
          <w:tcPr>
            <w:tcW w:w="0" w:type="auto"/>
            <w:shd w:val="clear" w:color="auto" w:fill="CCEEFF"/>
            <w:vAlign w:val="bottom"/>
          </w:tcPr>
          <w:p w14:paraId="4E56A9B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B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B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3,307</w:t>
            </w:r>
          </w:p>
        </w:tc>
        <w:tc>
          <w:tcPr>
            <w:tcW w:w="0" w:type="auto"/>
            <w:shd w:val="clear" w:color="auto" w:fill="CCEEFF"/>
            <w:vAlign w:val="bottom"/>
          </w:tcPr>
          <w:p w14:paraId="4E56A9B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B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shd w:val="clear" w:color="auto" w:fill="CCEEFF"/>
            <w:vAlign w:val="bottom"/>
          </w:tcPr>
          <w:p w14:paraId="4E56A9B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C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6,123</w:t>
            </w:r>
          </w:p>
        </w:tc>
        <w:tc>
          <w:tcPr>
            <w:tcW w:w="0" w:type="auto"/>
            <w:shd w:val="clear" w:color="auto" w:fill="CCEEFF"/>
            <w:vAlign w:val="bottom"/>
          </w:tcPr>
          <w:p w14:paraId="4E56A9C2" w14:textId="77777777" w:rsidR="00DF3E10" w:rsidRDefault="00DF3E10">
            <w:pPr>
              <w:textAlignment w:val="bottom"/>
              <w:rPr>
                <w:rFonts w:ascii="Times New Roman" w:hAnsi="Times New Roman"/>
                <w:sz w:val="20"/>
                <w:szCs w:val="20"/>
              </w:rPr>
            </w:pPr>
          </w:p>
        </w:tc>
      </w:tr>
      <w:tr w:rsidR="00DF3E10" w14:paraId="4E56A9D0" w14:textId="77777777">
        <w:tc>
          <w:tcPr>
            <w:tcW w:w="0" w:type="auto"/>
            <w:shd w:val="clear" w:color="auto" w:fill="auto"/>
            <w:tcMar>
              <w:top w:w="40" w:type="dxa"/>
              <w:left w:w="560" w:type="dxa"/>
              <w:bottom w:w="40" w:type="dxa"/>
              <w:right w:w="40" w:type="dxa"/>
            </w:tcMar>
          </w:tcPr>
          <w:p w14:paraId="4E56A9C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4E56A9C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4,462</w:t>
            </w:r>
          </w:p>
        </w:tc>
        <w:tc>
          <w:tcPr>
            <w:tcW w:w="0" w:type="auto"/>
            <w:shd w:val="clear" w:color="auto" w:fill="auto"/>
            <w:vAlign w:val="bottom"/>
          </w:tcPr>
          <w:p w14:paraId="4E56A9C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C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3,315</w:t>
            </w:r>
          </w:p>
        </w:tc>
        <w:tc>
          <w:tcPr>
            <w:tcW w:w="0" w:type="auto"/>
            <w:shd w:val="clear" w:color="auto" w:fill="auto"/>
            <w:vAlign w:val="bottom"/>
          </w:tcPr>
          <w:p w14:paraId="4E56A9C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C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8,477</w:t>
            </w:r>
          </w:p>
        </w:tc>
        <w:tc>
          <w:tcPr>
            <w:tcW w:w="0" w:type="auto"/>
            <w:shd w:val="clear" w:color="auto" w:fill="auto"/>
            <w:vAlign w:val="bottom"/>
          </w:tcPr>
          <w:p w14:paraId="4E56A9C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C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6,175</w:t>
            </w:r>
          </w:p>
        </w:tc>
        <w:tc>
          <w:tcPr>
            <w:tcW w:w="0" w:type="auto"/>
            <w:shd w:val="clear" w:color="auto" w:fill="auto"/>
            <w:vAlign w:val="bottom"/>
          </w:tcPr>
          <w:p w14:paraId="4E56A9CF" w14:textId="77777777" w:rsidR="00DF3E10" w:rsidRDefault="00DF3E10">
            <w:pPr>
              <w:textAlignment w:val="bottom"/>
              <w:rPr>
                <w:rFonts w:ascii="Times New Roman" w:hAnsi="Times New Roman"/>
                <w:sz w:val="20"/>
                <w:szCs w:val="20"/>
              </w:rPr>
            </w:pPr>
          </w:p>
        </w:tc>
      </w:tr>
      <w:tr w:rsidR="00DF3E10" w14:paraId="4E56A9DD" w14:textId="77777777">
        <w:tc>
          <w:tcPr>
            <w:tcW w:w="0" w:type="auto"/>
            <w:shd w:val="clear" w:color="auto" w:fill="CCEEFF"/>
            <w:tcMar>
              <w:top w:w="40" w:type="dxa"/>
              <w:left w:w="560" w:type="dxa"/>
              <w:bottom w:w="40" w:type="dxa"/>
              <w:right w:w="40" w:type="dxa"/>
            </w:tcMar>
          </w:tcPr>
          <w:p w14:paraId="4E56A9D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4E56A9D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2,840</w:t>
            </w:r>
          </w:p>
        </w:tc>
        <w:tc>
          <w:tcPr>
            <w:tcW w:w="0" w:type="auto"/>
            <w:shd w:val="clear" w:color="auto" w:fill="CCEEFF"/>
            <w:vAlign w:val="bottom"/>
          </w:tcPr>
          <w:p w14:paraId="4E56A9D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D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2,414</w:t>
            </w:r>
          </w:p>
        </w:tc>
        <w:tc>
          <w:tcPr>
            <w:tcW w:w="0" w:type="auto"/>
            <w:shd w:val="clear" w:color="auto" w:fill="CCEEFF"/>
            <w:vAlign w:val="bottom"/>
          </w:tcPr>
          <w:p w14:paraId="4E56A9D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D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5,627</w:t>
            </w:r>
          </w:p>
        </w:tc>
        <w:tc>
          <w:tcPr>
            <w:tcW w:w="0" w:type="auto"/>
            <w:shd w:val="clear" w:color="auto" w:fill="CCEEFF"/>
            <w:vAlign w:val="bottom"/>
          </w:tcPr>
          <w:p w14:paraId="4E56A9D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9D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4,434</w:t>
            </w:r>
          </w:p>
        </w:tc>
        <w:tc>
          <w:tcPr>
            <w:tcW w:w="0" w:type="auto"/>
            <w:shd w:val="clear" w:color="auto" w:fill="CCEEFF"/>
            <w:vAlign w:val="bottom"/>
          </w:tcPr>
          <w:p w14:paraId="4E56A9DC" w14:textId="77777777" w:rsidR="00DF3E10" w:rsidRDefault="00DF3E10">
            <w:pPr>
              <w:textAlignment w:val="bottom"/>
              <w:rPr>
                <w:rFonts w:ascii="Times New Roman" w:hAnsi="Times New Roman"/>
                <w:sz w:val="20"/>
                <w:szCs w:val="20"/>
              </w:rPr>
            </w:pPr>
          </w:p>
        </w:tc>
      </w:tr>
      <w:tr w:rsidR="00DF3E10" w14:paraId="4E56A9EA" w14:textId="77777777">
        <w:tc>
          <w:tcPr>
            <w:tcW w:w="0" w:type="auto"/>
            <w:shd w:val="clear" w:color="auto" w:fill="auto"/>
            <w:tcMar>
              <w:top w:w="40" w:type="dxa"/>
              <w:left w:w="560" w:type="dxa"/>
              <w:bottom w:w="40" w:type="dxa"/>
              <w:right w:w="40" w:type="dxa"/>
            </w:tcMar>
          </w:tcPr>
          <w:p w14:paraId="4E56A9D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shd w:val="clear" w:color="auto" w:fill="auto"/>
            <w:tcMar>
              <w:top w:w="40" w:type="dxa"/>
              <w:left w:w="40" w:type="dxa"/>
              <w:bottom w:w="40" w:type="dxa"/>
            </w:tcMar>
            <w:vAlign w:val="bottom"/>
          </w:tcPr>
          <w:p w14:paraId="4E56A9D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1,593</w:t>
            </w:r>
          </w:p>
        </w:tc>
        <w:tc>
          <w:tcPr>
            <w:tcW w:w="0" w:type="auto"/>
            <w:shd w:val="clear" w:color="auto" w:fill="auto"/>
            <w:vAlign w:val="bottom"/>
          </w:tcPr>
          <w:p w14:paraId="4E56A9E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E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3,224</w:t>
            </w:r>
          </w:p>
        </w:tc>
        <w:tc>
          <w:tcPr>
            <w:tcW w:w="0" w:type="auto"/>
            <w:shd w:val="clear" w:color="auto" w:fill="auto"/>
            <w:vAlign w:val="bottom"/>
          </w:tcPr>
          <w:p w14:paraId="4E56A9E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E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3,175</w:t>
            </w:r>
          </w:p>
        </w:tc>
        <w:tc>
          <w:tcPr>
            <w:tcW w:w="0" w:type="auto"/>
            <w:shd w:val="clear" w:color="auto" w:fill="auto"/>
            <w:vAlign w:val="bottom"/>
          </w:tcPr>
          <w:p w14:paraId="4E56A9E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E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shd w:val="clear" w:color="auto" w:fill="auto"/>
            <w:vAlign w:val="bottom"/>
          </w:tcPr>
          <w:p w14:paraId="4E56A9E9" w14:textId="77777777" w:rsidR="00DF3E10" w:rsidRDefault="00DF3E10">
            <w:pPr>
              <w:textAlignment w:val="bottom"/>
              <w:rPr>
                <w:rFonts w:ascii="Times New Roman" w:hAnsi="Times New Roman"/>
                <w:sz w:val="20"/>
                <w:szCs w:val="20"/>
              </w:rPr>
            </w:pPr>
          </w:p>
        </w:tc>
      </w:tr>
      <w:tr w:rsidR="00DF3E10" w14:paraId="4E56A9F7" w14:textId="77777777">
        <w:tc>
          <w:tcPr>
            <w:tcW w:w="0" w:type="auto"/>
            <w:shd w:val="clear" w:color="auto" w:fill="CCEEFF"/>
            <w:tcMar>
              <w:top w:w="40" w:type="dxa"/>
              <w:left w:w="40" w:type="dxa"/>
              <w:bottom w:w="40" w:type="dxa"/>
              <w:right w:w="40" w:type="dxa"/>
            </w:tcMar>
          </w:tcPr>
          <w:p w14:paraId="4E56A9E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costs and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9E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12,724</w:t>
            </w:r>
          </w:p>
        </w:tc>
        <w:tc>
          <w:tcPr>
            <w:tcW w:w="0" w:type="auto"/>
            <w:tcBorders>
              <w:top w:val="single" w:sz="8" w:space="0" w:color="000000"/>
              <w:bottom w:val="single" w:sz="8" w:space="0" w:color="000000"/>
            </w:tcBorders>
            <w:shd w:val="clear" w:color="auto" w:fill="CCEEFF"/>
            <w:vAlign w:val="bottom"/>
          </w:tcPr>
          <w:p w14:paraId="4E56A9E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9E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12,260</w:t>
            </w:r>
          </w:p>
        </w:tc>
        <w:tc>
          <w:tcPr>
            <w:tcW w:w="0" w:type="auto"/>
            <w:tcBorders>
              <w:top w:val="single" w:sz="8" w:space="0" w:color="000000"/>
              <w:bottom w:val="single" w:sz="8" w:space="0" w:color="000000"/>
            </w:tcBorders>
            <w:shd w:val="clear" w:color="auto" w:fill="CCEEFF"/>
            <w:vAlign w:val="bottom"/>
          </w:tcPr>
          <w:p w14:paraId="4E56A9F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9F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24,567</w:t>
            </w:r>
          </w:p>
        </w:tc>
        <w:tc>
          <w:tcPr>
            <w:tcW w:w="0" w:type="auto"/>
            <w:tcBorders>
              <w:top w:val="single" w:sz="8" w:space="0" w:color="000000"/>
              <w:bottom w:val="single" w:sz="8" w:space="0" w:color="000000"/>
            </w:tcBorders>
            <w:shd w:val="clear" w:color="auto" w:fill="CCEEFF"/>
            <w:vAlign w:val="bottom"/>
          </w:tcPr>
          <w:p w14:paraId="4E56A9F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9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4E56A9F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24,020</w:t>
            </w:r>
          </w:p>
        </w:tc>
        <w:tc>
          <w:tcPr>
            <w:tcW w:w="0" w:type="auto"/>
            <w:tcBorders>
              <w:top w:val="single" w:sz="8" w:space="0" w:color="000000"/>
              <w:bottom w:val="single" w:sz="8" w:space="0" w:color="000000"/>
            </w:tcBorders>
            <w:shd w:val="clear" w:color="auto" w:fill="CCEEFF"/>
            <w:vAlign w:val="bottom"/>
          </w:tcPr>
          <w:p w14:paraId="4E56A9F6" w14:textId="77777777" w:rsidR="00DF3E10" w:rsidRDefault="00DF3E10">
            <w:pPr>
              <w:textAlignment w:val="bottom"/>
              <w:rPr>
                <w:rFonts w:ascii="Times New Roman" w:hAnsi="Times New Roman"/>
                <w:sz w:val="20"/>
                <w:szCs w:val="20"/>
              </w:rPr>
            </w:pPr>
          </w:p>
        </w:tc>
      </w:tr>
      <w:tr w:rsidR="00DF3E10" w14:paraId="4E56AA04" w14:textId="77777777">
        <w:tc>
          <w:tcPr>
            <w:tcW w:w="0" w:type="auto"/>
            <w:shd w:val="clear" w:color="auto" w:fill="auto"/>
            <w:tcMar>
              <w:top w:w="40" w:type="dxa"/>
              <w:left w:w="40" w:type="dxa"/>
              <w:bottom w:w="40" w:type="dxa"/>
              <w:right w:w="40" w:type="dxa"/>
            </w:tcMar>
          </w:tcPr>
          <w:p w14:paraId="4E56A9F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gridSpan w:val="2"/>
            <w:shd w:val="clear" w:color="auto" w:fill="auto"/>
            <w:tcMar>
              <w:top w:w="40" w:type="dxa"/>
              <w:left w:w="40" w:type="dxa"/>
              <w:bottom w:w="40" w:type="dxa"/>
            </w:tcMar>
            <w:vAlign w:val="bottom"/>
          </w:tcPr>
          <w:p w14:paraId="4E56A9F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5,963</w:t>
            </w:r>
          </w:p>
        </w:tc>
        <w:tc>
          <w:tcPr>
            <w:tcW w:w="0" w:type="auto"/>
            <w:shd w:val="clear" w:color="auto" w:fill="auto"/>
            <w:vAlign w:val="bottom"/>
          </w:tcPr>
          <w:p w14:paraId="4E56A9F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F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4,626</w:t>
            </w:r>
          </w:p>
        </w:tc>
        <w:tc>
          <w:tcPr>
            <w:tcW w:w="0" w:type="auto"/>
            <w:shd w:val="clear" w:color="auto" w:fill="auto"/>
            <w:vAlign w:val="bottom"/>
          </w:tcPr>
          <w:p w14:paraId="4E56A9F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9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9F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11,856</w:t>
            </w:r>
          </w:p>
        </w:tc>
        <w:tc>
          <w:tcPr>
            <w:tcW w:w="0" w:type="auto"/>
            <w:shd w:val="clear" w:color="auto" w:fill="auto"/>
            <w:vAlign w:val="bottom"/>
          </w:tcPr>
          <w:p w14:paraId="4E56AA0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A0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7,943</w:t>
            </w:r>
          </w:p>
        </w:tc>
        <w:tc>
          <w:tcPr>
            <w:tcW w:w="0" w:type="auto"/>
            <w:shd w:val="clear" w:color="auto" w:fill="auto"/>
            <w:vAlign w:val="bottom"/>
          </w:tcPr>
          <w:p w14:paraId="4E56AA03" w14:textId="77777777" w:rsidR="00DF3E10" w:rsidRDefault="00DF3E10">
            <w:pPr>
              <w:textAlignment w:val="bottom"/>
              <w:rPr>
                <w:rFonts w:ascii="Times New Roman" w:hAnsi="Times New Roman"/>
                <w:sz w:val="20"/>
                <w:szCs w:val="20"/>
              </w:rPr>
            </w:pPr>
          </w:p>
        </w:tc>
      </w:tr>
      <w:tr w:rsidR="00DF3E10" w14:paraId="4E56AA11" w14:textId="77777777">
        <w:tc>
          <w:tcPr>
            <w:tcW w:w="0" w:type="auto"/>
            <w:shd w:val="clear" w:color="auto" w:fill="CCEEFF"/>
            <w:tcMar>
              <w:top w:w="40" w:type="dxa"/>
              <w:left w:w="40" w:type="dxa"/>
              <w:bottom w:w="40" w:type="dxa"/>
              <w:right w:w="40" w:type="dxa"/>
            </w:tcMar>
            <w:vAlign w:val="bottom"/>
          </w:tcPr>
          <w:p w14:paraId="4E56AA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0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tcBorders>
              <w:bottom w:val="single" w:sz="8" w:space="0" w:color="000000"/>
            </w:tcBorders>
            <w:shd w:val="clear" w:color="auto" w:fill="CCEEFF"/>
            <w:vAlign w:val="bottom"/>
          </w:tcPr>
          <w:p w14:paraId="4E56AA0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0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0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tcBorders>
              <w:bottom w:val="single" w:sz="8" w:space="0" w:color="000000"/>
            </w:tcBorders>
            <w:shd w:val="clear" w:color="auto" w:fill="CCEEFF"/>
            <w:vAlign w:val="bottom"/>
          </w:tcPr>
          <w:p w14:paraId="4E56AA0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0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bottom w:val="single" w:sz="8" w:space="0" w:color="000000"/>
            </w:tcBorders>
            <w:shd w:val="clear" w:color="auto" w:fill="CCEEFF"/>
            <w:vAlign w:val="bottom"/>
          </w:tcPr>
          <w:p w14:paraId="4E56AA0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0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tcBorders>
              <w:bottom w:val="single" w:sz="8" w:space="0" w:color="000000"/>
            </w:tcBorders>
            <w:shd w:val="clear" w:color="auto" w:fill="CCEEFF"/>
            <w:vAlign w:val="bottom"/>
          </w:tcPr>
          <w:p w14:paraId="4E56AA10" w14:textId="77777777" w:rsidR="00DF3E10" w:rsidRDefault="00DF3E10">
            <w:pPr>
              <w:textAlignment w:val="bottom"/>
              <w:rPr>
                <w:rFonts w:ascii="Times New Roman" w:hAnsi="Times New Roman"/>
                <w:sz w:val="20"/>
                <w:szCs w:val="20"/>
              </w:rPr>
            </w:pPr>
          </w:p>
        </w:tc>
      </w:tr>
      <w:tr w:rsidR="00DF3E10" w14:paraId="4E56AA1E" w14:textId="77777777">
        <w:tc>
          <w:tcPr>
            <w:tcW w:w="0" w:type="auto"/>
            <w:shd w:val="clear" w:color="auto" w:fill="auto"/>
            <w:tcMar>
              <w:top w:w="40" w:type="dxa"/>
              <w:left w:w="40" w:type="dxa"/>
              <w:bottom w:w="40" w:type="dxa"/>
              <w:right w:w="40" w:type="dxa"/>
            </w:tcMar>
          </w:tcPr>
          <w:p w14:paraId="4E56AA1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shd w:val="clear" w:color="auto" w:fill="auto"/>
            <w:tcMar>
              <w:top w:w="40" w:type="dxa"/>
              <w:left w:w="40" w:type="dxa"/>
              <w:bottom w:w="40" w:type="dxa"/>
            </w:tcMar>
            <w:vAlign w:val="bottom"/>
          </w:tcPr>
          <w:p w14:paraId="4E56AA1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6,131</w:t>
            </w:r>
          </w:p>
        </w:tc>
        <w:tc>
          <w:tcPr>
            <w:tcW w:w="0" w:type="auto"/>
            <w:shd w:val="clear" w:color="auto" w:fill="auto"/>
            <w:vAlign w:val="bottom"/>
          </w:tcPr>
          <w:p w14:paraId="4E56AA1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A1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4,832</w:t>
            </w:r>
          </w:p>
        </w:tc>
        <w:tc>
          <w:tcPr>
            <w:tcW w:w="0" w:type="auto"/>
            <w:shd w:val="clear" w:color="auto" w:fill="auto"/>
            <w:vAlign w:val="bottom"/>
          </w:tcPr>
          <w:p w14:paraId="4E56AA1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A1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11,992</w:t>
            </w:r>
          </w:p>
        </w:tc>
        <w:tc>
          <w:tcPr>
            <w:tcW w:w="0" w:type="auto"/>
            <w:shd w:val="clear" w:color="auto" w:fill="auto"/>
            <w:vAlign w:val="bottom"/>
          </w:tcPr>
          <w:p w14:paraId="4E56AA1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A1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8,314</w:t>
            </w:r>
          </w:p>
        </w:tc>
        <w:tc>
          <w:tcPr>
            <w:tcW w:w="0" w:type="auto"/>
            <w:shd w:val="clear" w:color="auto" w:fill="auto"/>
            <w:vAlign w:val="bottom"/>
          </w:tcPr>
          <w:p w14:paraId="4E56AA1D" w14:textId="77777777" w:rsidR="00DF3E10" w:rsidRDefault="00DF3E10">
            <w:pPr>
              <w:textAlignment w:val="bottom"/>
              <w:rPr>
                <w:rFonts w:ascii="Times New Roman" w:hAnsi="Times New Roman"/>
                <w:sz w:val="20"/>
                <w:szCs w:val="20"/>
              </w:rPr>
            </w:pPr>
          </w:p>
        </w:tc>
      </w:tr>
      <w:tr w:rsidR="00DF3E10" w14:paraId="4E56AA2B" w14:textId="77777777">
        <w:tc>
          <w:tcPr>
            <w:tcW w:w="0" w:type="auto"/>
            <w:shd w:val="clear" w:color="auto" w:fill="CCEEFF"/>
            <w:tcMar>
              <w:top w:w="40" w:type="dxa"/>
              <w:left w:w="40" w:type="dxa"/>
              <w:bottom w:w="40" w:type="dxa"/>
              <w:right w:w="40" w:type="dxa"/>
            </w:tcMar>
          </w:tcPr>
          <w:p w14:paraId="4E56AA1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shd w:val="clear" w:color="auto" w:fill="CCEEFF"/>
            <w:tcMar>
              <w:top w:w="40" w:type="dxa"/>
              <w:left w:w="40" w:type="dxa"/>
              <w:bottom w:w="40" w:type="dxa"/>
            </w:tcMar>
            <w:vAlign w:val="bottom"/>
          </w:tcPr>
          <w:p w14:paraId="4E56AA2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CCEEFF"/>
            <w:vAlign w:val="bottom"/>
          </w:tcPr>
          <w:p w14:paraId="4E56AA2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2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A2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2,216</w:t>
            </w:r>
          </w:p>
        </w:tc>
        <w:tc>
          <w:tcPr>
            <w:tcW w:w="0" w:type="auto"/>
            <w:shd w:val="clear" w:color="auto" w:fill="CCEEFF"/>
            <w:vAlign w:val="bottom"/>
          </w:tcPr>
          <w:p w14:paraId="4E56AA2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2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1,911</w:t>
            </w:r>
          </w:p>
        </w:tc>
        <w:tc>
          <w:tcPr>
            <w:tcW w:w="0" w:type="auto"/>
            <w:tcBorders>
              <w:bottom w:val="single" w:sz="8" w:space="0" w:color="000000"/>
            </w:tcBorders>
            <w:shd w:val="clear" w:color="auto" w:fill="CCEEFF"/>
            <w:vAlign w:val="bottom"/>
          </w:tcPr>
          <w:p w14:paraId="4E56AA2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E56AA2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3,269</w:t>
            </w:r>
          </w:p>
        </w:tc>
        <w:tc>
          <w:tcPr>
            <w:tcW w:w="0" w:type="auto"/>
            <w:tcBorders>
              <w:bottom w:val="single" w:sz="8" w:space="0" w:color="000000"/>
            </w:tcBorders>
            <w:shd w:val="clear" w:color="auto" w:fill="CCEEFF"/>
            <w:vAlign w:val="bottom"/>
          </w:tcPr>
          <w:p w14:paraId="4E56AA2A" w14:textId="77777777" w:rsidR="00DF3E10" w:rsidRDefault="00DF3E10">
            <w:pPr>
              <w:textAlignment w:val="bottom"/>
              <w:rPr>
                <w:rFonts w:ascii="Times New Roman" w:hAnsi="Times New Roman"/>
                <w:sz w:val="20"/>
                <w:szCs w:val="20"/>
              </w:rPr>
            </w:pPr>
          </w:p>
        </w:tc>
      </w:tr>
      <w:tr w:rsidR="00DF3E10" w14:paraId="4E56AA3C" w14:textId="77777777">
        <w:tc>
          <w:tcPr>
            <w:tcW w:w="0" w:type="auto"/>
            <w:shd w:val="clear" w:color="auto" w:fill="auto"/>
            <w:tcMar>
              <w:top w:w="40" w:type="dxa"/>
              <w:left w:w="40" w:type="dxa"/>
              <w:bottom w:w="40" w:type="dxa"/>
              <w:right w:w="40" w:type="dxa"/>
            </w:tcMar>
          </w:tcPr>
          <w:p w14:paraId="4E56AA2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A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5,178</w:t>
            </w:r>
          </w:p>
        </w:tc>
        <w:tc>
          <w:tcPr>
            <w:tcW w:w="0" w:type="auto"/>
            <w:tcBorders>
              <w:top w:val="single" w:sz="8" w:space="0" w:color="000000"/>
              <w:bottom w:val="double" w:sz="6" w:space="0" w:color="000000"/>
            </w:tcBorders>
            <w:shd w:val="clear" w:color="auto" w:fill="auto"/>
            <w:vAlign w:val="bottom"/>
          </w:tcPr>
          <w:p w14:paraId="4E56AA2F"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A3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2,616</w:t>
            </w:r>
          </w:p>
        </w:tc>
        <w:tc>
          <w:tcPr>
            <w:tcW w:w="0" w:type="auto"/>
            <w:tcBorders>
              <w:top w:val="single" w:sz="8" w:space="0" w:color="000000"/>
              <w:bottom w:val="double" w:sz="6" w:space="0" w:color="000000"/>
            </w:tcBorders>
            <w:shd w:val="clear" w:color="auto" w:fill="auto"/>
            <w:vAlign w:val="bottom"/>
          </w:tcPr>
          <w:p w14:paraId="4E56AA3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A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10,081</w:t>
            </w:r>
          </w:p>
        </w:tc>
        <w:tc>
          <w:tcPr>
            <w:tcW w:w="0" w:type="auto"/>
            <w:tcBorders>
              <w:top w:val="single" w:sz="8" w:space="0" w:color="000000"/>
              <w:bottom w:val="double" w:sz="6" w:space="0" w:color="000000"/>
            </w:tcBorders>
            <w:shd w:val="clear" w:color="auto" w:fill="auto"/>
            <w:vAlign w:val="bottom"/>
          </w:tcPr>
          <w:p w14:paraId="4E56AA3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E56AA3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5,045</w:t>
            </w:r>
          </w:p>
        </w:tc>
        <w:tc>
          <w:tcPr>
            <w:tcW w:w="0" w:type="auto"/>
            <w:tcBorders>
              <w:top w:val="single" w:sz="8" w:space="0" w:color="000000"/>
              <w:bottom w:val="double" w:sz="6" w:space="0" w:color="000000"/>
            </w:tcBorders>
            <w:shd w:val="clear" w:color="auto" w:fill="auto"/>
            <w:vAlign w:val="bottom"/>
          </w:tcPr>
          <w:p w14:paraId="4E56AA3B" w14:textId="77777777" w:rsidR="00DF3E10" w:rsidRDefault="00DF3E10">
            <w:pPr>
              <w:textAlignment w:val="bottom"/>
              <w:rPr>
                <w:rFonts w:ascii="Times New Roman" w:hAnsi="Times New Roman"/>
                <w:sz w:val="20"/>
                <w:szCs w:val="20"/>
              </w:rPr>
            </w:pPr>
          </w:p>
        </w:tc>
      </w:tr>
    </w:tbl>
    <w:p w14:paraId="4E56AA3D" w14:textId="77777777" w:rsidR="00DF3E10" w:rsidRDefault="006B6C28">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sets forth our condensed consolidated statements of income data (as a percentage of 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942"/>
        <w:gridCol w:w="786"/>
        <w:gridCol w:w="207"/>
        <w:gridCol w:w="130"/>
        <w:gridCol w:w="786"/>
        <w:gridCol w:w="207"/>
        <w:gridCol w:w="130"/>
        <w:gridCol w:w="787"/>
        <w:gridCol w:w="207"/>
        <w:gridCol w:w="130"/>
        <w:gridCol w:w="787"/>
        <w:gridCol w:w="207"/>
      </w:tblGrid>
      <w:tr w:rsidR="00DF3E10" w14:paraId="4E56AA3F" w14:textId="77777777">
        <w:tc>
          <w:tcPr>
            <w:tcW w:w="0" w:type="auto"/>
            <w:gridSpan w:val="12"/>
            <w:shd w:val="clear" w:color="auto" w:fill="auto"/>
            <w:vAlign w:val="center"/>
          </w:tcPr>
          <w:p w14:paraId="4E56AA3E" w14:textId="77777777" w:rsidR="00DF3E10" w:rsidRDefault="00DF3E10">
            <w:pPr>
              <w:rPr>
                <w:rFonts w:ascii="Times New Roman" w:hAnsi="Times New Roman"/>
                <w:sz w:val="20"/>
                <w:szCs w:val="20"/>
              </w:rPr>
            </w:pPr>
          </w:p>
        </w:tc>
      </w:tr>
      <w:tr w:rsidR="00DF3E10" w14:paraId="4E56AA4C" w14:textId="77777777">
        <w:tc>
          <w:tcPr>
            <w:tcW w:w="2450" w:type="pct"/>
            <w:shd w:val="clear" w:color="auto" w:fill="auto"/>
            <w:vAlign w:val="center"/>
          </w:tcPr>
          <w:p w14:paraId="4E56AA40" w14:textId="77777777" w:rsidR="00DF3E10" w:rsidRDefault="00DF3E10">
            <w:pPr>
              <w:rPr>
                <w:rFonts w:ascii="Times New Roman" w:hAnsi="Times New Roman"/>
                <w:sz w:val="20"/>
                <w:szCs w:val="20"/>
              </w:rPr>
            </w:pPr>
          </w:p>
        </w:tc>
        <w:tc>
          <w:tcPr>
            <w:tcW w:w="550" w:type="pct"/>
            <w:shd w:val="clear" w:color="auto" w:fill="auto"/>
            <w:vAlign w:val="center"/>
          </w:tcPr>
          <w:p w14:paraId="4E56AA41" w14:textId="77777777" w:rsidR="00DF3E10" w:rsidRDefault="00DF3E10">
            <w:pPr>
              <w:rPr>
                <w:rFonts w:ascii="Times New Roman" w:hAnsi="Times New Roman"/>
                <w:sz w:val="20"/>
                <w:szCs w:val="20"/>
              </w:rPr>
            </w:pPr>
          </w:p>
        </w:tc>
        <w:tc>
          <w:tcPr>
            <w:tcW w:w="50" w:type="pct"/>
            <w:shd w:val="clear" w:color="auto" w:fill="auto"/>
            <w:vAlign w:val="center"/>
          </w:tcPr>
          <w:p w14:paraId="4E56AA42" w14:textId="77777777" w:rsidR="00DF3E10" w:rsidRDefault="00DF3E10">
            <w:pPr>
              <w:rPr>
                <w:rFonts w:ascii="Times New Roman" w:hAnsi="Times New Roman"/>
                <w:sz w:val="20"/>
                <w:szCs w:val="20"/>
              </w:rPr>
            </w:pPr>
          </w:p>
        </w:tc>
        <w:tc>
          <w:tcPr>
            <w:tcW w:w="50" w:type="pct"/>
            <w:shd w:val="clear" w:color="auto" w:fill="auto"/>
            <w:vAlign w:val="center"/>
          </w:tcPr>
          <w:p w14:paraId="4E56AA43" w14:textId="77777777" w:rsidR="00DF3E10" w:rsidRDefault="00DF3E10">
            <w:pPr>
              <w:rPr>
                <w:rFonts w:ascii="Times New Roman" w:hAnsi="Times New Roman"/>
                <w:sz w:val="20"/>
                <w:szCs w:val="20"/>
              </w:rPr>
            </w:pPr>
          </w:p>
        </w:tc>
        <w:tc>
          <w:tcPr>
            <w:tcW w:w="550" w:type="pct"/>
            <w:shd w:val="clear" w:color="auto" w:fill="auto"/>
            <w:vAlign w:val="center"/>
          </w:tcPr>
          <w:p w14:paraId="4E56AA44" w14:textId="77777777" w:rsidR="00DF3E10" w:rsidRDefault="00DF3E10">
            <w:pPr>
              <w:rPr>
                <w:rFonts w:ascii="Times New Roman" w:hAnsi="Times New Roman"/>
                <w:sz w:val="20"/>
                <w:szCs w:val="20"/>
              </w:rPr>
            </w:pPr>
          </w:p>
        </w:tc>
        <w:tc>
          <w:tcPr>
            <w:tcW w:w="50" w:type="pct"/>
            <w:shd w:val="clear" w:color="auto" w:fill="auto"/>
            <w:vAlign w:val="center"/>
          </w:tcPr>
          <w:p w14:paraId="4E56AA45" w14:textId="77777777" w:rsidR="00DF3E10" w:rsidRDefault="00DF3E10">
            <w:pPr>
              <w:rPr>
                <w:rFonts w:ascii="Times New Roman" w:hAnsi="Times New Roman"/>
                <w:sz w:val="20"/>
                <w:szCs w:val="20"/>
              </w:rPr>
            </w:pPr>
          </w:p>
        </w:tc>
        <w:tc>
          <w:tcPr>
            <w:tcW w:w="50" w:type="pct"/>
            <w:shd w:val="clear" w:color="auto" w:fill="auto"/>
            <w:vAlign w:val="center"/>
          </w:tcPr>
          <w:p w14:paraId="4E56AA46" w14:textId="77777777" w:rsidR="00DF3E10" w:rsidRDefault="00DF3E10">
            <w:pPr>
              <w:rPr>
                <w:rFonts w:ascii="Times New Roman" w:hAnsi="Times New Roman"/>
                <w:sz w:val="20"/>
                <w:szCs w:val="20"/>
              </w:rPr>
            </w:pPr>
          </w:p>
        </w:tc>
        <w:tc>
          <w:tcPr>
            <w:tcW w:w="550" w:type="pct"/>
            <w:shd w:val="clear" w:color="auto" w:fill="auto"/>
            <w:vAlign w:val="center"/>
          </w:tcPr>
          <w:p w14:paraId="4E56AA47" w14:textId="77777777" w:rsidR="00DF3E10" w:rsidRDefault="00DF3E10">
            <w:pPr>
              <w:rPr>
                <w:rFonts w:ascii="Times New Roman" w:hAnsi="Times New Roman"/>
                <w:sz w:val="20"/>
                <w:szCs w:val="20"/>
              </w:rPr>
            </w:pPr>
          </w:p>
        </w:tc>
        <w:tc>
          <w:tcPr>
            <w:tcW w:w="50" w:type="pct"/>
            <w:shd w:val="clear" w:color="auto" w:fill="auto"/>
            <w:vAlign w:val="center"/>
          </w:tcPr>
          <w:p w14:paraId="4E56AA48" w14:textId="77777777" w:rsidR="00DF3E10" w:rsidRDefault="00DF3E10">
            <w:pPr>
              <w:rPr>
                <w:rFonts w:ascii="Times New Roman" w:hAnsi="Times New Roman"/>
                <w:sz w:val="20"/>
                <w:szCs w:val="20"/>
              </w:rPr>
            </w:pPr>
          </w:p>
        </w:tc>
        <w:tc>
          <w:tcPr>
            <w:tcW w:w="50" w:type="pct"/>
            <w:shd w:val="clear" w:color="auto" w:fill="auto"/>
            <w:vAlign w:val="center"/>
          </w:tcPr>
          <w:p w14:paraId="4E56AA49" w14:textId="77777777" w:rsidR="00DF3E10" w:rsidRDefault="00DF3E10">
            <w:pPr>
              <w:rPr>
                <w:rFonts w:ascii="Times New Roman" w:hAnsi="Times New Roman"/>
                <w:sz w:val="20"/>
                <w:szCs w:val="20"/>
              </w:rPr>
            </w:pPr>
          </w:p>
        </w:tc>
        <w:tc>
          <w:tcPr>
            <w:tcW w:w="550" w:type="pct"/>
            <w:shd w:val="clear" w:color="auto" w:fill="auto"/>
            <w:vAlign w:val="center"/>
          </w:tcPr>
          <w:p w14:paraId="4E56AA4A" w14:textId="77777777" w:rsidR="00DF3E10" w:rsidRDefault="00DF3E10">
            <w:pPr>
              <w:rPr>
                <w:rFonts w:ascii="Times New Roman" w:hAnsi="Times New Roman"/>
                <w:sz w:val="20"/>
                <w:szCs w:val="20"/>
              </w:rPr>
            </w:pPr>
          </w:p>
        </w:tc>
        <w:tc>
          <w:tcPr>
            <w:tcW w:w="50" w:type="pct"/>
            <w:shd w:val="clear" w:color="auto" w:fill="auto"/>
            <w:vAlign w:val="center"/>
          </w:tcPr>
          <w:p w14:paraId="4E56AA4B" w14:textId="77777777" w:rsidR="00DF3E10" w:rsidRDefault="00DF3E10">
            <w:pPr>
              <w:rPr>
                <w:rFonts w:ascii="Times New Roman" w:hAnsi="Times New Roman"/>
                <w:sz w:val="20"/>
                <w:szCs w:val="20"/>
              </w:rPr>
            </w:pPr>
          </w:p>
        </w:tc>
      </w:tr>
      <w:tr w:rsidR="00DF3E10" w14:paraId="4E56AA51" w14:textId="77777777">
        <w:tc>
          <w:tcPr>
            <w:tcW w:w="0" w:type="auto"/>
            <w:shd w:val="clear" w:color="auto" w:fill="auto"/>
            <w:tcMar>
              <w:top w:w="40" w:type="dxa"/>
              <w:left w:w="40" w:type="dxa"/>
              <w:bottom w:w="40" w:type="dxa"/>
              <w:right w:w="40" w:type="dxa"/>
            </w:tcMar>
            <w:vAlign w:val="bottom"/>
          </w:tcPr>
          <w:p w14:paraId="4E56AA4D"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E56AA4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A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E56AA5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A5A" w14:textId="77777777">
        <w:tc>
          <w:tcPr>
            <w:tcW w:w="0" w:type="auto"/>
            <w:shd w:val="clear" w:color="auto" w:fill="auto"/>
            <w:tcMar>
              <w:top w:w="40" w:type="dxa"/>
              <w:left w:w="40" w:type="dxa"/>
              <w:bottom w:w="40" w:type="dxa"/>
              <w:right w:w="40" w:type="dxa"/>
            </w:tcMar>
            <w:vAlign w:val="bottom"/>
          </w:tcPr>
          <w:p w14:paraId="4E56AA5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A5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A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A5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A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A5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A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A5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A67" w14:textId="77777777">
        <w:tc>
          <w:tcPr>
            <w:tcW w:w="0" w:type="auto"/>
            <w:shd w:val="clear" w:color="auto" w:fill="CCEEFF"/>
            <w:tcMar>
              <w:top w:w="40" w:type="dxa"/>
              <w:left w:w="40" w:type="dxa"/>
              <w:bottom w:w="40" w:type="dxa"/>
              <w:right w:w="40" w:type="dxa"/>
            </w:tcMar>
          </w:tcPr>
          <w:p w14:paraId="4E56AA5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4E56AA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4E56AA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A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A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4E56AA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A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A6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4E56AA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A6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E56AA6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4E56AA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A70" w14:textId="77777777">
        <w:tc>
          <w:tcPr>
            <w:tcW w:w="0" w:type="auto"/>
            <w:shd w:val="clear" w:color="auto" w:fill="auto"/>
            <w:tcMar>
              <w:top w:w="40" w:type="dxa"/>
              <w:left w:w="40" w:type="dxa"/>
              <w:bottom w:w="40" w:type="dxa"/>
              <w:right w:w="40" w:type="dxa"/>
            </w:tcMar>
          </w:tcPr>
          <w:p w14:paraId="4E56AA6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2"/>
            <w:shd w:val="clear" w:color="auto" w:fill="auto"/>
            <w:tcMar>
              <w:top w:w="40" w:type="dxa"/>
              <w:left w:w="40" w:type="dxa"/>
              <w:bottom w:w="40" w:type="dxa"/>
              <w:right w:w="40" w:type="dxa"/>
            </w:tcMar>
            <w:vAlign w:val="bottom"/>
          </w:tcPr>
          <w:p w14:paraId="4E56AA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A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A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A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A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A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A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A7D" w14:textId="77777777">
        <w:tc>
          <w:tcPr>
            <w:tcW w:w="0" w:type="auto"/>
            <w:shd w:val="clear" w:color="auto" w:fill="CCEEFF"/>
            <w:tcMar>
              <w:top w:w="40" w:type="dxa"/>
              <w:left w:w="560" w:type="dxa"/>
              <w:bottom w:w="40" w:type="dxa"/>
              <w:right w:w="40" w:type="dxa"/>
            </w:tcMar>
          </w:tcPr>
          <w:p w14:paraId="4E56AA7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4E56AA7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4E56AA7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7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7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4E56AA7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7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4E56AA7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7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4E56AA7C" w14:textId="77777777" w:rsidR="00DF3E10" w:rsidRDefault="00DF3E10">
            <w:pPr>
              <w:textAlignment w:val="bottom"/>
              <w:rPr>
                <w:rFonts w:ascii="Times New Roman" w:hAnsi="Times New Roman"/>
                <w:sz w:val="20"/>
                <w:szCs w:val="20"/>
              </w:rPr>
            </w:pPr>
          </w:p>
        </w:tc>
      </w:tr>
      <w:tr w:rsidR="00DF3E10" w14:paraId="4E56AA8A" w14:textId="77777777">
        <w:tc>
          <w:tcPr>
            <w:tcW w:w="0" w:type="auto"/>
            <w:shd w:val="clear" w:color="auto" w:fill="auto"/>
            <w:tcMar>
              <w:top w:w="40" w:type="dxa"/>
              <w:left w:w="560" w:type="dxa"/>
              <w:bottom w:w="40" w:type="dxa"/>
              <w:right w:w="40" w:type="dxa"/>
            </w:tcMar>
          </w:tcPr>
          <w:p w14:paraId="4E56AA7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4E56AA7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4E56AA8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8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4E56AA8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8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4E56AA86"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4E56AA89" w14:textId="77777777" w:rsidR="00DF3E10" w:rsidRDefault="00DF3E10">
            <w:pPr>
              <w:textAlignment w:val="bottom"/>
              <w:rPr>
                <w:rFonts w:ascii="Times New Roman" w:hAnsi="Times New Roman"/>
                <w:sz w:val="20"/>
                <w:szCs w:val="20"/>
              </w:rPr>
            </w:pPr>
          </w:p>
        </w:tc>
      </w:tr>
      <w:tr w:rsidR="00DF3E10" w14:paraId="4E56AA97" w14:textId="77777777">
        <w:tc>
          <w:tcPr>
            <w:tcW w:w="0" w:type="auto"/>
            <w:shd w:val="clear" w:color="auto" w:fill="CCEEFF"/>
            <w:tcMar>
              <w:top w:w="40" w:type="dxa"/>
              <w:left w:w="560" w:type="dxa"/>
              <w:bottom w:w="40" w:type="dxa"/>
              <w:right w:w="40" w:type="dxa"/>
            </w:tcMar>
          </w:tcPr>
          <w:p w14:paraId="4E56AA8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4E56AA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4E56AA8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4E56AA9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9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4E56AA9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4E56AA96" w14:textId="77777777" w:rsidR="00DF3E10" w:rsidRDefault="00DF3E10">
            <w:pPr>
              <w:textAlignment w:val="bottom"/>
              <w:rPr>
                <w:rFonts w:ascii="Times New Roman" w:hAnsi="Times New Roman"/>
                <w:sz w:val="20"/>
                <w:szCs w:val="20"/>
              </w:rPr>
            </w:pPr>
          </w:p>
        </w:tc>
      </w:tr>
      <w:tr w:rsidR="00DF3E10" w14:paraId="4E56AAA4" w14:textId="77777777">
        <w:tc>
          <w:tcPr>
            <w:tcW w:w="0" w:type="auto"/>
            <w:shd w:val="clear" w:color="auto" w:fill="auto"/>
            <w:tcMar>
              <w:top w:w="40" w:type="dxa"/>
              <w:left w:w="560" w:type="dxa"/>
              <w:bottom w:w="40" w:type="dxa"/>
              <w:right w:w="40" w:type="dxa"/>
            </w:tcMar>
          </w:tcPr>
          <w:p w14:paraId="4E56AA9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4E56AA9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4E56AA9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A9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auto"/>
            <w:vAlign w:val="bottom"/>
          </w:tcPr>
          <w:p w14:paraId="4E56AA9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A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4E56AAA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AA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bottom w:val="single" w:sz="8" w:space="0" w:color="000000"/>
            </w:tcBorders>
            <w:shd w:val="clear" w:color="auto" w:fill="auto"/>
            <w:vAlign w:val="bottom"/>
          </w:tcPr>
          <w:p w14:paraId="4E56AAA3" w14:textId="77777777" w:rsidR="00DF3E10" w:rsidRDefault="00DF3E10">
            <w:pPr>
              <w:textAlignment w:val="bottom"/>
              <w:rPr>
                <w:rFonts w:ascii="Times New Roman" w:hAnsi="Times New Roman"/>
                <w:sz w:val="20"/>
                <w:szCs w:val="20"/>
              </w:rPr>
            </w:pPr>
          </w:p>
        </w:tc>
      </w:tr>
      <w:tr w:rsidR="00DF3E10" w14:paraId="4E56AAB1" w14:textId="77777777">
        <w:tc>
          <w:tcPr>
            <w:tcW w:w="0" w:type="auto"/>
            <w:shd w:val="clear" w:color="auto" w:fill="CCEEFF"/>
            <w:tcMar>
              <w:top w:w="40" w:type="dxa"/>
              <w:left w:w="40" w:type="dxa"/>
              <w:bottom w:w="40" w:type="dxa"/>
              <w:right w:w="40" w:type="dxa"/>
            </w:tcMar>
          </w:tcPr>
          <w:p w14:paraId="4E56AAA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Total costs and </w:t>
            </w:r>
            <w:r>
              <w:rPr>
                <w:rFonts w:ascii="Times New Roman" w:eastAsia="宋体" w:hAnsi="Times New Roman"/>
                <w:sz w:val="20"/>
                <w:szCs w:val="20"/>
              </w:rPr>
              <w:t>expenses</w:t>
            </w:r>
          </w:p>
        </w:tc>
        <w:tc>
          <w:tcPr>
            <w:tcW w:w="0" w:type="auto"/>
            <w:tcBorders>
              <w:bottom w:val="single" w:sz="8" w:space="0" w:color="000000"/>
            </w:tcBorders>
            <w:shd w:val="clear" w:color="auto" w:fill="CCEEFF"/>
            <w:tcMar>
              <w:top w:w="40" w:type="dxa"/>
              <w:left w:w="40" w:type="dxa"/>
              <w:bottom w:w="40" w:type="dxa"/>
            </w:tcMar>
            <w:vAlign w:val="bottom"/>
          </w:tcPr>
          <w:p w14:paraId="4E56AAA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bottom w:val="single" w:sz="8" w:space="0" w:color="000000"/>
            </w:tcBorders>
            <w:shd w:val="clear" w:color="auto" w:fill="CCEEFF"/>
            <w:vAlign w:val="bottom"/>
          </w:tcPr>
          <w:p w14:paraId="4E56AAA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bottom w:val="single" w:sz="8" w:space="0" w:color="000000"/>
            </w:tcBorders>
            <w:shd w:val="clear" w:color="auto" w:fill="CCEEFF"/>
            <w:vAlign w:val="bottom"/>
          </w:tcPr>
          <w:p w14:paraId="4E56AAA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bottom w:val="single" w:sz="8" w:space="0" w:color="000000"/>
            </w:tcBorders>
            <w:shd w:val="clear" w:color="auto" w:fill="CCEEFF"/>
            <w:vAlign w:val="bottom"/>
          </w:tcPr>
          <w:p w14:paraId="4E56AAA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tcBorders>
              <w:bottom w:val="single" w:sz="8" w:space="0" w:color="000000"/>
            </w:tcBorders>
            <w:shd w:val="clear" w:color="auto" w:fill="CCEEFF"/>
            <w:vAlign w:val="bottom"/>
          </w:tcPr>
          <w:p w14:paraId="4E56AAB0" w14:textId="77777777" w:rsidR="00DF3E10" w:rsidRDefault="00DF3E10">
            <w:pPr>
              <w:textAlignment w:val="bottom"/>
              <w:rPr>
                <w:rFonts w:ascii="Times New Roman" w:hAnsi="Times New Roman"/>
                <w:sz w:val="20"/>
                <w:szCs w:val="20"/>
              </w:rPr>
            </w:pPr>
          </w:p>
        </w:tc>
      </w:tr>
      <w:tr w:rsidR="00DF3E10" w14:paraId="4E56AABE" w14:textId="77777777">
        <w:tc>
          <w:tcPr>
            <w:tcW w:w="0" w:type="auto"/>
            <w:shd w:val="clear" w:color="auto" w:fill="auto"/>
            <w:tcMar>
              <w:top w:w="40" w:type="dxa"/>
              <w:left w:w="40" w:type="dxa"/>
              <w:bottom w:w="40" w:type="dxa"/>
              <w:right w:w="40" w:type="dxa"/>
            </w:tcMar>
          </w:tcPr>
          <w:p w14:paraId="4E56AAB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shd w:val="clear" w:color="auto" w:fill="auto"/>
            <w:tcMar>
              <w:top w:w="40" w:type="dxa"/>
              <w:left w:w="40" w:type="dxa"/>
              <w:bottom w:w="40" w:type="dxa"/>
            </w:tcMar>
            <w:vAlign w:val="bottom"/>
          </w:tcPr>
          <w:p w14:paraId="4E56AAB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vAlign w:val="bottom"/>
          </w:tcPr>
          <w:p w14:paraId="4E56AAB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4E56AAB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B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4E56AAB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AB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4E56AABD" w14:textId="77777777" w:rsidR="00DF3E10" w:rsidRDefault="00DF3E10">
            <w:pPr>
              <w:textAlignment w:val="bottom"/>
              <w:rPr>
                <w:rFonts w:ascii="Times New Roman" w:hAnsi="Times New Roman"/>
                <w:sz w:val="20"/>
                <w:szCs w:val="20"/>
              </w:rPr>
            </w:pPr>
          </w:p>
        </w:tc>
      </w:tr>
      <w:tr w:rsidR="00DF3E10" w14:paraId="4E56AACB" w14:textId="77777777">
        <w:tc>
          <w:tcPr>
            <w:tcW w:w="0" w:type="auto"/>
            <w:shd w:val="clear" w:color="auto" w:fill="CCEEFF"/>
            <w:tcMar>
              <w:top w:w="40" w:type="dxa"/>
              <w:left w:w="40" w:type="dxa"/>
              <w:bottom w:w="40" w:type="dxa"/>
              <w:right w:w="40" w:type="dxa"/>
            </w:tcMar>
          </w:tcPr>
          <w:p w14:paraId="4E56AAB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shd w:val="clear" w:color="auto" w:fill="CCEEFF"/>
            <w:tcMar>
              <w:top w:w="40" w:type="dxa"/>
              <w:left w:w="40" w:type="dxa"/>
              <w:bottom w:w="40" w:type="dxa"/>
            </w:tcMar>
            <w:vAlign w:val="bottom"/>
          </w:tcPr>
          <w:p w14:paraId="4E56AAC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AC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AC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AC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AC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ACA" w14:textId="77777777" w:rsidR="00DF3E10" w:rsidRDefault="00DF3E10">
            <w:pPr>
              <w:textAlignment w:val="bottom"/>
              <w:rPr>
                <w:rFonts w:ascii="Times New Roman" w:hAnsi="Times New Roman"/>
                <w:sz w:val="20"/>
                <w:szCs w:val="20"/>
              </w:rPr>
            </w:pPr>
          </w:p>
        </w:tc>
      </w:tr>
      <w:tr w:rsidR="00DF3E10" w14:paraId="4E56AAD8" w14:textId="77777777">
        <w:tc>
          <w:tcPr>
            <w:tcW w:w="0" w:type="auto"/>
            <w:shd w:val="clear" w:color="auto" w:fill="auto"/>
            <w:tcMar>
              <w:top w:w="40" w:type="dxa"/>
              <w:left w:w="40" w:type="dxa"/>
              <w:bottom w:w="40" w:type="dxa"/>
              <w:right w:w="40" w:type="dxa"/>
            </w:tcMar>
          </w:tcPr>
          <w:p w14:paraId="4E56AAC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tcBorders>
              <w:top w:val="single" w:sz="8" w:space="0" w:color="000000"/>
            </w:tcBorders>
            <w:shd w:val="clear" w:color="auto" w:fill="auto"/>
            <w:tcMar>
              <w:top w:w="40" w:type="dxa"/>
              <w:left w:w="40" w:type="dxa"/>
              <w:bottom w:w="40" w:type="dxa"/>
            </w:tcMar>
            <w:vAlign w:val="bottom"/>
          </w:tcPr>
          <w:p w14:paraId="4E56AAC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tcBorders>
            <w:shd w:val="clear" w:color="auto" w:fill="auto"/>
            <w:vAlign w:val="bottom"/>
          </w:tcPr>
          <w:p w14:paraId="4E56AAC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E56AAD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tcBorders>
              <w:top w:val="single" w:sz="8" w:space="0" w:color="000000"/>
            </w:tcBorders>
            <w:shd w:val="clear" w:color="auto" w:fill="auto"/>
            <w:vAlign w:val="bottom"/>
          </w:tcPr>
          <w:p w14:paraId="4E56AAD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E56AAD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tcBorders>
            <w:shd w:val="clear" w:color="auto" w:fill="auto"/>
            <w:vAlign w:val="bottom"/>
          </w:tcPr>
          <w:p w14:paraId="4E56AAD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A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4E56AAD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tcBorders>
              <w:top w:val="single" w:sz="8" w:space="0" w:color="000000"/>
            </w:tcBorders>
            <w:shd w:val="clear" w:color="auto" w:fill="auto"/>
            <w:vAlign w:val="bottom"/>
          </w:tcPr>
          <w:p w14:paraId="4E56AAD7" w14:textId="77777777" w:rsidR="00DF3E10" w:rsidRDefault="00DF3E10">
            <w:pPr>
              <w:textAlignment w:val="bottom"/>
              <w:rPr>
                <w:rFonts w:ascii="Times New Roman" w:hAnsi="Times New Roman"/>
                <w:sz w:val="20"/>
                <w:szCs w:val="20"/>
              </w:rPr>
            </w:pPr>
          </w:p>
        </w:tc>
      </w:tr>
      <w:tr w:rsidR="00DF3E10" w14:paraId="4E56AAE5" w14:textId="77777777">
        <w:tc>
          <w:tcPr>
            <w:tcW w:w="0" w:type="auto"/>
            <w:shd w:val="clear" w:color="auto" w:fill="CCEEFF"/>
            <w:tcMar>
              <w:top w:w="40" w:type="dxa"/>
              <w:left w:w="40" w:type="dxa"/>
              <w:bottom w:w="40" w:type="dxa"/>
              <w:right w:w="40" w:type="dxa"/>
            </w:tcMar>
          </w:tcPr>
          <w:p w14:paraId="4E56AAD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tcBorders>
              <w:bottom w:val="single" w:sz="8" w:space="0" w:color="000000"/>
            </w:tcBorders>
            <w:shd w:val="clear" w:color="auto" w:fill="CCEEFF"/>
            <w:tcMar>
              <w:top w:w="40" w:type="dxa"/>
              <w:left w:w="40" w:type="dxa"/>
              <w:bottom w:w="40" w:type="dxa"/>
            </w:tcMar>
            <w:vAlign w:val="bottom"/>
          </w:tcPr>
          <w:p w14:paraId="4E56AAD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4E56AAD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D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vAlign w:val="bottom"/>
          </w:tcPr>
          <w:p w14:paraId="4E56AAD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E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4E56AAE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AE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AAE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CCEEFF"/>
            <w:vAlign w:val="bottom"/>
          </w:tcPr>
          <w:p w14:paraId="4E56AAE4" w14:textId="77777777" w:rsidR="00DF3E10" w:rsidRDefault="00DF3E10">
            <w:pPr>
              <w:textAlignment w:val="bottom"/>
              <w:rPr>
                <w:rFonts w:ascii="Times New Roman" w:hAnsi="Times New Roman"/>
                <w:sz w:val="20"/>
                <w:szCs w:val="20"/>
              </w:rPr>
            </w:pPr>
          </w:p>
        </w:tc>
      </w:tr>
      <w:tr w:rsidR="00DF3E10" w14:paraId="4E56AAF2" w14:textId="77777777">
        <w:tc>
          <w:tcPr>
            <w:tcW w:w="0" w:type="auto"/>
            <w:shd w:val="clear" w:color="auto" w:fill="auto"/>
            <w:tcMar>
              <w:top w:w="40" w:type="dxa"/>
              <w:left w:w="40" w:type="dxa"/>
              <w:bottom w:w="40" w:type="dxa"/>
              <w:right w:w="40" w:type="dxa"/>
            </w:tcMar>
          </w:tcPr>
          <w:p w14:paraId="4E56AAE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E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AE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AE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E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AE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AE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E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A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AE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AAF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4E56AA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bl>
    <w:p w14:paraId="4E56AAF3" w14:textId="77777777" w:rsidR="00DF3E10" w:rsidRDefault="006B6C28">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DF3E10" w14:paraId="4E56AAF6" w14:textId="77777777">
        <w:trPr>
          <w:tblCellSpacing w:w="0" w:type="dxa"/>
        </w:trPr>
        <w:tc>
          <w:tcPr>
            <w:tcW w:w="480" w:type="dxa"/>
            <w:shd w:val="clear" w:color="auto" w:fill="auto"/>
            <w:vAlign w:val="center"/>
          </w:tcPr>
          <w:p w14:paraId="4E56AAF4" w14:textId="77777777" w:rsidR="00DF3E10" w:rsidRDefault="00DF3E10">
            <w:pPr>
              <w:rPr>
                <w:rFonts w:ascii="Times New Roman" w:hAnsi="Times New Roman"/>
                <w:sz w:val="20"/>
                <w:szCs w:val="20"/>
              </w:rPr>
            </w:pPr>
          </w:p>
        </w:tc>
        <w:tc>
          <w:tcPr>
            <w:tcW w:w="0" w:type="auto"/>
            <w:shd w:val="clear" w:color="auto" w:fill="auto"/>
            <w:vAlign w:val="center"/>
          </w:tcPr>
          <w:p w14:paraId="4E56AAF5" w14:textId="77777777" w:rsidR="00DF3E10" w:rsidRDefault="00DF3E10">
            <w:pPr>
              <w:rPr>
                <w:rFonts w:ascii="Times New Roman" w:hAnsi="Times New Roman"/>
                <w:sz w:val="20"/>
                <w:szCs w:val="20"/>
              </w:rPr>
            </w:pPr>
          </w:p>
        </w:tc>
      </w:tr>
      <w:tr w:rsidR="00DF3E10" w14:paraId="4E56AAF9" w14:textId="77777777">
        <w:trPr>
          <w:tblCellSpacing w:w="0" w:type="dxa"/>
        </w:trPr>
        <w:tc>
          <w:tcPr>
            <w:tcW w:w="0" w:type="auto"/>
            <w:shd w:val="clear" w:color="auto" w:fill="auto"/>
          </w:tcPr>
          <w:p w14:paraId="4E56AAF7"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AAF8"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4E56AAFA" w14:textId="77777777" w:rsidR="00DF3E10" w:rsidRDefault="00DF3E10">
      <w:pPr>
        <w:rPr>
          <w:rFonts w:ascii="Times New Roman" w:hAnsi="Times New Roman"/>
          <w:sz w:val="20"/>
          <w:szCs w:val="20"/>
        </w:rPr>
      </w:pPr>
    </w:p>
    <w:p w14:paraId="4E56AAF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37</w:t>
      </w:r>
    </w:p>
    <w:p w14:paraId="4E56AAFC" w14:textId="77777777" w:rsidR="00DF3E10" w:rsidRDefault="006B6C28">
      <w:r>
        <w:rPr>
          <w:rFonts w:ascii="Times New Roman" w:hAnsi="Times New Roman"/>
          <w:sz w:val="20"/>
          <w:szCs w:val="20"/>
        </w:rPr>
        <w:pict w14:anchorId="4E56B782">
          <v:rect id="_x0000_i1061" style="width:415.3pt;height:1.5pt" o:hralign="center" o:hrstd="t" o:hr="t" fillcolor="#a0a0a0" stroked="f"/>
        </w:pict>
      </w:r>
    </w:p>
    <w:p w14:paraId="4E56AAFD" w14:textId="77777777" w:rsidR="00DF3E10" w:rsidRDefault="006B6C28">
      <w:pPr>
        <w:spacing w:line="288" w:lineRule="auto"/>
        <w:rPr>
          <w:rFonts w:ascii="Times New Roman" w:hAnsi="Times New Roman"/>
          <w:sz w:val="20"/>
          <w:szCs w:val="20"/>
        </w:rPr>
      </w:pPr>
      <w:hyperlink r:id="rId79" w:anchor="sC1FF62F0D4D85317B5B2C71C7C94F269" w:history="1">
        <w:r>
          <w:rPr>
            <w:rStyle w:val="a5"/>
            <w:rFonts w:ascii="Times New Roman" w:eastAsia="宋体" w:hAnsi="Times New Roman"/>
            <w:sz w:val="20"/>
            <w:szCs w:val="20"/>
          </w:rPr>
          <w:t>Table of Contents</w:t>
        </w:r>
      </w:hyperlink>
    </w:p>
    <w:p w14:paraId="4E56AAFE" w14:textId="77777777" w:rsidR="00DF3E10" w:rsidRDefault="00DF3E10">
      <w:pPr>
        <w:rPr>
          <w:rFonts w:ascii="Times New Roman" w:hAnsi="Times New Roman"/>
          <w:sz w:val="20"/>
          <w:szCs w:val="20"/>
        </w:rPr>
      </w:pPr>
    </w:p>
    <w:p w14:paraId="4E56AAF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in costs and expenses:</w:t>
      </w:r>
    </w:p>
    <w:tbl>
      <w:tblPr>
        <w:tblW w:w="5000" w:type="pct"/>
        <w:tblCellMar>
          <w:left w:w="0" w:type="dxa"/>
          <w:right w:w="0" w:type="dxa"/>
        </w:tblCellMar>
        <w:tblLook w:val="04A0" w:firstRow="1" w:lastRow="0" w:firstColumn="1" w:lastColumn="0" w:noHBand="0" w:noVBand="1"/>
      </w:tblPr>
      <w:tblGrid>
        <w:gridCol w:w="4028"/>
        <w:gridCol w:w="140"/>
        <w:gridCol w:w="790"/>
        <w:gridCol w:w="42"/>
        <w:gridCol w:w="130"/>
        <w:gridCol w:w="140"/>
        <w:gridCol w:w="790"/>
        <w:gridCol w:w="42"/>
        <w:gridCol w:w="130"/>
        <w:gridCol w:w="140"/>
        <w:gridCol w:w="790"/>
        <w:gridCol w:w="42"/>
        <w:gridCol w:w="130"/>
        <w:gridCol w:w="140"/>
        <w:gridCol w:w="790"/>
        <w:gridCol w:w="42"/>
      </w:tblGrid>
      <w:tr w:rsidR="00DF3E10" w14:paraId="4E56AB01" w14:textId="77777777">
        <w:tc>
          <w:tcPr>
            <w:tcW w:w="0" w:type="auto"/>
            <w:gridSpan w:val="16"/>
            <w:shd w:val="clear" w:color="auto" w:fill="auto"/>
            <w:vAlign w:val="center"/>
          </w:tcPr>
          <w:p w14:paraId="4E56AB00" w14:textId="77777777" w:rsidR="00DF3E10" w:rsidRDefault="00DF3E10">
            <w:pPr>
              <w:rPr>
                <w:rFonts w:ascii="Times New Roman" w:hAnsi="Times New Roman"/>
                <w:sz w:val="20"/>
                <w:szCs w:val="20"/>
              </w:rPr>
            </w:pPr>
          </w:p>
        </w:tc>
      </w:tr>
      <w:tr w:rsidR="00DF3E10" w14:paraId="4E56AB12" w14:textId="77777777">
        <w:tc>
          <w:tcPr>
            <w:tcW w:w="2450" w:type="pct"/>
            <w:shd w:val="clear" w:color="auto" w:fill="auto"/>
            <w:vAlign w:val="center"/>
          </w:tcPr>
          <w:p w14:paraId="4E56AB02" w14:textId="77777777" w:rsidR="00DF3E10" w:rsidRDefault="00DF3E10">
            <w:pPr>
              <w:rPr>
                <w:rFonts w:ascii="Times New Roman" w:hAnsi="Times New Roman"/>
                <w:sz w:val="20"/>
                <w:szCs w:val="20"/>
              </w:rPr>
            </w:pPr>
          </w:p>
        </w:tc>
        <w:tc>
          <w:tcPr>
            <w:tcW w:w="50" w:type="pct"/>
            <w:shd w:val="clear" w:color="auto" w:fill="auto"/>
            <w:vAlign w:val="center"/>
          </w:tcPr>
          <w:p w14:paraId="4E56AB03" w14:textId="77777777" w:rsidR="00DF3E10" w:rsidRDefault="00DF3E10">
            <w:pPr>
              <w:rPr>
                <w:rFonts w:ascii="Times New Roman" w:hAnsi="Times New Roman"/>
                <w:sz w:val="20"/>
                <w:szCs w:val="20"/>
              </w:rPr>
            </w:pPr>
          </w:p>
        </w:tc>
        <w:tc>
          <w:tcPr>
            <w:tcW w:w="500" w:type="pct"/>
            <w:shd w:val="clear" w:color="auto" w:fill="auto"/>
            <w:vAlign w:val="center"/>
          </w:tcPr>
          <w:p w14:paraId="4E56AB04" w14:textId="77777777" w:rsidR="00DF3E10" w:rsidRDefault="00DF3E10">
            <w:pPr>
              <w:rPr>
                <w:rFonts w:ascii="Times New Roman" w:hAnsi="Times New Roman"/>
                <w:sz w:val="20"/>
                <w:szCs w:val="20"/>
              </w:rPr>
            </w:pPr>
          </w:p>
        </w:tc>
        <w:tc>
          <w:tcPr>
            <w:tcW w:w="50" w:type="pct"/>
            <w:shd w:val="clear" w:color="auto" w:fill="auto"/>
            <w:vAlign w:val="center"/>
          </w:tcPr>
          <w:p w14:paraId="4E56AB05" w14:textId="77777777" w:rsidR="00DF3E10" w:rsidRDefault="00DF3E10">
            <w:pPr>
              <w:rPr>
                <w:rFonts w:ascii="Times New Roman" w:hAnsi="Times New Roman"/>
                <w:sz w:val="20"/>
                <w:szCs w:val="20"/>
              </w:rPr>
            </w:pPr>
          </w:p>
        </w:tc>
        <w:tc>
          <w:tcPr>
            <w:tcW w:w="50" w:type="pct"/>
            <w:shd w:val="clear" w:color="auto" w:fill="auto"/>
            <w:vAlign w:val="center"/>
          </w:tcPr>
          <w:p w14:paraId="4E56AB06" w14:textId="77777777" w:rsidR="00DF3E10" w:rsidRDefault="00DF3E10">
            <w:pPr>
              <w:rPr>
                <w:rFonts w:ascii="Times New Roman" w:hAnsi="Times New Roman"/>
                <w:sz w:val="20"/>
                <w:szCs w:val="20"/>
              </w:rPr>
            </w:pPr>
          </w:p>
        </w:tc>
        <w:tc>
          <w:tcPr>
            <w:tcW w:w="50" w:type="pct"/>
            <w:shd w:val="clear" w:color="auto" w:fill="auto"/>
            <w:vAlign w:val="center"/>
          </w:tcPr>
          <w:p w14:paraId="4E56AB07" w14:textId="77777777" w:rsidR="00DF3E10" w:rsidRDefault="00DF3E10">
            <w:pPr>
              <w:rPr>
                <w:rFonts w:ascii="Times New Roman" w:hAnsi="Times New Roman"/>
                <w:sz w:val="20"/>
                <w:szCs w:val="20"/>
              </w:rPr>
            </w:pPr>
          </w:p>
        </w:tc>
        <w:tc>
          <w:tcPr>
            <w:tcW w:w="500" w:type="pct"/>
            <w:shd w:val="clear" w:color="auto" w:fill="auto"/>
            <w:vAlign w:val="center"/>
          </w:tcPr>
          <w:p w14:paraId="4E56AB08" w14:textId="77777777" w:rsidR="00DF3E10" w:rsidRDefault="00DF3E10">
            <w:pPr>
              <w:rPr>
                <w:rFonts w:ascii="Times New Roman" w:hAnsi="Times New Roman"/>
                <w:sz w:val="20"/>
                <w:szCs w:val="20"/>
              </w:rPr>
            </w:pPr>
          </w:p>
        </w:tc>
        <w:tc>
          <w:tcPr>
            <w:tcW w:w="50" w:type="pct"/>
            <w:shd w:val="clear" w:color="auto" w:fill="auto"/>
            <w:vAlign w:val="center"/>
          </w:tcPr>
          <w:p w14:paraId="4E56AB09" w14:textId="77777777" w:rsidR="00DF3E10" w:rsidRDefault="00DF3E10">
            <w:pPr>
              <w:rPr>
                <w:rFonts w:ascii="Times New Roman" w:hAnsi="Times New Roman"/>
                <w:sz w:val="20"/>
                <w:szCs w:val="20"/>
              </w:rPr>
            </w:pPr>
          </w:p>
        </w:tc>
        <w:tc>
          <w:tcPr>
            <w:tcW w:w="50" w:type="pct"/>
            <w:shd w:val="clear" w:color="auto" w:fill="auto"/>
            <w:vAlign w:val="center"/>
          </w:tcPr>
          <w:p w14:paraId="4E56AB0A" w14:textId="77777777" w:rsidR="00DF3E10" w:rsidRDefault="00DF3E10">
            <w:pPr>
              <w:rPr>
                <w:rFonts w:ascii="Times New Roman" w:hAnsi="Times New Roman"/>
                <w:sz w:val="20"/>
                <w:szCs w:val="20"/>
              </w:rPr>
            </w:pPr>
          </w:p>
        </w:tc>
        <w:tc>
          <w:tcPr>
            <w:tcW w:w="50" w:type="pct"/>
            <w:shd w:val="clear" w:color="auto" w:fill="auto"/>
            <w:vAlign w:val="center"/>
          </w:tcPr>
          <w:p w14:paraId="4E56AB0B" w14:textId="77777777" w:rsidR="00DF3E10" w:rsidRDefault="00DF3E10">
            <w:pPr>
              <w:rPr>
                <w:rFonts w:ascii="Times New Roman" w:hAnsi="Times New Roman"/>
                <w:sz w:val="20"/>
                <w:szCs w:val="20"/>
              </w:rPr>
            </w:pPr>
          </w:p>
        </w:tc>
        <w:tc>
          <w:tcPr>
            <w:tcW w:w="500" w:type="pct"/>
            <w:shd w:val="clear" w:color="auto" w:fill="auto"/>
            <w:vAlign w:val="center"/>
          </w:tcPr>
          <w:p w14:paraId="4E56AB0C" w14:textId="77777777" w:rsidR="00DF3E10" w:rsidRDefault="00DF3E10">
            <w:pPr>
              <w:rPr>
                <w:rFonts w:ascii="Times New Roman" w:hAnsi="Times New Roman"/>
                <w:sz w:val="20"/>
                <w:szCs w:val="20"/>
              </w:rPr>
            </w:pPr>
          </w:p>
        </w:tc>
        <w:tc>
          <w:tcPr>
            <w:tcW w:w="50" w:type="pct"/>
            <w:shd w:val="clear" w:color="auto" w:fill="auto"/>
            <w:vAlign w:val="center"/>
          </w:tcPr>
          <w:p w14:paraId="4E56AB0D" w14:textId="77777777" w:rsidR="00DF3E10" w:rsidRDefault="00DF3E10">
            <w:pPr>
              <w:rPr>
                <w:rFonts w:ascii="Times New Roman" w:hAnsi="Times New Roman"/>
                <w:sz w:val="20"/>
                <w:szCs w:val="20"/>
              </w:rPr>
            </w:pPr>
          </w:p>
        </w:tc>
        <w:tc>
          <w:tcPr>
            <w:tcW w:w="50" w:type="pct"/>
            <w:shd w:val="clear" w:color="auto" w:fill="auto"/>
            <w:vAlign w:val="center"/>
          </w:tcPr>
          <w:p w14:paraId="4E56AB0E" w14:textId="77777777" w:rsidR="00DF3E10" w:rsidRDefault="00DF3E10">
            <w:pPr>
              <w:rPr>
                <w:rFonts w:ascii="Times New Roman" w:hAnsi="Times New Roman"/>
                <w:sz w:val="20"/>
                <w:szCs w:val="20"/>
              </w:rPr>
            </w:pPr>
          </w:p>
        </w:tc>
        <w:tc>
          <w:tcPr>
            <w:tcW w:w="50" w:type="pct"/>
            <w:shd w:val="clear" w:color="auto" w:fill="auto"/>
            <w:vAlign w:val="center"/>
          </w:tcPr>
          <w:p w14:paraId="4E56AB0F" w14:textId="77777777" w:rsidR="00DF3E10" w:rsidRDefault="00DF3E10">
            <w:pPr>
              <w:rPr>
                <w:rFonts w:ascii="Times New Roman" w:hAnsi="Times New Roman"/>
                <w:sz w:val="20"/>
                <w:szCs w:val="20"/>
              </w:rPr>
            </w:pPr>
          </w:p>
        </w:tc>
        <w:tc>
          <w:tcPr>
            <w:tcW w:w="500" w:type="pct"/>
            <w:shd w:val="clear" w:color="auto" w:fill="auto"/>
            <w:vAlign w:val="center"/>
          </w:tcPr>
          <w:p w14:paraId="4E56AB10" w14:textId="77777777" w:rsidR="00DF3E10" w:rsidRDefault="00DF3E10">
            <w:pPr>
              <w:rPr>
                <w:rFonts w:ascii="Times New Roman" w:hAnsi="Times New Roman"/>
                <w:sz w:val="20"/>
                <w:szCs w:val="20"/>
              </w:rPr>
            </w:pPr>
          </w:p>
        </w:tc>
        <w:tc>
          <w:tcPr>
            <w:tcW w:w="50" w:type="pct"/>
            <w:shd w:val="clear" w:color="auto" w:fill="auto"/>
            <w:vAlign w:val="center"/>
          </w:tcPr>
          <w:p w14:paraId="4E56AB11" w14:textId="77777777" w:rsidR="00DF3E10" w:rsidRDefault="00DF3E10">
            <w:pPr>
              <w:rPr>
                <w:rFonts w:ascii="Times New Roman" w:hAnsi="Times New Roman"/>
                <w:sz w:val="20"/>
                <w:szCs w:val="20"/>
              </w:rPr>
            </w:pPr>
          </w:p>
        </w:tc>
      </w:tr>
      <w:tr w:rsidR="00DF3E10" w14:paraId="4E56AB17" w14:textId="77777777">
        <w:tc>
          <w:tcPr>
            <w:tcW w:w="0" w:type="auto"/>
            <w:shd w:val="clear" w:color="auto" w:fill="auto"/>
            <w:tcMar>
              <w:top w:w="40" w:type="dxa"/>
              <w:left w:w="40" w:type="dxa"/>
              <w:bottom w:w="40" w:type="dxa"/>
              <w:right w:w="40" w:type="dxa"/>
            </w:tcMar>
            <w:vAlign w:val="bottom"/>
          </w:tcPr>
          <w:p w14:paraId="4E56AB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B1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B1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B1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B20" w14:textId="77777777">
        <w:tc>
          <w:tcPr>
            <w:tcW w:w="0" w:type="auto"/>
            <w:shd w:val="clear" w:color="auto" w:fill="auto"/>
            <w:tcMar>
              <w:top w:w="40" w:type="dxa"/>
              <w:left w:w="40" w:type="dxa"/>
              <w:bottom w:w="40" w:type="dxa"/>
              <w:right w:w="40" w:type="dxa"/>
            </w:tcMar>
            <w:vAlign w:val="bottom"/>
          </w:tcPr>
          <w:p w14:paraId="4E56AB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1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B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1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B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B1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B1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AB1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B23" w14:textId="77777777">
        <w:tc>
          <w:tcPr>
            <w:tcW w:w="0" w:type="auto"/>
            <w:shd w:val="clear" w:color="auto" w:fill="auto"/>
            <w:tcMar>
              <w:top w:w="40" w:type="dxa"/>
              <w:left w:w="40" w:type="dxa"/>
              <w:bottom w:w="40" w:type="dxa"/>
              <w:right w:w="40" w:type="dxa"/>
            </w:tcMar>
            <w:vAlign w:val="bottom"/>
          </w:tcPr>
          <w:p w14:paraId="4E56AB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4E56AB22"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w:t>
            </w:r>
          </w:p>
        </w:tc>
      </w:tr>
      <w:tr w:rsidR="00DF3E10" w14:paraId="4E56AB34" w14:textId="77777777">
        <w:tc>
          <w:tcPr>
            <w:tcW w:w="0" w:type="auto"/>
            <w:shd w:val="clear" w:color="auto" w:fill="CCEEFF"/>
            <w:tcMar>
              <w:top w:w="40" w:type="dxa"/>
              <w:left w:w="40" w:type="dxa"/>
              <w:bottom w:w="40" w:type="dxa"/>
              <w:right w:w="40" w:type="dxa"/>
            </w:tcMar>
          </w:tcPr>
          <w:p w14:paraId="4E56AB24"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4E56AB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B2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CCEEFF"/>
            <w:vAlign w:val="bottom"/>
          </w:tcPr>
          <w:p w14:paraId="4E56AB2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B2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4E56AB2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2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B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CCEEFF"/>
            <w:vAlign w:val="bottom"/>
          </w:tcPr>
          <w:p w14:paraId="4E56AB2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B3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shd w:val="clear" w:color="auto" w:fill="CCEEFF"/>
            <w:vAlign w:val="bottom"/>
          </w:tcPr>
          <w:p w14:paraId="4E56AB33" w14:textId="77777777" w:rsidR="00DF3E10" w:rsidRDefault="00DF3E10">
            <w:pPr>
              <w:textAlignment w:val="bottom"/>
              <w:rPr>
                <w:rFonts w:ascii="Times New Roman" w:hAnsi="Times New Roman"/>
                <w:sz w:val="20"/>
                <w:szCs w:val="20"/>
              </w:rPr>
            </w:pPr>
          </w:p>
        </w:tc>
      </w:tr>
      <w:tr w:rsidR="00DF3E10" w14:paraId="4E56AB41" w14:textId="77777777">
        <w:tc>
          <w:tcPr>
            <w:tcW w:w="0" w:type="auto"/>
            <w:shd w:val="clear" w:color="auto" w:fill="auto"/>
            <w:tcMar>
              <w:top w:w="40" w:type="dxa"/>
              <w:left w:w="40" w:type="dxa"/>
              <w:bottom w:w="40" w:type="dxa"/>
              <w:right w:w="40" w:type="dxa"/>
            </w:tcMar>
          </w:tcPr>
          <w:p w14:paraId="4E56AB3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4E56AB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1,261</w:t>
            </w:r>
          </w:p>
        </w:tc>
        <w:tc>
          <w:tcPr>
            <w:tcW w:w="0" w:type="auto"/>
            <w:shd w:val="clear" w:color="auto" w:fill="auto"/>
            <w:vAlign w:val="bottom"/>
          </w:tcPr>
          <w:p w14:paraId="4E56AB3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B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927</w:t>
            </w:r>
          </w:p>
        </w:tc>
        <w:tc>
          <w:tcPr>
            <w:tcW w:w="0" w:type="auto"/>
            <w:shd w:val="clear" w:color="auto" w:fill="auto"/>
            <w:vAlign w:val="bottom"/>
          </w:tcPr>
          <w:p w14:paraId="4E56AB3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B3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2,260</w:t>
            </w:r>
          </w:p>
        </w:tc>
        <w:tc>
          <w:tcPr>
            <w:tcW w:w="0" w:type="auto"/>
            <w:shd w:val="clear" w:color="auto" w:fill="auto"/>
            <w:vAlign w:val="bottom"/>
          </w:tcPr>
          <w:p w14:paraId="4E56AB3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B3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1,650</w:t>
            </w:r>
          </w:p>
        </w:tc>
        <w:tc>
          <w:tcPr>
            <w:tcW w:w="0" w:type="auto"/>
            <w:shd w:val="clear" w:color="auto" w:fill="auto"/>
            <w:vAlign w:val="bottom"/>
          </w:tcPr>
          <w:p w14:paraId="4E56AB40" w14:textId="77777777" w:rsidR="00DF3E10" w:rsidRDefault="00DF3E10">
            <w:pPr>
              <w:textAlignment w:val="bottom"/>
              <w:rPr>
                <w:rFonts w:ascii="Times New Roman" w:hAnsi="Times New Roman"/>
                <w:sz w:val="20"/>
                <w:szCs w:val="20"/>
              </w:rPr>
            </w:pPr>
          </w:p>
        </w:tc>
      </w:tr>
      <w:tr w:rsidR="00DF3E10" w14:paraId="4E56AB4E" w14:textId="77777777">
        <w:tc>
          <w:tcPr>
            <w:tcW w:w="0" w:type="auto"/>
            <w:shd w:val="clear" w:color="auto" w:fill="CCEEFF"/>
            <w:tcMar>
              <w:top w:w="40" w:type="dxa"/>
              <w:left w:w="40" w:type="dxa"/>
              <w:bottom w:w="40" w:type="dxa"/>
              <w:right w:w="40" w:type="dxa"/>
            </w:tcMar>
          </w:tcPr>
          <w:p w14:paraId="4E56AB4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4E56AB4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187</w:t>
            </w:r>
          </w:p>
        </w:tc>
        <w:tc>
          <w:tcPr>
            <w:tcW w:w="0" w:type="auto"/>
            <w:shd w:val="clear" w:color="auto" w:fill="CCEEFF"/>
            <w:vAlign w:val="bottom"/>
          </w:tcPr>
          <w:p w14:paraId="4E56AB4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B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CCEEFF"/>
            <w:vAlign w:val="bottom"/>
          </w:tcPr>
          <w:p w14:paraId="4E56AB4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B4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shd w:val="clear" w:color="auto" w:fill="CCEEFF"/>
            <w:vAlign w:val="bottom"/>
          </w:tcPr>
          <w:p w14:paraId="4E56AB4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B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273</w:t>
            </w:r>
          </w:p>
        </w:tc>
        <w:tc>
          <w:tcPr>
            <w:tcW w:w="0" w:type="auto"/>
            <w:shd w:val="clear" w:color="auto" w:fill="CCEEFF"/>
            <w:vAlign w:val="bottom"/>
          </w:tcPr>
          <w:p w14:paraId="4E56AB4D" w14:textId="77777777" w:rsidR="00DF3E10" w:rsidRDefault="00DF3E10">
            <w:pPr>
              <w:textAlignment w:val="bottom"/>
              <w:rPr>
                <w:rFonts w:ascii="Times New Roman" w:hAnsi="Times New Roman"/>
                <w:sz w:val="20"/>
                <w:szCs w:val="20"/>
              </w:rPr>
            </w:pPr>
          </w:p>
        </w:tc>
      </w:tr>
      <w:tr w:rsidR="00DF3E10" w14:paraId="4E56AB5B" w14:textId="77777777">
        <w:tc>
          <w:tcPr>
            <w:tcW w:w="0" w:type="auto"/>
            <w:shd w:val="clear" w:color="auto" w:fill="auto"/>
            <w:tcMar>
              <w:top w:w="40" w:type="dxa"/>
              <w:left w:w="40" w:type="dxa"/>
              <w:bottom w:w="40" w:type="dxa"/>
              <w:right w:w="40" w:type="dxa"/>
            </w:tcMar>
          </w:tcPr>
          <w:p w14:paraId="4E56AB4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4E56AB5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bottom w:val="single" w:sz="8" w:space="0" w:color="000000"/>
            </w:tcBorders>
            <w:shd w:val="clear" w:color="auto" w:fill="auto"/>
            <w:vAlign w:val="bottom"/>
          </w:tcPr>
          <w:p w14:paraId="4E56AB5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B5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tcBorders>
              <w:bottom w:val="single" w:sz="8" w:space="0" w:color="000000"/>
            </w:tcBorders>
            <w:shd w:val="clear" w:color="auto" w:fill="auto"/>
            <w:vAlign w:val="bottom"/>
          </w:tcPr>
          <w:p w14:paraId="4E56AB5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B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auto"/>
            <w:vAlign w:val="bottom"/>
          </w:tcPr>
          <w:p w14:paraId="4E56AB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B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auto"/>
            <w:vAlign w:val="bottom"/>
          </w:tcPr>
          <w:p w14:paraId="4E56AB5A" w14:textId="77777777" w:rsidR="00DF3E10" w:rsidRDefault="00DF3E10">
            <w:pPr>
              <w:textAlignment w:val="bottom"/>
              <w:rPr>
                <w:rFonts w:ascii="Times New Roman" w:hAnsi="Times New Roman"/>
                <w:sz w:val="20"/>
                <w:szCs w:val="20"/>
              </w:rPr>
            </w:pPr>
          </w:p>
        </w:tc>
      </w:tr>
      <w:tr w:rsidR="00DF3E10" w14:paraId="4E56AB6C" w14:textId="77777777">
        <w:tc>
          <w:tcPr>
            <w:tcW w:w="0" w:type="auto"/>
            <w:shd w:val="clear" w:color="auto" w:fill="CCEEFF"/>
            <w:tcMar>
              <w:top w:w="40" w:type="dxa"/>
              <w:left w:w="400" w:type="dxa"/>
              <w:bottom w:w="40" w:type="dxa"/>
              <w:right w:w="40" w:type="dxa"/>
            </w:tcMar>
          </w:tcPr>
          <w:p w14:paraId="4E56AB5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B5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1,695</w:t>
            </w:r>
          </w:p>
        </w:tc>
        <w:tc>
          <w:tcPr>
            <w:tcW w:w="0" w:type="auto"/>
            <w:tcBorders>
              <w:top w:val="single" w:sz="8" w:space="0" w:color="000000"/>
              <w:bottom w:val="double" w:sz="6" w:space="0" w:color="000000"/>
            </w:tcBorders>
            <w:shd w:val="clear" w:color="auto" w:fill="CCEEFF"/>
            <w:vAlign w:val="bottom"/>
          </w:tcPr>
          <w:p w14:paraId="4E56AB5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B6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1,303</w:t>
            </w:r>
          </w:p>
        </w:tc>
        <w:tc>
          <w:tcPr>
            <w:tcW w:w="0" w:type="auto"/>
            <w:tcBorders>
              <w:top w:val="single" w:sz="8" w:space="0" w:color="000000"/>
              <w:bottom w:val="double" w:sz="6" w:space="0" w:color="000000"/>
            </w:tcBorders>
            <w:shd w:val="clear" w:color="auto" w:fill="CCEEFF"/>
            <w:vAlign w:val="bottom"/>
          </w:tcPr>
          <w:p w14:paraId="4E56AB6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6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B6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3,030</w:t>
            </w:r>
          </w:p>
        </w:tc>
        <w:tc>
          <w:tcPr>
            <w:tcW w:w="0" w:type="auto"/>
            <w:tcBorders>
              <w:top w:val="single" w:sz="8" w:space="0" w:color="000000"/>
              <w:bottom w:val="double" w:sz="6" w:space="0" w:color="000000"/>
            </w:tcBorders>
            <w:shd w:val="clear" w:color="auto" w:fill="CCEEFF"/>
            <w:vAlign w:val="bottom"/>
          </w:tcPr>
          <w:p w14:paraId="4E56AB6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6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6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B6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2,313</w:t>
            </w:r>
          </w:p>
        </w:tc>
        <w:tc>
          <w:tcPr>
            <w:tcW w:w="0" w:type="auto"/>
            <w:tcBorders>
              <w:top w:val="single" w:sz="8" w:space="0" w:color="000000"/>
              <w:bottom w:val="double" w:sz="6" w:space="0" w:color="000000"/>
            </w:tcBorders>
            <w:shd w:val="clear" w:color="auto" w:fill="CCEEFF"/>
            <w:vAlign w:val="bottom"/>
          </w:tcPr>
          <w:p w14:paraId="4E56AB6B" w14:textId="77777777" w:rsidR="00DF3E10" w:rsidRDefault="00DF3E10">
            <w:pPr>
              <w:textAlignment w:val="bottom"/>
              <w:rPr>
                <w:rFonts w:ascii="Times New Roman" w:hAnsi="Times New Roman"/>
                <w:sz w:val="20"/>
                <w:szCs w:val="20"/>
              </w:rPr>
            </w:pPr>
          </w:p>
        </w:tc>
      </w:tr>
    </w:tbl>
    <w:p w14:paraId="4E56AB6D" w14:textId="77777777" w:rsidR="00DF3E10" w:rsidRDefault="006B6C28">
      <w:pPr>
        <w:spacing w:line="288" w:lineRule="auto"/>
        <w:ind w:firstLine="640"/>
        <w:jc w:val="both"/>
        <w:rPr>
          <w:rFonts w:ascii="Times New Roman" w:hAnsi="Times New Roman"/>
          <w:sz w:val="20"/>
          <w:szCs w:val="20"/>
        </w:rPr>
      </w:pPr>
      <w:r>
        <w:rPr>
          <w:rFonts w:ascii="Times New Roman" w:eastAsia="宋体" w:hAnsi="Times New Roman"/>
          <w:sz w:val="20"/>
          <w:szCs w:val="20"/>
        </w:rPr>
        <w:t>Share-based compensation expense included in costs and expenses (as a percentage of 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941"/>
        <w:gridCol w:w="785"/>
        <w:gridCol w:w="208"/>
        <w:gridCol w:w="130"/>
        <w:gridCol w:w="786"/>
        <w:gridCol w:w="208"/>
        <w:gridCol w:w="130"/>
        <w:gridCol w:w="786"/>
        <w:gridCol w:w="208"/>
        <w:gridCol w:w="130"/>
        <w:gridCol w:w="786"/>
        <w:gridCol w:w="208"/>
      </w:tblGrid>
      <w:tr w:rsidR="00DF3E10" w14:paraId="4E56AB6F" w14:textId="77777777">
        <w:tc>
          <w:tcPr>
            <w:tcW w:w="0" w:type="auto"/>
            <w:gridSpan w:val="12"/>
            <w:shd w:val="clear" w:color="auto" w:fill="auto"/>
            <w:vAlign w:val="center"/>
          </w:tcPr>
          <w:p w14:paraId="4E56AB6E" w14:textId="77777777" w:rsidR="00DF3E10" w:rsidRDefault="00DF3E10">
            <w:pPr>
              <w:rPr>
                <w:rFonts w:ascii="Times New Roman" w:hAnsi="Times New Roman"/>
                <w:sz w:val="20"/>
                <w:szCs w:val="20"/>
              </w:rPr>
            </w:pPr>
          </w:p>
        </w:tc>
      </w:tr>
      <w:tr w:rsidR="00DF3E10" w14:paraId="4E56AB7C" w14:textId="77777777">
        <w:tc>
          <w:tcPr>
            <w:tcW w:w="2450" w:type="pct"/>
            <w:shd w:val="clear" w:color="auto" w:fill="auto"/>
            <w:vAlign w:val="center"/>
          </w:tcPr>
          <w:p w14:paraId="4E56AB70" w14:textId="77777777" w:rsidR="00DF3E10" w:rsidRDefault="00DF3E10">
            <w:pPr>
              <w:rPr>
                <w:rFonts w:ascii="Times New Roman" w:hAnsi="Times New Roman"/>
                <w:sz w:val="20"/>
                <w:szCs w:val="20"/>
              </w:rPr>
            </w:pPr>
          </w:p>
        </w:tc>
        <w:tc>
          <w:tcPr>
            <w:tcW w:w="550" w:type="pct"/>
            <w:shd w:val="clear" w:color="auto" w:fill="auto"/>
            <w:vAlign w:val="center"/>
          </w:tcPr>
          <w:p w14:paraId="4E56AB71" w14:textId="77777777" w:rsidR="00DF3E10" w:rsidRDefault="00DF3E10">
            <w:pPr>
              <w:rPr>
                <w:rFonts w:ascii="Times New Roman" w:hAnsi="Times New Roman"/>
                <w:sz w:val="20"/>
                <w:szCs w:val="20"/>
              </w:rPr>
            </w:pPr>
          </w:p>
        </w:tc>
        <w:tc>
          <w:tcPr>
            <w:tcW w:w="50" w:type="pct"/>
            <w:shd w:val="clear" w:color="auto" w:fill="auto"/>
            <w:vAlign w:val="center"/>
          </w:tcPr>
          <w:p w14:paraId="4E56AB72" w14:textId="77777777" w:rsidR="00DF3E10" w:rsidRDefault="00DF3E10">
            <w:pPr>
              <w:rPr>
                <w:rFonts w:ascii="Times New Roman" w:hAnsi="Times New Roman"/>
                <w:sz w:val="20"/>
                <w:szCs w:val="20"/>
              </w:rPr>
            </w:pPr>
          </w:p>
        </w:tc>
        <w:tc>
          <w:tcPr>
            <w:tcW w:w="50" w:type="pct"/>
            <w:shd w:val="clear" w:color="auto" w:fill="auto"/>
            <w:vAlign w:val="center"/>
          </w:tcPr>
          <w:p w14:paraId="4E56AB73" w14:textId="77777777" w:rsidR="00DF3E10" w:rsidRDefault="00DF3E10">
            <w:pPr>
              <w:rPr>
                <w:rFonts w:ascii="Times New Roman" w:hAnsi="Times New Roman"/>
                <w:sz w:val="20"/>
                <w:szCs w:val="20"/>
              </w:rPr>
            </w:pPr>
          </w:p>
        </w:tc>
        <w:tc>
          <w:tcPr>
            <w:tcW w:w="550" w:type="pct"/>
            <w:shd w:val="clear" w:color="auto" w:fill="auto"/>
            <w:vAlign w:val="center"/>
          </w:tcPr>
          <w:p w14:paraId="4E56AB74" w14:textId="77777777" w:rsidR="00DF3E10" w:rsidRDefault="00DF3E10">
            <w:pPr>
              <w:rPr>
                <w:rFonts w:ascii="Times New Roman" w:hAnsi="Times New Roman"/>
                <w:sz w:val="20"/>
                <w:szCs w:val="20"/>
              </w:rPr>
            </w:pPr>
          </w:p>
        </w:tc>
        <w:tc>
          <w:tcPr>
            <w:tcW w:w="50" w:type="pct"/>
            <w:shd w:val="clear" w:color="auto" w:fill="auto"/>
            <w:vAlign w:val="center"/>
          </w:tcPr>
          <w:p w14:paraId="4E56AB75" w14:textId="77777777" w:rsidR="00DF3E10" w:rsidRDefault="00DF3E10">
            <w:pPr>
              <w:rPr>
                <w:rFonts w:ascii="Times New Roman" w:hAnsi="Times New Roman"/>
                <w:sz w:val="20"/>
                <w:szCs w:val="20"/>
              </w:rPr>
            </w:pPr>
          </w:p>
        </w:tc>
        <w:tc>
          <w:tcPr>
            <w:tcW w:w="50" w:type="pct"/>
            <w:shd w:val="clear" w:color="auto" w:fill="auto"/>
            <w:vAlign w:val="center"/>
          </w:tcPr>
          <w:p w14:paraId="4E56AB76" w14:textId="77777777" w:rsidR="00DF3E10" w:rsidRDefault="00DF3E10">
            <w:pPr>
              <w:rPr>
                <w:rFonts w:ascii="Times New Roman" w:hAnsi="Times New Roman"/>
                <w:sz w:val="20"/>
                <w:szCs w:val="20"/>
              </w:rPr>
            </w:pPr>
          </w:p>
        </w:tc>
        <w:tc>
          <w:tcPr>
            <w:tcW w:w="550" w:type="pct"/>
            <w:shd w:val="clear" w:color="auto" w:fill="auto"/>
            <w:vAlign w:val="center"/>
          </w:tcPr>
          <w:p w14:paraId="4E56AB77" w14:textId="77777777" w:rsidR="00DF3E10" w:rsidRDefault="00DF3E10">
            <w:pPr>
              <w:rPr>
                <w:rFonts w:ascii="Times New Roman" w:hAnsi="Times New Roman"/>
                <w:sz w:val="20"/>
                <w:szCs w:val="20"/>
              </w:rPr>
            </w:pPr>
          </w:p>
        </w:tc>
        <w:tc>
          <w:tcPr>
            <w:tcW w:w="50" w:type="pct"/>
            <w:shd w:val="clear" w:color="auto" w:fill="auto"/>
            <w:vAlign w:val="center"/>
          </w:tcPr>
          <w:p w14:paraId="4E56AB78" w14:textId="77777777" w:rsidR="00DF3E10" w:rsidRDefault="00DF3E10">
            <w:pPr>
              <w:rPr>
                <w:rFonts w:ascii="Times New Roman" w:hAnsi="Times New Roman"/>
                <w:sz w:val="20"/>
                <w:szCs w:val="20"/>
              </w:rPr>
            </w:pPr>
          </w:p>
        </w:tc>
        <w:tc>
          <w:tcPr>
            <w:tcW w:w="50" w:type="pct"/>
            <w:shd w:val="clear" w:color="auto" w:fill="auto"/>
            <w:vAlign w:val="center"/>
          </w:tcPr>
          <w:p w14:paraId="4E56AB79" w14:textId="77777777" w:rsidR="00DF3E10" w:rsidRDefault="00DF3E10">
            <w:pPr>
              <w:rPr>
                <w:rFonts w:ascii="Times New Roman" w:hAnsi="Times New Roman"/>
                <w:sz w:val="20"/>
                <w:szCs w:val="20"/>
              </w:rPr>
            </w:pPr>
          </w:p>
        </w:tc>
        <w:tc>
          <w:tcPr>
            <w:tcW w:w="550" w:type="pct"/>
            <w:shd w:val="clear" w:color="auto" w:fill="auto"/>
            <w:vAlign w:val="center"/>
          </w:tcPr>
          <w:p w14:paraId="4E56AB7A" w14:textId="77777777" w:rsidR="00DF3E10" w:rsidRDefault="00DF3E10">
            <w:pPr>
              <w:rPr>
                <w:rFonts w:ascii="Times New Roman" w:hAnsi="Times New Roman"/>
                <w:sz w:val="20"/>
                <w:szCs w:val="20"/>
              </w:rPr>
            </w:pPr>
          </w:p>
        </w:tc>
        <w:tc>
          <w:tcPr>
            <w:tcW w:w="50" w:type="pct"/>
            <w:shd w:val="clear" w:color="auto" w:fill="auto"/>
            <w:vAlign w:val="center"/>
          </w:tcPr>
          <w:p w14:paraId="4E56AB7B" w14:textId="77777777" w:rsidR="00DF3E10" w:rsidRDefault="00DF3E10">
            <w:pPr>
              <w:rPr>
                <w:rFonts w:ascii="Times New Roman" w:hAnsi="Times New Roman"/>
                <w:sz w:val="20"/>
                <w:szCs w:val="20"/>
              </w:rPr>
            </w:pPr>
          </w:p>
        </w:tc>
      </w:tr>
      <w:tr w:rsidR="00DF3E10" w14:paraId="4E56AB81" w14:textId="77777777">
        <w:tc>
          <w:tcPr>
            <w:tcW w:w="0" w:type="auto"/>
            <w:shd w:val="clear" w:color="auto" w:fill="auto"/>
            <w:tcMar>
              <w:top w:w="40" w:type="dxa"/>
              <w:left w:w="40" w:type="dxa"/>
              <w:bottom w:w="40" w:type="dxa"/>
              <w:right w:w="40" w:type="dxa"/>
            </w:tcMar>
            <w:vAlign w:val="bottom"/>
          </w:tcPr>
          <w:p w14:paraId="4E56AB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E56AB7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B7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4E56AB8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r>
      <w:tr w:rsidR="00DF3E10" w14:paraId="4E56AB8A" w14:textId="77777777">
        <w:tc>
          <w:tcPr>
            <w:tcW w:w="0" w:type="auto"/>
            <w:shd w:val="clear" w:color="auto" w:fill="auto"/>
            <w:tcMar>
              <w:top w:w="40" w:type="dxa"/>
              <w:left w:w="40" w:type="dxa"/>
              <w:bottom w:w="40" w:type="dxa"/>
              <w:right w:w="40" w:type="dxa"/>
            </w:tcMar>
            <w:vAlign w:val="bottom"/>
          </w:tcPr>
          <w:p w14:paraId="4E56AB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8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B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8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B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8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B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8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DF3E10" w14:paraId="4E56AB97" w14:textId="77777777">
        <w:tc>
          <w:tcPr>
            <w:tcW w:w="0" w:type="auto"/>
            <w:shd w:val="clear" w:color="auto" w:fill="CCEEFF"/>
            <w:tcMar>
              <w:top w:w="40" w:type="dxa"/>
              <w:left w:w="40" w:type="dxa"/>
              <w:bottom w:w="40" w:type="dxa"/>
              <w:right w:w="40" w:type="dxa"/>
            </w:tcMar>
          </w:tcPr>
          <w:p w14:paraId="4E56AB8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4E56AB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4E56AB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4E56AB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9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4E56AB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9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9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4E56AB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BA4" w14:textId="77777777">
        <w:tc>
          <w:tcPr>
            <w:tcW w:w="0" w:type="auto"/>
            <w:shd w:val="clear" w:color="auto" w:fill="auto"/>
            <w:tcMar>
              <w:top w:w="40" w:type="dxa"/>
              <w:left w:w="40" w:type="dxa"/>
              <w:bottom w:w="40" w:type="dxa"/>
              <w:right w:w="40" w:type="dxa"/>
            </w:tcMar>
          </w:tcPr>
          <w:p w14:paraId="4E56AB98"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4E56AB9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4E56AB9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B9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4E56AB9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9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B9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4E56ABA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A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BA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4E56ABA3" w14:textId="77777777" w:rsidR="00DF3E10" w:rsidRDefault="00DF3E10">
            <w:pPr>
              <w:textAlignment w:val="bottom"/>
              <w:rPr>
                <w:rFonts w:ascii="Times New Roman" w:hAnsi="Times New Roman"/>
                <w:sz w:val="20"/>
                <w:szCs w:val="20"/>
              </w:rPr>
            </w:pPr>
          </w:p>
        </w:tc>
      </w:tr>
      <w:tr w:rsidR="00DF3E10" w14:paraId="4E56ABB1" w14:textId="77777777">
        <w:tc>
          <w:tcPr>
            <w:tcW w:w="0" w:type="auto"/>
            <w:shd w:val="clear" w:color="auto" w:fill="CCEEFF"/>
            <w:tcMar>
              <w:top w:w="40" w:type="dxa"/>
              <w:left w:w="40" w:type="dxa"/>
              <w:bottom w:w="40" w:type="dxa"/>
              <w:right w:w="40" w:type="dxa"/>
            </w:tcMar>
          </w:tcPr>
          <w:p w14:paraId="4E56ABA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4E56ABA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BA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BA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BA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B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B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4E56ABB0" w14:textId="77777777" w:rsidR="00DF3E10" w:rsidRDefault="00DF3E10">
            <w:pPr>
              <w:textAlignment w:val="bottom"/>
              <w:rPr>
                <w:rFonts w:ascii="Times New Roman" w:hAnsi="Times New Roman"/>
                <w:sz w:val="20"/>
                <w:szCs w:val="20"/>
              </w:rPr>
            </w:pPr>
          </w:p>
        </w:tc>
      </w:tr>
      <w:tr w:rsidR="00DF3E10" w14:paraId="4E56ABBE" w14:textId="77777777">
        <w:tc>
          <w:tcPr>
            <w:tcW w:w="0" w:type="auto"/>
            <w:shd w:val="clear" w:color="auto" w:fill="auto"/>
            <w:tcMar>
              <w:top w:w="40" w:type="dxa"/>
              <w:left w:w="40" w:type="dxa"/>
              <w:bottom w:w="40" w:type="dxa"/>
              <w:right w:w="40" w:type="dxa"/>
            </w:tcMar>
          </w:tcPr>
          <w:p w14:paraId="4E56ABB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4E56ABB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4E56ABB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B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4E56ABB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BB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4E56ABB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B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4E56ABB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4E56ABBD" w14:textId="77777777" w:rsidR="00DF3E10" w:rsidRDefault="00DF3E10">
            <w:pPr>
              <w:textAlignment w:val="bottom"/>
              <w:rPr>
                <w:rFonts w:ascii="Times New Roman" w:hAnsi="Times New Roman"/>
                <w:sz w:val="20"/>
                <w:szCs w:val="20"/>
              </w:rPr>
            </w:pPr>
          </w:p>
        </w:tc>
      </w:tr>
      <w:tr w:rsidR="00DF3E10" w14:paraId="4E56ABCB" w14:textId="77777777">
        <w:tc>
          <w:tcPr>
            <w:tcW w:w="0" w:type="auto"/>
            <w:shd w:val="clear" w:color="auto" w:fill="CCEEFF"/>
            <w:tcMar>
              <w:top w:w="40" w:type="dxa"/>
              <w:left w:w="400" w:type="dxa"/>
              <w:bottom w:w="40" w:type="dxa"/>
              <w:right w:w="40" w:type="dxa"/>
            </w:tcMar>
          </w:tcPr>
          <w:p w14:paraId="4E56ABB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C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E56AB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E56AB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E56AB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B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BC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E56AB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bl>
    <w:p w14:paraId="4E56ABCC" w14:textId="77777777" w:rsidR="00DF3E10" w:rsidRDefault="006B6C28">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DF3E10" w14:paraId="4E56ABCF" w14:textId="77777777">
        <w:trPr>
          <w:tblCellSpacing w:w="0" w:type="dxa"/>
        </w:trPr>
        <w:tc>
          <w:tcPr>
            <w:tcW w:w="480" w:type="dxa"/>
            <w:shd w:val="clear" w:color="auto" w:fill="auto"/>
            <w:vAlign w:val="center"/>
          </w:tcPr>
          <w:p w14:paraId="4E56ABCD" w14:textId="77777777" w:rsidR="00DF3E10" w:rsidRDefault="00DF3E10">
            <w:pPr>
              <w:rPr>
                <w:rFonts w:ascii="Times New Roman" w:hAnsi="Times New Roman"/>
                <w:sz w:val="20"/>
                <w:szCs w:val="20"/>
              </w:rPr>
            </w:pPr>
          </w:p>
        </w:tc>
        <w:tc>
          <w:tcPr>
            <w:tcW w:w="0" w:type="auto"/>
            <w:shd w:val="clear" w:color="auto" w:fill="auto"/>
            <w:vAlign w:val="center"/>
          </w:tcPr>
          <w:p w14:paraId="4E56ABCE" w14:textId="77777777" w:rsidR="00DF3E10" w:rsidRDefault="00DF3E10">
            <w:pPr>
              <w:rPr>
                <w:rFonts w:ascii="Times New Roman" w:hAnsi="Times New Roman"/>
                <w:sz w:val="20"/>
                <w:szCs w:val="20"/>
              </w:rPr>
            </w:pPr>
          </w:p>
        </w:tc>
      </w:tr>
      <w:tr w:rsidR="00DF3E10" w14:paraId="4E56ABD2" w14:textId="77777777">
        <w:trPr>
          <w:tblCellSpacing w:w="0" w:type="dxa"/>
        </w:trPr>
        <w:tc>
          <w:tcPr>
            <w:tcW w:w="0" w:type="auto"/>
            <w:shd w:val="clear" w:color="auto" w:fill="auto"/>
          </w:tcPr>
          <w:p w14:paraId="4E56ABD0"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ABD1"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4E56ABD3"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Three and Six Months Ended June 30,</w:t>
      </w:r>
      <w:r>
        <w:rPr>
          <w:rFonts w:ascii="Times New Roman" w:eastAsia="宋体" w:hAnsi="Times New Roman"/>
          <w:sz w:val="20"/>
          <w:szCs w:val="20"/>
        </w:rPr>
        <w:t xml:space="preserve"> </w:t>
      </w:r>
      <w:r>
        <w:rPr>
          <w:rFonts w:ascii="Times New Roman" w:eastAsia="宋体" w:hAnsi="Times New Roman"/>
          <w:b/>
          <w:bCs/>
          <w:sz w:val="20"/>
          <w:szCs w:val="20"/>
        </w:rPr>
        <w:t>2020 and 2019</w:t>
      </w:r>
    </w:p>
    <w:p w14:paraId="4E56ABD4"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Revenue</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1845"/>
        <w:gridCol w:w="140"/>
        <w:gridCol w:w="766"/>
        <w:gridCol w:w="18"/>
        <w:gridCol w:w="130"/>
        <w:gridCol w:w="140"/>
        <w:gridCol w:w="766"/>
        <w:gridCol w:w="18"/>
        <w:gridCol w:w="130"/>
        <w:gridCol w:w="849"/>
        <w:gridCol w:w="207"/>
        <w:gridCol w:w="130"/>
        <w:gridCol w:w="140"/>
        <w:gridCol w:w="766"/>
        <w:gridCol w:w="18"/>
        <w:gridCol w:w="130"/>
        <w:gridCol w:w="140"/>
        <w:gridCol w:w="767"/>
        <w:gridCol w:w="19"/>
        <w:gridCol w:w="130"/>
        <w:gridCol w:w="850"/>
        <w:gridCol w:w="207"/>
      </w:tblGrid>
      <w:tr w:rsidR="00DF3E10" w14:paraId="4E56ABD6" w14:textId="77777777">
        <w:tc>
          <w:tcPr>
            <w:tcW w:w="0" w:type="auto"/>
            <w:gridSpan w:val="22"/>
            <w:shd w:val="clear" w:color="auto" w:fill="auto"/>
            <w:vAlign w:val="center"/>
          </w:tcPr>
          <w:p w14:paraId="4E56ABD5" w14:textId="77777777" w:rsidR="00DF3E10" w:rsidRDefault="00DF3E10">
            <w:pPr>
              <w:rPr>
                <w:rFonts w:ascii="Times New Roman" w:hAnsi="Times New Roman"/>
                <w:sz w:val="20"/>
                <w:szCs w:val="20"/>
              </w:rPr>
            </w:pPr>
          </w:p>
        </w:tc>
      </w:tr>
      <w:tr w:rsidR="00DF3E10" w14:paraId="4E56ABED" w14:textId="77777777">
        <w:tc>
          <w:tcPr>
            <w:tcW w:w="1150" w:type="pct"/>
            <w:shd w:val="clear" w:color="auto" w:fill="auto"/>
            <w:vAlign w:val="center"/>
          </w:tcPr>
          <w:p w14:paraId="4E56ABD7" w14:textId="77777777" w:rsidR="00DF3E10" w:rsidRDefault="00DF3E10">
            <w:pPr>
              <w:rPr>
                <w:rFonts w:ascii="Times New Roman" w:hAnsi="Times New Roman"/>
                <w:sz w:val="20"/>
                <w:szCs w:val="20"/>
              </w:rPr>
            </w:pPr>
          </w:p>
        </w:tc>
        <w:tc>
          <w:tcPr>
            <w:tcW w:w="50" w:type="pct"/>
            <w:shd w:val="clear" w:color="auto" w:fill="auto"/>
            <w:vAlign w:val="center"/>
          </w:tcPr>
          <w:p w14:paraId="4E56ABD8" w14:textId="77777777" w:rsidR="00DF3E10" w:rsidRDefault="00DF3E10">
            <w:pPr>
              <w:rPr>
                <w:rFonts w:ascii="Times New Roman" w:hAnsi="Times New Roman"/>
                <w:sz w:val="20"/>
                <w:szCs w:val="20"/>
              </w:rPr>
            </w:pPr>
          </w:p>
        </w:tc>
        <w:tc>
          <w:tcPr>
            <w:tcW w:w="500" w:type="pct"/>
            <w:shd w:val="clear" w:color="auto" w:fill="auto"/>
            <w:vAlign w:val="center"/>
          </w:tcPr>
          <w:p w14:paraId="4E56ABD9" w14:textId="77777777" w:rsidR="00DF3E10" w:rsidRDefault="00DF3E10">
            <w:pPr>
              <w:rPr>
                <w:rFonts w:ascii="Times New Roman" w:hAnsi="Times New Roman"/>
                <w:sz w:val="20"/>
                <w:szCs w:val="20"/>
              </w:rPr>
            </w:pPr>
          </w:p>
        </w:tc>
        <w:tc>
          <w:tcPr>
            <w:tcW w:w="50" w:type="pct"/>
            <w:shd w:val="clear" w:color="auto" w:fill="auto"/>
            <w:vAlign w:val="center"/>
          </w:tcPr>
          <w:p w14:paraId="4E56ABDA" w14:textId="77777777" w:rsidR="00DF3E10" w:rsidRDefault="00DF3E10">
            <w:pPr>
              <w:rPr>
                <w:rFonts w:ascii="Times New Roman" w:hAnsi="Times New Roman"/>
                <w:sz w:val="20"/>
                <w:szCs w:val="20"/>
              </w:rPr>
            </w:pPr>
          </w:p>
        </w:tc>
        <w:tc>
          <w:tcPr>
            <w:tcW w:w="50" w:type="pct"/>
            <w:shd w:val="clear" w:color="auto" w:fill="auto"/>
            <w:vAlign w:val="center"/>
          </w:tcPr>
          <w:p w14:paraId="4E56ABDB" w14:textId="77777777" w:rsidR="00DF3E10" w:rsidRDefault="00DF3E10">
            <w:pPr>
              <w:rPr>
                <w:rFonts w:ascii="Times New Roman" w:hAnsi="Times New Roman"/>
                <w:sz w:val="20"/>
                <w:szCs w:val="20"/>
              </w:rPr>
            </w:pPr>
          </w:p>
        </w:tc>
        <w:tc>
          <w:tcPr>
            <w:tcW w:w="50" w:type="pct"/>
            <w:shd w:val="clear" w:color="auto" w:fill="auto"/>
            <w:vAlign w:val="center"/>
          </w:tcPr>
          <w:p w14:paraId="4E56ABDC" w14:textId="77777777" w:rsidR="00DF3E10" w:rsidRDefault="00DF3E10">
            <w:pPr>
              <w:rPr>
                <w:rFonts w:ascii="Times New Roman" w:hAnsi="Times New Roman"/>
                <w:sz w:val="20"/>
                <w:szCs w:val="20"/>
              </w:rPr>
            </w:pPr>
          </w:p>
        </w:tc>
        <w:tc>
          <w:tcPr>
            <w:tcW w:w="500" w:type="pct"/>
            <w:shd w:val="clear" w:color="auto" w:fill="auto"/>
            <w:vAlign w:val="center"/>
          </w:tcPr>
          <w:p w14:paraId="4E56ABDD" w14:textId="77777777" w:rsidR="00DF3E10" w:rsidRDefault="00DF3E10">
            <w:pPr>
              <w:rPr>
                <w:rFonts w:ascii="Times New Roman" w:hAnsi="Times New Roman"/>
                <w:sz w:val="20"/>
                <w:szCs w:val="20"/>
              </w:rPr>
            </w:pPr>
          </w:p>
        </w:tc>
        <w:tc>
          <w:tcPr>
            <w:tcW w:w="50" w:type="pct"/>
            <w:shd w:val="clear" w:color="auto" w:fill="auto"/>
            <w:vAlign w:val="center"/>
          </w:tcPr>
          <w:p w14:paraId="4E56ABDE" w14:textId="77777777" w:rsidR="00DF3E10" w:rsidRDefault="00DF3E10">
            <w:pPr>
              <w:rPr>
                <w:rFonts w:ascii="Times New Roman" w:hAnsi="Times New Roman"/>
                <w:sz w:val="20"/>
                <w:szCs w:val="20"/>
              </w:rPr>
            </w:pPr>
          </w:p>
        </w:tc>
        <w:tc>
          <w:tcPr>
            <w:tcW w:w="50" w:type="pct"/>
            <w:shd w:val="clear" w:color="auto" w:fill="auto"/>
            <w:vAlign w:val="center"/>
          </w:tcPr>
          <w:p w14:paraId="4E56ABDF" w14:textId="77777777" w:rsidR="00DF3E10" w:rsidRDefault="00DF3E10">
            <w:pPr>
              <w:rPr>
                <w:rFonts w:ascii="Times New Roman" w:hAnsi="Times New Roman"/>
                <w:sz w:val="20"/>
                <w:szCs w:val="20"/>
              </w:rPr>
            </w:pPr>
          </w:p>
        </w:tc>
        <w:tc>
          <w:tcPr>
            <w:tcW w:w="550" w:type="pct"/>
            <w:shd w:val="clear" w:color="auto" w:fill="auto"/>
            <w:vAlign w:val="center"/>
          </w:tcPr>
          <w:p w14:paraId="4E56ABE0" w14:textId="77777777" w:rsidR="00DF3E10" w:rsidRDefault="00DF3E10">
            <w:pPr>
              <w:rPr>
                <w:rFonts w:ascii="Times New Roman" w:hAnsi="Times New Roman"/>
                <w:sz w:val="20"/>
                <w:szCs w:val="20"/>
              </w:rPr>
            </w:pPr>
          </w:p>
        </w:tc>
        <w:tc>
          <w:tcPr>
            <w:tcW w:w="50" w:type="pct"/>
            <w:shd w:val="clear" w:color="auto" w:fill="auto"/>
            <w:vAlign w:val="center"/>
          </w:tcPr>
          <w:p w14:paraId="4E56ABE1" w14:textId="77777777" w:rsidR="00DF3E10" w:rsidRDefault="00DF3E10">
            <w:pPr>
              <w:rPr>
                <w:rFonts w:ascii="Times New Roman" w:hAnsi="Times New Roman"/>
                <w:sz w:val="20"/>
                <w:szCs w:val="20"/>
              </w:rPr>
            </w:pPr>
          </w:p>
        </w:tc>
        <w:tc>
          <w:tcPr>
            <w:tcW w:w="50" w:type="pct"/>
            <w:shd w:val="clear" w:color="auto" w:fill="auto"/>
            <w:vAlign w:val="center"/>
          </w:tcPr>
          <w:p w14:paraId="4E56ABE2" w14:textId="77777777" w:rsidR="00DF3E10" w:rsidRDefault="00DF3E10">
            <w:pPr>
              <w:rPr>
                <w:rFonts w:ascii="Times New Roman" w:hAnsi="Times New Roman"/>
                <w:sz w:val="20"/>
                <w:szCs w:val="20"/>
              </w:rPr>
            </w:pPr>
          </w:p>
        </w:tc>
        <w:tc>
          <w:tcPr>
            <w:tcW w:w="50" w:type="pct"/>
            <w:shd w:val="clear" w:color="auto" w:fill="auto"/>
            <w:vAlign w:val="center"/>
          </w:tcPr>
          <w:p w14:paraId="4E56ABE3" w14:textId="77777777" w:rsidR="00DF3E10" w:rsidRDefault="00DF3E10">
            <w:pPr>
              <w:rPr>
                <w:rFonts w:ascii="Times New Roman" w:hAnsi="Times New Roman"/>
                <w:sz w:val="20"/>
                <w:szCs w:val="20"/>
              </w:rPr>
            </w:pPr>
          </w:p>
        </w:tc>
        <w:tc>
          <w:tcPr>
            <w:tcW w:w="500" w:type="pct"/>
            <w:shd w:val="clear" w:color="auto" w:fill="auto"/>
            <w:vAlign w:val="center"/>
          </w:tcPr>
          <w:p w14:paraId="4E56ABE4" w14:textId="77777777" w:rsidR="00DF3E10" w:rsidRDefault="00DF3E10">
            <w:pPr>
              <w:rPr>
                <w:rFonts w:ascii="Times New Roman" w:hAnsi="Times New Roman"/>
                <w:sz w:val="20"/>
                <w:szCs w:val="20"/>
              </w:rPr>
            </w:pPr>
          </w:p>
        </w:tc>
        <w:tc>
          <w:tcPr>
            <w:tcW w:w="50" w:type="pct"/>
            <w:shd w:val="clear" w:color="auto" w:fill="auto"/>
            <w:vAlign w:val="center"/>
          </w:tcPr>
          <w:p w14:paraId="4E56ABE5" w14:textId="77777777" w:rsidR="00DF3E10" w:rsidRDefault="00DF3E10">
            <w:pPr>
              <w:rPr>
                <w:rFonts w:ascii="Times New Roman" w:hAnsi="Times New Roman"/>
                <w:sz w:val="20"/>
                <w:szCs w:val="20"/>
              </w:rPr>
            </w:pPr>
          </w:p>
        </w:tc>
        <w:tc>
          <w:tcPr>
            <w:tcW w:w="50" w:type="pct"/>
            <w:shd w:val="clear" w:color="auto" w:fill="auto"/>
            <w:vAlign w:val="center"/>
          </w:tcPr>
          <w:p w14:paraId="4E56ABE6" w14:textId="77777777" w:rsidR="00DF3E10" w:rsidRDefault="00DF3E10">
            <w:pPr>
              <w:rPr>
                <w:rFonts w:ascii="Times New Roman" w:hAnsi="Times New Roman"/>
                <w:sz w:val="20"/>
                <w:szCs w:val="20"/>
              </w:rPr>
            </w:pPr>
          </w:p>
        </w:tc>
        <w:tc>
          <w:tcPr>
            <w:tcW w:w="50" w:type="pct"/>
            <w:shd w:val="clear" w:color="auto" w:fill="auto"/>
            <w:vAlign w:val="center"/>
          </w:tcPr>
          <w:p w14:paraId="4E56ABE7" w14:textId="77777777" w:rsidR="00DF3E10" w:rsidRDefault="00DF3E10">
            <w:pPr>
              <w:rPr>
                <w:rFonts w:ascii="Times New Roman" w:hAnsi="Times New Roman"/>
                <w:sz w:val="20"/>
                <w:szCs w:val="20"/>
              </w:rPr>
            </w:pPr>
          </w:p>
        </w:tc>
        <w:tc>
          <w:tcPr>
            <w:tcW w:w="500" w:type="pct"/>
            <w:shd w:val="clear" w:color="auto" w:fill="auto"/>
            <w:vAlign w:val="center"/>
          </w:tcPr>
          <w:p w14:paraId="4E56ABE8" w14:textId="77777777" w:rsidR="00DF3E10" w:rsidRDefault="00DF3E10">
            <w:pPr>
              <w:rPr>
                <w:rFonts w:ascii="Times New Roman" w:hAnsi="Times New Roman"/>
                <w:sz w:val="20"/>
                <w:szCs w:val="20"/>
              </w:rPr>
            </w:pPr>
          </w:p>
        </w:tc>
        <w:tc>
          <w:tcPr>
            <w:tcW w:w="50" w:type="pct"/>
            <w:shd w:val="clear" w:color="auto" w:fill="auto"/>
            <w:vAlign w:val="center"/>
          </w:tcPr>
          <w:p w14:paraId="4E56ABE9" w14:textId="77777777" w:rsidR="00DF3E10" w:rsidRDefault="00DF3E10">
            <w:pPr>
              <w:rPr>
                <w:rFonts w:ascii="Times New Roman" w:hAnsi="Times New Roman"/>
                <w:sz w:val="20"/>
                <w:szCs w:val="20"/>
              </w:rPr>
            </w:pPr>
          </w:p>
        </w:tc>
        <w:tc>
          <w:tcPr>
            <w:tcW w:w="50" w:type="pct"/>
            <w:shd w:val="clear" w:color="auto" w:fill="auto"/>
            <w:vAlign w:val="center"/>
          </w:tcPr>
          <w:p w14:paraId="4E56ABEA" w14:textId="77777777" w:rsidR="00DF3E10" w:rsidRDefault="00DF3E10">
            <w:pPr>
              <w:rPr>
                <w:rFonts w:ascii="Times New Roman" w:hAnsi="Times New Roman"/>
                <w:sz w:val="20"/>
                <w:szCs w:val="20"/>
              </w:rPr>
            </w:pPr>
          </w:p>
        </w:tc>
        <w:tc>
          <w:tcPr>
            <w:tcW w:w="550" w:type="pct"/>
            <w:shd w:val="clear" w:color="auto" w:fill="auto"/>
            <w:vAlign w:val="center"/>
          </w:tcPr>
          <w:p w14:paraId="4E56ABEB" w14:textId="77777777" w:rsidR="00DF3E10" w:rsidRDefault="00DF3E10">
            <w:pPr>
              <w:rPr>
                <w:rFonts w:ascii="Times New Roman" w:hAnsi="Times New Roman"/>
                <w:sz w:val="20"/>
                <w:szCs w:val="20"/>
              </w:rPr>
            </w:pPr>
          </w:p>
        </w:tc>
        <w:tc>
          <w:tcPr>
            <w:tcW w:w="50" w:type="pct"/>
            <w:shd w:val="clear" w:color="auto" w:fill="auto"/>
            <w:vAlign w:val="center"/>
          </w:tcPr>
          <w:p w14:paraId="4E56ABEC" w14:textId="77777777" w:rsidR="00DF3E10" w:rsidRDefault="00DF3E10">
            <w:pPr>
              <w:rPr>
                <w:rFonts w:ascii="Times New Roman" w:hAnsi="Times New Roman"/>
                <w:sz w:val="20"/>
                <w:szCs w:val="20"/>
              </w:rPr>
            </w:pPr>
          </w:p>
        </w:tc>
      </w:tr>
      <w:tr w:rsidR="00DF3E10" w14:paraId="4E56ABF6" w14:textId="77777777">
        <w:tc>
          <w:tcPr>
            <w:tcW w:w="0" w:type="auto"/>
            <w:shd w:val="clear" w:color="auto" w:fill="auto"/>
            <w:tcMar>
              <w:top w:w="40" w:type="dxa"/>
              <w:left w:w="40" w:type="dxa"/>
              <w:bottom w:w="40" w:type="dxa"/>
              <w:right w:w="40" w:type="dxa"/>
            </w:tcMar>
            <w:vAlign w:val="bottom"/>
          </w:tcPr>
          <w:p w14:paraId="4E56ABE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BE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BF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BF1"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B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BF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BF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BF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C03" w14:textId="77777777">
        <w:tc>
          <w:tcPr>
            <w:tcW w:w="0" w:type="auto"/>
            <w:shd w:val="clear" w:color="auto" w:fill="auto"/>
            <w:tcMar>
              <w:top w:w="40" w:type="dxa"/>
              <w:left w:w="40" w:type="dxa"/>
              <w:bottom w:w="40" w:type="dxa"/>
              <w:right w:w="40" w:type="dxa"/>
            </w:tcMar>
            <w:vAlign w:val="bottom"/>
          </w:tcPr>
          <w:p w14:paraId="4E56ABF7"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F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B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F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B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BF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B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BF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B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0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C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C0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C06" w14:textId="77777777">
        <w:tc>
          <w:tcPr>
            <w:tcW w:w="0" w:type="auto"/>
            <w:shd w:val="clear" w:color="auto" w:fill="auto"/>
            <w:tcMar>
              <w:top w:w="40" w:type="dxa"/>
              <w:left w:w="40" w:type="dxa"/>
              <w:bottom w:w="40" w:type="dxa"/>
              <w:right w:w="40" w:type="dxa"/>
            </w:tcMar>
            <w:vAlign w:val="bottom"/>
          </w:tcPr>
          <w:p w14:paraId="4E56AC0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center"/>
          </w:tcPr>
          <w:p w14:paraId="4E56AC05" w14:textId="77777777" w:rsidR="00DF3E10" w:rsidRDefault="006B6C28">
            <w:pPr>
              <w:jc w:val="center"/>
              <w:textAlignment w:val="center"/>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C1D" w14:textId="77777777">
        <w:tc>
          <w:tcPr>
            <w:tcW w:w="0" w:type="auto"/>
            <w:shd w:val="clear" w:color="auto" w:fill="CCEEFF"/>
            <w:tcMar>
              <w:top w:w="40" w:type="dxa"/>
              <w:left w:w="40" w:type="dxa"/>
              <w:bottom w:w="40" w:type="dxa"/>
              <w:right w:w="40" w:type="dxa"/>
            </w:tcMar>
          </w:tcPr>
          <w:p w14:paraId="4E56AC0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CCEEFF"/>
            <w:tcMar>
              <w:top w:w="40" w:type="dxa"/>
              <w:left w:w="40" w:type="dxa"/>
              <w:bottom w:w="40" w:type="dxa"/>
            </w:tcMar>
            <w:vAlign w:val="bottom"/>
          </w:tcPr>
          <w:p w14:paraId="4E56AC0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0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18,321</w:t>
            </w:r>
          </w:p>
        </w:tc>
        <w:tc>
          <w:tcPr>
            <w:tcW w:w="0" w:type="auto"/>
            <w:shd w:val="clear" w:color="auto" w:fill="CCEEFF"/>
            <w:vAlign w:val="bottom"/>
          </w:tcPr>
          <w:p w14:paraId="4E56AC0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0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0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0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16,624</w:t>
            </w:r>
          </w:p>
        </w:tc>
        <w:tc>
          <w:tcPr>
            <w:tcW w:w="0" w:type="auto"/>
            <w:shd w:val="clear" w:color="auto" w:fill="CCEEFF"/>
            <w:vAlign w:val="bottom"/>
          </w:tcPr>
          <w:p w14:paraId="4E56AC0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1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4E56AC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C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1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35,760</w:t>
            </w:r>
          </w:p>
        </w:tc>
        <w:tc>
          <w:tcPr>
            <w:tcW w:w="0" w:type="auto"/>
            <w:shd w:val="clear" w:color="auto" w:fill="CCEEFF"/>
            <w:vAlign w:val="bottom"/>
          </w:tcPr>
          <w:p w14:paraId="4E56AC1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1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1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31,536</w:t>
            </w:r>
          </w:p>
        </w:tc>
        <w:tc>
          <w:tcPr>
            <w:tcW w:w="0" w:type="auto"/>
            <w:shd w:val="clear" w:color="auto" w:fill="CCEEFF"/>
            <w:vAlign w:val="bottom"/>
          </w:tcPr>
          <w:p w14:paraId="4E56AC1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1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4E56AC1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C30" w14:textId="77777777">
        <w:tc>
          <w:tcPr>
            <w:tcW w:w="0" w:type="auto"/>
            <w:shd w:val="clear" w:color="auto" w:fill="auto"/>
            <w:tcMar>
              <w:top w:w="40" w:type="dxa"/>
              <w:left w:w="40" w:type="dxa"/>
              <w:bottom w:w="40" w:type="dxa"/>
              <w:right w:w="40" w:type="dxa"/>
            </w:tcMar>
          </w:tcPr>
          <w:p w14:paraId="4E56AC1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4E56AC1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366</w:t>
            </w:r>
          </w:p>
        </w:tc>
        <w:tc>
          <w:tcPr>
            <w:tcW w:w="0" w:type="auto"/>
            <w:tcBorders>
              <w:bottom w:val="single" w:sz="8" w:space="0" w:color="000000"/>
            </w:tcBorders>
            <w:shd w:val="clear" w:color="auto" w:fill="auto"/>
            <w:vAlign w:val="bottom"/>
          </w:tcPr>
          <w:p w14:paraId="4E56AC20"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C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C2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tcBorders>
              <w:bottom w:val="single" w:sz="8" w:space="0" w:color="000000"/>
            </w:tcBorders>
            <w:shd w:val="clear" w:color="auto" w:fill="auto"/>
            <w:vAlign w:val="bottom"/>
          </w:tcPr>
          <w:p w14:paraId="4E56AC23"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C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C2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auto"/>
            <w:tcMar>
              <w:top w:w="40" w:type="dxa"/>
              <w:bottom w:w="40" w:type="dxa"/>
              <w:right w:w="40" w:type="dxa"/>
            </w:tcMar>
            <w:vAlign w:val="bottom"/>
          </w:tcPr>
          <w:p w14:paraId="4E56AC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C2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tcBorders>
              <w:bottom w:val="single" w:sz="8" w:space="0" w:color="000000"/>
            </w:tcBorders>
            <w:shd w:val="clear" w:color="auto" w:fill="auto"/>
            <w:vAlign w:val="bottom"/>
          </w:tcPr>
          <w:p w14:paraId="4E56AC29"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C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C2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427</w:t>
            </w:r>
          </w:p>
        </w:tc>
        <w:tc>
          <w:tcPr>
            <w:tcW w:w="0" w:type="auto"/>
            <w:tcBorders>
              <w:bottom w:val="single" w:sz="8" w:space="0" w:color="000000"/>
            </w:tcBorders>
            <w:shd w:val="clear" w:color="auto" w:fill="auto"/>
            <w:vAlign w:val="bottom"/>
          </w:tcPr>
          <w:p w14:paraId="4E56AC2C"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C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C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tcMar>
              <w:top w:w="40" w:type="dxa"/>
              <w:bottom w:w="40" w:type="dxa"/>
              <w:right w:w="40" w:type="dxa"/>
            </w:tcMar>
            <w:vAlign w:val="bottom"/>
          </w:tcPr>
          <w:p w14:paraId="4E56AC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C47" w14:textId="77777777">
        <w:tc>
          <w:tcPr>
            <w:tcW w:w="0" w:type="auto"/>
            <w:shd w:val="clear" w:color="auto" w:fill="CCEEFF"/>
            <w:tcMar>
              <w:top w:w="40" w:type="dxa"/>
              <w:left w:w="400" w:type="dxa"/>
              <w:bottom w:w="40" w:type="dxa"/>
              <w:right w:w="40" w:type="dxa"/>
            </w:tcMar>
          </w:tcPr>
          <w:p w14:paraId="4E56AC3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4E56AC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C3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18,687</w:t>
            </w:r>
          </w:p>
        </w:tc>
        <w:tc>
          <w:tcPr>
            <w:tcW w:w="0" w:type="auto"/>
            <w:tcBorders>
              <w:bottom w:val="double" w:sz="6" w:space="0" w:color="000000"/>
            </w:tcBorders>
            <w:shd w:val="clear" w:color="auto" w:fill="CCEEFF"/>
            <w:vAlign w:val="bottom"/>
          </w:tcPr>
          <w:p w14:paraId="4E56AC3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C3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C3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16,886</w:t>
            </w:r>
          </w:p>
        </w:tc>
        <w:tc>
          <w:tcPr>
            <w:tcW w:w="0" w:type="auto"/>
            <w:tcBorders>
              <w:bottom w:val="double" w:sz="6" w:space="0" w:color="000000"/>
            </w:tcBorders>
            <w:shd w:val="clear" w:color="auto" w:fill="CCEEFF"/>
            <w:vAlign w:val="bottom"/>
          </w:tcPr>
          <w:p w14:paraId="4E56AC3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3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4E56AC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C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C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C3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36,423</w:t>
            </w:r>
          </w:p>
        </w:tc>
        <w:tc>
          <w:tcPr>
            <w:tcW w:w="0" w:type="auto"/>
            <w:tcBorders>
              <w:bottom w:val="double" w:sz="6" w:space="0" w:color="000000"/>
            </w:tcBorders>
            <w:shd w:val="clear" w:color="auto" w:fill="CCEEFF"/>
            <w:vAlign w:val="bottom"/>
          </w:tcPr>
          <w:p w14:paraId="4E56AC3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C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C4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31,963</w:t>
            </w:r>
          </w:p>
        </w:tc>
        <w:tc>
          <w:tcPr>
            <w:tcW w:w="0" w:type="auto"/>
            <w:tcBorders>
              <w:bottom w:val="double" w:sz="6" w:space="0" w:color="000000"/>
            </w:tcBorders>
            <w:shd w:val="clear" w:color="auto" w:fill="CCEEFF"/>
            <w:vAlign w:val="bottom"/>
          </w:tcPr>
          <w:p w14:paraId="4E56AC4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4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tcMar>
              <w:top w:w="40" w:type="dxa"/>
              <w:bottom w:w="40" w:type="dxa"/>
              <w:right w:w="40" w:type="dxa"/>
            </w:tcMar>
            <w:vAlign w:val="bottom"/>
          </w:tcPr>
          <w:p w14:paraId="4E56AC4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bl>
    <w:p w14:paraId="4E56AC4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Revenue in the three and six months ended June 30, 2020 increased $1.80 billion, or 11%, and </w:t>
      </w:r>
      <w:r>
        <w:rPr>
          <w:rFonts w:ascii="Times New Roman" w:eastAsia="宋体" w:hAnsi="Times New Roman"/>
          <w:sz w:val="20"/>
          <w:szCs w:val="20"/>
        </w:rPr>
        <w:t xml:space="preserve">$4.46 billion, or 14%, respectively, compared to the same periods in 2019. The increases in both periods were mostly due to an increase in advertising revenue as a result of an increase in the number of ads delivered, partially offset by a decrease in the </w:t>
      </w:r>
      <w:r>
        <w:rPr>
          <w:rFonts w:ascii="Times New Roman" w:eastAsia="宋体" w:hAnsi="Times New Roman"/>
          <w:sz w:val="20"/>
          <w:szCs w:val="20"/>
        </w:rPr>
        <w:t>average price per ad.</w:t>
      </w:r>
    </w:p>
    <w:p w14:paraId="4E56AC4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During the three and six months ended June 30, 2020, the number of ads delivered increased by 40% in both periods, as compared with approximately 33% in the same periods in 2019. The increase in the ads delivered was driven by an incr</w:t>
      </w:r>
      <w:r>
        <w:rPr>
          <w:rFonts w:ascii="Times New Roman" w:eastAsia="宋体" w:hAnsi="Times New Roman"/>
          <w:sz w:val="20"/>
          <w:szCs w:val="20"/>
        </w:rPr>
        <w:t>ease in the number and frequency of ads displayed across our products, and an increase in users and their engagement, particularly with Facebook mobile News Feed. During the three and six months ended June 30, 2020, the average price per ad decreased by 21</w:t>
      </w:r>
      <w:r>
        <w:rPr>
          <w:rFonts w:ascii="Times New Roman" w:eastAsia="宋体" w:hAnsi="Times New Roman"/>
          <w:sz w:val="20"/>
          <w:szCs w:val="20"/>
        </w:rPr>
        <w:t>% and 19%, respectively, as compared with a decrease of approximately 4% in both of the same periods in 2019. The decrease in average price per ad was primarily driven by a decrease in advertising demand globally due to the COVID-19 pandemic beginning in t</w:t>
      </w:r>
      <w:r>
        <w:rPr>
          <w:rFonts w:ascii="Times New Roman" w:eastAsia="宋体" w:hAnsi="Times New Roman"/>
          <w:sz w:val="20"/>
          <w:szCs w:val="20"/>
        </w:rPr>
        <w:t xml:space="preserve">he first quarter of 2020. To a lesser extent, the decrease in average price per ad was also caused by an increasing proportion of the number of ads delivered as Stories ads and in geographies that monetize at lower rates. </w:t>
      </w:r>
    </w:p>
    <w:p w14:paraId="4E56AC4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advertisers based in</w:t>
      </w:r>
      <w:r>
        <w:rPr>
          <w:rFonts w:ascii="Times New Roman" w:eastAsia="宋体" w:hAnsi="Times New Roman"/>
          <w:sz w:val="20"/>
          <w:szCs w:val="20"/>
        </w:rPr>
        <w:t xml:space="preserve"> the Asia-Pacific region benefited from an earlier recovery from COVID-19 in that region, which contributed to a stronger growth rate in our advertising revenue by advertiser location in Asia-Pacific compared to other regions during the second quarter of 2</w:t>
      </w:r>
      <w:r>
        <w:rPr>
          <w:rFonts w:ascii="Times New Roman" w:eastAsia="宋体" w:hAnsi="Times New Roman"/>
          <w:sz w:val="20"/>
          <w:szCs w:val="20"/>
        </w:rPr>
        <w:t xml:space="preserve">020, as compared to the same period in 2019. In the near-term, we anticipate that future advertising revenue growth will be determined primarily by the extent to which the COVID-19 pandemic and related economic </w:t>
      </w:r>
    </w:p>
    <w:p w14:paraId="4E56AC4B" w14:textId="77777777" w:rsidR="00DF3E10" w:rsidRDefault="00DF3E10">
      <w:pPr>
        <w:rPr>
          <w:rFonts w:ascii="Times New Roman" w:hAnsi="Times New Roman"/>
          <w:sz w:val="20"/>
          <w:szCs w:val="20"/>
        </w:rPr>
      </w:pPr>
    </w:p>
    <w:p w14:paraId="4E56AC4C"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38</w:t>
      </w:r>
    </w:p>
    <w:p w14:paraId="4E56AC4D" w14:textId="77777777" w:rsidR="00DF3E10" w:rsidRDefault="006B6C28">
      <w:r>
        <w:rPr>
          <w:rFonts w:ascii="Times New Roman" w:hAnsi="Times New Roman"/>
          <w:sz w:val="20"/>
          <w:szCs w:val="20"/>
        </w:rPr>
        <w:pict w14:anchorId="4E56B783">
          <v:rect id="_x0000_i1062" style="width:415.3pt;height:1.5pt" o:hralign="center" o:hrstd="t" o:hr="t" fillcolor="#a0a0a0" stroked="f"/>
        </w:pict>
      </w:r>
    </w:p>
    <w:p w14:paraId="4E56AC4E" w14:textId="77777777" w:rsidR="00DF3E10" w:rsidRDefault="006B6C28">
      <w:pPr>
        <w:spacing w:line="288" w:lineRule="auto"/>
        <w:rPr>
          <w:rFonts w:ascii="Times New Roman" w:hAnsi="Times New Roman"/>
          <w:sz w:val="20"/>
          <w:szCs w:val="20"/>
        </w:rPr>
      </w:pPr>
      <w:hyperlink r:id="rId80" w:anchor="sC1FF62F0D4D85317B5B2C71C7C94F269" w:history="1">
        <w:r>
          <w:rPr>
            <w:rStyle w:val="a5"/>
            <w:rFonts w:ascii="Times New Roman" w:eastAsia="宋体" w:hAnsi="Times New Roman"/>
            <w:sz w:val="20"/>
            <w:szCs w:val="20"/>
          </w:rPr>
          <w:t>Table of Contents</w:t>
        </w:r>
      </w:hyperlink>
    </w:p>
    <w:p w14:paraId="4E56AC4F" w14:textId="77777777" w:rsidR="00DF3E10" w:rsidRDefault="00DF3E10">
      <w:pPr>
        <w:rPr>
          <w:rFonts w:ascii="Times New Roman" w:hAnsi="Times New Roman"/>
          <w:sz w:val="20"/>
          <w:szCs w:val="20"/>
        </w:rPr>
      </w:pPr>
    </w:p>
    <w:p w14:paraId="4E56AC50"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slowdown result in a decrease in advertising demand, as well as the extent to which changes to the regulatory </w:t>
      </w:r>
      <w:r>
        <w:rPr>
          <w:rFonts w:ascii="Times New Roman" w:eastAsia="宋体" w:hAnsi="Times New Roman"/>
          <w:sz w:val="20"/>
          <w:szCs w:val="20"/>
        </w:rPr>
        <w:t>environment and third-party mobile operating systems and browsers result in limitations on our ad targeting and measurement tools.</w:t>
      </w:r>
    </w:p>
    <w:p w14:paraId="4E56AC51" w14:textId="77777777" w:rsidR="00DF3E10" w:rsidRDefault="006B6C28">
      <w:pPr>
        <w:spacing w:line="288" w:lineRule="auto"/>
        <w:jc w:val="both"/>
        <w:rPr>
          <w:rFonts w:ascii="Times New Roman" w:hAnsi="Times New Roman"/>
          <w:sz w:val="20"/>
          <w:szCs w:val="20"/>
        </w:rPr>
      </w:pPr>
      <w:r>
        <w:rPr>
          <w:rFonts w:ascii="Times New Roman" w:eastAsia="宋体" w:hAnsi="Times New Roman"/>
          <w:i/>
          <w:iCs/>
          <w:sz w:val="20"/>
          <w:szCs w:val="20"/>
        </w:rPr>
        <w:t>Foreign Exchange Impact on Revenue</w:t>
      </w:r>
    </w:p>
    <w:p w14:paraId="4E56AC5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general strengthening of the U.S. dollar relative to certain foreign currencies in the</w:t>
      </w:r>
      <w:r>
        <w:rPr>
          <w:rFonts w:ascii="Times New Roman" w:eastAsia="宋体" w:hAnsi="Times New Roman"/>
          <w:sz w:val="20"/>
          <w:szCs w:val="20"/>
        </w:rPr>
        <w:t xml:space="preserve"> three and six months ended June 30, 2020 compared to the same periods in 2019 had an unfavorable impact on revenue. If we had translated revenue for the three months ended June 30, 2020 using the prior year's monthly exchange rates for our settlement or b</w:t>
      </w:r>
      <w:r>
        <w:rPr>
          <w:rFonts w:ascii="Times New Roman" w:eastAsia="宋体" w:hAnsi="Times New Roman"/>
          <w:sz w:val="20"/>
          <w:szCs w:val="20"/>
        </w:rPr>
        <w:t>illing currencies other than the U.S. dollar, our total revenue and advertising revenue would have been $18.98 billion and $18.62 billion, respectively. Using these constant rates, total revenue and advertising revenue would have been $297 million and $295</w:t>
      </w:r>
      <w:r>
        <w:rPr>
          <w:rFonts w:ascii="Times New Roman" w:eastAsia="宋体" w:hAnsi="Times New Roman"/>
          <w:sz w:val="20"/>
          <w:szCs w:val="20"/>
        </w:rPr>
        <w:t xml:space="preserve"> million higher than actual total revenue and advertising revenue, respectively, for the three months ended June 30, 2020. If we had translated revenue for the six months ended June 30, 2020 using the prior year's monthly exchange rates for our settlement </w:t>
      </w:r>
      <w:r>
        <w:rPr>
          <w:rFonts w:ascii="Times New Roman" w:eastAsia="宋体" w:hAnsi="Times New Roman"/>
          <w:sz w:val="20"/>
          <w:szCs w:val="20"/>
        </w:rPr>
        <w:t>or billing currencies other than the U.S. dollar, total revenue and advertising revenue would have been $37.0 billion and $36.33 billion, respectively. Using these constant rates, total revenue and advertising revenue would have been $573 million and $571 </w:t>
      </w:r>
      <w:r>
        <w:rPr>
          <w:rFonts w:ascii="Times New Roman" w:eastAsia="宋体" w:hAnsi="Times New Roman"/>
          <w:sz w:val="20"/>
          <w:szCs w:val="20"/>
        </w:rPr>
        <w:t>million higher than actual total revenue and advertising revenue, respectively, for the six months ended June 30, 2020.</w:t>
      </w:r>
    </w:p>
    <w:p w14:paraId="4E56AC53"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Cost of revenue</w:t>
      </w:r>
    </w:p>
    <w:tbl>
      <w:tblPr>
        <w:tblW w:w="5000" w:type="pct"/>
        <w:tblCellMar>
          <w:left w:w="0" w:type="dxa"/>
          <w:right w:w="0" w:type="dxa"/>
        </w:tblCellMar>
        <w:tblLook w:val="04A0" w:firstRow="1" w:lastRow="0" w:firstColumn="1" w:lastColumn="0" w:noHBand="0" w:noVBand="1"/>
      </w:tblPr>
      <w:tblGrid>
        <w:gridCol w:w="1737"/>
        <w:gridCol w:w="140"/>
        <w:gridCol w:w="658"/>
        <w:gridCol w:w="207"/>
        <w:gridCol w:w="130"/>
        <w:gridCol w:w="140"/>
        <w:gridCol w:w="658"/>
        <w:gridCol w:w="207"/>
        <w:gridCol w:w="130"/>
        <w:gridCol w:w="741"/>
        <w:gridCol w:w="207"/>
        <w:gridCol w:w="130"/>
        <w:gridCol w:w="140"/>
        <w:gridCol w:w="659"/>
        <w:gridCol w:w="207"/>
        <w:gridCol w:w="130"/>
        <w:gridCol w:w="140"/>
        <w:gridCol w:w="659"/>
        <w:gridCol w:w="207"/>
        <w:gridCol w:w="130"/>
        <w:gridCol w:w="742"/>
        <w:gridCol w:w="207"/>
      </w:tblGrid>
      <w:tr w:rsidR="00DF3E10" w14:paraId="4E56AC55" w14:textId="77777777">
        <w:tc>
          <w:tcPr>
            <w:tcW w:w="0" w:type="auto"/>
            <w:gridSpan w:val="22"/>
            <w:shd w:val="clear" w:color="auto" w:fill="auto"/>
            <w:vAlign w:val="center"/>
          </w:tcPr>
          <w:p w14:paraId="4E56AC54" w14:textId="77777777" w:rsidR="00DF3E10" w:rsidRDefault="00DF3E10">
            <w:pPr>
              <w:rPr>
                <w:rFonts w:ascii="Times New Roman" w:hAnsi="Times New Roman"/>
                <w:sz w:val="20"/>
                <w:szCs w:val="20"/>
              </w:rPr>
            </w:pPr>
          </w:p>
        </w:tc>
      </w:tr>
      <w:tr w:rsidR="00DF3E10" w14:paraId="4E56AC6C" w14:textId="77777777">
        <w:tc>
          <w:tcPr>
            <w:tcW w:w="1150" w:type="pct"/>
            <w:shd w:val="clear" w:color="auto" w:fill="auto"/>
            <w:vAlign w:val="center"/>
          </w:tcPr>
          <w:p w14:paraId="4E56AC56" w14:textId="77777777" w:rsidR="00DF3E10" w:rsidRDefault="00DF3E10">
            <w:pPr>
              <w:rPr>
                <w:rFonts w:ascii="Times New Roman" w:hAnsi="Times New Roman"/>
                <w:sz w:val="20"/>
                <w:szCs w:val="20"/>
              </w:rPr>
            </w:pPr>
          </w:p>
        </w:tc>
        <w:tc>
          <w:tcPr>
            <w:tcW w:w="50" w:type="pct"/>
            <w:shd w:val="clear" w:color="auto" w:fill="auto"/>
            <w:vAlign w:val="center"/>
          </w:tcPr>
          <w:p w14:paraId="4E56AC57" w14:textId="77777777" w:rsidR="00DF3E10" w:rsidRDefault="00DF3E10">
            <w:pPr>
              <w:rPr>
                <w:rFonts w:ascii="Times New Roman" w:hAnsi="Times New Roman"/>
                <w:sz w:val="20"/>
                <w:szCs w:val="20"/>
              </w:rPr>
            </w:pPr>
          </w:p>
        </w:tc>
        <w:tc>
          <w:tcPr>
            <w:tcW w:w="500" w:type="pct"/>
            <w:shd w:val="clear" w:color="auto" w:fill="auto"/>
            <w:vAlign w:val="center"/>
          </w:tcPr>
          <w:p w14:paraId="4E56AC58" w14:textId="77777777" w:rsidR="00DF3E10" w:rsidRDefault="00DF3E10">
            <w:pPr>
              <w:rPr>
                <w:rFonts w:ascii="Times New Roman" w:hAnsi="Times New Roman"/>
                <w:sz w:val="20"/>
                <w:szCs w:val="20"/>
              </w:rPr>
            </w:pPr>
          </w:p>
        </w:tc>
        <w:tc>
          <w:tcPr>
            <w:tcW w:w="50" w:type="pct"/>
            <w:shd w:val="clear" w:color="auto" w:fill="auto"/>
            <w:vAlign w:val="center"/>
          </w:tcPr>
          <w:p w14:paraId="4E56AC59" w14:textId="77777777" w:rsidR="00DF3E10" w:rsidRDefault="00DF3E10">
            <w:pPr>
              <w:rPr>
                <w:rFonts w:ascii="Times New Roman" w:hAnsi="Times New Roman"/>
                <w:sz w:val="20"/>
                <w:szCs w:val="20"/>
              </w:rPr>
            </w:pPr>
          </w:p>
        </w:tc>
        <w:tc>
          <w:tcPr>
            <w:tcW w:w="50" w:type="pct"/>
            <w:shd w:val="clear" w:color="auto" w:fill="auto"/>
            <w:vAlign w:val="center"/>
          </w:tcPr>
          <w:p w14:paraId="4E56AC5A" w14:textId="77777777" w:rsidR="00DF3E10" w:rsidRDefault="00DF3E10">
            <w:pPr>
              <w:rPr>
                <w:rFonts w:ascii="Times New Roman" w:hAnsi="Times New Roman"/>
                <w:sz w:val="20"/>
                <w:szCs w:val="20"/>
              </w:rPr>
            </w:pPr>
          </w:p>
        </w:tc>
        <w:tc>
          <w:tcPr>
            <w:tcW w:w="50" w:type="pct"/>
            <w:shd w:val="clear" w:color="auto" w:fill="auto"/>
            <w:vAlign w:val="center"/>
          </w:tcPr>
          <w:p w14:paraId="4E56AC5B" w14:textId="77777777" w:rsidR="00DF3E10" w:rsidRDefault="00DF3E10">
            <w:pPr>
              <w:rPr>
                <w:rFonts w:ascii="Times New Roman" w:hAnsi="Times New Roman"/>
                <w:sz w:val="20"/>
                <w:szCs w:val="20"/>
              </w:rPr>
            </w:pPr>
          </w:p>
        </w:tc>
        <w:tc>
          <w:tcPr>
            <w:tcW w:w="500" w:type="pct"/>
            <w:shd w:val="clear" w:color="auto" w:fill="auto"/>
            <w:vAlign w:val="center"/>
          </w:tcPr>
          <w:p w14:paraId="4E56AC5C" w14:textId="77777777" w:rsidR="00DF3E10" w:rsidRDefault="00DF3E10">
            <w:pPr>
              <w:rPr>
                <w:rFonts w:ascii="Times New Roman" w:hAnsi="Times New Roman"/>
                <w:sz w:val="20"/>
                <w:szCs w:val="20"/>
              </w:rPr>
            </w:pPr>
          </w:p>
        </w:tc>
        <w:tc>
          <w:tcPr>
            <w:tcW w:w="50" w:type="pct"/>
            <w:shd w:val="clear" w:color="auto" w:fill="auto"/>
            <w:vAlign w:val="center"/>
          </w:tcPr>
          <w:p w14:paraId="4E56AC5D" w14:textId="77777777" w:rsidR="00DF3E10" w:rsidRDefault="00DF3E10">
            <w:pPr>
              <w:rPr>
                <w:rFonts w:ascii="Times New Roman" w:hAnsi="Times New Roman"/>
                <w:sz w:val="20"/>
                <w:szCs w:val="20"/>
              </w:rPr>
            </w:pPr>
          </w:p>
        </w:tc>
        <w:tc>
          <w:tcPr>
            <w:tcW w:w="50" w:type="pct"/>
            <w:shd w:val="clear" w:color="auto" w:fill="auto"/>
            <w:vAlign w:val="center"/>
          </w:tcPr>
          <w:p w14:paraId="4E56AC5E" w14:textId="77777777" w:rsidR="00DF3E10" w:rsidRDefault="00DF3E10">
            <w:pPr>
              <w:rPr>
                <w:rFonts w:ascii="Times New Roman" w:hAnsi="Times New Roman"/>
                <w:sz w:val="20"/>
                <w:szCs w:val="20"/>
              </w:rPr>
            </w:pPr>
          </w:p>
        </w:tc>
        <w:tc>
          <w:tcPr>
            <w:tcW w:w="550" w:type="pct"/>
            <w:shd w:val="clear" w:color="auto" w:fill="auto"/>
            <w:vAlign w:val="center"/>
          </w:tcPr>
          <w:p w14:paraId="4E56AC5F" w14:textId="77777777" w:rsidR="00DF3E10" w:rsidRDefault="00DF3E10">
            <w:pPr>
              <w:rPr>
                <w:rFonts w:ascii="Times New Roman" w:hAnsi="Times New Roman"/>
                <w:sz w:val="20"/>
                <w:szCs w:val="20"/>
              </w:rPr>
            </w:pPr>
          </w:p>
        </w:tc>
        <w:tc>
          <w:tcPr>
            <w:tcW w:w="50" w:type="pct"/>
            <w:shd w:val="clear" w:color="auto" w:fill="auto"/>
            <w:vAlign w:val="center"/>
          </w:tcPr>
          <w:p w14:paraId="4E56AC60" w14:textId="77777777" w:rsidR="00DF3E10" w:rsidRDefault="00DF3E10">
            <w:pPr>
              <w:rPr>
                <w:rFonts w:ascii="Times New Roman" w:hAnsi="Times New Roman"/>
                <w:sz w:val="20"/>
                <w:szCs w:val="20"/>
              </w:rPr>
            </w:pPr>
          </w:p>
        </w:tc>
        <w:tc>
          <w:tcPr>
            <w:tcW w:w="50" w:type="pct"/>
            <w:shd w:val="clear" w:color="auto" w:fill="auto"/>
            <w:vAlign w:val="center"/>
          </w:tcPr>
          <w:p w14:paraId="4E56AC61" w14:textId="77777777" w:rsidR="00DF3E10" w:rsidRDefault="00DF3E10">
            <w:pPr>
              <w:rPr>
                <w:rFonts w:ascii="Times New Roman" w:hAnsi="Times New Roman"/>
                <w:sz w:val="20"/>
                <w:szCs w:val="20"/>
              </w:rPr>
            </w:pPr>
          </w:p>
        </w:tc>
        <w:tc>
          <w:tcPr>
            <w:tcW w:w="50" w:type="pct"/>
            <w:shd w:val="clear" w:color="auto" w:fill="auto"/>
            <w:vAlign w:val="center"/>
          </w:tcPr>
          <w:p w14:paraId="4E56AC62" w14:textId="77777777" w:rsidR="00DF3E10" w:rsidRDefault="00DF3E10">
            <w:pPr>
              <w:rPr>
                <w:rFonts w:ascii="Times New Roman" w:hAnsi="Times New Roman"/>
                <w:sz w:val="20"/>
                <w:szCs w:val="20"/>
              </w:rPr>
            </w:pPr>
          </w:p>
        </w:tc>
        <w:tc>
          <w:tcPr>
            <w:tcW w:w="500" w:type="pct"/>
            <w:shd w:val="clear" w:color="auto" w:fill="auto"/>
            <w:vAlign w:val="center"/>
          </w:tcPr>
          <w:p w14:paraId="4E56AC63" w14:textId="77777777" w:rsidR="00DF3E10" w:rsidRDefault="00DF3E10">
            <w:pPr>
              <w:rPr>
                <w:rFonts w:ascii="Times New Roman" w:hAnsi="Times New Roman"/>
                <w:sz w:val="20"/>
                <w:szCs w:val="20"/>
              </w:rPr>
            </w:pPr>
          </w:p>
        </w:tc>
        <w:tc>
          <w:tcPr>
            <w:tcW w:w="50" w:type="pct"/>
            <w:shd w:val="clear" w:color="auto" w:fill="auto"/>
            <w:vAlign w:val="center"/>
          </w:tcPr>
          <w:p w14:paraId="4E56AC64" w14:textId="77777777" w:rsidR="00DF3E10" w:rsidRDefault="00DF3E10">
            <w:pPr>
              <w:rPr>
                <w:rFonts w:ascii="Times New Roman" w:hAnsi="Times New Roman"/>
                <w:sz w:val="20"/>
                <w:szCs w:val="20"/>
              </w:rPr>
            </w:pPr>
          </w:p>
        </w:tc>
        <w:tc>
          <w:tcPr>
            <w:tcW w:w="50" w:type="pct"/>
            <w:shd w:val="clear" w:color="auto" w:fill="auto"/>
            <w:vAlign w:val="center"/>
          </w:tcPr>
          <w:p w14:paraId="4E56AC65" w14:textId="77777777" w:rsidR="00DF3E10" w:rsidRDefault="00DF3E10">
            <w:pPr>
              <w:rPr>
                <w:rFonts w:ascii="Times New Roman" w:hAnsi="Times New Roman"/>
                <w:sz w:val="20"/>
                <w:szCs w:val="20"/>
              </w:rPr>
            </w:pPr>
          </w:p>
        </w:tc>
        <w:tc>
          <w:tcPr>
            <w:tcW w:w="50" w:type="pct"/>
            <w:shd w:val="clear" w:color="auto" w:fill="auto"/>
            <w:vAlign w:val="center"/>
          </w:tcPr>
          <w:p w14:paraId="4E56AC66" w14:textId="77777777" w:rsidR="00DF3E10" w:rsidRDefault="00DF3E10">
            <w:pPr>
              <w:rPr>
                <w:rFonts w:ascii="Times New Roman" w:hAnsi="Times New Roman"/>
                <w:sz w:val="20"/>
                <w:szCs w:val="20"/>
              </w:rPr>
            </w:pPr>
          </w:p>
        </w:tc>
        <w:tc>
          <w:tcPr>
            <w:tcW w:w="500" w:type="pct"/>
            <w:shd w:val="clear" w:color="auto" w:fill="auto"/>
            <w:vAlign w:val="center"/>
          </w:tcPr>
          <w:p w14:paraId="4E56AC67" w14:textId="77777777" w:rsidR="00DF3E10" w:rsidRDefault="00DF3E10">
            <w:pPr>
              <w:rPr>
                <w:rFonts w:ascii="Times New Roman" w:hAnsi="Times New Roman"/>
                <w:sz w:val="20"/>
                <w:szCs w:val="20"/>
              </w:rPr>
            </w:pPr>
          </w:p>
        </w:tc>
        <w:tc>
          <w:tcPr>
            <w:tcW w:w="50" w:type="pct"/>
            <w:shd w:val="clear" w:color="auto" w:fill="auto"/>
            <w:vAlign w:val="center"/>
          </w:tcPr>
          <w:p w14:paraId="4E56AC68" w14:textId="77777777" w:rsidR="00DF3E10" w:rsidRDefault="00DF3E10">
            <w:pPr>
              <w:rPr>
                <w:rFonts w:ascii="Times New Roman" w:hAnsi="Times New Roman"/>
                <w:sz w:val="20"/>
                <w:szCs w:val="20"/>
              </w:rPr>
            </w:pPr>
          </w:p>
        </w:tc>
        <w:tc>
          <w:tcPr>
            <w:tcW w:w="50" w:type="pct"/>
            <w:shd w:val="clear" w:color="auto" w:fill="auto"/>
            <w:vAlign w:val="center"/>
          </w:tcPr>
          <w:p w14:paraId="4E56AC69" w14:textId="77777777" w:rsidR="00DF3E10" w:rsidRDefault="00DF3E10">
            <w:pPr>
              <w:rPr>
                <w:rFonts w:ascii="Times New Roman" w:hAnsi="Times New Roman"/>
                <w:sz w:val="20"/>
                <w:szCs w:val="20"/>
              </w:rPr>
            </w:pPr>
          </w:p>
        </w:tc>
        <w:tc>
          <w:tcPr>
            <w:tcW w:w="550" w:type="pct"/>
            <w:shd w:val="clear" w:color="auto" w:fill="auto"/>
            <w:vAlign w:val="center"/>
          </w:tcPr>
          <w:p w14:paraId="4E56AC6A" w14:textId="77777777" w:rsidR="00DF3E10" w:rsidRDefault="00DF3E10">
            <w:pPr>
              <w:rPr>
                <w:rFonts w:ascii="Times New Roman" w:hAnsi="Times New Roman"/>
                <w:sz w:val="20"/>
                <w:szCs w:val="20"/>
              </w:rPr>
            </w:pPr>
          </w:p>
        </w:tc>
        <w:tc>
          <w:tcPr>
            <w:tcW w:w="50" w:type="pct"/>
            <w:shd w:val="clear" w:color="auto" w:fill="auto"/>
            <w:vAlign w:val="center"/>
          </w:tcPr>
          <w:p w14:paraId="4E56AC6B" w14:textId="77777777" w:rsidR="00DF3E10" w:rsidRDefault="00DF3E10">
            <w:pPr>
              <w:rPr>
                <w:rFonts w:ascii="Times New Roman" w:hAnsi="Times New Roman"/>
                <w:sz w:val="20"/>
                <w:szCs w:val="20"/>
              </w:rPr>
            </w:pPr>
          </w:p>
        </w:tc>
      </w:tr>
      <w:tr w:rsidR="00DF3E10" w14:paraId="4E56AC75" w14:textId="77777777">
        <w:tc>
          <w:tcPr>
            <w:tcW w:w="0" w:type="auto"/>
            <w:shd w:val="clear" w:color="auto" w:fill="auto"/>
            <w:tcMar>
              <w:top w:w="40" w:type="dxa"/>
              <w:left w:w="40" w:type="dxa"/>
              <w:bottom w:w="40" w:type="dxa"/>
              <w:right w:w="40" w:type="dxa"/>
            </w:tcMar>
            <w:vAlign w:val="bottom"/>
          </w:tcPr>
          <w:p w14:paraId="4E56AC6D"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C6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C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7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C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C7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C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7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C82" w14:textId="77777777">
        <w:tc>
          <w:tcPr>
            <w:tcW w:w="0" w:type="auto"/>
            <w:shd w:val="clear" w:color="auto" w:fill="auto"/>
            <w:tcMar>
              <w:top w:w="40" w:type="dxa"/>
              <w:left w:w="40" w:type="dxa"/>
              <w:bottom w:w="40" w:type="dxa"/>
              <w:right w:w="40" w:type="dxa"/>
            </w:tcMar>
            <w:vAlign w:val="bottom"/>
          </w:tcPr>
          <w:p w14:paraId="4E56AC7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7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C7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7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C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C7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C7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7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C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7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C8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C8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C85" w14:textId="77777777">
        <w:tc>
          <w:tcPr>
            <w:tcW w:w="0" w:type="auto"/>
            <w:shd w:val="clear" w:color="auto" w:fill="auto"/>
            <w:tcMar>
              <w:top w:w="40" w:type="dxa"/>
              <w:left w:w="40" w:type="dxa"/>
              <w:bottom w:w="40" w:type="dxa"/>
              <w:right w:w="40" w:type="dxa"/>
            </w:tcMar>
            <w:vAlign w:val="bottom"/>
          </w:tcPr>
          <w:p w14:paraId="4E56AC83"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C84"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C9C" w14:textId="77777777">
        <w:tc>
          <w:tcPr>
            <w:tcW w:w="0" w:type="auto"/>
            <w:shd w:val="clear" w:color="auto" w:fill="CCEEFF"/>
            <w:tcMar>
              <w:top w:w="40" w:type="dxa"/>
              <w:left w:w="40" w:type="dxa"/>
              <w:bottom w:w="40" w:type="dxa"/>
              <w:right w:w="40" w:type="dxa"/>
            </w:tcMar>
          </w:tcPr>
          <w:p w14:paraId="4E56AC8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4E56AC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8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3,829</w:t>
            </w:r>
          </w:p>
        </w:tc>
        <w:tc>
          <w:tcPr>
            <w:tcW w:w="0" w:type="auto"/>
            <w:shd w:val="clear" w:color="auto" w:fill="CCEEFF"/>
            <w:vAlign w:val="bottom"/>
          </w:tcPr>
          <w:p w14:paraId="4E56AC8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8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8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3,307</w:t>
            </w:r>
          </w:p>
        </w:tc>
        <w:tc>
          <w:tcPr>
            <w:tcW w:w="0" w:type="auto"/>
            <w:shd w:val="clear" w:color="auto" w:fill="CCEEFF"/>
            <w:vAlign w:val="bottom"/>
          </w:tcPr>
          <w:p w14:paraId="4E56AC8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8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8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4E56AC9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C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9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9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shd w:val="clear" w:color="auto" w:fill="CCEEFF"/>
            <w:vAlign w:val="bottom"/>
          </w:tcPr>
          <w:p w14:paraId="4E56AC9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9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9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6,123</w:t>
            </w:r>
          </w:p>
        </w:tc>
        <w:tc>
          <w:tcPr>
            <w:tcW w:w="0" w:type="auto"/>
            <w:shd w:val="clear" w:color="auto" w:fill="CCEEFF"/>
            <w:vAlign w:val="bottom"/>
          </w:tcPr>
          <w:p w14:paraId="4E56AC9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9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4E56AC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CAD" w14:textId="77777777">
        <w:tc>
          <w:tcPr>
            <w:tcW w:w="0" w:type="auto"/>
            <w:shd w:val="clear" w:color="auto" w:fill="auto"/>
            <w:tcMar>
              <w:top w:w="40" w:type="dxa"/>
              <w:left w:w="40" w:type="dxa"/>
              <w:bottom w:w="40" w:type="dxa"/>
              <w:right w:w="40" w:type="dxa"/>
            </w:tcMar>
          </w:tcPr>
          <w:p w14:paraId="4E56AC9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4E56AC9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4E56AC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C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4E56ACA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C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CA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4E56AC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A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CA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4E56AC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A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ACA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Cost of revenue in the three and six months ended June 30, 2020 increased $522 million, or 16%, and $1.16 billion, or 19%, respectively, compared to the same periods in 2019. The increases in both periods were mostly due to increases in operational expense</w:t>
      </w:r>
      <w:r>
        <w:rPr>
          <w:rFonts w:ascii="Times New Roman" w:eastAsia="宋体" w:hAnsi="Times New Roman"/>
          <w:sz w:val="20"/>
          <w:szCs w:val="20"/>
        </w:rPr>
        <w:t xml:space="preserve">s related to our data centers and technical infrastructure, higher costs associated with partnership agreements, including traffic acquisition and content acquisition costs, and higher cost of consumer hardware devices. </w:t>
      </w:r>
    </w:p>
    <w:p w14:paraId="4E56ACAF"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Research and development</w:t>
      </w:r>
    </w:p>
    <w:tbl>
      <w:tblPr>
        <w:tblW w:w="5000" w:type="pct"/>
        <w:tblCellMar>
          <w:left w:w="0" w:type="dxa"/>
          <w:right w:w="0" w:type="dxa"/>
        </w:tblCellMar>
        <w:tblLook w:val="04A0" w:firstRow="1" w:lastRow="0" w:firstColumn="1" w:lastColumn="0" w:noHBand="0" w:noVBand="1"/>
      </w:tblPr>
      <w:tblGrid>
        <w:gridCol w:w="1737"/>
        <w:gridCol w:w="140"/>
        <w:gridCol w:w="658"/>
        <w:gridCol w:w="207"/>
        <w:gridCol w:w="130"/>
        <w:gridCol w:w="140"/>
        <w:gridCol w:w="658"/>
        <w:gridCol w:w="207"/>
        <w:gridCol w:w="130"/>
        <w:gridCol w:w="741"/>
        <w:gridCol w:w="207"/>
        <w:gridCol w:w="130"/>
        <w:gridCol w:w="140"/>
        <w:gridCol w:w="659"/>
        <w:gridCol w:w="207"/>
        <w:gridCol w:w="130"/>
        <w:gridCol w:w="140"/>
        <w:gridCol w:w="659"/>
        <w:gridCol w:w="207"/>
        <w:gridCol w:w="130"/>
        <w:gridCol w:w="742"/>
        <w:gridCol w:w="207"/>
      </w:tblGrid>
      <w:tr w:rsidR="00DF3E10" w14:paraId="4E56ACB1" w14:textId="77777777">
        <w:tc>
          <w:tcPr>
            <w:tcW w:w="0" w:type="auto"/>
            <w:gridSpan w:val="22"/>
            <w:shd w:val="clear" w:color="auto" w:fill="auto"/>
            <w:vAlign w:val="center"/>
          </w:tcPr>
          <w:p w14:paraId="4E56ACB0" w14:textId="77777777" w:rsidR="00DF3E10" w:rsidRDefault="00DF3E10">
            <w:pPr>
              <w:rPr>
                <w:rFonts w:ascii="Times New Roman" w:hAnsi="Times New Roman"/>
                <w:sz w:val="20"/>
                <w:szCs w:val="20"/>
              </w:rPr>
            </w:pPr>
          </w:p>
        </w:tc>
      </w:tr>
      <w:tr w:rsidR="00DF3E10" w14:paraId="4E56ACC8" w14:textId="77777777">
        <w:tc>
          <w:tcPr>
            <w:tcW w:w="1150" w:type="pct"/>
            <w:shd w:val="clear" w:color="auto" w:fill="auto"/>
            <w:vAlign w:val="center"/>
          </w:tcPr>
          <w:p w14:paraId="4E56ACB2" w14:textId="77777777" w:rsidR="00DF3E10" w:rsidRDefault="00DF3E10">
            <w:pPr>
              <w:rPr>
                <w:rFonts w:ascii="Times New Roman" w:hAnsi="Times New Roman"/>
                <w:sz w:val="20"/>
                <w:szCs w:val="20"/>
              </w:rPr>
            </w:pPr>
          </w:p>
        </w:tc>
        <w:tc>
          <w:tcPr>
            <w:tcW w:w="50" w:type="pct"/>
            <w:shd w:val="clear" w:color="auto" w:fill="auto"/>
            <w:vAlign w:val="center"/>
          </w:tcPr>
          <w:p w14:paraId="4E56ACB3" w14:textId="77777777" w:rsidR="00DF3E10" w:rsidRDefault="00DF3E10">
            <w:pPr>
              <w:rPr>
                <w:rFonts w:ascii="Times New Roman" w:hAnsi="Times New Roman"/>
                <w:sz w:val="20"/>
                <w:szCs w:val="20"/>
              </w:rPr>
            </w:pPr>
          </w:p>
        </w:tc>
        <w:tc>
          <w:tcPr>
            <w:tcW w:w="500" w:type="pct"/>
            <w:shd w:val="clear" w:color="auto" w:fill="auto"/>
            <w:vAlign w:val="center"/>
          </w:tcPr>
          <w:p w14:paraId="4E56ACB4" w14:textId="77777777" w:rsidR="00DF3E10" w:rsidRDefault="00DF3E10">
            <w:pPr>
              <w:rPr>
                <w:rFonts w:ascii="Times New Roman" w:hAnsi="Times New Roman"/>
                <w:sz w:val="20"/>
                <w:szCs w:val="20"/>
              </w:rPr>
            </w:pPr>
          </w:p>
        </w:tc>
        <w:tc>
          <w:tcPr>
            <w:tcW w:w="50" w:type="pct"/>
            <w:shd w:val="clear" w:color="auto" w:fill="auto"/>
            <w:vAlign w:val="center"/>
          </w:tcPr>
          <w:p w14:paraId="4E56ACB5" w14:textId="77777777" w:rsidR="00DF3E10" w:rsidRDefault="00DF3E10">
            <w:pPr>
              <w:rPr>
                <w:rFonts w:ascii="Times New Roman" w:hAnsi="Times New Roman"/>
                <w:sz w:val="20"/>
                <w:szCs w:val="20"/>
              </w:rPr>
            </w:pPr>
          </w:p>
        </w:tc>
        <w:tc>
          <w:tcPr>
            <w:tcW w:w="50" w:type="pct"/>
            <w:shd w:val="clear" w:color="auto" w:fill="auto"/>
            <w:vAlign w:val="center"/>
          </w:tcPr>
          <w:p w14:paraId="4E56ACB6" w14:textId="77777777" w:rsidR="00DF3E10" w:rsidRDefault="00DF3E10">
            <w:pPr>
              <w:rPr>
                <w:rFonts w:ascii="Times New Roman" w:hAnsi="Times New Roman"/>
                <w:sz w:val="20"/>
                <w:szCs w:val="20"/>
              </w:rPr>
            </w:pPr>
          </w:p>
        </w:tc>
        <w:tc>
          <w:tcPr>
            <w:tcW w:w="50" w:type="pct"/>
            <w:shd w:val="clear" w:color="auto" w:fill="auto"/>
            <w:vAlign w:val="center"/>
          </w:tcPr>
          <w:p w14:paraId="4E56ACB7" w14:textId="77777777" w:rsidR="00DF3E10" w:rsidRDefault="00DF3E10">
            <w:pPr>
              <w:rPr>
                <w:rFonts w:ascii="Times New Roman" w:hAnsi="Times New Roman"/>
                <w:sz w:val="20"/>
                <w:szCs w:val="20"/>
              </w:rPr>
            </w:pPr>
          </w:p>
        </w:tc>
        <w:tc>
          <w:tcPr>
            <w:tcW w:w="500" w:type="pct"/>
            <w:shd w:val="clear" w:color="auto" w:fill="auto"/>
            <w:vAlign w:val="center"/>
          </w:tcPr>
          <w:p w14:paraId="4E56ACB8" w14:textId="77777777" w:rsidR="00DF3E10" w:rsidRDefault="00DF3E10">
            <w:pPr>
              <w:rPr>
                <w:rFonts w:ascii="Times New Roman" w:hAnsi="Times New Roman"/>
                <w:sz w:val="20"/>
                <w:szCs w:val="20"/>
              </w:rPr>
            </w:pPr>
          </w:p>
        </w:tc>
        <w:tc>
          <w:tcPr>
            <w:tcW w:w="50" w:type="pct"/>
            <w:shd w:val="clear" w:color="auto" w:fill="auto"/>
            <w:vAlign w:val="center"/>
          </w:tcPr>
          <w:p w14:paraId="4E56ACB9" w14:textId="77777777" w:rsidR="00DF3E10" w:rsidRDefault="00DF3E10">
            <w:pPr>
              <w:rPr>
                <w:rFonts w:ascii="Times New Roman" w:hAnsi="Times New Roman"/>
                <w:sz w:val="20"/>
                <w:szCs w:val="20"/>
              </w:rPr>
            </w:pPr>
          </w:p>
        </w:tc>
        <w:tc>
          <w:tcPr>
            <w:tcW w:w="50" w:type="pct"/>
            <w:shd w:val="clear" w:color="auto" w:fill="auto"/>
            <w:vAlign w:val="center"/>
          </w:tcPr>
          <w:p w14:paraId="4E56ACBA" w14:textId="77777777" w:rsidR="00DF3E10" w:rsidRDefault="00DF3E10">
            <w:pPr>
              <w:rPr>
                <w:rFonts w:ascii="Times New Roman" w:hAnsi="Times New Roman"/>
                <w:sz w:val="20"/>
                <w:szCs w:val="20"/>
              </w:rPr>
            </w:pPr>
          </w:p>
        </w:tc>
        <w:tc>
          <w:tcPr>
            <w:tcW w:w="550" w:type="pct"/>
            <w:shd w:val="clear" w:color="auto" w:fill="auto"/>
            <w:vAlign w:val="center"/>
          </w:tcPr>
          <w:p w14:paraId="4E56ACBB" w14:textId="77777777" w:rsidR="00DF3E10" w:rsidRDefault="00DF3E10">
            <w:pPr>
              <w:rPr>
                <w:rFonts w:ascii="Times New Roman" w:hAnsi="Times New Roman"/>
                <w:sz w:val="20"/>
                <w:szCs w:val="20"/>
              </w:rPr>
            </w:pPr>
          </w:p>
        </w:tc>
        <w:tc>
          <w:tcPr>
            <w:tcW w:w="50" w:type="pct"/>
            <w:shd w:val="clear" w:color="auto" w:fill="auto"/>
            <w:vAlign w:val="center"/>
          </w:tcPr>
          <w:p w14:paraId="4E56ACBC" w14:textId="77777777" w:rsidR="00DF3E10" w:rsidRDefault="00DF3E10">
            <w:pPr>
              <w:rPr>
                <w:rFonts w:ascii="Times New Roman" w:hAnsi="Times New Roman"/>
                <w:sz w:val="20"/>
                <w:szCs w:val="20"/>
              </w:rPr>
            </w:pPr>
          </w:p>
        </w:tc>
        <w:tc>
          <w:tcPr>
            <w:tcW w:w="50" w:type="pct"/>
            <w:shd w:val="clear" w:color="auto" w:fill="auto"/>
            <w:vAlign w:val="center"/>
          </w:tcPr>
          <w:p w14:paraId="4E56ACBD" w14:textId="77777777" w:rsidR="00DF3E10" w:rsidRDefault="00DF3E10">
            <w:pPr>
              <w:rPr>
                <w:rFonts w:ascii="Times New Roman" w:hAnsi="Times New Roman"/>
                <w:sz w:val="20"/>
                <w:szCs w:val="20"/>
              </w:rPr>
            </w:pPr>
          </w:p>
        </w:tc>
        <w:tc>
          <w:tcPr>
            <w:tcW w:w="50" w:type="pct"/>
            <w:shd w:val="clear" w:color="auto" w:fill="auto"/>
            <w:vAlign w:val="center"/>
          </w:tcPr>
          <w:p w14:paraId="4E56ACBE" w14:textId="77777777" w:rsidR="00DF3E10" w:rsidRDefault="00DF3E10">
            <w:pPr>
              <w:rPr>
                <w:rFonts w:ascii="Times New Roman" w:hAnsi="Times New Roman"/>
                <w:sz w:val="20"/>
                <w:szCs w:val="20"/>
              </w:rPr>
            </w:pPr>
          </w:p>
        </w:tc>
        <w:tc>
          <w:tcPr>
            <w:tcW w:w="500" w:type="pct"/>
            <w:shd w:val="clear" w:color="auto" w:fill="auto"/>
            <w:vAlign w:val="center"/>
          </w:tcPr>
          <w:p w14:paraId="4E56ACBF" w14:textId="77777777" w:rsidR="00DF3E10" w:rsidRDefault="00DF3E10">
            <w:pPr>
              <w:rPr>
                <w:rFonts w:ascii="Times New Roman" w:hAnsi="Times New Roman"/>
                <w:sz w:val="20"/>
                <w:szCs w:val="20"/>
              </w:rPr>
            </w:pPr>
          </w:p>
        </w:tc>
        <w:tc>
          <w:tcPr>
            <w:tcW w:w="50" w:type="pct"/>
            <w:shd w:val="clear" w:color="auto" w:fill="auto"/>
            <w:vAlign w:val="center"/>
          </w:tcPr>
          <w:p w14:paraId="4E56ACC0" w14:textId="77777777" w:rsidR="00DF3E10" w:rsidRDefault="00DF3E10">
            <w:pPr>
              <w:rPr>
                <w:rFonts w:ascii="Times New Roman" w:hAnsi="Times New Roman"/>
                <w:sz w:val="20"/>
                <w:szCs w:val="20"/>
              </w:rPr>
            </w:pPr>
          </w:p>
        </w:tc>
        <w:tc>
          <w:tcPr>
            <w:tcW w:w="50" w:type="pct"/>
            <w:shd w:val="clear" w:color="auto" w:fill="auto"/>
            <w:vAlign w:val="center"/>
          </w:tcPr>
          <w:p w14:paraId="4E56ACC1" w14:textId="77777777" w:rsidR="00DF3E10" w:rsidRDefault="00DF3E10">
            <w:pPr>
              <w:rPr>
                <w:rFonts w:ascii="Times New Roman" w:hAnsi="Times New Roman"/>
                <w:sz w:val="20"/>
                <w:szCs w:val="20"/>
              </w:rPr>
            </w:pPr>
          </w:p>
        </w:tc>
        <w:tc>
          <w:tcPr>
            <w:tcW w:w="50" w:type="pct"/>
            <w:shd w:val="clear" w:color="auto" w:fill="auto"/>
            <w:vAlign w:val="center"/>
          </w:tcPr>
          <w:p w14:paraId="4E56ACC2" w14:textId="77777777" w:rsidR="00DF3E10" w:rsidRDefault="00DF3E10">
            <w:pPr>
              <w:rPr>
                <w:rFonts w:ascii="Times New Roman" w:hAnsi="Times New Roman"/>
                <w:sz w:val="20"/>
                <w:szCs w:val="20"/>
              </w:rPr>
            </w:pPr>
          </w:p>
        </w:tc>
        <w:tc>
          <w:tcPr>
            <w:tcW w:w="500" w:type="pct"/>
            <w:shd w:val="clear" w:color="auto" w:fill="auto"/>
            <w:vAlign w:val="center"/>
          </w:tcPr>
          <w:p w14:paraId="4E56ACC3" w14:textId="77777777" w:rsidR="00DF3E10" w:rsidRDefault="00DF3E10">
            <w:pPr>
              <w:rPr>
                <w:rFonts w:ascii="Times New Roman" w:hAnsi="Times New Roman"/>
                <w:sz w:val="20"/>
                <w:szCs w:val="20"/>
              </w:rPr>
            </w:pPr>
          </w:p>
        </w:tc>
        <w:tc>
          <w:tcPr>
            <w:tcW w:w="50" w:type="pct"/>
            <w:shd w:val="clear" w:color="auto" w:fill="auto"/>
            <w:vAlign w:val="center"/>
          </w:tcPr>
          <w:p w14:paraId="4E56ACC4" w14:textId="77777777" w:rsidR="00DF3E10" w:rsidRDefault="00DF3E10">
            <w:pPr>
              <w:rPr>
                <w:rFonts w:ascii="Times New Roman" w:hAnsi="Times New Roman"/>
                <w:sz w:val="20"/>
                <w:szCs w:val="20"/>
              </w:rPr>
            </w:pPr>
          </w:p>
        </w:tc>
        <w:tc>
          <w:tcPr>
            <w:tcW w:w="50" w:type="pct"/>
            <w:shd w:val="clear" w:color="auto" w:fill="auto"/>
            <w:vAlign w:val="center"/>
          </w:tcPr>
          <w:p w14:paraId="4E56ACC5" w14:textId="77777777" w:rsidR="00DF3E10" w:rsidRDefault="00DF3E10">
            <w:pPr>
              <w:rPr>
                <w:rFonts w:ascii="Times New Roman" w:hAnsi="Times New Roman"/>
                <w:sz w:val="20"/>
                <w:szCs w:val="20"/>
              </w:rPr>
            </w:pPr>
          </w:p>
        </w:tc>
        <w:tc>
          <w:tcPr>
            <w:tcW w:w="550" w:type="pct"/>
            <w:shd w:val="clear" w:color="auto" w:fill="auto"/>
            <w:vAlign w:val="center"/>
          </w:tcPr>
          <w:p w14:paraId="4E56ACC6" w14:textId="77777777" w:rsidR="00DF3E10" w:rsidRDefault="00DF3E10">
            <w:pPr>
              <w:rPr>
                <w:rFonts w:ascii="Times New Roman" w:hAnsi="Times New Roman"/>
                <w:sz w:val="20"/>
                <w:szCs w:val="20"/>
              </w:rPr>
            </w:pPr>
          </w:p>
        </w:tc>
        <w:tc>
          <w:tcPr>
            <w:tcW w:w="50" w:type="pct"/>
            <w:shd w:val="clear" w:color="auto" w:fill="auto"/>
            <w:vAlign w:val="center"/>
          </w:tcPr>
          <w:p w14:paraId="4E56ACC7" w14:textId="77777777" w:rsidR="00DF3E10" w:rsidRDefault="00DF3E10">
            <w:pPr>
              <w:rPr>
                <w:rFonts w:ascii="Times New Roman" w:hAnsi="Times New Roman"/>
                <w:sz w:val="20"/>
                <w:szCs w:val="20"/>
              </w:rPr>
            </w:pPr>
          </w:p>
        </w:tc>
      </w:tr>
      <w:tr w:rsidR="00DF3E10" w14:paraId="4E56ACD1" w14:textId="77777777">
        <w:tc>
          <w:tcPr>
            <w:tcW w:w="0" w:type="auto"/>
            <w:shd w:val="clear" w:color="auto" w:fill="auto"/>
            <w:tcMar>
              <w:top w:w="40" w:type="dxa"/>
              <w:left w:w="40" w:type="dxa"/>
              <w:bottom w:w="40" w:type="dxa"/>
              <w:right w:w="40" w:type="dxa"/>
            </w:tcMar>
            <w:vAlign w:val="bottom"/>
          </w:tcPr>
          <w:p w14:paraId="4E56ACC9"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CC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C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C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C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CC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C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CD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CDE" w14:textId="77777777">
        <w:tc>
          <w:tcPr>
            <w:tcW w:w="0" w:type="auto"/>
            <w:shd w:val="clear" w:color="auto" w:fill="auto"/>
            <w:tcMar>
              <w:top w:w="40" w:type="dxa"/>
              <w:left w:w="40" w:type="dxa"/>
              <w:bottom w:w="40" w:type="dxa"/>
              <w:right w:w="40" w:type="dxa"/>
            </w:tcMar>
            <w:vAlign w:val="bottom"/>
          </w:tcPr>
          <w:p w14:paraId="4E56ACD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D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C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D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C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CD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C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D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C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CD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C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CD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CE1" w14:textId="77777777">
        <w:tc>
          <w:tcPr>
            <w:tcW w:w="0" w:type="auto"/>
            <w:shd w:val="clear" w:color="auto" w:fill="auto"/>
            <w:tcMar>
              <w:top w:w="40" w:type="dxa"/>
              <w:left w:w="40" w:type="dxa"/>
              <w:bottom w:w="40" w:type="dxa"/>
              <w:right w:w="40" w:type="dxa"/>
            </w:tcMar>
            <w:vAlign w:val="bottom"/>
          </w:tcPr>
          <w:p w14:paraId="4E56ACDF"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CE0"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CF8" w14:textId="77777777">
        <w:tc>
          <w:tcPr>
            <w:tcW w:w="0" w:type="auto"/>
            <w:shd w:val="clear" w:color="auto" w:fill="CCEEFF"/>
            <w:tcMar>
              <w:top w:w="40" w:type="dxa"/>
              <w:left w:w="40" w:type="dxa"/>
              <w:bottom w:w="40" w:type="dxa"/>
              <w:right w:w="40" w:type="dxa"/>
            </w:tcMar>
          </w:tcPr>
          <w:p w14:paraId="4E56ACE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tcMar>
            <w:vAlign w:val="bottom"/>
          </w:tcPr>
          <w:p w14:paraId="4E56AC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E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4,462</w:t>
            </w:r>
          </w:p>
        </w:tc>
        <w:tc>
          <w:tcPr>
            <w:tcW w:w="0" w:type="auto"/>
            <w:shd w:val="clear" w:color="auto" w:fill="CCEEFF"/>
            <w:vAlign w:val="bottom"/>
          </w:tcPr>
          <w:p w14:paraId="4E56ACE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E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3,315</w:t>
            </w:r>
          </w:p>
        </w:tc>
        <w:tc>
          <w:tcPr>
            <w:tcW w:w="0" w:type="auto"/>
            <w:shd w:val="clear" w:color="auto" w:fill="CCEEFF"/>
            <w:vAlign w:val="bottom"/>
          </w:tcPr>
          <w:p w14:paraId="4E56ACE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E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4E56ACE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C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E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8,477</w:t>
            </w:r>
          </w:p>
        </w:tc>
        <w:tc>
          <w:tcPr>
            <w:tcW w:w="0" w:type="auto"/>
            <w:shd w:val="clear" w:color="auto" w:fill="CCEEFF"/>
            <w:vAlign w:val="bottom"/>
          </w:tcPr>
          <w:p w14:paraId="4E56ACF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CF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6,175</w:t>
            </w:r>
          </w:p>
        </w:tc>
        <w:tc>
          <w:tcPr>
            <w:tcW w:w="0" w:type="auto"/>
            <w:shd w:val="clear" w:color="auto" w:fill="CCEEFF"/>
            <w:vAlign w:val="bottom"/>
          </w:tcPr>
          <w:p w14:paraId="4E56ACF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CF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CF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tcMar>
              <w:top w:w="40" w:type="dxa"/>
              <w:bottom w:w="40" w:type="dxa"/>
              <w:right w:w="40" w:type="dxa"/>
            </w:tcMar>
            <w:vAlign w:val="bottom"/>
          </w:tcPr>
          <w:p w14:paraId="4E56AC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D09" w14:textId="77777777">
        <w:tc>
          <w:tcPr>
            <w:tcW w:w="0" w:type="auto"/>
            <w:shd w:val="clear" w:color="auto" w:fill="auto"/>
            <w:tcMar>
              <w:top w:w="40" w:type="dxa"/>
              <w:left w:w="40" w:type="dxa"/>
              <w:bottom w:w="40" w:type="dxa"/>
              <w:right w:w="40" w:type="dxa"/>
            </w:tcMar>
          </w:tcPr>
          <w:p w14:paraId="4E56ACF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4E56ACF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tcMar>
              <w:top w:w="40" w:type="dxa"/>
              <w:bottom w:w="40" w:type="dxa"/>
              <w:right w:w="40" w:type="dxa"/>
            </w:tcMar>
            <w:vAlign w:val="bottom"/>
          </w:tcPr>
          <w:p w14:paraId="4E56AC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CF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4E56AC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CF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0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D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0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4E56AD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0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4E56AD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0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AD0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Research and development expenses in the three and six months ended June 30, 2020 increased $1.15 billion, or 35%, and $2.30 billion, or 37%, </w:t>
      </w:r>
      <w:r>
        <w:rPr>
          <w:rFonts w:ascii="Times New Roman" w:eastAsia="宋体" w:hAnsi="Times New Roman"/>
          <w:sz w:val="20"/>
          <w:szCs w:val="20"/>
        </w:rPr>
        <w:t xml:space="preserve">respectively, compared to the same periods in 2019. The increases in both periods were primarily due to increases in payroll and benefits expenses as a result of a 41% growth in employee headcount from June 30, 2019 to June 30, 2020 in our engineering and </w:t>
      </w:r>
      <w:r>
        <w:rPr>
          <w:rFonts w:ascii="Times New Roman" w:eastAsia="宋体" w:hAnsi="Times New Roman"/>
          <w:sz w:val="20"/>
          <w:szCs w:val="20"/>
        </w:rPr>
        <w:t>other technical functions, including in particular functions supporting consumer hardware product development.</w:t>
      </w:r>
    </w:p>
    <w:p w14:paraId="4E56AD0B"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Marketing and sales</w:t>
      </w:r>
    </w:p>
    <w:tbl>
      <w:tblPr>
        <w:tblW w:w="5000" w:type="pct"/>
        <w:tblCellMar>
          <w:left w:w="0" w:type="dxa"/>
          <w:right w:w="0" w:type="dxa"/>
        </w:tblCellMar>
        <w:tblLook w:val="04A0" w:firstRow="1" w:lastRow="0" w:firstColumn="1" w:lastColumn="0" w:noHBand="0" w:noVBand="1"/>
      </w:tblPr>
      <w:tblGrid>
        <w:gridCol w:w="1737"/>
        <w:gridCol w:w="140"/>
        <w:gridCol w:w="658"/>
        <w:gridCol w:w="207"/>
        <w:gridCol w:w="130"/>
        <w:gridCol w:w="140"/>
        <w:gridCol w:w="658"/>
        <w:gridCol w:w="207"/>
        <w:gridCol w:w="130"/>
        <w:gridCol w:w="741"/>
        <w:gridCol w:w="207"/>
        <w:gridCol w:w="130"/>
        <w:gridCol w:w="140"/>
        <w:gridCol w:w="659"/>
        <w:gridCol w:w="207"/>
        <w:gridCol w:w="130"/>
        <w:gridCol w:w="140"/>
        <w:gridCol w:w="659"/>
        <w:gridCol w:w="207"/>
        <w:gridCol w:w="130"/>
        <w:gridCol w:w="742"/>
        <w:gridCol w:w="207"/>
      </w:tblGrid>
      <w:tr w:rsidR="00DF3E10" w14:paraId="4E56AD0D" w14:textId="77777777">
        <w:tc>
          <w:tcPr>
            <w:tcW w:w="0" w:type="auto"/>
            <w:gridSpan w:val="22"/>
            <w:shd w:val="clear" w:color="auto" w:fill="auto"/>
            <w:vAlign w:val="center"/>
          </w:tcPr>
          <w:p w14:paraId="4E56AD0C" w14:textId="77777777" w:rsidR="00DF3E10" w:rsidRDefault="00DF3E10">
            <w:pPr>
              <w:rPr>
                <w:rFonts w:ascii="Times New Roman" w:hAnsi="Times New Roman"/>
                <w:sz w:val="20"/>
                <w:szCs w:val="20"/>
              </w:rPr>
            </w:pPr>
          </w:p>
        </w:tc>
      </w:tr>
      <w:tr w:rsidR="00DF3E10" w14:paraId="4E56AD24" w14:textId="77777777">
        <w:tc>
          <w:tcPr>
            <w:tcW w:w="1150" w:type="pct"/>
            <w:shd w:val="clear" w:color="auto" w:fill="auto"/>
            <w:vAlign w:val="center"/>
          </w:tcPr>
          <w:p w14:paraId="4E56AD0E" w14:textId="77777777" w:rsidR="00DF3E10" w:rsidRDefault="00DF3E10">
            <w:pPr>
              <w:rPr>
                <w:rFonts w:ascii="Times New Roman" w:hAnsi="Times New Roman"/>
                <w:sz w:val="20"/>
                <w:szCs w:val="20"/>
              </w:rPr>
            </w:pPr>
          </w:p>
        </w:tc>
        <w:tc>
          <w:tcPr>
            <w:tcW w:w="50" w:type="pct"/>
            <w:shd w:val="clear" w:color="auto" w:fill="auto"/>
            <w:vAlign w:val="center"/>
          </w:tcPr>
          <w:p w14:paraId="4E56AD0F" w14:textId="77777777" w:rsidR="00DF3E10" w:rsidRDefault="00DF3E10">
            <w:pPr>
              <w:rPr>
                <w:rFonts w:ascii="Times New Roman" w:hAnsi="Times New Roman"/>
                <w:sz w:val="20"/>
                <w:szCs w:val="20"/>
              </w:rPr>
            </w:pPr>
          </w:p>
        </w:tc>
        <w:tc>
          <w:tcPr>
            <w:tcW w:w="500" w:type="pct"/>
            <w:shd w:val="clear" w:color="auto" w:fill="auto"/>
            <w:vAlign w:val="center"/>
          </w:tcPr>
          <w:p w14:paraId="4E56AD10" w14:textId="77777777" w:rsidR="00DF3E10" w:rsidRDefault="00DF3E10">
            <w:pPr>
              <w:rPr>
                <w:rFonts w:ascii="Times New Roman" w:hAnsi="Times New Roman"/>
                <w:sz w:val="20"/>
                <w:szCs w:val="20"/>
              </w:rPr>
            </w:pPr>
          </w:p>
        </w:tc>
        <w:tc>
          <w:tcPr>
            <w:tcW w:w="50" w:type="pct"/>
            <w:shd w:val="clear" w:color="auto" w:fill="auto"/>
            <w:vAlign w:val="center"/>
          </w:tcPr>
          <w:p w14:paraId="4E56AD11" w14:textId="77777777" w:rsidR="00DF3E10" w:rsidRDefault="00DF3E10">
            <w:pPr>
              <w:rPr>
                <w:rFonts w:ascii="Times New Roman" w:hAnsi="Times New Roman"/>
                <w:sz w:val="20"/>
                <w:szCs w:val="20"/>
              </w:rPr>
            </w:pPr>
          </w:p>
        </w:tc>
        <w:tc>
          <w:tcPr>
            <w:tcW w:w="50" w:type="pct"/>
            <w:shd w:val="clear" w:color="auto" w:fill="auto"/>
            <w:vAlign w:val="center"/>
          </w:tcPr>
          <w:p w14:paraId="4E56AD12" w14:textId="77777777" w:rsidR="00DF3E10" w:rsidRDefault="00DF3E10">
            <w:pPr>
              <w:rPr>
                <w:rFonts w:ascii="Times New Roman" w:hAnsi="Times New Roman"/>
                <w:sz w:val="20"/>
                <w:szCs w:val="20"/>
              </w:rPr>
            </w:pPr>
          </w:p>
        </w:tc>
        <w:tc>
          <w:tcPr>
            <w:tcW w:w="50" w:type="pct"/>
            <w:shd w:val="clear" w:color="auto" w:fill="auto"/>
            <w:vAlign w:val="center"/>
          </w:tcPr>
          <w:p w14:paraId="4E56AD13" w14:textId="77777777" w:rsidR="00DF3E10" w:rsidRDefault="00DF3E10">
            <w:pPr>
              <w:rPr>
                <w:rFonts w:ascii="Times New Roman" w:hAnsi="Times New Roman"/>
                <w:sz w:val="20"/>
                <w:szCs w:val="20"/>
              </w:rPr>
            </w:pPr>
          </w:p>
        </w:tc>
        <w:tc>
          <w:tcPr>
            <w:tcW w:w="500" w:type="pct"/>
            <w:shd w:val="clear" w:color="auto" w:fill="auto"/>
            <w:vAlign w:val="center"/>
          </w:tcPr>
          <w:p w14:paraId="4E56AD14" w14:textId="77777777" w:rsidR="00DF3E10" w:rsidRDefault="00DF3E10">
            <w:pPr>
              <w:rPr>
                <w:rFonts w:ascii="Times New Roman" w:hAnsi="Times New Roman"/>
                <w:sz w:val="20"/>
                <w:szCs w:val="20"/>
              </w:rPr>
            </w:pPr>
          </w:p>
        </w:tc>
        <w:tc>
          <w:tcPr>
            <w:tcW w:w="50" w:type="pct"/>
            <w:shd w:val="clear" w:color="auto" w:fill="auto"/>
            <w:vAlign w:val="center"/>
          </w:tcPr>
          <w:p w14:paraId="4E56AD15" w14:textId="77777777" w:rsidR="00DF3E10" w:rsidRDefault="00DF3E10">
            <w:pPr>
              <w:rPr>
                <w:rFonts w:ascii="Times New Roman" w:hAnsi="Times New Roman"/>
                <w:sz w:val="20"/>
                <w:szCs w:val="20"/>
              </w:rPr>
            </w:pPr>
          </w:p>
        </w:tc>
        <w:tc>
          <w:tcPr>
            <w:tcW w:w="50" w:type="pct"/>
            <w:shd w:val="clear" w:color="auto" w:fill="auto"/>
            <w:vAlign w:val="center"/>
          </w:tcPr>
          <w:p w14:paraId="4E56AD16" w14:textId="77777777" w:rsidR="00DF3E10" w:rsidRDefault="00DF3E10">
            <w:pPr>
              <w:rPr>
                <w:rFonts w:ascii="Times New Roman" w:hAnsi="Times New Roman"/>
                <w:sz w:val="20"/>
                <w:szCs w:val="20"/>
              </w:rPr>
            </w:pPr>
          </w:p>
        </w:tc>
        <w:tc>
          <w:tcPr>
            <w:tcW w:w="550" w:type="pct"/>
            <w:shd w:val="clear" w:color="auto" w:fill="auto"/>
            <w:vAlign w:val="center"/>
          </w:tcPr>
          <w:p w14:paraId="4E56AD17" w14:textId="77777777" w:rsidR="00DF3E10" w:rsidRDefault="00DF3E10">
            <w:pPr>
              <w:rPr>
                <w:rFonts w:ascii="Times New Roman" w:hAnsi="Times New Roman"/>
                <w:sz w:val="20"/>
                <w:szCs w:val="20"/>
              </w:rPr>
            </w:pPr>
          </w:p>
        </w:tc>
        <w:tc>
          <w:tcPr>
            <w:tcW w:w="50" w:type="pct"/>
            <w:shd w:val="clear" w:color="auto" w:fill="auto"/>
            <w:vAlign w:val="center"/>
          </w:tcPr>
          <w:p w14:paraId="4E56AD18" w14:textId="77777777" w:rsidR="00DF3E10" w:rsidRDefault="00DF3E10">
            <w:pPr>
              <w:rPr>
                <w:rFonts w:ascii="Times New Roman" w:hAnsi="Times New Roman"/>
                <w:sz w:val="20"/>
                <w:szCs w:val="20"/>
              </w:rPr>
            </w:pPr>
          </w:p>
        </w:tc>
        <w:tc>
          <w:tcPr>
            <w:tcW w:w="50" w:type="pct"/>
            <w:shd w:val="clear" w:color="auto" w:fill="auto"/>
            <w:vAlign w:val="center"/>
          </w:tcPr>
          <w:p w14:paraId="4E56AD19" w14:textId="77777777" w:rsidR="00DF3E10" w:rsidRDefault="00DF3E10">
            <w:pPr>
              <w:rPr>
                <w:rFonts w:ascii="Times New Roman" w:hAnsi="Times New Roman"/>
                <w:sz w:val="20"/>
                <w:szCs w:val="20"/>
              </w:rPr>
            </w:pPr>
          </w:p>
        </w:tc>
        <w:tc>
          <w:tcPr>
            <w:tcW w:w="50" w:type="pct"/>
            <w:shd w:val="clear" w:color="auto" w:fill="auto"/>
            <w:vAlign w:val="center"/>
          </w:tcPr>
          <w:p w14:paraId="4E56AD1A" w14:textId="77777777" w:rsidR="00DF3E10" w:rsidRDefault="00DF3E10">
            <w:pPr>
              <w:rPr>
                <w:rFonts w:ascii="Times New Roman" w:hAnsi="Times New Roman"/>
                <w:sz w:val="20"/>
                <w:szCs w:val="20"/>
              </w:rPr>
            </w:pPr>
          </w:p>
        </w:tc>
        <w:tc>
          <w:tcPr>
            <w:tcW w:w="500" w:type="pct"/>
            <w:shd w:val="clear" w:color="auto" w:fill="auto"/>
            <w:vAlign w:val="center"/>
          </w:tcPr>
          <w:p w14:paraId="4E56AD1B" w14:textId="77777777" w:rsidR="00DF3E10" w:rsidRDefault="00DF3E10">
            <w:pPr>
              <w:rPr>
                <w:rFonts w:ascii="Times New Roman" w:hAnsi="Times New Roman"/>
                <w:sz w:val="20"/>
                <w:szCs w:val="20"/>
              </w:rPr>
            </w:pPr>
          </w:p>
        </w:tc>
        <w:tc>
          <w:tcPr>
            <w:tcW w:w="50" w:type="pct"/>
            <w:shd w:val="clear" w:color="auto" w:fill="auto"/>
            <w:vAlign w:val="center"/>
          </w:tcPr>
          <w:p w14:paraId="4E56AD1C" w14:textId="77777777" w:rsidR="00DF3E10" w:rsidRDefault="00DF3E10">
            <w:pPr>
              <w:rPr>
                <w:rFonts w:ascii="Times New Roman" w:hAnsi="Times New Roman"/>
                <w:sz w:val="20"/>
                <w:szCs w:val="20"/>
              </w:rPr>
            </w:pPr>
          </w:p>
        </w:tc>
        <w:tc>
          <w:tcPr>
            <w:tcW w:w="50" w:type="pct"/>
            <w:shd w:val="clear" w:color="auto" w:fill="auto"/>
            <w:vAlign w:val="center"/>
          </w:tcPr>
          <w:p w14:paraId="4E56AD1D" w14:textId="77777777" w:rsidR="00DF3E10" w:rsidRDefault="00DF3E10">
            <w:pPr>
              <w:rPr>
                <w:rFonts w:ascii="Times New Roman" w:hAnsi="Times New Roman"/>
                <w:sz w:val="20"/>
                <w:szCs w:val="20"/>
              </w:rPr>
            </w:pPr>
          </w:p>
        </w:tc>
        <w:tc>
          <w:tcPr>
            <w:tcW w:w="50" w:type="pct"/>
            <w:shd w:val="clear" w:color="auto" w:fill="auto"/>
            <w:vAlign w:val="center"/>
          </w:tcPr>
          <w:p w14:paraId="4E56AD1E" w14:textId="77777777" w:rsidR="00DF3E10" w:rsidRDefault="00DF3E10">
            <w:pPr>
              <w:rPr>
                <w:rFonts w:ascii="Times New Roman" w:hAnsi="Times New Roman"/>
                <w:sz w:val="20"/>
                <w:szCs w:val="20"/>
              </w:rPr>
            </w:pPr>
          </w:p>
        </w:tc>
        <w:tc>
          <w:tcPr>
            <w:tcW w:w="500" w:type="pct"/>
            <w:shd w:val="clear" w:color="auto" w:fill="auto"/>
            <w:vAlign w:val="center"/>
          </w:tcPr>
          <w:p w14:paraId="4E56AD1F" w14:textId="77777777" w:rsidR="00DF3E10" w:rsidRDefault="00DF3E10">
            <w:pPr>
              <w:rPr>
                <w:rFonts w:ascii="Times New Roman" w:hAnsi="Times New Roman"/>
                <w:sz w:val="20"/>
                <w:szCs w:val="20"/>
              </w:rPr>
            </w:pPr>
          </w:p>
        </w:tc>
        <w:tc>
          <w:tcPr>
            <w:tcW w:w="50" w:type="pct"/>
            <w:shd w:val="clear" w:color="auto" w:fill="auto"/>
            <w:vAlign w:val="center"/>
          </w:tcPr>
          <w:p w14:paraId="4E56AD20" w14:textId="77777777" w:rsidR="00DF3E10" w:rsidRDefault="00DF3E10">
            <w:pPr>
              <w:rPr>
                <w:rFonts w:ascii="Times New Roman" w:hAnsi="Times New Roman"/>
                <w:sz w:val="20"/>
                <w:szCs w:val="20"/>
              </w:rPr>
            </w:pPr>
          </w:p>
        </w:tc>
        <w:tc>
          <w:tcPr>
            <w:tcW w:w="50" w:type="pct"/>
            <w:shd w:val="clear" w:color="auto" w:fill="auto"/>
            <w:vAlign w:val="center"/>
          </w:tcPr>
          <w:p w14:paraId="4E56AD21" w14:textId="77777777" w:rsidR="00DF3E10" w:rsidRDefault="00DF3E10">
            <w:pPr>
              <w:rPr>
                <w:rFonts w:ascii="Times New Roman" w:hAnsi="Times New Roman"/>
                <w:sz w:val="20"/>
                <w:szCs w:val="20"/>
              </w:rPr>
            </w:pPr>
          </w:p>
        </w:tc>
        <w:tc>
          <w:tcPr>
            <w:tcW w:w="550" w:type="pct"/>
            <w:shd w:val="clear" w:color="auto" w:fill="auto"/>
            <w:vAlign w:val="center"/>
          </w:tcPr>
          <w:p w14:paraId="4E56AD22" w14:textId="77777777" w:rsidR="00DF3E10" w:rsidRDefault="00DF3E10">
            <w:pPr>
              <w:rPr>
                <w:rFonts w:ascii="Times New Roman" w:hAnsi="Times New Roman"/>
                <w:sz w:val="20"/>
                <w:szCs w:val="20"/>
              </w:rPr>
            </w:pPr>
          </w:p>
        </w:tc>
        <w:tc>
          <w:tcPr>
            <w:tcW w:w="50" w:type="pct"/>
            <w:shd w:val="clear" w:color="auto" w:fill="auto"/>
            <w:vAlign w:val="center"/>
          </w:tcPr>
          <w:p w14:paraId="4E56AD23" w14:textId="77777777" w:rsidR="00DF3E10" w:rsidRDefault="00DF3E10">
            <w:pPr>
              <w:rPr>
                <w:rFonts w:ascii="Times New Roman" w:hAnsi="Times New Roman"/>
                <w:sz w:val="20"/>
                <w:szCs w:val="20"/>
              </w:rPr>
            </w:pPr>
          </w:p>
        </w:tc>
      </w:tr>
      <w:tr w:rsidR="00DF3E10" w14:paraId="4E56AD2D" w14:textId="77777777">
        <w:tc>
          <w:tcPr>
            <w:tcW w:w="0" w:type="auto"/>
            <w:shd w:val="clear" w:color="auto" w:fill="auto"/>
            <w:tcMar>
              <w:top w:w="40" w:type="dxa"/>
              <w:left w:w="40" w:type="dxa"/>
              <w:bottom w:w="40" w:type="dxa"/>
              <w:right w:w="40" w:type="dxa"/>
            </w:tcMar>
            <w:vAlign w:val="bottom"/>
          </w:tcPr>
          <w:p w14:paraId="4E56AD2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D2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D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2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D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D2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D2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2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D3A" w14:textId="77777777">
        <w:tc>
          <w:tcPr>
            <w:tcW w:w="0" w:type="auto"/>
            <w:shd w:val="clear" w:color="auto" w:fill="auto"/>
            <w:tcMar>
              <w:top w:w="40" w:type="dxa"/>
              <w:left w:w="40" w:type="dxa"/>
              <w:bottom w:w="40" w:type="dxa"/>
              <w:right w:w="40" w:type="dxa"/>
            </w:tcMar>
            <w:vAlign w:val="bottom"/>
          </w:tcPr>
          <w:p w14:paraId="4E56AD2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2F"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D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3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D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D3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D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3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D3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3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D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D3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D3D" w14:textId="77777777">
        <w:tc>
          <w:tcPr>
            <w:tcW w:w="0" w:type="auto"/>
            <w:shd w:val="clear" w:color="auto" w:fill="auto"/>
            <w:tcMar>
              <w:top w:w="40" w:type="dxa"/>
              <w:left w:w="40" w:type="dxa"/>
              <w:bottom w:w="40" w:type="dxa"/>
              <w:right w:w="40" w:type="dxa"/>
            </w:tcMar>
            <w:vAlign w:val="bottom"/>
          </w:tcPr>
          <w:p w14:paraId="4E56AD3B"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D3C"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D54" w14:textId="77777777">
        <w:tc>
          <w:tcPr>
            <w:tcW w:w="0" w:type="auto"/>
            <w:shd w:val="clear" w:color="auto" w:fill="CCEEFF"/>
            <w:tcMar>
              <w:top w:w="40" w:type="dxa"/>
              <w:left w:w="40" w:type="dxa"/>
              <w:bottom w:w="40" w:type="dxa"/>
              <w:right w:w="40" w:type="dxa"/>
            </w:tcMar>
          </w:tcPr>
          <w:p w14:paraId="4E56AD3E"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4E56AD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4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2,840</w:t>
            </w:r>
          </w:p>
        </w:tc>
        <w:tc>
          <w:tcPr>
            <w:tcW w:w="0" w:type="auto"/>
            <w:shd w:val="clear" w:color="auto" w:fill="CCEEFF"/>
            <w:vAlign w:val="bottom"/>
          </w:tcPr>
          <w:p w14:paraId="4E56AD4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4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2,414</w:t>
            </w:r>
          </w:p>
        </w:tc>
        <w:tc>
          <w:tcPr>
            <w:tcW w:w="0" w:type="auto"/>
            <w:shd w:val="clear" w:color="auto" w:fill="CCEEFF"/>
            <w:vAlign w:val="bottom"/>
          </w:tcPr>
          <w:p w14:paraId="4E56AD4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4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4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4E56AD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D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4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5,627</w:t>
            </w:r>
          </w:p>
        </w:tc>
        <w:tc>
          <w:tcPr>
            <w:tcW w:w="0" w:type="auto"/>
            <w:shd w:val="clear" w:color="auto" w:fill="CCEEFF"/>
            <w:vAlign w:val="bottom"/>
          </w:tcPr>
          <w:p w14:paraId="4E56AD4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4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4,434</w:t>
            </w:r>
          </w:p>
        </w:tc>
        <w:tc>
          <w:tcPr>
            <w:tcW w:w="0" w:type="auto"/>
            <w:shd w:val="clear" w:color="auto" w:fill="CCEEFF"/>
            <w:vAlign w:val="bottom"/>
          </w:tcPr>
          <w:p w14:paraId="4E56AD5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5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tcMar>
              <w:top w:w="40" w:type="dxa"/>
              <w:bottom w:w="40" w:type="dxa"/>
              <w:right w:w="40" w:type="dxa"/>
            </w:tcMar>
            <w:vAlign w:val="bottom"/>
          </w:tcPr>
          <w:p w14:paraId="4E56AD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D65" w14:textId="77777777">
        <w:tc>
          <w:tcPr>
            <w:tcW w:w="0" w:type="auto"/>
            <w:shd w:val="clear" w:color="auto" w:fill="auto"/>
            <w:tcMar>
              <w:top w:w="40" w:type="dxa"/>
              <w:left w:w="40" w:type="dxa"/>
              <w:bottom w:w="40" w:type="dxa"/>
              <w:right w:w="40" w:type="dxa"/>
            </w:tcMar>
          </w:tcPr>
          <w:p w14:paraId="4E56AD5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4E56AD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4E56AD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4E56AD5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D5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5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4E56AD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6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6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4E56AD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6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AD6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Marketing and sales expenses in the three and six months ended June 30, 2020 increased $426 million, or 18%, and $1.19 billion, or 27%, respectively, </w:t>
      </w:r>
      <w:r>
        <w:rPr>
          <w:rFonts w:ascii="Times New Roman" w:eastAsia="宋体" w:hAnsi="Times New Roman"/>
          <w:sz w:val="20"/>
          <w:szCs w:val="20"/>
        </w:rPr>
        <w:t>compared to the same periods in 2019. The increases were primarily driven by increases in marketing expenses and payroll and benefits expenses, which were partially offset by decreases in travel-related expenses due to the COVID-19 pandemic. Our payroll an</w:t>
      </w:r>
      <w:r>
        <w:rPr>
          <w:rFonts w:ascii="Times New Roman" w:eastAsia="宋体" w:hAnsi="Times New Roman"/>
          <w:sz w:val="20"/>
          <w:szCs w:val="20"/>
        </w:rPr>
        <w:t>d benefits expenses increased as a result of a 22% increase in employee headcount from June 30, 2019 to June 30, 2020 in our marketing and sales functions.</w:t>
      </w:r>
    </w:p>
    <w:p w14:paraId="4E56AD67" w14:textId="77777777" w:rsidR="00DF3E10" w:rsidRDefault="00DF3E10">
      <w:pPr>
        <w:rPr>
          <w:rFonts w:ascii="Times New Roman" w:hAnsi="Times New Roman"/>
          <w:sz w:val="20"/>
          <w:szCs w:val="20"/>
        </w:rPr>
      </w:pPr>
    </w:p>
    <w:p w14:paraId="4E56AD6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39</w:t>
      </w:r>
    </w:p>
    <w:p w14:paraId="4E56AD69" w14:textId="77777777" w:rsidR="00DF3E10" w:rsidRDefault="006B6C28">
      <w:r>
        <w:rPr>
          <w:rFonts w:ascii="Times New Roman" w:hAnsi="Times New Roman"/>
          <w:sz w:val="20"/>
          <w:szCs w:val="20"/>
        </w:rPr>
        <w:pict w14:anchorId="4E56B784">
          <v:rect id="_x0000_i1063" style="width:415.3pt;height:1.5pt" o:hralign="center" o:hrstd="t" o:hr="t" fillcolor="#a0a0a0" stroked="f"/>
        </w:pict>
      </w:r>
    </w:p>
    <w:p w14:paraId="4E56AD6A" w14:textId="77777777" w:rsidR="00DF3E10" w:rsidRDefault="006B6C28">
      <w:pPr>
        <w:spacing w:line="288" w:lineRule="auto"/>
        <w:rPr>
          <w:rFonts w:ascii="Times New Roman" w:hAnsi="Times New Roman"/>
          <w:sz w:val="20"/>
          <w:szCs w:val="20"/>
        </w:rPr>
      </w:pPr>
      <w:hyperlink r:id="rId81" w:anchor="sC1FF62F0D4D85317B5B2C71C7C94F269" w:history="1">
        <w:r>
          <w:rPr>
            <w:rStyle w:val="a5"/>
            <w:rFonts w:ascii="Times New Roman" w:eastAsia="宋体" w:hAnsi="Times New Roman"/>
            <w:sz w:val="20"/>
            <w:szCs w:val="20"/>
          </w:rPr>
          <w:t>Table of Contents</w:t>
        </w:r>
      </w:hyperlink>
    </w:p>
    <w:p w14:paraId="4E56AD6B" w14:textId="77777777" w:rsidR="00DF3E10" w:rsidRDefault="00DF3E10">
      <w:pPr>
        <w:rPr>
          <w:rFonts w:ascii="Times New Roman" w:hAnsi="Times New Roman"/>
          <w:sz w:val="20"/>
          <w:szCs w:val="20"/>
        </w:rPr>
      </w:pPr>
    </w:p>
    <w:p w14:paraId="4E56AD6C"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General and administrative</w:t>
      </w:r>
    </w:p>
    <w:tbl>
      <w:tblPr>
        <w:tblW w:w="5000" w:type="pct"/>
        <w:tblCellMar>
          <w:left w:w="0" w:type="dxa"/>
          <w:right w:w="0" w:type="dxa"/>
        </w:tblCellMar>
        <w:tblLook w:val="04A0" w:firstRow="1" w:lastRow="0" w:firstColumn="1" w:lastColumn="0" w:noHBand="0" w:noVBand="1"/>
      </w:tblPr>
      <w:tblGrid>
        <w:gridCol w:w="1718"/>
        <w:gridCol w:w="140"/>
        <w:gridCol w:w="639"/>
        <w:gridCol w:w="207"/>
        <w:gridCol w:w="130"/>
        <w:gridCol w:w="140"/>
        <w:gridCol w:w="639"/>
        <w:gridCol w:w="207"/>
        <w:gridCol w:w="130"/>
        <w:gridCol w:w="722"/>
        <w:gridCol w:w="274"/>
        <w:gridCol w:w="130"/>
        <w:gridCol w:w="140"/>
        <w:gridCol w:w="639"/>
        <w:gridCol w:w="207"/>
        <w:gridCol w:w="130"/>
        <w:gridCol w:w="140"/>
        <w:gridCol w:w="640"/>
        <w:gridCol w:w="207"/>
        <w:gridCol w:w="130"/>
        <w:gridCol w:w="723"/>
        <w:gridCol w:w="274"/>
      </w:tblGrid>
      <w:tr w:rsidR="00DF3E10" w14:paraId="4E56AD6E" w14:textId="77777777">
        <w:tc>
          <w:tcPr>
            <w:tcW w:w="0" w:type="auto"/>
            <w:gridSpan w:val="22"/>
            <w:shd w:val="clear" w:color="auto" w:fill="auto"/>
            <w:vAlign w:val="center"/>
          </w:tcPr>
          <w:p w14:paraId="4E56AD6D" w14:textId="77777777" w:rsidR="00DF3E10" w:rsidRDefault="00DF3E10">
            <w:pPr>
              <w:rPr>
                <w:rFonts w:ascii="Times New Roman" w:hAnsi="Times New Roman"/>
                <w:sz w:val="20"/>
                <w:szCs w:val="20"/>
              </w:rPr>
            </w:pPr>
          </w:p>
        </w:tc>
      </w:tr>
      <w:tr w:rsidR="00DF3E10" w14:paraId="4E56AD85" w14:textId="77777777">
        <w:tc>
          <w:tcPr>
            <w:tcW w:w="1150" w:type="pct"/>
            <w:shd w:val="clear" w:color="auto" w:fill="auto"/>
            <w:vAlign w:val="center"/>
          </w:tcPr>
          <w:p w14:paraId="4E56AD6F" w14:textId="77777777" w:rsidR="00DF3E10" w:rsidRDefault="00DF3E10">
            <w:pPr>
              <w:rPr>
                <w:rFonts w:ascii="Times New Roman" w:hAnsi="Times New Roman"/>
                <w:sz w:val="20"/>
                <w:szCs w:val="20"/>
              </w:rPr>
            </w:pPr>
          </w:p>
        </w:tc>
        <w:tc>
          <w:tcPr>
            <w:tcW w:w="50" w:type="pct"/>
            <w:shd w:val="clear" w:color="auto" w:fill="auto"/>
            <w:vAlign w:val="center"/>
          </w:tcPr>
          <w:p w14:paraId="4E56AD70" w14:textId="77777777" w:rsidR="00DF3E10" w:rsidRDefault="00DF3E10">
            <w:pPr>
              <w:rPr>
                <w:rFonts w:ascii="Times New Roman" w:hAnsi="Times New Roman"/>
                <w:sz w:val="20"/>
                <w:szCs w:val="20"/>
              </w:rPr>
            </w:pPr>
          </w:p>
        </w:tc>
        <w:tc>
          <w:tcPr>
            <w:tcW w:w="500" w:type="pct"/>
            <w:shd w:val="clear" w:color="auto" w:fill="auto"/>
            <w:vAlign w:val="center"/>
          </w:tcPr>
          <w:p w14:paraId="4E56AD71" w14:textId="77777777" w:rsidR="00DF3E10" w:rsidRDefault="00DF3E10">
            <w:pPr>
              <w:rPr>
                <w:rFonts w:ascii="Times New Roman" w:hAnsi="Times New Roman"/>
                <w:sz w:val="20"/>
                <w:szCs w:val="20"/>
              </w:rPr>
            </w:pPr>
          </w:p>
        </w:tc>
        <w:tc>
          <w:tcPr>
            <w:tcW w:w="50" w:type="pct"/>
            <w:shd w:val="clear" w:color="auto" w:fill="auto"/>
            <w:vAlign w:val="center"/>
          </w:tcPr>
          <w:p w14:paraId="4E56AD72" w14:textId="77777777" w:rsidR="00DF3E10" w:rsidRDefault="00DF3E10">
            <w:pPr>
              <w:rPr>
                <w:rFonts w:ascii="Times New Roman" w:hAnsi="Times New Roman"/>
                <w:sz w:val="20"/>
                <w:szCs w:val="20"/>
              </w:rPr>
            </w:pPr>
          </w:p>
        </w:tc>
        <w:tc>
          <w:tcPr>
            <w:tcW w:w="50" w:type="pct"/>
            <w:shd w:val="clear" w:color="auto" w:fill="auto"/>
            <w:vAlign w:val="center"/>
          </w:tcPr>
          <w:p w14:paraId="4E56AD73" w14:textId="77777777" w:rsidR="00DF3E10" w:rsidRDefault="00DF3E10">
            <w:pPr>
              <w:rPr>
                <w:rFonts w:ascii="Times New Roman" w:hAnsi="Times New Roman"/>
                <w:sz w:val="20"/>
                <w:szCs w:val="20"/>
              </w:rPr>
            </w:pPr>
          </w:p>
        </w:tc>
        <w:tc>
          <w:tcPr>
            <w:tcW w:w="50" w:type="pct"/>
            <w:shd w:val="clear" w:color="auto" w:fill="auto"/>
            <w:vAlign w:val="center"/>
          </w:tcPr>
          <w:p w14:paraId="4E56AD74" w14:textId="77777777" w:rsidR="00DF3E10" w:rsidRDefault="00DF3E10">
            <w:pPr>
              <w:rPr>
                <w:rFonts w:ascii="Times New Roman" w:hAnsi="Times New Roman"/>
                <w:sz w:val="20"/>
                <w:szCs w:val="20"/>
              </w:rPr>
            </w:pPr>
          </w:p>
        </w:tc>
        <w:tc>
          <w:tcPr>
            <w:tcW w:w="500" w:type="pct"/>
            <w:shd w:val="clear" w:color="auto" w:fill="auto"/>
            <w:vAlign w:val="center"/>
          </w:tcPr>
          <w:p w14:paraId="4E56AD75" w14:textId="77777777" w:rsidR="00DF3E10" w:rsidRDefault="00DF3E10">
            <w:pPr>
              <w:rPr>
                <w:rFonts w:ascii="Times New Roman" w:hAnsi="Times New Roman"/>
                <w:sz w:val="20"/>
                <w:szCs w:val="20"/>
              </w:rPr>
            </w:pPr>
          </w:p>
        </w:tc>
        <w:tc>
          <w:tcPr>
            <w:tcW w:w="50" w:type="pct"/>
            <w:shd w:val="clear" w:color="auto" w:fill="auto"/>
            <w:vAlign w:val="center"/>
          </w:tcPr>
          <w:p w14:paraId="4E56AD76" w14:textId="77777777" w:rsidR="00DF3E10" w:rsidRDefault="00DF3E10">
            <w:pPr>
              <w:rPr>
                <w:rFonts w:ascii="Times New Roman" w:hAnsi="Times New Roman"/>
                <w:sz w:val="20"/>
                <w:szCs w:val="20"/>
              </w:rPr>
            </w:pPr>
          </w:p>
        </w:tc>
        <w:tc>
          <w:tcPr>
            <w:tcW w:w="50" w:type="pct"/>
            <w:shd w:val="clear" w:color="auto" w:fill="auto"/>
            <w:vAlign w:val="center"/>
          </w:tcPr>
          <w:p w14:paraId="4E56AD77" w14:textId="77777777" w:rsidR="00DF3E10" w:rsidRDefault="00DF3E10">
            <w:pPr>
              <w:rPr>
                <w:rFonts w:ascii="Times New Roman" w:hAnsi="Times New Roman"/>
                <w:sz w:val="20"/>
                <w:szCs w:val="20"/>
              </w:rPr>
            </w:pPr>
          </w:p>
        </w:tc>
        <w:tc>
          <w:tcPr>
            <w:tcW w:w="550" w:type="pct"/>
            <w:shd w:val="clear" w:color="auto" w:fill="auto"/>
            <w:vAlign w:val="center"/>
          </w:tcPr>
          <w:p w14:paraId="4E56AD78" w14:textId="77777777" w:rsidR="00DF3E10" w:rsidRDefault="00DF3E10">
            <w:pPr>
              <w:rPr>
                <w:rFonts w:ascii="Times New Roman" w:hAnsi="Times New Roman"/>
                <w:sz w:val="20"/>
                <w:szCs w:val="20"/>
              </w:rPr>
            </w:pPr>
          </w:p>
        </w:tc>
        <w:tc>
          <w:tcPr>
            <w:tcW w:w="50" w:type="pct"/>
            <w:shd w:val="clear" w:color="auto" w:fill="auto"/>
            <w:vAlign w:val="center"/>
          </w:tcPr>
          <w:p w14:paraId="4E56AD79" w14:textId="77777777" w:rsidR="00DF3E10" w:rsidRDefault="00DF3E10">
            <w:pPr>
              <w:rPr>
                <w:rFonts w:ascii="Times New Roman" w:hAnsi="Times New Roman"/>
                <w:sz w:val="20"/>
                <w:szCs w:val="20"/>
              </w:rPr>
            </w:pPr>
          </w:p>
        </w:tc>
        <w:tc>
          <w:tcPr>
            <w:tcW w:w="50" w:type="pct"/>
            <w:shd w:val="clear" w:color="auto" w:fill="auto"/>
            <w:vAlign w:val="center"/>
          </w:tcPr>
          <w:p w14:paraId="4E56AD7A" w14:textId="77777777" w:rsidR="00DF3E10" w:rsidRDefault="00DF3E10">
            <w:pPr>
              <w:rPr>
                <w:rFonts w:ascii="Times New Roman" w:hAnsi="Times New Roman"/>
                <w:sz w:val="20"/>
                <w:szCs w:val="20"/>
              </w:rPr>
            </w:pPr>
          </w:p>
        </w:tc>
        <w:tc>
          <w:tcPr>
            <w:tcW w:w="50" w:type="pct"/>
            <w:shd w:val="clear" w:color="auto" w:fill="auto"/>
            <w:vAlign w:val="center"/>
          </w:tcPr>
          <w:p w14:paraId="4E56AD7B" w14:textId="77777777" w:rsidR="00DF3E10" w:rsidRDefault="00DF3E10">
            <w:pPr>
              <w:rPr>
                <w:rFonts w:ascii="Times New Roman" w:hAnsi="Times New Roman"/>
                <w:sz w:val="20"/>
                <w:szCs w:val="20"/>
              </w:rPr>
            </w:pPr>
          </w:p>
        </w:tc>
        <w:tc>
          <w:tcPr>
            <w:tcW w:w="500" w:type="pct"/>
            <w:shd w:val="clear" w:color="auto" w:fill="auto"/>
            <w:vAlign w:val="center"/>
          </w:tcPr>
          <w:p w14:paraId="4E56AD7C" w14:textId="77777777" w:rsidR="00DF3E10" w:rsidRDefault="00DF3E10">
            <w:pPr>
              <w:rPr>
                <w:rFonts w:ascii="Times New Roman" w:hAnsi="Times New Roman"/>
                <w:sz w:val="20"/>
                <w:szCs w:val="20"/>
              </w:rPr>
            </w:pPr>
          </w:p>
        </w:tc>
        <w:tc>
          <w:tcPr>
            <w:tcW w:w="50" w:type="pct"/>
            <w:shd w:val="clear" w:color="auto" w:fill="auto"/>
            <w:vAlign w:val="center"/>
          </w:tcPr>
          <w:p w14:paraId="4E56AD7D" w14:textId="77777777" w:rsidR="00DF3E10" w:rsidRDefault="00DF3E10">
            <w:pPr>
              <w:rPr>
                <w:rFonts w:ascii="Times New Roman" w:hAnsi="Times New Roman"/>
                <w:sz w:val="20"/>
                <w:szCs w:val="20"/>
              </w:rPr>
            </w:pPr>
          </w:p>
        </w:tc>
        <w:tc>
          <w:tcPr>
            <w:tcW w:w="50" w:type="pct"/>
            <w:shd w:val="clear" w:color="auto" w:fill="auto"/>
            <w:vAlign w:val="center"/>
          </w:tcPr>
          <w:p w14:paraId="4E56AD7E" w14:textId="77777777" w:rsidR="00DF3E10" w:rsidRDefault="00DF3E10">
            <w:pPr>
              <w:rPr>
                <w:rFonts w:ascii="Times New Roman" w:hAnsi="Times New Roman"/>
                <w:sz w:val="20"/>
                <w:szCs w:val="20"/>
              </w:rPr>
            </w:pPr>
          </w:p>
        </w:tc>
        <w:tc>
          <w:tcPr>
            <w:tcW w:w="50" w:type="pct"/>
            <w:shd w:val="clear" w:color="auto" w:fill="auto"/>
            <w:vAlign w:val="center"/>
          </w:tcPr>
          <w:p w14:paraId="4E56AD7F" w14:textId="77777777" w:rsidR="00DF3E10" w:rsidRDefault="00DF3E10">
            <w:pPr>
              <w:rPr>
                <w:rFonts w:ascii="Times New Roman" w:hAnsi="Times New Roman"/>
                <w:sz w:val="20"/>
                <w:szCs w:val="20"/>
              </w:rPr>
            </w:pPr>
          </w:p>
        </w:tc>
        <w:tc>
          <w:tcPr>
            <w:tcW w:w="500" w:type="pct"/>
            <w:shd w:val="clear" w:color="auto" w:fill="auto"/>
            <w:vAlign w:val="center"/>
          </w:tcPr>
          <w:p w14:paraId="4E56AD80" w14:textId="77777777" w:rsidR="00DF3E10" w:rsidRDefault="00DF3E10">
            <w:pPr>
              <w:rPr>
                <w:rFonts w:ascii="Times New Roman" w:hAnsi="Times New Roman"/>
                <w:sz w:val="20"/>
                <w:szCs w:val="20"/>
              </w:rPr>
            </w:pPr>
          </w:p>
        </w:tc>
        <w:tc>
          <w:tcPr>
            <w:tcW w:w="50" w:type="pct"/>
            <w:shd w:val="clear" w:color="auto" w:fill="auto"/>
            <w:vAlign w:val="center"/>
          </w:tcPr>
          <w:p w14:paraId="4E56AD81" w14:textId="77777777" w:rsidR="00DF3E10" w:rsidRDefault="00DF3E10">
            <w:pPr>
              <w:rPr>
                <w:rFonts w:ascii="Times New Roman" w:hAnsi="Times New Roman"/>
                <w:sz w:val="20"/>
                <w:szCs w:val="20"/>
              </w:rPr>
            </w:pPr>
          </w:p>
        </w:tc>
        <w:tc>
          <w:tcPr>
            <w:tcW w:w="50" w:type="pct"/>
            <w:shd w:val="clear" w:color="auto" w:fill="auto"/>
            <w:vAlign w:val="center"/>
          </w:tcPr>
          <w:p w14:paraId="4E56AD82" w14:textId="77777777" w:rsidR="00DF3E10" w:rsidRDefault="00DF3E10">
            <w:pPr>
              <w:rPr>
                <w:rFonts w:ascii="Times New Roman" w:hAnsi="Times New Roman"/>
                <w:sz w:val="20"/>
                <w:szCs w:val="20"/>
              </w:rPr>
            </w:pPr>
          </w:p>
        </w:tc>
        <w:tc>
          <w:tcPr>
            <w:tcW w:w="550" w:type="pct"/>
            <w:shd w:val="clear" w:color="auto" w:fill="auto"/>
            <w:vAlign w:val="center"/>
          </w:tcPr>
          <w:p w14:paraId="4E56AD83" w14:textId="77777777" w:rsidR="00DF3E10" w:rsidRDefault="00DF3E10">
            <w:pPr>
              <w:rPr>
                <w:rFonts w:ascii="Times New Roman" w:hAnsi="Times New Roman"/>
                <w:sz w:val="20"/>
                <w:szCs w:val="20"/>
              </w:rPr>
            </w:pPr>
          </w:p>
        </w:tc>
        <w:tc>
          <w:tcPr>
            <w:tcW w:w="50" w:type="pct"/>
            <w:shd w:val="clear" w:color="auto" w:fill="auto"/>
            <w:vAlign w:val="center"/>
          </w:tcPr>
          <w:p w14:paraId="4E56AD84" w14:textId="77777777" w:rsidR="00DF3E10" w:rsidRDefault="00DF3E10">
            <w:pPr>
              <w:rPr>
                <w:rFonts w:ascii="Times New Roman" w:hAnsi="Times New Roman"/>
                <w:sz w:val="20"/>
                <w:szCs w:val="20"/>
              </w:rPr>
            </w:pPr>
          </w:p>
        </w:tc>
      </w:tr>
      <w:tr w:rsidR="00DF3E10" w14:paraId="4E56AD8E" w14:textId="77777777">
        <w:tc>
          <w:tcPr>
            <w:tcW w:w="0" w:type="auto"/>
            <w:shd w:val="clear" w:color="auto" w:fill="auto"/>
            <w:tcMar>
              <w:top w:w="40" w:type="dxa"/>
              <w:left w:w="40" w:type="dxa"/>
              <w:bottom w:w="40" w:type="dxa"/>
              <w:right w:w="40" w:type="dxa"/>
            </w:tcMar>
            <w:vAlign w:val="bottom"/>
          </w:tcPr>
          <w:p w14:paraId="4E56AD8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D8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D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89"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D8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D8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D8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8D"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D9B" w14:textId="77777777">
        <w:tc>
          <w:tcPr>
            <w:tcW w:w="0" w:type="auto"/>
            <w:shd w:val="clear" w:color="auto" w:fill="auto"/>
            <w:tcMar>
              <w:top w:w="40" w:type="dxa"/>
              <w:left w:w="40" w:type="dxa"/>
              <w:bottom w:w="40" w:type="dxa"/>
              <w:right w:w="40" w:type="dxa"/>
            </w:tcMar>
            <w:vAlign w:val="bottom"/>
          </w:tcPr>
          <w:p w14:paraId="4E56AD8F"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9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D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9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D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D9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D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9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D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D9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D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D9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D9E" w14:textId="77777777">
        <w:tc>
          <w:tcPr>
            <w:tcW w:w="0" w:type="auto"/>
            <w:shd w:val="clear" w:color="auto" w:fill="auto"/>
            <w:tcMar>
              <w:top w:w="40" w:type="dxa"/>
              <w:left w:w="40" w:type="dxa"/>
              <w:bottom w:w="40" w:type="dxa"/>
              <w:right w:w="40" w:type="dxa"/>
            </w:tcMar>
            <w:vAlign w:val="bottom"/>
          </w:tcPr>
          <w:p w14:paraId="4E56AD9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D9D"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DB5" w14:textId="77777777">
        <w:tc>
          <w:tcPr>
            <w:tcW w:w="0" w:type="auto"/>
            <w:shd w:val="clear" w:color="auto" w:fill="CCEEFF"/>
            <w:tcMar>
              <w:top w:w="40" w:type="dxa"/>
              <w:left w:w="40" w:type="dxa"/>
              <w:bottom w:w="40" w:type="dxa"/>
              <w:right w:w="40" w:type="dxa"/>
            </w:tcMar>
          </w:tcPr>
          <w:p w14:paraId="4E56AD9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Legal accrual related to FTC settlement</w:t>
            </w:r>
          </w:p>
        </w:tc>
        <w:tc>
          <w:tcPr>
            <w:tcW w:w="0" w:type="auto"/>
            <w:shd w:val="clear" w:color="auto" w:fill="CCEEFF"/>
            <w:tcMar>
              <w:top w:w="40" w:type="dxa"/>
              <w:left w:w="40" w:type="dxa"/>
              <w:bottom w:w="40" w:type="dxa"/>
            </w:tcMar>
            <w:vAlign w:val="bottom"/>
          </w:tcPr>
          <w:p w14:paraId="4E56AD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DA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A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A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vAlign w:val="bottom"/>
          </w:tcPr>
          <w:p w14:paraId="4E56ADA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A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4E56ADA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DA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DB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5,000</w:t>
            </w:r>
          </w:p>
        </w:tc>
        <w:tc>
          <w:tcPr>
            <w:tcW w:w="0" w:type="auto"/>
            <w:shd w:val="clear" w:color="auto" w:fill="CCEEFF"/>
            <w:vAlign w:val="bottom"/>
          </w:tcPr>
          <w:p w14:paraId="4E56ADB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B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4E56ADB4" w14:textId="77777777" w:rsidR="00DF3E10" w:rsidRDefault="00DF3E10">
            <w:pPr>
              <w:textAlignment w:val="bottom"/>
              <w:rPr>
                <w:rFonts w:ascii="Times New Roman" w:hAnsi="Times New Roman"/>
                <w:sz w:val="20"/>
                <w:szCs w:val="20"/>
              </w:rPr>
            </w:pPr>
          </w:p>
        </w:tc>
      </w:tr>
      <w:tr w:rsidR="00DF3E10" w14:paraId="4E56ADC8" w14:textId="77777777">
        <w:tc>
          <w:tcPr>
            <w:tcW w:w="0" w:type="auto"/>
            <w:shd w:val="clear" w:color="auto" w:fill="auto"/>
            <w:tcMar>
              <w:top w:w="40" w:type="dxa"/>
              <w:left w:w="40" w:type="dxa"/>
              <w:bottom w:w="40" w:type="dxa"/>
              <w:right w:w="40" w:type="dxa"/>
            </w:tcMar>
          </w:tcPr>
          <w:p w14:paraId="4E56ADB6"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4E56ADB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1,593</w:t>
            </w:r>
          </w:p>
        </w:tc>
        <w:tc>
          <w:tcPr>
            <w:tcW w:w="0" w:type="auto"/>
            <w:tcBorders>
              <w:bottom w:val="single" w:sz="8" w:space="0" w:color="000000"/>
            </w:tcBorders>
            <w:shd w:val="clear" w:color="auto" w:fill="auto"/>
            <w:vAlign w:val="bottom"/>
          </w:tcPr>
          <w:p w14:paraId="4E56ADB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D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DB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1,224</w:t>
            </w:r>
          </w:p>
        </w:tc>
        <w:tc>
          <w:tcPr>
            <w:tcW w:w="0" w:type="auto"/>
            <w:tcBorders>
              <w:bottom w:val="single" w:sz="8" w:space="0" w:color="000000"/>
            </w:tcBorders>
            <w:shd w:val="clear" w:color="auto" w:fill="auto"/>
            <w:vAlign w:val="bottom"/>
          </w:tcPr>
          <w:p w14:paraId="4E56ADBB"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D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DB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bottom w:w="40" w:type="dxa"/>
              <w:right w:w="40" w:type="dxa"/>
            </w:tcMar>
            <w:vAlign w:val="bottom"/>
          </w:tcPr>
          <w:p w14:paraId="4E56ADB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D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C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3,175</w:t>
            </w:r>
          </w:p>
        </w:tc>
        <w:tc>
          <w:tcPr>
            <w:tcW w:w="0" w:type="auto"/>
            <w:shd w:val="clear" w:color="auto" w:fill="auto"/>
            <w:vAlign w:val="bottom"/>
          </w:tcPr>
          <w:p w14:paraId="4E56ADC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DC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DC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2,288</w:t>
            </w:r>
          </w:p>
        </w:tc>
        <w:tc>
          <w:tcPr>
            <w:tcW w:w="0" w:type="auto"/>
            <w:tcBorders>
              <w:bottom w:val="single" w:sz="8" w:space="0" w:color="000000"/>
            </w:tcBorders>
            <w:shd w:val="clear" w:color="auto" w:fill="auto"/>
            <w:vAlign w:val="bottom"/>
          </w:tcPr>
          <w:p w14:paraId="4E56ADC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D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DC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tcMar>
              <w:top w:w="40" w:type="dxa"/>
              <w:bottom w:w="40" w:type="dxa"/>
              <w:right w:w="40" w:type="dxa"/>
            </w:tcMar>
            <w:vAlign w:val="bottom"/>
          </w:tcPr>
          <w:p w14:paraId="4E56AD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ADDF" w14:textId="77777777">
        <w:tc>
          <w:tcPr>
            <w:tcW w:w="0" w:type="auto"/>
            <w:shd w:val="clear" w:color="auto" w:fill="CCEEFF"/>
            <w:tcMar>
              <w:top w:w="40" w:type="dxa"/>
              <w:left w:w="40" w:type="dxa"/>
              <w:bottom w:w="40" w:type="dxa"/>
              <w:right w:w="40" w:type="dxa"/>
            </w:tcMar>
          </w:tcPr>
          <w:p w14:paraId="4E56ADC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D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DC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1,593</w:t>
            </w:r>
          </w:p>
        </w:tc>
        <w:tc>
          <w:tcPr>
            <w:tcW w:w="0" w:type="auto"/>
            <w:tcBorders>
              <w:top w:val="single" w:sz="8" w:space="0" w:color="000000"/>
              <w:bottom w:val="double" w:sz="6" w:space="0" w:color="000000"/>
            </w:tcBorders>
            <w:shd w:val="clear" w:color="auto" w:fill="CCEEFF"/>
            <w:vAlign w:val="bottom"/>
          </w:tcPr>
          <w:p w14:paraId="4E56ADC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D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DC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3,224</w:t>
            </w:r>
          </w:p>
        </w:tc>
        <w:tc>
          <w:tcPr>
            <w:tcW w:w="0" w:type="auto"/>
            <w:tcBorders>
              <w:top w:val="single" w:sz="8" w:space="0" w:color="000000"/>
              <w:bottom w:val="double" w:sz="6" w:space="0" w:color="000000"/>
            </w:tcBorders>
            <w:shd w:val="clear" w:color="auto" w:fill="CCEEFF"/>
            <w:vAlign w:val="bottom"/>
          </w:tcPr>
          <w:p w14:paraId="4E56ADD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D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tcMar>
              <w:top w:w="40" w:type="dxa"/>
              <w:bottom w:w="40" w:type="dxa"/>
              <w:right w:w="40" w:type="dxa"/>
            </w:tcMar>
            <w:vAlign w:val="bottom"/>
          </w:tcPr>
          <w:p w14:paraId="4E56AD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D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D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DD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3,175</w:t>
            </w:r>
          </w:p>
        </w:tc>
        <w:tc>
          <w:tcPr>
            <w:tcW w:w="0" w:type="auto"/>
            <w:tcBorders>
              <w:top w:val="single" w:sz="8" w:space="0" w:color="000000"/>
              <w:bottom w:val="double" w:sz="6" w:space="0" w:color="000000"/>
            </w:tcBorders>
            <w:shd w:val="clear" w:color="auto" w:fill="CCEEFF"/>
            <w:vAlign w:val="bottom"/>
          </w:tcPr>
          <w:p w14:paraId="4E56ADD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D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DD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7,288</w:t>
            </w:r>
          </w:p>
        </w:tc>
        <w:tc>
          <w:tcPr>
            <w:tcW w:w="0" w:type="auto"/>
            <w:tcBorders>
              <w:top w:val="single" w:sz="8" w:space="0" w:color="000000"/>
              <w:bottom w:val="double" w:sz="6" w:space="0" w:color="000000"/>
            </w:tcBorders>
            <w:shd w:val="clear" w:color="auto" w:fill="CCEEFF"/>
            <w:vAlign w:val="bottom"/>
          </w:tcPr>
          <w:p w14:paraId="4E56ADD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D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DD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tcMar>
              <w:top w:w="40" w:type="dxa"/>
              <w:bottom w:w="40" w:type="dxa"/>
              <w:right w:w="40" w:type="dxa"/>
            </w:tcMar>
            <w:vAlign w:val="bottom"/>
          </w:tcPr>
          <w:p w14:paraId="4E56AD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DF0" w14:textId="77777777">
        <w:tc>
          <w:tcPr>
            <w:tcW w:w="0" w:type="auto"/>
            <w:shd w:val="clear" w:color="auto" w:fill="auto"/>
            <w:tcMar>
              <w:top w:w="40" w:type="dxa"/>
              <w:left w:w="40" w:type="dxa"/>
              <w:bottom w:w="40" w:type="dxa"/>
              <w:right w:w="40" w:type="dxa"/>
            </w:tcMar>
          </w:tcPr>
          <w:p w14:paraId="4E56ADE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4E56ADE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4E56ADE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E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4E56AD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E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DE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E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4E56ADE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E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DE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4E56AD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DE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DE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ADF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General and administrative expenses in the three and six months ended June 30, 2020 decreased $1.63 billion, or 51%, and $4.11 billion, or 56%, respectively, compared to the same periods in 2019. The decreases were mostly due to the legal accruals related </w:t>
      </w:r>
      <w:r>
        <w:rPr>
          <w:rFonts w:ascii="Times New Roman" w:eastAsia="宋体" w:hAnsi="Times New Roman"/>
          <w:sz w:val="20"/>
          <w:szCs w:val="20"/>
        </w:rPr>
        <w:t>to the FTC settlement, of which $2.0 billion was recorded in the second quarter of 2019 and a total of $5.0 billion was recorded during the first six months of 2019. Excluding the FTC settlement accruals, the increases in general and administrative expense</w:t>
      </w:r>
      <w:r>
        <w:rPr>
          <w:rFonts w:ascii="Times New Roman" w:eastAsia="宋体" w:hAnsi="Times New Roman"/>
          <w:sz w:val="20"/>
          <w:szCs w:val="20"/>
        </w:rPr>
        <w:t>s in the three and six months ended June 30, 2020 were mostly due to increases in other legal-related costs, payroll and benefits expenses as a result of a 31% increase in employee headcount from June 30, 2019 to June 30, 2020 in our general and administra</w:t>
      </w:r>
      <w:r>
        <w:rPr>
          <w:rFonts w:ascii="Times New Roman" w:eastAsia="宋体" w:hAnsi="Times New Roman"/>
          <w:sz w:val="20"/>
          <w:szCs w:val="20"/>
        </w:rPr>
        <w:t xml:space="preserve">tive functions, and higher professional services costs. </w:t>
      </w:r>
    </w:p>
    <w:p w14:paraId="4E56ADF2"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Interest and other income, net</w:t>
      </w:r>
    </w:p>
    <w:tbl>
      <w:tblPr>
        <w:tblW w:w="5000" w:type="pct"/>
        <w:tblCellMar>
          <w:left w:w="0" w:type="dxa"/>
          <w:right w:w="0" w:type="dxa"/>
        </w:tblCellMar>
        <w:tblLook w:val="04A0" w:firstRow="1" w:lastRow="0" w:firstColumn="1" w:lastColumn="0" w:noHBand="0" w:noVBand="1"/>
      </w:tblPr>
      <w:tblGrid>
        <w:gridCol w:w="1795"/>
        <w:gridCol w:w="140"/>
        <w:gridCol w:w="716"/>
        <w:gridCol w:w="6"/>
        <w:gridCol w:w="130"/>
        <w:gridCol w:w="140"/>
        <w:gridCol w:w="678"/>
        <w:gridCol w:w="107"/>
        <w:gridCol w:w="130"/>
        <w:gridCol w:w="799"/>
        <w:gridCol w:w="274"/>
        <w:gridCol w:w="130"/>
        <w:gridCol w:w="140"/>
        <w:gridCol w:w="716"/>
        <w:gridCol w:w="107"/>
        <w:gridCol w:w="130"/>
        <w:gridCol w:w="140"/>
        <w:gridCol w:w="717"/>
        <w:gridCol w:w="107"/>
        <w:gridCol w:w="130"/>
        <w:gridCol w:w="800"/>
        <w:gridCol w:w="274"/>
      </w:tblGrid>
      <w:tr w:rsidR="00DF3E10" w14:paraId="4E56ADF4" w14:textId="77777777">
        <w:tc>
          <w:tcPr>
            <w:tcW w:w="0" w:type="auto"/>
            <w:gridSpan w:val="22"/>
            <w:shd w:val="clear" w:color="auto" w:fill="auto"/>
            <w:vAlign w:val="center"/>
          </w:tcPr>
          <w:p w14:paraId="4E56ADF3" w14:textId="77777777" w:rsidR="00DF3E10" w:rsidRDefault="00DF3E10">
            <w:pPr>
              <w:rPr>
                <w:rFonts w:ascii="Times New Roman" w:hAnsi="Times New Roman"/>
                <w:sz w:val="20"/>
                <w:szCs w:val="20"/>
              </w:rPr>
            </w:pPr>
          </w:p>
        </w:tc>
      </w:tr>
      <w:tr w:rsidR="00DF3E10" w14:paraId="4E56AE0B" w14:textId="77777777">
        <w:tc>
          <w:tcPr>
            <w:tcW w:w="1150" w:type="pct"/>
            <w:shd w:val="clear" w:color="auto" w:fill="auto"/>
            <w:vAlign w:val="center"/>
          </w:tcPr>
          <w:p w14:paraId="4E56ADF5" w14:textId="77777777" w:rsidR="00DF3E10" w:rsidRDefault="00DF3E10">
            <w:pPr>
              <w:rPr>
                <w:rFonts w:ascii="Times New Roman" w:hAnsi="Times New Roman"/>
                <w:sz w:val="20"/>
                <w:szCs w:val="20"/>
              </w:rPr>
            </w:pPr>
          </w:p>
        </w:tc>
        <w:tc>
          <w:tcPr>
            <w:tcW w:w="50" w:type="pct"/>
            <w:shd w:val="clear" w:color="auto" w:fill="auto"/>
            <w:vAlign w:val="center"/>
          </w:tcPr>
          <w:p w14:paraId="4E56ADF6" w14:textId="77777777" w:rsidR="00DF3E10" w:rsidRDefault="00DF3E10">
            <w:pPr>
              <w:rPr>
                <w:rFonts w:ascii="Times New Roman" w:hAnsi="Times New Roman"/>
                <w:sz w:val="20"/>
                <w:szCs w:val="20"/>
              </w:rPr>
            </w:pPr>
          </w:p>
        </w:tc>
        <w:tc>
          <w:tcPr>
            <w:tcW w:w="500" w:type="pct"/>
            <w:shd w:val="clear" w:color="auto" w:fill="auto"/>
            <w:vAlign w:val="center"/>
          </w:tcPr>
          <w:p w14:paraId="4E56ADF7" w14:textId="77777777" w:rsidR="00DF3E10" w:rsidRDefault="00DF3E10">
            <w:pPr>
              <w:rPr>
                <w:rFonts w:ascii="Times New Roman" w:hAnsi="Times New Roman"/>
                <w:sz w:val="20"/>
                <w:szCs w:val="20"/>
              </w:rPr>
            </w:pPr>
          </w:p>
        </w:tc>
        <w:tc>
          <w:tcPr>
            <w:tcW w:w="50" w:type="pct"/>
            <w:shd w:val="clear" w:color="auto" w:fill="auto"/>
            <w:vAlign w:val="center"/>
          </w:tcPr>
          <w:p w14:paraId="4E56ADF8" w14:textId="77777777" w:rsidR="00DF3E10" w:rsidRDefault="00DF3E10">
            <w:pPr>
              <w:rPr>
                <w:rFonts w:ascii="Times New Roman" w:hAnsi="Times New Roman"/>
                <w:sz w:val="20"/>
                <w:szCs w:val="20"/>
              </w:rPr>
            </w:pPr>
          </w:p>
        </w:tc>
        <w:tc>
          <w:tcPr>
            <w:tcW w:w="50" w:type="pct"/>
            <w:shd w:val="clear" w:color="auto" w:fill="auto"/>
            <w:vAlign w:val="center"/>
          </w:tcPr>
          <w:p w14:paraId="4E56ADF9" w14:textId="77777777" w:rsidR="00DF3E10" w:rsidRDefault="00DF3E10">
            <w:pPr>
              <w:rPr>
                <w:rFonts w:ascii="Times New Roman" w:hAnsi="Times New Roman"/>
                <w:sz w:val="20"/>
                <w:szCs w:val="20"/>
              </w:rPr>
            </w:pPr>
          </w:p>
        </w:tc>
        <w:tc>
          <w:tcPr>
            <w:tcW w:w="50" w:type="pct"/>
            <w:shd w:val="clear" w:color="auto" w:fill="auto"/>
            <w:vAlign w:val="center"/>
          </w:tcPr>
          <w:p w14:paraId="4E56ADFA" w14:textId="77777777" w:rsidR="00DF3E10" w:rsidRDefault="00DF3E10">
            <w:pPr>
              <w:rPr>
                <w:rFonts w:ascii="Times New Roman" w:hAnsi="Times New Roman"/>
                <w:sz w:val="20"/>
                <w:szCs w:val="20"/>
              </w:rPr>
            </w:pPr>
          </w:p>
        </w:tc>
        <w:tc>
          <w:tcPr>
            <w:tcW w:w="500" w:type="pct"/>
            <w:shd w:val="clear" w:color="auto" w:fill="auto"/>
            <w:vAlign w:val="center"/>
          </w:tcPr>
          <w:p w14:paraId="4E56ADFB" w14:textId="77777777" w:rsidR="00DF3E10" w:rsidRDefault="00DF3E10">
            <w:pPr>
              <w:rPr>
                <w:rFonts w:ascii="Times New Roman" w:hAnsi="Times New Roman"/>
                <w:sz w:val="20"/>
                <w:szCs w:val="20"/>
              </w:rPr>
            </w:pPr>
          </w:p>
        </w:tc>
        <w:tc>
          <w:tcPr>
            <w:tcW w:w="50" w:type="pct"/>
            <w:shd w:val="clear" w:color="auto" w:fill="auto"/>
            <w:vAlign w:val="center"/>
          </w:tcPr>
          <w:p w14:paraId="4E56ADFC" w14:textId="77777777" w:rsidR="00DF3E10" w:rsidRDefault="00DF3E10">
            <w:pPr>
              <w:rPr>
                <w:rFonts w:ascii="Times New Roman" w:hAnsi="Times New Roman"/>
                <w:sz w:val="20"/>
                <w:szCs w:val="20"/>
              </w:rPr>
            </w:pPr>
          </w:p>
        </w:tc>
        <w:tc>
          <w:tcPr>
            <w:tcW w:w="50" w:type="pct"/>
            <w:shd w:val="clear" w:color="auto" w:fill="auto"/>
            <w:vAlign w:val="center"/>
          </w:tcPr>
          <w:p w14:paraId="4E56ADFD" w14:textId="77777777" w:rsidR="00DF3E10" w:rsidRDefault="00DF3E10">
            <w:pPr>
              <w:rPr>
                <w:rFonts w:ascii="Times New Roman" w:hAnsi="Times New Roman"/>
                <w:sz w:val="20"/>
                <w:szCs w:val="20"/>
              </w:rPr>
            </w:pPr>
          </w:p>
        </w:tc>
        <w:tc>
          <w:tcPr>
            <w:tcW w:w="550" w:type="pct"/>
            <w:shd w:val="clear" w:color="auto" w:fill="auto"/>
            <w:vAlign w:val="center"/>
          </w:tcPr>
          <w:p w14:paraId="4E56ADFE" w14:textId="77777777" w:rsidR="00DF3E10" w:rsidRDefault="00DF3E10">
            <w:pPr>
              <w:rPr>
                <w:rFonts w:ascii="Times New Roman" w:hAnsi="Times New Roman"/>
                <w:sz w:val="20"/>
                <w:szCs w:val="20"/>
              </w:rPr>
            </w:pPr>
          </w:p>
        </w:tc>
        <w:tc>
          <w:tcPr>
            <w:tcW w:w="50" w:type="pct"/>
            <w:shd w:val="clear" w:color="auto" w:fill="auto"/>
            <w:vAlign w:val="center"/>
          </w:tcPr>
          <w:p w14:paraId="4E56ADFF" w14:textId="77777777" w:rsidR="00DF3E10" w:rsidRDefault="00DF3E10">
            <w:pPr>
              <w:rPr>
                <w:rFonts w:ascii="Times New Roman" w:hAnsi="Times New Roman"/>
                <w:sz w:val="20"/>
                <w:szCs w:val="20"/>
              </w:rPr>
            </w:pPr>
          </w:p>
        </w:tc>
        <w:tc>
          <w:tcPr>
            <w:tcW w:w="50" w:type="pct"/>
            <w:shd w:val="clear" w:color="auto" w:fill="auto"/>
            <w:vAlign w:val="center"/>
          </w:tcPr>
          <w:p w14:paraId="4E56AE00" w14:textId="77777777" w:rsidR="00DF3E10" w:rsidRDefault="00DF3E10">
            <w:pPr>
              <w:rPr>
                <w:rFonts w:ascii="Times New Roman" w:hAnsi="Times New Roman"/>
                <w:sz w:val="20"/>
                <w:szCs w:val="20"/>
              </w:rPr>
            </w:pPr>
          </w:p>
        </w:tc>
        <w:tc>
          <w:tcPr>
            <w:tcW w:w="50" w:type="pct"/>
            <w:shd w:val="clear" w:color="auto" w:fill="auto"/>
            <w:vAlign w:val="center"/>
          </w:tcPr>
          <w:p w14:paraId="4E56AE01" w14:textId="77777777" w:rsidR="00DF3E10" w:rsidRDefault="00DF3E10">
            <w:pPr>
              <w:rPr>
                <w:rFonts w:ascii="Times New Roman" w:hAnsi="Times New Roman"/>
                <w:sz w:val="20"/>
                <w:szCs w:val="20"/>
              </w:rPr>
            </w:pPr>
          </w:p>
        </w:tc>
        <w:tc>
          <w:tcPr>
            <w:tcW w:w="500" w:type="pct"/>
            <w:shd w:val="clear" w:color="auto" w:fill="auto"/>
            <w:vAlign w:val="center"/>
          </w:tcPr>
          <w:p w14:paraId="4E56AE02" w14:textId="77777777" w:rsidR="00DF3E10" w:rsidRDefault="00DF3E10">
            <w:pPr>
              <w:rPr>
                <w:rFonts w:ascii="Times New Roman" w:hAnsi="Times New Roman"/>
                <w:sz w:val="20"/>
                <w:szCs w:val="20"/>
              </w:rPr>
            </w:pPr>
          </w:p>
        </w:tc>
        <w:tc>
          <w:tcPr>
            <w:tcW w:w="50" w:type="pct"/>
            <w:shd w:val="clear" w:color="auto" w:fill="auto"/>
            <w:vAlign w:val="center"/>
          </w:tcPr>
          <w:p w14:paraId="4E56AE03" w14:textId="77777777" w:rsidR="00DF3E10" w:rsidRDefault="00DF3E10">
            <w:pPr>
              <w:rPr>
                <w:rFonts w:ascii="Times New Roman" w:hAnsi="Times New Roman"/>
                <w:sz w:val="20"/>
                <w:szCs w:val="20"/>
              </w:rPr>
            </w:pPr>
          </w:p>
        </w:tc>
        <w:tc>
          <w:tcPr>
            <w:tcW w:w="50" w:type="pct"/>
            <w:shd w:val="clear" w:color="auto" w:fill="auto"/>
            <w:vAlign w:val="center"/>
          </w:tcPr>
          <w:p w14:paraId="4E56AE04" w14:textId="77777777" w:rsidR="00DF3E10" w:rsidRDefault="00DF3E10">
            <w:pPr>
              <w:rPr>
                <w:rFonts w:ascii="Times New Roman" w:hAnsi="Times New Roman"/>
                <w:sz w:val="20"/>
                <w:szCs w:val="20"/>
              </w:rPr>
            </w:pPr>
          </w:p>
        </w:tc>
        <w:tc>
          <w:tcPr>
            <w:tcW w:w="50" w:type="pct"/>
            <w:shd w:val="clear" w:color="auto" w:fill="auto"/>
            <w:vAlign w:val="center"/>
          </w:tcPr>
          <w:p w14:paraId="4E56AE05" w14:textId="77777777" w:rsidR="00DF3E10" w:rsidRDefault="00DF3E10">
            <w:pPr>
              <w:rPr>
                <w:rFonts w:ascii="Times New Roman" w:hAnsi="Times New Roman"/>
                <w:sz w:val="20"/>
                <w:szCs w:val="20"/>
              </w:rPr>
            </w:pPr>
          </w:p>
        </w:tc>
        <w:tc>
          <w:tcPr>
            <w:tcW w:w="500" w:type="pct"/>
            <w:shd w:val="clear" w:color="auto" w:fill="auto"/>
            <w:vAlign w:val="center"/>
          </w:tcPr>
          <w:p w14:paraId="4E56AE06" w14:textId="77777777" w:rsidR="00DF3E10" w:rsidRDefault="00DF3E10">
            <w:pPr>
              <w:rPr>
                <w:rFonts w:ascii="Times New Roman" w:hAnsi="Times New Roman"/>
                <w:sz w:val="20"/>
                <w:szCs w:val="20"/>
              </w:rPr>
            </w:pPr>
          </w:p>
        </w:tc>
        <w:tc>
          <w:tcPr>
            <w:tcW w:w="50" w:type="pct"/>
            <w:shd w:val="clear" w:color="auto" w:fill="auto"/>
            <w:vAlign w:val="center"/>
          </w:tcPr>
          <w:p w14:paraId="4E56AE07" w14:textId="77777777" w:rsidR="00DF3E10" w:rsidRDefault="00DF3E10">
            <w:pPr>
              <w:rPr>
                <w:rFonts w:ascii="Times New Roman" w:hAnsi="Times New Roman"/>
                <w:sz w:val="20"/>
                <w:szCs w:val="20"/>
              </w:rPr>
            </w:pPr>
          </w:p>
        </w:tc>
        <w:tc>
          <w:tcPr>
            <w:tcW w:w="50" w:type="pct"/>
            <w:shd w:val="clear" w:color="auto" w:fill="auto"/>
            <w:vAlign w:val="center"/>
          </w:tcPr>
          <w:p w14:paraId="4E56AE08" w14:textId="77777777" w:rsidR="00DF3E10" w:rsidRDefault="00DF3E10">
            <w:pPr>
              <w:rPr>
                <w:rFonts w:ascii="Times New Roman" w:hAnsi="Times New Roman"/>
                <w:sz w:val="20"/>
                <w:szCs w:val="20"/>
              </w:rPr>
            </w:pPr>
          </w:p>
        </w:tc>
        <w:tc>
          <w:tcPr>
            <w:tcW w:w="550" w:type="pct"/>
            <w:shd w:val="clear" w:color="auto" w:fill="auto"/>
            <w:vAlign w:val="center"/>
          </w:tcPr>
          <w:p w14:paraId="4E56AE09" w14:textId="77777777" w:rsidR="00DF3E10" w:rsidRDefault="00DF3E10">
            <w:pPr>
              <w:rPr>
                <w:rFonts w:ascii="Times New Roman" w:hAnsi="Times New Roman"/>
                <w:sz w:val="20"/>
                <w:szCs w:val="20"/>
              </w:rPr>
            </w:pPr>
          </w:p>
        </w:tc>
        <w:tc>
          <w:tcPr>
            <w:tcW w:w="50" w:type="pct"/>
            <w:shd w:val="clear" w:color="auto" w:fill="auto"/>
            <w:vAlign w:val="center"/>
          </w:tcPr>
          <w:p w14:paraId="4E56AE0A" w14:textId="77777777" w:rsidR="00DF3E10" w:rsidRDefault="00DF3E10">
            <w:pPr>
              <w:rPr>
                <w:rFonts w:ascii="Times New Roman" w:hAnsi="Times New Roman"/>
                <w:sz w:val="20"/>
                <w:szCs w:val="20"/>
              </w:rPr>
            </w:pPr>
          </w:p>
        </w:tc>
      </w:tr>
      <w:tr w:rsidR="00DF3E10" w14:paraId="4E56AE14" w14:textId="77777777">
        <w:tc>
          <w:tcPr>
            <w:tcW w:w="0" w:type="auto"/>
            <w:shd w:val="clear" w:color="auto" w:fill="auto"/>
            <w:tcMar>
              <w:top w:w="40" w:type="dxa"/>
              <w:left w:w="40" w:type="dxa"/>
              <w:bottom w:w="40" w:type="dxa"/>
              <w:right w:w="40" w:type="dxa"/>
            </w:tcMar>
            <w:vAlign w:val="bottom"/>
          </w:tcPr>
          <w:p w14:paraId="4E56AE0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E0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E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0F"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E1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E1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E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13"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E21" w14:textId="77777777">
        <w:tc>
          <w:tcPr>
            <w:tcW w:w="0" w:type="auto"/>
            <w:shd w:val="clear" w:color="auto" w:fill="auto"/>
            <w:tcMar>
              <w:top w:w="40" w:type="dxa"/>
              <w:left w:w="40" w:type="dxa"/>
              <w:bottom w:w="40" w:type="dxa"/>
              <w:right w:w="40" w:type="dxa"/>
            </w:tcMar>
            <w:vAlign w:val="bottom"/>
          </w:tcPr>
          <w:p w14:paraId="4E56AE1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1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E56AE1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1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E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E1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E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1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E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1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E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E2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E24" w14:textId="77777777">
        <w:tc>
          <w:tcPr>
            <w:tcW w:w="0" w:type="auto"/>
            <w:shd w:val="clear" w:color="auto" w:fill="auto"/>
            <w:tcMar>
              <w:top w:w="40" w:type="dxa"/>
              <w:left w:w="40" w:type="dxa"/>
              <w:bottom w:w="40" w:type="dxa"/>
              <w:right w:w="40" w:type="dxa"/>
            </w:tcMar>
            <w:vAlign w:val="bottom"/>
          </w:tcPr>
          <w:p w14:paraId="4E56AE2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E23"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E3B" w14:textId="77777777">
        <w:tc>
          <w:tcPr>
            <w:tcW w:w="0" w:type="auto"/>
            <w:shd w:val="clear" w:color="auto" w:fill="CCEEFF"/>
            <w:tcMar>
              <w:top w:w="40" w:type="dxa"/>
              <w:left w:w="40" w:type="dxa"/>
              <w:bottom w:w="40" w:type="dxa"/>
              <w:right w:w="40" w:type="dxa"/>
            </w:tcMar>
          </w:tcPr>
          <w:p w14:paraId="4E56AE2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Interest income, net</w:t>
            </w:r>
          </w:p>
        </w:tc>
        <w:tc>
          <w:tcPr>
            <w:tcW w:w="0" w:type="auto"/>
            <w:shd w:val="clear" w:color="auto" w:fill="CCEEFF"/>
            <w:tcMar>
              <w:top w:w="40" w:type="dxa"/>
              <w:left w:w="40" w:type="dxa"/>
              <w:bottom w:w="40" w:type="dxa"/>
            </w:tcMar>
            <w:vAlign w:val="bottom"/>
          </w:tcPr>
          <w:p w14:paraId="4E56AE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2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4E56AE2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2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219</w:t>
            </w:r>
          </w:p>
        </w:tc>
        <w:tc>
          <w:tcPr>
            <w:tcW w:w="0" w:type="auto"/>
            <w:shd w:val="clear" w:color="auto" w:fill="CCEEFF"/>
            <w:vAlign w:val="bottom"/>
          </w:tcPr>
          <w:p w14:paraId="4E56AE2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2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tcMar>
              <w:top w:w="40" w:type="dxa"/>
              <w:bottom w:w="40" w:type="dxa"/>
              <w:right w:w="40" w:type="dxa"/>
            </w:tcMar>
            <w:vAlign w:val="bottom"/>
          </w:tcPr>
          <w:p w14:paraId="4E56AE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E3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32"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390</w:t>
            </w:r>
          </w:p>
        </w:tc>
        <w:tc>
          <w:tcPr>
            <w:tcW w:w="0" w:type="auto"/>
            <w:shd w:val="clear" w:color="auto" w:fill="CCEEFF"/>
            <w:vAlign w:val="bottom"/>
          </w:tcPr>
          <w:p w14:paraId="4E56AE33"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3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417</w:t>
            </w:r>
          </w:p>
        </w:tc>
        <w:tc>
          <w:tcPr>
            <w:tcW w:w="0" w:type="auto"/>
            <w:shd w:val="clear" w:color="auto" w:fill="CCEEFF"/>
            <w:vAlign w:val="bottom"/>
          </w:tcPr>
          <w:p w14:paraId="4E56AE3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4E56AE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E4E" w14:textId="77777777">
        <w:tc>
          <w:tcPr>
            <w:tcW w:w="0" w:type="auto"/>
            <w:shd w:val="clear" w:color="auto" w:fill="auto"/>
            <w:tcMar>
              <w:top w:w="40" w:type="dxa"/>
              <w:left w:w="40" w:type="dxa"/>
              <w:bottom w:w="40" w:type="dxa"/>
              <w:right w:w="40" w:type="dxa"/>
            </w:tcMar>
          </w:tcPr>
          <w:p w14:paraId="4E56AE3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Other income (expense),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4E56AE3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vAlign w:val="bottom"/>
          </w:tcPr>
          <w:p w14:paraId="4E56AE3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E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E4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auto"/>
            <w:tcMar>
              <w:top w:w="40" w:type="dxa"/>
              <w:bottom w:w="40" w:type="dxa"/>
              <w:right w:w="40" w:type="dxa"/>
            </w:tcMar>
            <w:vAlign w:val="bottom"/>
          </w:tcPr>
          <w:p w14:paraId="4E56AE4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E4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auto"/>
            <w:tcMar>
              <w:top w:w="40" w:type="dxa"/>
              <w:bottom w:w="40" w:type="dxa"/>
              <w:right w:w="40" w:type="dxa"/>
            </w:tcMar>
            <w:vAlign w:val="bottom"/>
          </w:tcPr>
          <w:p w14:paraId="4E56AE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E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(254</w:t>
            </w:r>
          </w:p>
        </w:tc>
        <w:tc>
          <w:tcPr>
            <w:tcW w:w="0" w:type="auto"/>
            <w:tcBorders>
              <w:bottom w:val="single" w:sz="8" w:space="0" w:color="000000"/>
            </w:tcBorders>
            <w:shd w:val="clear" w:color="auto" w:fill="auto"/>
            <w:tcMar>
              <w:top w:w="40" w:type="dxa"/>
              <w:bottom w:w="40" w:type="dxa"/>
              <w:right w:w="40" w:type="dxa"/>
            </w:tcMar>
            <w:vAlign w:val="bottom"/>
          </w:tcPr>
          <w:p w14:paraId="4E56AE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E4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auto"/>
            <w:tcMar>
              <w:top w:w="40" w:type="dxa"/>
              <w:bottom w:w="40" w:type="dxa"/>
              <w:right w:w="40" w:type="dxa"/>
            </w:tcMar>
            <w:vAlign w:val="bottom"/>
          </w:tcPr>
          <w:p w14:paraId="4E56AE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AE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auto"/>
            <w:vAlign w:val="bottom"/>
          </w:tcPr>
          <w:p w14:paraId="4E56AE4D" w14:textId="77777777" w:rsidR="00DF3E10" w:rsidRDefault="00DF3E10">
            <w:pPr>
              <w:textAlignment w:val="bottom"/>
              <w:rPr>
                <w:rFonts w:ascii="Times New Roman" w:hAnsi="Times New Roman"/>
                <w:sz w:val="20"/>
                <w:szCs w:val="20"/>
              </w:rPr>
            </w:pPr>
          </w:p>
        </w:tc>
      </w:tr>
      <w:tr w:rsidR="00DF3E10" w14:paraId="4E56AE65" w14:textId="77777777">
        <w:tc>
          <w:tcPr>
            <w:tcW w:w="0" w:type="auto"/>
            <w:shd w:val="clear" w:color="auto" w:fill="CCEEFF"/>
            <w:tcMar>
              <w:top w:w="40" w:type="dxa"/>
              <w:left w:w="40" w:type="dxa"/>
              <w:bottom w:w="40" w:type="dxa"/>
              <w:right w:w="40" w:type="dxa"/>
            </w:tcMar>
          </w:tcPr>
          <w:p w14:paraId="4E56AE4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bottom w:val="double" w:sz="6" w:space="0" w:color="000000"/>
            </w:tcBorders>
            <w:shd w:val="clear" w:color="auto" w:fill="CCEEFF"/>
            <w:tcMar>
              <w:top w:w="40" w:type="dxa"/>
              <w:left w:w="40" w:type="dxa"/>
              <w:bottom w:w="40" w:type="dxa"/>
            </w:tcMar>
            <w:vAlign w:val="bottom"/>
          </w:tcPr>
          <w:p w14:paraId="4E56AE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E5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tcBorders>
              <w:bottom w:val="double" w:sz="6" w:space="0" w:color="000000"/>
            </w:tcBorders>
            <w:shd w:val="clear" w:color="auto" w:fill="CCEEFF"/>
            <w:vAlign w:val="bottom"/>
          </w:tcPr>
          <w:p w14:paraId="4E56AE5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E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E5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tcBorders>
              <w:bottom w:val="double" w:sz="6" w:space="0" w:color="000000"/>
            </w:tcBorders>
            <w:shd w:val="clear" w:color="auto" w:fill="CCEEFF"/>
            <w:vAlign w:val="bottom"/>
          </w:tcPr>
          <w:p w14:paraId="4E56AE56"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5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4E56AE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E5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E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E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bottom w:val="double" w:sz="6" w:space="0" w:color="000000"/>
            </w:tcBorders>
            <w:shd w:val="clear" w:color="auto" w:fill="CCEEFF"/>
            <w:vAlign w:val="bottom"/>
          </w:tcPr>
          <w:p w14:paraId="4E56AE5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E56AE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4E56AE6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tcBorders>
              <w:bottom w:val="double" w:sz="6" w:space="0" w:color="000000"/>
            </w:tcBorders>
            <w:shd w:val="clear" w:color="auto" w:fill="CCEEFF"/>
            <w:vAlign w:val="bottom"/>
          </w:tcPr>
          <w:p w14:paraId="4E56AE6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6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CCEEFF"/>
            <w:tcMar>
              <w:top w:w="40" w:type="dxa"/>
              <w:bottom w:w="40" w:type="dxa"/>
              <w:right w:w="40" w:type="dxa"/>
            </w:tcMar>
            <w:vAlign w:val="bottom"/>
          </w:tcPr>
          <w:p w14:paraId="4E56AE6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bl>
    <w:p w14:paraId="4E56AE66"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Interest and other income, net in the three months ended June 30, 2020 decreased $38 million, or 18% compared to the same period in 2019. The decrease was mostly due to a decrease in interest in</w:t>
      </w:r>
      <w:r>
        <w:rPr>
          <w:rFonts w:ascii="Times New Roman" w:eastAsia="宋体" w:hAnsi="Times New Roman"/>
          <w:sz w:val="20"/>
          <w:szCs w:val="20"/>
        </w:rPr>
        <w:t xml:space="preserve">come related to lower interest rates, which was partially offset by an increase in other income from foreign exchange gains, compared to foreign exchange losses in the same period in 2019. </w:t>
      </w:r>
    </w:p>
    <w:p w14:paraId="4E56AE67"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Interest and other income, net in the first six months of 2020 dec</w:t>
      </w:r>
      <w:r>
        <w:rPr>
          <w:rFonts w:ascii="Times New Roman" w:eastAsia="宋体" w:hAnsi="Times New Roman"/>
          <w:sz w:val="20"/>
          <w:szCs w:val="20"/>
        </w:rPr>
        <w:t>reased $235 million, or 63% compared to the same period in 2019. The decrease was due to an increase in other expense from higher foreign exchange losses as a result of foreign currency transactions and re</w:t>
      </w:r>
      <w:r>
        <w:rPr>
          <w:rFonts w:ascii="Times New Roman" w:eastAsia="宋体" w:hAnsi="Times New Roman"/>
          <w:sz w:val="20"/>
          <w:szCs w:val="20"/>
        </w:rPr>
        <w:noBreakHyphen/>
        <w:t>measurement, and to a lesser extent, a decrease in</w:t>
      </w:r>
      <w:r>
        <w:rPr>
          <w:rFonts w:ascii="Times New Roman" w:eastAsia="宋体" w:hAnsi="Times New Roman"/>
          <w:sz w:val="20"/>
          <w:szCs w:val="20"/>
        </w:rPr>
        <w:t xml:space="preserve"> interest income due to lower interest rates, compared to the same period in 2019.</w:t>
      </w:r>
    </w:p>
    <w:p w14:paraId="4E56AE68"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Provision for income taxes</w:t>
      </w:r>
    </w:p>
    <w:tbl>
      <w:tblPr>
        <w:tblW w:w="5000" w:type="pct"/>
        <w:tblCellMar>
          <w:left w:w="0" w:type="dxa"/>
          <w:right w:w="0" w:type="dxa"/>
        </w:tblCellMar>
        <w:tblLook w:val="04A0" w:firstRow="1" w:lastRow="0" w:firstColumn="1" w:lastColumn="0" w:noHBand="0" w:noVBand="1"/>
      </w:tblPr>
      <w:tblGrid>
        <w:gridCol w:w="1718"/>
        <w:gridCol w:w="140"/>
        <w:gridCol w:w="639"/>
        <w:gridCol w:w="207"/>
        <w:gridCol w:w="130"/>
        <w:gridCol w:w="140"/>
        <w:gridCol w:w="639"/>
        <w:gridCol w:w="207"/>
        <w:gridCol w:w="130"/>
        <w:gridCol w:w="722"/>
        <w:gridCol w:w="274"/>
        <w:gridCol w:w="130"/>
        <w:gridCol w:w="140"/>
        <w:gridCol w:w="639"/>
        <w:gridCol w:w="207"/>
        <w:gridCol w:w="130"/>
        <w:gridCol w:w="140"/>
        <w:gridCol w:w="640"/>
        <w:gridCol w:w="207"/>
        <w:gridCol w:w="130"/>
        <w:gridCol w:w="723"/>
        <w:gridCol w:w="274"/>
      </w:tblGrid>
      <w:tr w:rsidR="00DF3E10" w14:paraId="4E56AE6A" w14:textId="77777777">
        <w:tc>
          <w:tcPr>
            <w:tcW w:w="0" w:type="auto"/>
            <w:gridSpan w:val="22"/>
            <w:shd w:val="clear" w:color="auto" w:fill="auto"/>
            <w:vAlign w:val="center"/>
          </w:tcPr>
          <w:p w14:paraId="4E56AE69" w14:textId="77777777" w:rsidR="00DF3E10" w:rsidRDefault="00DF3E10">
            <w:pPr>
              <w:rPr>
                <w:rFonts w:ascii="Times New Roman" w:hAnsi="Times New Roman"/>
                <w:sz w:val="20"/>
                <w:szCs w:val="20"/>
              </w:rPr>
            </w:pPr>
          </w:p>
        </w:tc>
      </w:tr>
      <w:tr w:rsidR="00DF3E10" w14:paraId="4E56AE81" w14:textId="77777777">
        <w:tc>
          <w:tcPr>
            <w:tcW w:w="1150" w:type="pct"/>
            <w:shd w:val="clear" w:color="auto" w:fill="auto"/>
            <w:vAlign w:val="center"/>
          </w:tcPr>
          <w:p w14:paraId="4E56AE6B" w14:textId="77777777" w:rsidR="00DF3E10" w:rsidRDefault="00DF3E10">
            <w:pPr>
              <w:rPr>
                <w:rFonts w:ascii="Times New Roman" w:hAnsi="Times New Roman"/>
                <w:sz w:val="20"/>
                <w:szCs w:val="20"/>
              </w:rPr>
            </w:pPr>
          </w:p>
        </w:tc>
        <w:tc>
          <w:tcPr>
            <w:tcW w:w="50" w:type="pct"/>
            <w:shd w:val="clear" w:color="auto" w:fill="auto"/>
            <w:vAlign w:val="center"/>
          </w:tcPr>
          <w:p w14:paraId="4E56AE6C" w14:textId="77777777" w:rsidR="00DF3E10" w:rsidRDefault="00DF3E10">
            <w:pPr>
              <w:rPr>
                <w:rFonts w:ascii="Times New Roman" w:hAnsi="Times New Roman"/>
                <w:sz w:val="20"/>
                <w:szCs w:val="20"/>
              </w:rPr>
            </w:pPr>
          </w:p>
        </w:tc>
        <w:tc>
          <w:tcPr>
            <w:tcW w:w="500" w:type="pct"/>
            <w:shd w:val="clear" w:color="auto" w:fill="auto"/>
            <w:vAlign w:val="center"/>
          </w:tcPr>
          <w:p w14:paraId="4E56AE6D" w14:textId="77777777" w:rsidR="00DF3E10" w:rsidRDefault="00DF3E10">
            <w:pPr>
              <w:rPr>
                <w:rFonts w:ascii="Times New Roman" w:hAnsi="Times New Roman"/>
                <w:sz w:val="20"/>
                <w:szCs w:val="20"/>
              </w:rPr>
            </w:pPr>
          </w:p>
        </w:tc>
        <w:tc>
          <w:tcPr>
            <w:tcW w:w="50" w:type="pct"/>
            <w:shd w:val="clear" w:color="auto" w:fill="auto"/>
            <w:vAlign w:val="center"/>
          </w:tcPr>
          <w:p w14:paraId="4E56AE6E" w14:textId="77777777" w:rsidR="00DF3E10" w:rsidRDefault="00DF3E10">
            <w:pPr>
              <w:rPr>
                <w:rFonts w:ascii="Times New Roman" w:hAnsi="Times New Roman"/>
                <w:sz w:val="20"/>
                <w:szCs w:val="20"/>
              </w:rPr>
            </w:pPr>
          </w:p>
        </w:tc>
        <w:tc>
          <w:tcPr>
            <w:tcW w:w="50" w:type="pct"/>
            <w:shd w:val="clear" w:color="auto" w:fill="auto"/>
            <w:vAlign w:val="center"/>
          </w:tcPr>
          <w:p w14:paraId="4E56AE6F" w14:textId="77777777" w:rsidR="00DF3E10" w:rsidRDefault="00DF3E10">
            <w:pPr>
              <w:rPr>
                <w:rFonts w:ascii="Times New Roman" w:hAnsi="Times New Roman"/>
                <w:sz w:val="20"/>
                <w:szCs w:val="20"/>
              </w:rPr>
            </w:pPr>
          </w:p>
        </w:tc>
        <w:tc>
          <w:tcPr>
            <w:tcW w:w="50" w:type="pct"/>
            <w:shd w:val="clear" w:color="auto" w:fill="auto"/>
            <w:vAlign w:val="center"/>
          </w:tcPr>
          <w:p w14:paraId="4E56AE70" w14:textId="77777777" w:rsidR="00DF3E10" w:rsidRDefault="00DF3E10">
            <w:pPr>
              <w:rPr>
                <w:rFonts w:ascii="Times New Roman" w:hAnsi="Times New Roman"/>
                <w:sz w:val="20"/>
                <w:szCs w:val="20"/>
              </w:rPr>
            </w:pPr>
          </w:p>
        </w:tc>
        <w:tc>
          <w:tcPr>
            <w:tcW w:w="500" w:type="pct"/>
            <w:shd w:val="clear" w:color="auto" w:fill="auto"/>
            <w:vAlign w:val="center"/>
          </w:tcPr>
          <w:p w14:paraId="4E56AE71" w14:textId="77777777" w:rsidR="00DF3E10" w:rsidRDefault="00DF3E10">
            <w:pPr>
              <w:rPr>
                <w:rFonts w:ascii="Times New Roman" w:hAnsi="Times New Roman"/>
                <w:sz w:val="20"/>
                <w:szCs w:val="20"/>
              </w:rPr>
            </w:pPr>
          </w:p>
        </w:tc>
        <w:tc>
          <w:tcPr>
            <w:tcW w:w="50" w:type="pct"/>
            <w:shd w:val="clear" w:color="auto" w:fill="auto"/>
            <w:vAlign w:val="center"/>
          </w:tcPr>
          <w:p w14:paraId="4E56AE72" w14:textId="77777777" w:rsidR="00DF3E10" w:rsidRDefault="00DF3E10">
            <w:pPr>
              <w:rPr>
                <w:rFonts w:ascii="Times New Roman" w:hAnsi="Times New Roman"/>
                <w:sz w:val="20"/>
                <w:szCs w:val="20"/>
              </w:rPr>
            </w:pPr>
          </w:p>
        </w:tc>
        <w:tc>
          <w:tcPr>
            <w:tcW w:w="50" w:type="pct"/>
            <w:shd w:val="clear" w:color="auto" w:fill="auto"/>
            <w:vAlign w:val="center"/>
          </w:tcPr>
          <w:p w14:paraId="4E56AE73" w14:textId="77777777" w:rsidR="00DF3E10" w:rsidRDefault="00DF3E10">
            <w:pPr>
              <w:rPr>
                <w:rFonts w:ascii="Times New Roman" w:hAnsi="Times New Roman"/>
                <w:sz w:val="20"/>
                <w:szCs w:val="20"/>
              </w:rPr>
            </w:pPr>
          </w:p>
        </w:tc>
        <w:tc>
          <w:tcPr>
            <w:tcW w:w="550" w:type="pct"/>
            <w:shd w:val="clear" w:color="auto" w:fill="auto"/>
            <w:vAlign w:val="center"/>
          </w:tcPr>
          <w:p w14:paraId="4E56AE74" w14:textId="77777777" w:rsidR="00DF3E10" w:rsidRDefault="00DF3E10">
            <w:pPr>
              <w:rPr>
                <w:rFonts w:ascii="Times New Roman" w:hAnsi="Times New Roman"/>
                <w:sz w:val="20"/>
                <w:szCs w:val="20"/>
              </w:rPr>
            </w:pPr>
          </w:p>
        </w:tc>
        <w:tc>
          <w:tcPr>
            <w:tcW w:w="50" w:type="pct"/>
            <w:shd w:val="clear" w:color="auto" w:fill="auto"/>
            <w:vAlign w:val="center"/>
          </w:tcPr>
          <w:p w14:paraId="4E56AE75" w14:textId="77777777" w:rsidR="00DF3E10" w:rsidRDefault="00DF3E10">
            <w:pPr>
              <w:rPr>
                <w:rFonts w:ascii="Times New Roman" w:hAnsi="Times New Roman"/>
                <w:sz w:val="20"/>
                <w:szCs w:val="20"/>
              </w:rPr>
            </w:pPr>
          </w:p>
        </w:tc>
        <w:tc>
          <w:tcPr>
            <w:tcW w:w="50" w:type="pct"/>
            <w:shd w:val="clear" w:color="auto" w:fill="auto"/>
            <w:vAlign w:val="center"/>
          </w:tcPr>
          <w:p w14:paraId="4E56AE76" w14:textId="77777777" w:rsidR="00DF3E10" w:rsidRDefault="00DF3E10">
            <w:pPr>
              <w:rPr>
                <w:rFonts w:ascii="Times New Roman" w:hAnsi="Times New Roman"/>
                <w:sz w:val="20"/>
                <w:szCs w:val="20"/>
              </w:rPr>
            </w:pPr>
          </w:p>
        </w:tc>
        <w:tc>
          <w:tcPr>
            <w:tcW w:w="50" w:type="pct"/>
            <w:shd w:val="clear" w:color="auto" w:fill="auto"/>
            <w:vAlign w:val="center"/>
          </w:tcPr>
          <w:p w14:paraId="4E56AE77" w14:textId="77777777" w:rsidR="00DF3E10" w:rsidRDefault="00DF3E10">
            <w:pPr>
              <w:rPr>
                <w:rFonts w:ascii="Times New Roman" w:hAnsi="Times New Roman"/>
                <w:sz w:val="20"/>
                <w:szCs w:val="20"/>
              </w:rPr>
            </w:pPr>
          </w:p>
        </w:tc>
        <w:tc>
          <w:tcPr>
            <w:tcW w:w="500" w:type="pct"/>
            <w:shd w:val="clear" w:color="auto" w:fill="auto"/>
            <w:vAlign w:val="center"/>
          </w:tcPr>
          <w:p w14:paraId="4E56AE78" w14:textId="77777777" w:rsidR="00DF3E10" w:rsidRDefault="00DF3E10">
            <w:pPr>
              <w:rPr>
                <w:rFonts w:ascii="Times New Roman" w:hAnsi="Times New Roman"/>
                <w:sz w:val="20"/>
                <w:szCs w:val="20"/>
              </w:rPr>
            </w:pPr>
          </w:p>
        </w:tc>
        <w:tc>
          <w:tcPr>
            <w:tcW w:w="50" w:type="pct"/>
            <w:shd w:val="clear" w:color="auto" w:fill="auto"/>
            <w:vAlign w:val="center"/>
          </w:tcPr>
          <w:p w14:paraId="4E56AE79" w14:textId="77777777" w:rsidR="00DF3E10" w:rsidRDefault="00DF3E10">
            <w:pPr>
              <w:rPr>
                <w:rFonts w:ascii="Times New Roman" w:hAnsi="Times New Roman"/>
                <w:sz w:val="20"/>
                <w:szCs w:val="20"/>
              </w:rPr>
            </w:pPr>
          </w:p>
        </w:tc>
        <w:tc>
          <w:tcPr>
            <w:tcW w:w="50" w:type="pct"/>
            <w:shd w:val="clear" w:color="auto" w:fill="auto"/>
            <w:vAlign w:val="center"/>
          </w:tcPr>
          <w:p w14:paraId="4E56AE7A" w14:textId="77777777" w:rsidR="00DF3E10" w:rsidRDefault="00DF3E10">
            <w:pPr>
              <w:rPr>
                <w:rFonts w:ascii="Times New Roman" w:hAnsi="Times New Roman"/>
                <w:sz w:val="20"/>
                <w:szCs w:val="20"/>
              </w:rPr>
            </w:pPr>
          </w:p>
        </w:tc>
        <w:tc>
          <w:tcPr>
            <w:tcW w:w="50" w:type="pct"/>
            <w:shd w:val="clear" w:color="auto" w:fill="auto"/>
            <w:vAlign w:val="center"/>
          </w:tcPr>
          <w:p w14:paraId="4E56AE7B" w14:textId="77777777" w:rsidR="00DF3E10" w:rsidRDefault="00DF3E10">
            <w:pPr>
              <w:rPr>
                <w:rFonts w:ascii="Times New Roman" w:hAnsi="Times New Roman"/>
                <w:sz w:val="20"/>
                <w:szCs w:val="20"/>
              </w:rPr>
            </w:pPr>
          </w:p>
        </w:tc>
        <w:tc>
          <w:tcPr>
            <w:tcW w:w="500" w:type="pct"/>
            <w:shd w:val="clear" w:color="auto" w:fill="auto"/>
            <w:vAlign w:val="center"/>
          </w:tcPr>
          <w:p w14:paraId="4E56AE7C" w14:textId="77777777" w:rsidR="00DF3E10" w:rsidRDefault="00DF3E10">
            <w:pPr>
              <w:rPr>
                <w:rFonts w:ascii="Times New Roman" w:hAnsi="Times New Roman"/>
                <w:sz w:val="20"/>
                <w:szCs w:val="20"/>
              </w:rPr>
            </w:pPr>
          </w:p>
        </w:tc>
        <w:tc>
          <w:tcPr>
            <w:tcW w:w="50" w:type="pct"/>
            <w:shd w:val="clear" w:color="auto" w:fill="auto"/>
            <w:vAlign w:val="center"/>
          </w:tcPr>
          <w:p w14:paraId="4E56AE7D" w14:textId="77777777" w:rsidR="00DF3E10" w:rsidRDefault="00DF3E10">
            <w:pPr>
              <w:rPr>
                <w:rFonts w:ascii="Times New Roman" w:hAnsi="Times New Roman"/>
                <w:sz w:val="20"/>
                <w:szCs w:val="20"/>
              </w:rPr>
            </w:pPr>
          </w:p>
        </w:tc>
        <w:tc>
          <w:tcPr>
            <w:tcW w:w="50" w:type="pct"/>
            <w:shd w:val="clear" w:color="auto" w:fill="auto"/>
            <w:vAlign w:val="center"/>
          </w:tcPr>
          <w:p w14:paraId="4E56AE7E" w14:textId="77777777" w:rsidR="00DF3E10" w:rsidRDefault="00DF3E10">
            <w:pPr>
              <w:rPr>
                <w:rFonts w:ascii="Times New Roman" w:hAnsi="Times New Roman"/>
                <w:sz w:val="20"/>
                <w:szCs w:val="20"/>
              </w:rPr>
            </w:pPr>
          </w:p>
        </w:tc>
        <w:tc>
          <w:tcPr>
            <w:tcW w:w="550" w:type="pct"/>
            <w:shd w:val="clear" w:color="auto" w:fill="auto"/>
            <w:vAlign w:val="center"/>
          </w:tcPr>
          <w:p w14:paraId="4E56AE7F" w14:textId="77777777" w:rsidR="00DF3E10" w:rsidRDefault="00DF3E10">
            <w:pPr>
              <w:rPr>
                <w:rFonts w:ascii="Times New Roman" w:hAnsi="Times New Roman"/>
                <w:sz w:val="20"/>
                <w:szCs w:val="20"/>
              </w:rPr>
            </w:pPr>
          </w:p>
        </w:tc>
        <w:tc>
          <w:tcPr>
            <w:tcW w:w="50" w:type="pct"/>
            <w:shd w:val="clear" w:color="auto" w:fill="auto"/>
            <w:vAlign w:val="center"/>
          </w:tcPr>
          <w:p w14:paraId="4E56AE80" w14:textId="77777777" w:rsidR="00DF3E10" w:rsidRDefault="00DF3E10">
            <w:pPr>
              <w:rPr>
                <w:rFonts w:ascii="Times New Roman" w:hAnsi="Times New Roman"/>
                <w:sz w:val="20"/>
                <w:szCs w:val="20"/>
              </w:rPr>
            </w:pPr>
          </w:p>
        </w:tc>
      </w:tr>
      <w:tr w:rsidR="00DF3E10" w14:paraId="4E56AE8A" w14:textId="77777777">
        <w:tc>
          <w:tcPr>
            <w:tcW w:w="0" w:type="auto"/>
            <w:shd w:val="clear" w:color="auto" w:fill="auto"/>
            <w:tcMar>
              <w:top w:w="40" w:type="dxa"/>
              <w:left w:w="40" w:type="dxa"/>
              <w:bottom w:w="40" w:type="dxa"/>
              <w:right w:w="40" w:type="dxa"/>
            </w:tcMar>
            <w:vAlign w:val="bottom"/>
          </w:tcPr>
          <w:p w14:paraId="4E56AE8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E8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Three Months Ended June 30,</w:t>
            </w:r>
          </w:p>
        </w:tc>
        <w:tc>
          <w:tcPr>
            <w:tcW w:w="0" w:type="auto"/>
            <w:shd w:val="clear" w:color="auto" w:fill="auto"/>
            <w:tcMar>
              <w:top w:w="40" w:type="dxa"/>
              <w:left w:w="40" w:type="dxa"/>
              <w:bottom w:w="40" w:type="dxa"/>
              <w:right w:w="40" w:type="dxa"/>
            </w:tcMar>
            <w:vAlign w:val="bottom"/>
          </w:tcPr>
          <w:p w14:paraId="4E56AE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85"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AE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E56AE8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Six Months Ended June 30,</w:t>
            </w:r>
          </w:p>
        </w:tc>
        <w:tc>
          <w:tcPr>
            <w:tcW w:w="0" w:type="auto"/>
            <w:shd w:val="clear" w:color="auto" w:fill="auto"/>
            <w:tcMar>
              <w:top w:w="40" w:type="dxa"/>
              <w:left w:w="40" w:type="dxa"/>
              <w:bottom w:w="40" w:type="dxa"/>
              <w:right w:w="40" w:type="dxa"/>
            </w:tcMar>
            <w:vAlign w:val="bottom"/>
          </w:tcPr>
          <w:p w14:paraId="4E56AE8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89"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r>
      <w:tr w:rsidR="00DF3E10" w14:paraId="4E56AE97" w14:textId="77777777">
        <w:tc>
          <w:tcPr>
            <w:tcW w:w="0" w:type="auto"/>
            <w:shd w:val="clear" w:color="auto" w:fill="auto"/>
            <w:tcMar>
              <w:top w:w="40" w:type="dxa"/>
              <w:left w:w="40" w:type="dxa"/>
              <w:bottom w:w="40" w:type="dxa"/>
              <w:right w:w="40" w:type="dxa"/>
            </w:tcMar>
            <w:vAlign w:val="bottom"/>
          </w:tcPr>
          <w:p w14:paraId="4E56AE8B"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8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E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8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E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E9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4E56AE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92"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E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E56AE9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E56AE9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AE9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DF3E10" w14:paraId="4E56AE9A" w14:textId="77777777">
        <w:tc>
          <w:tcPr>
            <w:tcW w:w="0" w:type="auto"/>
            <w:shd w:val="clear" w:color="auto" w:fill="auto"/>
            <w:tcMar>
              <w:top w:w="40" w:type="dxa"/>
              <w:left w:w="40" w:type="dxa"/>
              <w:bottom w:w="40" w:type="dxa"/>
              <w:right w:w="40" w:type="dxa"/>
            </w:tcMar>
            <w:vAlign w:val="bottom"/>
          </w:tcPr>
          <w:p w14:paraId="4E56AE9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4E56AE99" w14:textId="77777777" w:rsidR="00DF3E10" w:rsidRDefault="006B6C28">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DF3E10" w14:paraId="4E56AEB1" w14:textId="77777777">
        <w:tc>
          <w:tcPr>
            <w:tcW w:w="0" w:type="auto"/>
            <w:shd w:val="clear" w:color="auto" w:fill="CCEEFF"/>
            <w:tcMar>
              <w:top w:w="40" w:type="dxa"/>
              <w:left w:w="40" w:type="dxa"/>
              <w:bottom w:w="40" w:type="dxa"/>
              <w:right w:w="40" w:type="dxa"/>
            </w:tcMar>
          </w:tcPr>
          <w:p w14:paraId="4E56AE9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shd w:val="clear" w:color="auto" w:fill="CCEEFF"/>
            <w:tcMar>
              <w:top w:w="40" w:type="dxa"/>
              <w:left w:w="40" w:type="dxa"/>
              <w:bottom w:w="40" w:type="dxa"/>
            </w:tcMar>
            <w:vAlign w:val="bottom"/>
          </w:tcPr>
          <w:p w14:paraId="4E56AE9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9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CCEEFF"/>
            <w:vAlign w:val="bottom"/>
          </w:tcPr>
          <w:p w14:paraId="4E56AE9E"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9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A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A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2,216</w:t>
            </w:r>
          </w:p>
        </w:tc>
        <w:tc>
          <w:tcPr>
            <w:tcW w:w="0" w:type="auto"/>
            <w:shd w:val="clear" w:color="auto" w:fill="CCEEFF"/>
            <w:vAlign w:val="bottom"/>
          </w:tcPr>
          <w:p w14:paraId="4E56AEA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A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tcMar>
              <w:top w:w="40" w:type="dxa"/>
              <w:bottom w:w="40" w:type="dxa"/>
              <w:right w:w="40" w:type="dxa"/>
            </w:tcMar>
            <w:vAlign w:val="bottom"/>
          </w:tcPr>
          <w:p w14:paraId="4E56AE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4E56AEA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A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1,911</w:t>
            </w:r>
          </w:p>
        </w:tc>
        <w:tc>
          <w:tcPr>
            <w:tcW w:w="0" w:type="auto"/>
            <w:shd w:val="clear" w:color="auto" w:fill="CCEEFF"/>
            <w:vAlign w:val="bottom"/>
          </w:tcPr>
          <w:p w14:paraId="4E56AEA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A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A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EA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3,269</w:t>
            </w:r>
          </w:p>
        </w:tc>
        <w:tc>
          <w:tcPr>
            <w:tcW w:w="0" w:type="auto"/>
            <w:shd w:val="clear" w:color="auto" w:fill="CCEEFF"/>
            <w:vAlign w:val="bottom"/>
          </w:tcPr>
          <w:p w14:paraId="4E56AEA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E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EA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bottom w:w="40" w:type="dxa"/>
              <w:right w:w="40" w:type="dxa"/>
            </w:tcMar>
            <w:vAlign w:val="bottom"/>
          </w:tcPr>
          <w:p w14:paraId="4E56AE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r>
      <w:tr w:rsidR="00DF3E10" w14:paraId="4E56AEC2" w14:textId="77777777">
        <w:tc>
          <w:tcPr>
            <w:tcW w:w="0" w:type="auto"/>
            <w:shd w:val="clear" w:color="auto" w:fill="auto"/>
            <w:tcMar>
              <w:top w:w="40" w:type="dxa"/>
              <w:left w:w="40" w:type="dxa"/>
              <w:bottom w:w="40" w:type="dxa"/>
              <w:right w:w="40" w:type="dxa"/>
            </w:tcMar>
          </w:tcPr>
          <w:p w14:paraId="4E56AEB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Effective tax rate</w:t>
            </w:r>
          </w:p>
        </w:tc>
        <w:tc>
          <w:tcPr>
            <w:tcW w:w="0" w:type="auto"/>
            <w:gridSpan w:val="2"/>
            <w:shd w:val="clear" w:color="auto" w:fill="auto"/>
            <w:tcMar>
              <w:top w:w="40" w:type="dxa"/>
              <w:left w:w="40" w:type="dxa"/>
              <w:bottom w:w="40" w:type="dxa"/>
            </w:tcMar>
            <w:vAlign w:val="bottom"/>
          </w:tcPr>
          <w:p w14:paraId="4E56AEB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4E56AEB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B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EB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tcMar>
              <w:top w:w="40" w:type="dxa"/>
              <w:bottom w:w="40" w:type="dxa"/>
              <w:right w:w="40" w:type="dxa"/>
            </w:tcMar>
            <w:vAlign w:val="bottom"/>
          </w:tcPr>
          <w:p w14:paraId="4E56AE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B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EB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EB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4E56AEB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EB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tcMar>
              <w:top w:w="40" w:type="dxa"/>
              <w:bottom w:w="40" w:type="dxa"/>
              <w:right w:w="40" w:type="dxa"/>
            </w:tcMar>
            <w:vAlign w:val="bottom"/>
          </w:tcPr>
          <w:p w14:paraId="4E56AE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AEC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AE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AEC3"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Our provision for income taxes in the three and six months ended June 30, 2020 decreased $1.26 billion, or 57%, and $1.36 billion, or 42%, respectively, compared to the same periods in 2019. The decreases in both periods were primarily due to the additiona</w:t>
      </w:r>
      <w:r>
        <w:rPr>
          <w:rFonts w:ascii="Times New Roman" w:eastAsia="宋体" w:hAnsi="Times New Roman"/>
          <w:sz w:val="20"/>
          <w:szCs w:val="20"/>
        </w:rPr>
        <w:t xml:space="preserve">l tax expense in the second quarter of 2019 from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discussed below.</w:t>
      </w:r>
    </w:p>
    <w:p w14:paraId="4E56AEC4"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Our effective tax rates in the three and six months ended June 30, 2020 decreased compared to the same periods in 2019, mostly due to the 2019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and the 2019 legal accrual related to the FTC settlement that is not expected to be </w:t>
      </w:r>
      <w:r>
        <w:rPr>
          <w:rFonts w:ascii="Times New Roman" w:eastAsia="宋体" w:hAnsi="Times New Roman"/>
          <w:sz w:val="20"/>
          <w:szCs w:val="20"/>
        </w:rPr>
        <w:t xml:space="preserve">tax-deductible. </w:t>
      </w:r>
    </w:p>
    <w:p w14:paraId="4E56AEC5" w14:textId="77777777" w:rsidR="00DF3E10" w:rsidRDefault="00DF3E10">
      <w:pPr>
        <w:rPr>
          <w:rFonts w:ascii="Times New Roman" w:hAnsi="Times New Roman"/>
          <w:sz w:val="20"/>
          <w:szCs w:val="20"/>
        </w:rPr>
      </w:pPr>
    </w:p>
    <w:p w14:paraId="4E56AEC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40</w:t>
      </w:r>
    </w:p>
    <w:p w14:paraId="4E56AEC7" w14:textId="77777777" w:rsidR="00DF3E10" w:rsidRDefault="006B6C28">
      <w:r>
        <w:rPr>
          <w:rFonts w:ascii="Times New Roman" w:hAnsi="Times New Roman"/>
          <w:sz w:val="20"/>
          <w:szCs w:val="20"/>
        </w:rPr>
        <w:pict w14:anchorId="4E56B785">
          <v:rect id="_x0000_i1064" style="width:415.3pt;height:1.5pt" o:hralign="center" o:hrstd="t" o:hr="t" fillcolor="#a0a0a0" stroked="f"/>
        </w:pict>
      </w:r>
    </w:p>
    <w:p w14:paraId="4E56AEC8" w14:textId="77777777" w:rsidR="00DF3E10" w:rsidRDefault="006B6C28">
      <w:pPr>
        <w:spacing w:line="288" w:lineRule="auto"/>
        <w:rPr>
          <w:rFonts w:ascii="Times New Roman" w:hAnsi="Times New Roman"/>
          <w:sz w:val="20"/>
          <w:szCs w:val="20"/>
        </w:rPr>
      </w:pPr>
      <w:hyperlink r:id="rId82" w:anchor="sC1FF62F0D4D85317B5B2C71C7C94F269" w:history="1">
        <w:r>
          <w:rPr>
            <w:rStyle w:val="a5"/>
            <w:rFonts w:ascii="Times New Roman" w:eastAsia="宋体" w:hAnsi="Times New Roman"/>
            <w:sz w:val="20"/>
            <w:szCs w:val="20"/>
          </w:rPr>
          <w:t>Table of Contents</w:t>
        </w:r>
      </w:hyperlink>
    </w:p>
    <w:p w14:paraId="4E56AEC9" w14:textId="77777777" w:rsidR="00DF3E10" w:rsidRDefault="00DF3E10">
      <w:pPr>
        <w:rPr>
          <w:rFonts w:ascii="Times New Roman" w:hAnsi="Times New Roman"/>
          <w:sz w:val="20"/>
          <w:szCs w:val="20"/>
        </w:rPr>
      </w:pPr>
    </w:p>
    <w:p w14:paraId="4E56AECA"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On July 27, 2015, the United States Tax Court issued a decision (Tax Court Decision)</w:t>
      </w:r>
      <w:r>
        <w:rPr>
          <w:rFonts w:ascii="Times New Roman" w:eastAsia="宋体" w:hAnsi="Times New Roman"/>
          <w:sz w:val="20"/>
          <w:szCs w:val="20"/>
        </w:rPr>
        <w:t xml:space="preserve"> in </w:t>
      </w:r>
      <w:r>
        <w:rPr>
          <w:rFonts w:ascii="Times New Roman" w:eastAsia="宋体" w:hAnsi="Times New Roman"/>
          <w:i/>
          <w:iCs/>
          <w:sz w:val="20"/>
          <w:szCs w:val="20"/>
        </w:rPr>
        <w:t>Altera Corp. v. Commissioner</w:t>
      </w:r>
      <w:r>
        <w:rPr>
          <w:rFonts w:ascii="Times New Roman" w:eastAsia="宋体" w:hAnsi="Times New Roman"/>
          <w:sz w:val="20"/>
          <w:szCs w:val="20"/>
        </w:rPr>
        <w:t xml:space="preserve">, which concluded that related parties in a cost sharing arrangement are not required to share expenses related to share-based compensation. The Tax Court Decision was appealed by the Commissioner to the Ninth Circuit Court </w:t>
      </w:r>
      <w:r>
        <w:rPr>
          <w:rFonts w:ascii="Times New Roman" w:eastAsia="宋体" w:hAnsi="Times New Roman"/>
          <w:sz w:val="20"/>
          <w:szCs w:val="20"/>
        </w:rPr>
        <w:t>of Appeals (Ninth Circuit). 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w:t>
      </w:r>
      <w:r>
        <w:rPr>
          <w:rFonts w:ascii="Times New Roman" w:eastAsia="宋体" w:hAnsi="Times New Roman"/>
          <w:sz w:val="20"/>
          <w:szCs w:val="20"/>
        </w:rPr>
        <w:t xml:space="preserve"> the second quarter of 2019. On July 22, 2019, the taxpayer requested a rehearing before the full Ninth Circuit and the request was denied on November 12, 2019. The taxpayer requested a hearing before the Supreme Court of the United States and the request </w:t>
      </w:r>
      <w:r>
        <w:rPr>
          <w:rFonts w:ascii="Times New Roman" w:eastAsia="宋体" w:hAnsi="Times New Roman"/>
          <w:sz w:val="20"/>
          <w:szCs w:val="20"/>
        </w:rPr>
        <w:t>was denied on June 22, 2020. Since we started to accrue income tax for stock-based compensation cost-sharing in the second quarter of 2019, the denial of the request by the Supreme Court did not have a material impact to our financial results in the second</w:t>
      </w:r>
      <w:r>
        <w:rPr>
          <w:rFonts w:ascii="Times New Roman" w:eastAsia="宋体" w:hAnsi="Times New Roman"/>
          <w:sz w:val="20"/>
          <w:szCs w:val="20"/>
        </w:rPr>
        <w:t xml:space="preserve"> quarter of 2020. </w:t>
      </w:r>
    </w:p>
    <w:p w14:paraId="4E56AECB"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i/>
          <w:iCs/>
          <w:sz w:val="20"/>
          <w:szCs w:val="20"/>
        </w:rPr>
        <w:t>Effective Tax Rate Items</w:t>
      </w:r>
      <w:r>
        <w:rPr>
          <w:rFonts w:ascii="Times New Roman" w:eastAsia="宋体" w:hAnsi="Times New Roman"/>
          <w:sz w:val="20"/>
          <w:szCs w:val="20"/>
        </w:rPr>
        <w:t>. Our effective tax rate in the future will depend upon the proportion between the following items and income before provision for income taxes: U.S. tax benefits from foreign derived intangible income, tax effect</w:t>
      </w:r>
      <w:r>
        <w:rPr>
          <w:rFonts w:ascii="Times New Roman" w:eastAsia="宋体" w:hAnsi="Times New Roman"/>
          <w:sz w:val="20"/>
          <w:szCs w:val="20"/>
        </w:rPr>
        <w:t>s from share-based compensation, tax effects of integrating intellectual property from acquisitions, settlement of tax contingency items, tax effects of changes in our business, and the effects of changes in tax law.</w:t>
      </w:r>
    </w:p>
    <w:p w14:paraId="4E56AECC"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The accounting for share-based compensa</w:t>
      </w:r>
      <w:r>
        <w:rPr>
          <w:rFonts w:ascii="Times New Roman" w:eastAsia="宋体" w:hAnsi="Times New Roman"/>
          <w:sz w:val="20"/>
          <w:szCs w:val="20"/>
        </w:rPr>
        <w:t>tion may increase or decrease our effective tax rate based upon the difference between our share-based compensation expense and the deductions taken on our tax return which depends upon the stock price at the time of employee award vesting. If our stock pr</w:t>
      </w:r>
      <w:r>
        <w:rPr>
          <w:rFonts w:ascii="Times New Roman" w:eastAsia="宋体" w:hAnsi="Times New Roman"/>
          <w:sz w:val="20"/>
          <w:szCs w:val="20"/>
        </w:rPr>
        <w:t xml:space="preserve">ice remains constant to the July 23, 2020 price, we expect our effective tax rate for the full-year 2020 will be in the mid-teens, although we may see fluctuations in our quarterly rate depending on our financial results. </w:t>
      </w:r>
    </w:p>
    <w:p w14:paraId="4E56AECD"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i/>
          <w:iCs/>
          <w:sz w:val="20"/>
          <w:szCs w:val="20"/>
        </w:rPr>
        <w:t>Unrecognized Tax Benefits.</w:t>
      </w:r>
      <w:r>
        <w:rPr>
          <w:rFonts w:ascii="Times New Roman" w:eastAsia="宋体" w:hAnsi="Times New Roman"/>
          <w:sz w:val="20"/>
          <w:szCs w:val="20"/>
        </w:rPr>
        <w:t xml:space="preserve"> As of </w:t>
      </w:r>
      <w:r>
        <w:rPr>
          <w:rFonts w:ascii="Times New Roman" w:eastAsia="宋体" w:hAnsi="Times New Roman"/>
          <w:sz w:val="20"/>
          <w:szCs w:val="20"/>
        </w:rPr>
        <w:t>June 30, 2020, we had net unrecognized tax benefits of $3.45 billion which were accrued as other liabilities. These unrecognized tax benefits were predominantly accrued for uncertainties related to transfer pricing with our foreign subsidiaries, which incl</w:t>
      </w:r>
      <w:r>
        <w:rPr>
          <w:rFonts w:ascii="Times New Roman" w:eastAsia="宋体" w:hAnsi="Times New Roman"/>
          <w:sz w:val="20"/>
          <w:szCs w:val="20"/>
        </w:rPr>
        <w:t>udes licensing of intellectual property, providing services and other transactions, as well as for uncertainties with our research tax credits. The ultimate settlement of the liabilities will depend upon resolution of tax audits, litigation, or events that</w:t>
      </w:r>
      <w:r>
        <w:rPr>
          <w:rFonts w:ascii="Times New Roman" w:eastAsia="宋体" w:hAnsi="Times New Roman"/>
          <w:sz w:val="20"/>
          <w:szCs w:val="20"/>
        </w:rPr>
        <w:t xml:space="preserve"> would otherwise change the assessment of such items. Based upon the status of litigation described below and the current status of tax audits in various jurisdictions, we do not anticipate a material change to such amounts within the next 12 months. </w:t>
      </w:r>
    </w:p>
    <w:p w14:paraId="4E56AECE"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In J</w:t>
      </w:r>
      <w:r>
        <w:rPr>
          <w:rFonts w:ascii="Times New Roman" w:eastAsia="宋体" w:hAnsi="Times New Roman"/>
          <w:sz w:val="20"/>
          <w:szCs w:val="20"/>
        </w:rPr>
        <w:t>uly 2016, we received a Statutory Notice of Deficiency (Notice) from the IRS related to transfer pricing with our foreign subsidiaries in conjunction with the examination of the 2010 tax year. While the Notice applies only to the 2010 tax year, the IRS sta</w:t>
      </w:r>
      <w:r>
        <w:rPr>
          <w:rFonts w:ascii="Times New Roman" w:eastAsia="宋体" w:hAnsi="Times New Roman"/>
          <w:sz w:val="20"/>
          <w:szCs w:val="20"/>
        </w:rPr>
        <w:t xml:space="preserve">ted that it will also apply its position for tax years subsequent to 2010. We do not agree with the position of the IRS and have filed a petition in the Tax Court challenging the Notice. On January 15, 2020, the IRS filed its </w:t>
      </w:r>
      <w:r>
        <w:rPr>
          <w:rFonts w:ascii="Times New Roman" w:eastAsia="宋体" w:hAnsi="Times New Roman"/>
          <w:color w:val="212529"/>
          <w:sz w:val="20"/>
          <w:szCs w:val="20"/>
        </w:rPr>
        <w:t>Pretrial Memorandum</w:t>
      </w:r>
      <w:r>
        <w:rPr>
          <w:rFonts w:ascii="Times New Roman" w:eastAsia="宋体" w:hAnsi="Times New Roman"/>
          <w:sz w:val="20"/>
          <w:szCs w:val="20"/>
        </w:rPr>
        <w:t xml:space="preserve"> in the cas</w:t>
      </w:r>
      <w:r>
        <w:rPr>
          <w:rFonts w:ascii="Times New Roman" w:eastAsia="宋体" w:hAnsi="Times New Roman"/>
          <w:sz w:val="20"/>
          <w:szCs w:val="20"/>
        </w:rPr>
        <w:t>e stating that it planned to assert at trial an adjustment that is higher than the adjustment stated in the Notice. The first sessions of the trial began in February 2020, and additional sessions are expected to continue in 2021. The IRS did not provide an</w:t>
      </w:r>
      <w:r>
        <w:rPr>
          <w:rFonts w:ascii="Times New Roman" w:eastAsia="宋体" w:hAnsi="Times New Roman"/>
          <w:sz w:val="20"/>
          <w:szCs w:val="20"/>
        </w:rPr>
        <w:t>y information about how it intends to apply the revised adjustment to future years. Based on the information provided, we believe that, if the IRS prevails in its updated position, this could result in an additional federal tax liability of an estimated, a</w:t>
      </w:r>
      <w:r>
        <w:rPr>
          <w:rFonts w:ascii="Times New Roman" w:eastAsia="宋体" w:hAnsi="Times New Roman"/>
          <w:sz w:val="20"/>
          <w:szCs w:val="20"/>
        </w:rPr>
        <w:t xml:space="preserve">ggregate amount of up to approximately $9.0 billion in excess of the amounts in our originally filed U.S. return, plus interest and any penalties asserted. </w:t>
      </w:r>
    </w:p>
    <w:p w14:paraId="4E56AECF"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In March 2018, we received a second Notice from the IRS in conjunction with the examination of our </w:t>
      </w:r>
      <w:r>
        <w:rPr>
          <w:rFonts w:ascii="Times New Roman" w:eastAsia="宋体" w:hAnsi="Times New Roman"/>
          <w:sz w:val="20"/>
          <w:szCs w:val="20"/>
        </w:rPr>
        <w:t>2011 through 2013 tax years. The IRS applied its position from the 2010 tax year to each of these years and also proposed new adjustments related to other transfer pricing with our foreign subsidiaries and certain tax credits that we claimed. If the IRS pr</w:t>
      </w:r>
      <w:r>
        <w:rPr>
          <w:rFonts w:ascii="Times New Roman" w:eastAsia="宋体" w:hAnsi="Times New Roman"/>
          <w:sz w:val="20"/>
          <w:szCs w:val="20"/>
        </w:rPr>
        <w:t xml:space="preserve">evails in its position for these new adjustments, this could result in an additional federal tax liability of up to approximately </w:t>
      </w:r>
      <w:r>
        <w:rPr>
          <w:rFonts w:ascii="Times New Roman" w:eastAsia="宋体" w:hAnsi="Times New Roman"/>
          <w:color w:val="212529"/>
          <w:sz w:val="20"/>
          <w:szCs w:val="20"/>
        </w:rPr>
        <w:t>$680 million</w:t>
      </w:r>
      <w:r>
        <w:rPr>
          <w:rFonts w:ascii="Times New Roman" w:eastAsia="宋体" w:hAnsi="Times New Roman"/>
          <w:sz w:val="20"/>
          <w:szCs w:val="20"/>
        </w:rPr>
        <w:t xml:space="preserve"> in excess of the amounts in our originally filed U.S. returns, plus interest and any penalties asserted. We do no</w:t>
      </w:r>
      <w:r>
        <w:rPr>
          <w:rFonts w:ascii="Times New Roman" w:eastAsia="宋体" w:hAnsi="Times New Roman"/>
          <w:sz w:val="20"/>
          <w:szCs w:val="20"/>
        </w:rPr>
        <w:t xml:space="preserve">t agree with the positions of the IRS in the second Notice and have filed a petition in the Tax Court challenging the second Notice. </w:t>
      </w:r>
    </w:p>
    <w:p w14:paraId="4E56AED0"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th</w:t>
      </w:r>
      <w:r>
        <w:rPr>
          <w:rFonts w:ascii="Times New Roman" w:eastAsia="宋体" w:hAnsi="Times New Roman"/>
          <w:sz w:val="20"/>
          <w:szCs w:val="20"/>
        </w:rPr>
        <w:t xml:space="preserve">at is lower than the potential additional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sz w:val="20"/>
          <w:szCs w:val="20"/>
        </w:rPr>
        <w:t>. In addition, if the IRS prevails in its positions related to transfer pricing with our foreign subsidiaries,</w:t>
      </w:r>
      <w:r>
        <w:rPr>
          <w:rFonts w:ascii="Times New Roman" w:eastAsia="宋体" w:hAnsi="Times New Roman"/>
          <w:sz w:val="20"/>
          <w:szCs w:val="20"/>
        </w:rPr>
        <w:t xml:space="preserve"> the additional tax that we would owe would be partially offset by a reduction in the tax that we owe under the mandatory transition tax on accumulated foreign earnings from the 2017 Tax Cuts and Jobs Act (Tax Act). As of June 30, 2020, we have not resolve</w:t>
      </w:r>
      <w:r>
        <w:rPr>
          <w:rFonts w:ascii="Times New Roman" w:eastAsia="宋体" w:hAnsi="Times New Roman"/>
          <w:sz w:val="20"/>
          <w:szCs w:val="20"/>
        </w:rPr>
        <w:t>d these matters and proceedings continue in the Tax Court.</w:t>
      </w:r>
    </w:p>
    <w:p w14:paraId="4E56AED1"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We believe that adequate amounts have been reserved in accordance with ASC 740, </w:t>
      </w:r>
      <w:r>
        <w:rPr>
          <w:rFonts w:ascii="Times New Roman" w:eastAsia="宋体" w:hAnsi="Times New Roman"/>
          <w:i/>
          <w:iCs/>
          <w:sz w:val="20"/>
          <w:szCs w:val="20"/>
        </w:rPr>
        <w:t>Income Taxes</w:t>
      </w:r>
      <w:r>
        <w:rPr>
          <w:rFonts w:ascii="Times New Roman" w:eastAsia="宋体" w:hAnsi="Times New Roman"/>
          <w:sz w:val="20"/>
          <w:szCs w:val="20"/>
        </w:rPr>
        <w:t>, for any adjustments to the provision for income taxes or other tax items that may ultimately result fro</w:t>
      </w:r>
      <w:r>
        <w:rPr>
          <w:rFonts w:ascii="Times New Roman" w:eastAsia="宋体" w:hAnsi="Times New Roman"/>
          <w:sz w:val="20"/>
          <w:szCs w:val="20"/>
        </w:rPr>
        <w:t xml:space="preserve">m these examinations. The timing of the </w:t>
      </w:r>
    </w:p>
    <w:p w14:paraId="4E56AED2" w14:textId="77777777" w:rsidR="00DF3E10" w:rsidRDefault="00DF3E10">
      <w:pPr>
        <w:rPr>
          <w:rFonts w:ascii="Times New Roman" w:hAnsi="Times New Roman"/>
          <w:sz w:val="20"/>
          <w:szCs w:val="20"/>
        </w:rPr>
      </w:pPr>
    </w:p>
    <w:p w14:paraId="4E56AED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41</w:t>
      </w:r>
    </w:p>
    <w:p w14:paraId="4E56AED4" w14:textId="77777777" w:rsidR="00DF3E10" w:rsidRDefault="006B6C28">
      <w:r>
        <w:rPr>
          <w:rFonts w:ascii="Times New Roman" w:hAnsi="Times New Roman"/>
          <w:sz w:val="20"/>
          <w:szCs w:val="20"/>
        </w:rPr>
        <w:pict w14:anchorId="4E56B786">
          <v:rect id="_x0000_i1065" style="width:415.3pt;height:1.5pt" o:hralign="center" o:hrstd="t" o:hr="t" fillcolor="#a0a0a0" stroked="f"/>
        </w:pict>
      </w:r>
    </w:p>
    <w:p w14:paraId="4E56AED5" w14:textId="77777777" w:rsidR="00DF3E10" w:rsidRDefault="006B6C28">
      <w:pPr>
        <w:spacing w:line="288" w:lineRule="auto"/>
        <w:rPr>
          <w:rFonts w:ascii="Times New Roman" w:hAnsi="Times New Roman"/>
          <w:sz w:val="20"/>
          <w:szCs w:val="20"/>
        </w:rPr>
      </w:pPr>
      <w:hyperlink r:id="rId83" w:anchor="sC1FF62F0D4D85317B5B2C71C7C94F269" w:history="1">
        <w:r>
          <w:rPr>
            <w:rStyle w:val="a5"/>
            <w:rFonts w:ascii="Times New Roman" w:eastAsia="宋体" w:hAnsi="Times New Roman"/>
            <w:sz w:val="20"/>
            <w:szCs w:val="20"/>
          </w:rPr>
          <w:t>Table of Contents</w:t>
        </w:r>
      </w:hyperlink>
    </w:p>
    <w:p w14:paraId="4E56AED6" w14:textId="77777777" w:rsidR="00DF3E10" w:rsidRDefault="00DF3E10">
      <w:pPr>
        <w:rPr>
          <w:rFonts w:ascii="Times New Roman" w:hAnsi="Times New Roman"/>
          <w:sz w:val="20"/>
          <w:szCs w:val="20"/>
        </w:rPr>
      </w:pPr>
    </w:p>
    <w:p w14:paraId="4E56AED7"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resolution, settlement, and closure o</w:t>
      </w:r>
      <w:r>
        <w:rPr>
          <w:rFonts w:ascii="Times New Roman" w:eastAsia="宋体" w:hAnsi="Times New Roman"/>
          <w:sz w:val="20"/>
          <w:szCs w:val="20"/>
        </w:rPr>
        <w:t>f any audits is highly uncertain, and it is reasonably possible that the balance of gross unrecognized tax benefits could significantly change in the next 12 months. Given the number of years remaining that are subject to examination in various jurisdictio</w:t>
      </w:r>
      <w:r>
        <w:rPr>
          <w:rFonts w:ascii="Times New Roman" w:eastAsia="宋体" w:hAnsi="Times New Roman"/>
          <w:sz w:val="20"/>
          <w:szCs w:val="20"/>
        </w:rPr>
        <w:t>ns, we are unable to estimate the full range of possible adjustments to the balance of gross unrecognized tax benefits. If the taxing authorities prevail in the assessment of additional tax due, the assessed tax, interest, and penalties, if any, could have</w:t>
      </w:r>
      <w:r>
        <w:rPr>
          <w:rFonts w:ascii="Times New Roman" w:eastAsia="宋体" w:hAnsi="Times New Roman"/>
          <w:sz w:val="20"/>
          <w:szCs w:val="20"/>
        </w:rPr>
        <w:t xml:space="preserve"> a material adverse effect on our financial position, results of operations, and cash flows.</w:t>
      </w:r>
    </w:p>
    <w:p w14:paraId="4E56AED8" w14:textId="77777777" w:rsidR="00DF3E10" w:rsidRDefault="00DF3E10">
      <w:pPr>
        <w:rPr>
          <w:rFonts w:ascii="Times New Roman" w:hAnsi="Times New Roman"/>
          <w:sz w:val="20"/>
          <w:szCs w:val="20"/>
        </w:rPr>
      </w:pPr>
    </w:p>
    <w:p w14:paraId="4E56AED9"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42</w:t>
      </w:r>
    </w:p>
    <w:p w14:paraId="4E56AEDA" w14:textId="77777777" w:rsidR="00DF3E10" w:rsidRDefault="006B6C28">
      <w:r>
        <w:rPr>
          <w:rFonts w:ascii="Times New Roman" w:hAnsi="Times New Roman"/>
          <w:sz w:val="20"/>
          <w:szCs w:val="20"/>
        </w:rPr>
        <w:pict w14:anchorId="4E56B787">
          <v:rect id="_x0000_i1066" style="width:415.3pt;height:1.5pt" o:hralign="center" o:hrstd="t" o:hr="t" fillcolor="#a0a0a0" stroked="f"/>
        </w:pict>
      </w:r>
    </w:p>
    <w:p w14:paraId="4E56AEDB" w14:textId="77777777" w:rsidR="00DF3E10" w:rsidRDefault="006B6C28">
      <w:pPr>
        <w:spacing w:line="288" w:lineRule="auto"/>
        <w:rPr>
          <w:rFonts w:ascii="Times New Roman" w:hAnsi="Times New Roman"/>
          <w:sz w:val="20"/>
          <w:szCs w:val="20"/>
        </w:rPr>
      </w:pPr>
      <w:hyperlink r:id="rId84" w:anchor="sC1FF62F0D4D85317B5B2C71C7C94F269"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4E56AEDC" w14:textId="77777777" w:rsidR="00DF3E10" w:rsidRDefault="00DF3E10">
      <w:pPr>
        <w:rPr>
          <w:rFonts w:ascii="Times New Roman" w:hAnsi="Times New Roman"/>
          <w:sz w:val="20"/>
          <w:szCs w:val="20"/>
        </w:rPr>
      </w:pPr>
    </w:p>
    <w:p w14:paraId="4E56AEDD"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4E56AED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principal sources of liquidity are our cash and cash equivalents, marketable securities, and cash generated from operations. Cash and cash equivalents and marketable securities consist mostly of cash on deposit with banks, investments in money market f</w:t>
      </w:r>
      <w:r>
        <w:rPr>
          <w:rFonts w:ascii="Times New Roman" w:eastAsia="宋体" w:hAnsi="Times New Roman"/>
          <w:sz w:val="20"/>
          <w:szCs w:val="20"/>
        </w:rPr>
        <w:t>unds, and investments in U.S. government securities, U.S. government agency securities, and corporate debt securities. Cash and cash equivalents and marketable securities were $58.24 billion as of June 30, 2020, an increase of $3.39 billion from December 3</w:t>
      </w:r>
      <w:r>
        <w:rPr>
          <w:rFonts w:ascii="Times New Roman" w:eastAsia="宋体" w:hAnsi="Times New Roman"/>
          <w:sz w:val="20"/>
          <w:szCs w:val="20"/>
        </w:rPr>
        <w:t>1, 2019. The increase was mostly due to $14.88 billion of cash generated from operations, offset by $7.02 billion for capital expenditures, including principal payments on finance leases, $2.62 billion for repurchases of our Class A common stock, $1.44 bil</w:t>
      </w:r>
      <w:r>
        <w:rPr>
          <w:rFonts w:ascii="Times New Roman" w:eastAsia="宋体" w:hAnsi="Times New Roman"/>
          <w:sz w:val="20"/>
          <w:szCs w:val="20"/>
        </w:rPr>
        <w:t xml:space="preserve">lion of taxes paid related to net share settlement of employee restricted stock units (RSU) awards, and $660 million for acquisitions and other investments. </w:t>
      </w:r>
    </w:p>
    <w:p w14:paraId="4E56AED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Cash paid for income taxes was $1.25 billion in the six months ended June 30, 2020. As of June 30,</w:t>
      </w:r>
      <w:r>
        <w:rPr>
          <w:rFonts w:ascii="Times New Roman" w:eastAsia="宋体" w:hAnsi="Times New Roman"/>
          <w:sz w:val="20"/>
          <w:szCs w:val="20"/>
        </w:rPr>
        <w:t xml:space="preserve"> 2020, our federal net operating loss carryforward was $9.62 billion, and we anticipate that none of this amount will be utilized to offset our federal taxable income in 2020. As of June 30, 2020, we had $389 million of federal tax credit carryforward, of </w:t>
      </w:r>
      <w:r>
        <w:rPr>
          <w:rFonts w:ascii="Times New Roman" w:eastAsia="宋体" w:hAnsi="Times New Roman"/>
          <w:sz w:val="20"/>
          <w:szCs w:val="20"/>
        </w:rPr>
        <w:t>which none will be available to offset our federal tax liabilities in 2020.</w:t>
      </w:r>
    </w:p>
    <w:p w14:paraId="4E56AEE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May 2016, we entered into a $2.0 billion senior unsecured revolving credit facility, and any amounts outstanding under the facility will be due and payable on May 20, 2021. As o</w:t>
      </w:r>
      <w:r>
        <w:rPr>
          <w:rFonts w:ascii="Times New Roman" w:eastAsia="宋体" w:hAnsi="Times New Roman"/>
          <w:sz w:val="20"/>
          <w:szCs w:val="20"/>
        </w:rPr>
        <w:t>f June 30, 2020, no amounts had been drawn down and we were in compliance with the covenants under this credit facility.</w:t>
      </w:r>
    </w:p>
    <w:p w14:paraId="4E56AEE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board of directors has authorized a share repurchase program of our Class A common stock, which does not have an expiration date. A</w:t>
      </w:r>
      <w:r>
        <w:rPr>
          <w:rFonts w:ascii="Times New Roman" w:eastAsia="宋体" w:hAnsi="Times New Roman"/>
          <w:sz w:val="20"/>
          <w:szCs w:val="20"/>
        </w:rPr>
        <w:t>s of December 31, 2019, $4.90 billion remained available and authorized for repurchases. In January 2020, an additional $10.0 billion of repurchases was authorized under this program. During the six months ended June 30, 2020, we repurchased and subsequent</w:t>
      </w:r>
      <w:r>
        <w:rPr>
          <w:rFonts w:ascii="Times New Roman" w:eastAsia="宋体" w:hAnsi="Times New Roman"/>
          <w:sz w:val="20"/>
          <w:szCs w:val="20"/>
        </w:rPr>
        <w:t>ly retired 13 million shares of our Class A common stock for an aggregate amount of $2.62 billion. As of June 30, 2020, $12.28 billion remained available and authorized for repurchases.</w:t>
      </w:r>
    </w:p>
    <w:p w14:paraId="4E56AEE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June 30, 2020, $13.57 billion of the $58.24 billion in cash and </w:t>
      </w:r>
      <w:r>
        <w:rPr>
          <w:rFonts w:ascii="Times New Roman" w:eastAsia="宋体" w:hAnsi="Times New Roman"/>
          <w:sz w:val="20"/>
          <w:szCs w:val="20"/>
        </w:rPr>
        <w:t xml:space="preserve">cash equivalents and marketable securities was held by our foreign subsidiaries. The Tax Act imposed a mandatory transition tax on accumulated foreign earnings and eliminated U.S. taxes on foreign subsidiary distributions. As a result, earnings in foreign </w:t>
      </w:r>
      <w:r>
        <w:rPr>
          <w:rFonts w:ascii="Times New Roman" w:eastAsia="宋体" w:hAnsi="Times New Roman"/>
          <w:sz w:val="20"/>
          <w:szCs w:val="20"/>
        </w:rPr>
        <w:t>jurisdictions are available for distribution to the U.S. without incremental U.S. taxes.</w:t>
      </w:r>
    </w:p>
    <w:p w14:paraId="4E56AEE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July 2019, we entered into a settlement and modified consent order to resolve the inquiry of the FTC into our platform and user data practices, which was approved b</w:t>
      </w:r>
      <w:r>
        <w:rPr>
          <w:rFonts w:ascii="Times New Roman" w:eastAsia="宋体" w:hAnsi="Times New Roman"/>
          <w:sz w:val="20"/>
          <w:szCs w:val="20"/>
        </w:rPr>
        <w:t>y the federal court and took effect in April 2020. We paid the penalty of $5.0 billion in April 2020 upon the effectiveness of the modified consent order.</w:t>
      </w:r>
    </w:p>
    <w:p w14:paraId="4E56AEE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On April 21, 2020, we entered into a definitive agreement to invest in Jio Platforms Limited, a subsi</w:t>
      </w:r>
      <w:r>
        <w:rPr>
          <w:rFonts w:ascii="Times New Roman" w:eastAsia="宋体" w:hAnsi="Times New Roman"/>
          <w:sz w:val="20"/>
          <w:szCs w:val="20"/>
        </w:rPr>
        <w:t>diary of Reliance Industries Limited. The transaction closed on July 7, 2020, and we paid approximately $5.8 billion at the then-current exchange rate.</w:t>
      </w:r>
    </w:p>
    <w:p w14:paraId="4E56AEE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anticipate that our available funds, credit facility, and cash flow from operations will be</w:t>
      </w:r>
      <w:r>
        <w:rPr>
          <w:rFonts w:ascii="Times New Roman" w:eastAsia="宋体" w:hAnsi="Times New Roman"/>
          <w:sz w:val="20"/>
          <w:szCs w:val="20"/>
        </w:rPr>
        <w:t xml:space="preserve"> sufficient to meet our operational cash needs for the foreseeable future.</w:t>
      </w:r>
    </w:p>
    <w:p w14:paraId="4E56AEE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Cash Provided by Operating Activities</w:t>
      </w:r>
    </w:p>
    <w:p w14:paraId="4E56AEE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Cash flow from operating activities during the six months ended June 30, 2020 consisted primarily of net income adjusted for certain non-cash i</w:t>
      </w:r>
      <w:r>
        <w:rPr>
          <w:rFonts w:ascii="Times New Roman" w:eastAsia="宋体" w:hAnsi="Times New Roman"/>
          <w:sz w:val="20"/>
          <w:szCs w:val="20"/>
        </w:rPr>
        <w:t>tems, such as $3.30 billion of depreciation and amortization and $3.03 billion of share-based compensation expense, cash collected from accounts receivable, and a cash payment of $5.0 billion for the FTC legal settlement. The decrease in cash flow from ope</w:t>
      </w:r>
      <w:r>
        <w:rPr>
          <w:rFonts w:ascii="Times New Roman" w:eastAsia="宋体" w:hAnsi="Times New Roman"/>
          <w:sz w:val="20"/>
          <w:szCs w:val="20"/>
        </w:rPr>
        <w:t>rating activities during the six months ended June 30, 2020, compared to the same period in 2019, was mostly due to the payment of $5.0 billion for the FTC legal settlement, partially offset by an increase in cash collected from accounts receivable.</w:t>
      </w:r>
    </w:p>
    <w:p w14:paraId="4E56AEE8"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Cash U</w:t>
      </w:r>
      <w:r>
        <w:rPr>
          <w:rFonts w:ascii="Times New Roman" w:eastAsia="宋体" w:hAnsi="Times New Roman"/>
          <w:b/>
          <w:bCs/>
          <w:i/>
          <w:iCs/>
          <w:sz w:val="20"/>
          <w:szCs w:val="20"/>
        </w:rPr>
        <w:t>sed in Investing Activities</w:t>
      </w:r>
    </w:p>
    <w:p w14:paraId="4E56AEE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Cash used in investing activities during the six months ended June 30, 2020 consisted mostly of $6.81 billion of net purchases of property and equipment as we continued to invest in data centers, servers, office buildings, and n</w:t>
      </w:r>
      <w:r>
        <w:rPr>
          <w:rFonts w:ascii="Times New Roman" w:eastAsia="宋体" w:hAnsi="Times New Roman"/>
          <w:sz w:val="20"/>
          <w:szCs w:val="20"/>
        </w:rPr>
        <w:t>etwork infrastructure, and $814 million of net purchases, sales and maturities of marketable securities. The decrease in cash used in investing activities during the six months ended June 30, 2020, compared to the same period in 2019, was mostly due to a d</w:t>
      </w:r>
      <w:r>
        <w:rPr>
          <w:rFonts w:ascii="Times New Roman" w:eastAsia="宋体" w:hAnsi="Times New Roman"/>
          <w:sz w:val="20"/>
          <w:szCs w:val="20"/>
        </w:rPr>
        <w:t>ecrease in net purchases, sales and maturities of marketable securities.</w:t>
      </w:r>
    </w:p>
    <w:p w14:paraId="4E56AEEA" w14:textId="77777777" w:rsidR="00DF3E10" w:rsidRDefault="00DF3E10">
      <w:pPr>
        <w:rPr>
          <w:rFonts w:ascii="Times New Roman" w:hAnsi="Times New Roman"/>
          <w:sz w:val="20"/>
          <w:szCs w:val="20"/>
        </w:rPr>
      </w:pPr>
    </w:p>
    <w:p w14:paraId="4E56AEE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43</w:t>
      </w:r>
    </w:p>
    <w:p w14:paraId="4E56AEEC" w14:textId="77777777" w:rsidR="00DF3E10" w:rsidRDefault="006B6C28">
      <w:r>
        <w:rPr>
          <w:rFonts w:ascii="Times New Roman" w:hAnsi="Times New Roman"/>
          <w:sz w:val="20"/>
          <w:szCs w:val="20"/>
        </w:rPr>
        <w:pict w14:anchorId="4E56B788">
          <v:rect id="_x0000_i1067" style="width:415.3pt;height:1.5pt" o:hralign="center" o:hrstd="t" o:hr="t" fillcolor="#a0a0a0" stroked="f"/>
        </w:pict>
      </w:r>
    </w:p>
    <w:p w14:paraId="4E56AEED" w14:textId="77777777" w:rsidR="00DF3E10" w:rsidRDefault="006B6C28">
      <w:pPr>
        <w:spacing w:line="288" w:lineRule="auto"/>
        <w:rPr>
          <w:rFonts w:ascii="Times New Roman" w:hAnsi="Times New Roman"/>
          <w:sz w:val="20"/>
          <w:szCs w:val="20"/>
        </w:rPr>
      </w:pPr>
      <w:hyperlink r:id="rId85" w:anchor="sC1FF62F0D4D85317B5B2C71C7C94F269" w:history="1">
        <w:r>
          <w:rPr>
            <w:rStyle w:val="a5"/>
            <w:rFonts w:ascii="Times New Roman" w:eastAsia="宋体" w:hAnsi="Times New Roman"/>
            <w:sz w:val="20"/>
            <w:szCs w:val="20"/>
          </w:rPr>
          <w:t>Table of Contents</w:t>
        </w:r>
      </w:hyperlink>
    </w:p>
    <w:p w14:paraId="4E56AEEE" w14:textId="77777777" w:rsidR="00DF3E10" w:rsidRDefault="00DF3E10">
      <w:pPr>
        <w:rPr>
          <w:rFonts w:ascii="Times New Roman" w:hAnsi="Times New Roman"/>
          <w:sz w:val="20"/>
          <w:szCs w:val="20"/>
        </w:rPr>
      </w:pPr>
    </w:p>
    <w:p w14:paraId="4E56AEE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ex</w:t>
      </w:r>
      <w:r>
        <w:rPr>
          <w:rFonts w:ascii="Times New Roman" w:eastAsia="宋体" w:hAnsi="Times New Roman"/>
          <w:sz w:val="20"/>
          <w:szCs w:val="20"/>
        </w:rPr>
        <w:t>pect full-year 2020 capital expenditures to be approximately $16 billion.</w:t>
      </w:r>
    </w:p>
    <w:p w14:paraId="4E56AEF0"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Cash Used in Financing Activities</w:t>
      </w:r>
    </w:p>
    <w:p w14:paraId="4E56AEF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used in financing activities during the six months ended June 30, 2020 consisted mostly of $2.62 billion for repurchases of our Class A common </w:t>
      </w:r>
      <w:r>
        <w:rPr>
          <w:rFonts w:ascii="Times New Roman" w:eastAsia="宋体" w:hAnsi="Times New Roman"/>
          <w:sz w:val="20"/>
          <w:szCs w:val="20"/>
        </w:rPr>
        <w:t>stock and $1.44 billion of taxes paid related to net share settlement of RSUs. The increase in cash used in financing activities during the six months ended June 30, 2020, compared to the same period in 2019, was mostly due to an increase in repurchases of</w:t>
      </w:r>
      <w:r>
        <w:rPr>
          <w:rFonts w:ascii="Times New Roman" w:eastAsia="宋体" w:hAnsi="Times New Roman"/>
          <w:sz w:val="20"/>
          <w:szCs w:val="20"/>
        </w:rPr>
        <w:t xml:space="preserve"> our Class A common stock.</w:t>
      </w:r>
    </w:p>
    <w:p w14:paraId="4E56AEF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Off-Balance Sheet Arrangements</w:t>
      </w:r>
    </w:p>
    <w:p w14:paraId="4E56AEF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did not have any off-balance sheet arrangements as of June 30, 2020.</w:t>
      </w:r>
    </w:p>
    <w:p w14:paraId="4E56AEF4"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Contractual Obligations</w:t>
      </w:r>
    </w:p>
    <w:p w14:paraId="4E56AEF5"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Our principal commitments consist mostly of obligations under operating leases and other </w:t>
      </w:r>
      <w:r>
        <w:rPr>
          <w:rFonts w:ascii="Times New Roman" w:eastAsia="宋体" w:hAnsi="Times New Roman"/>
          <w:sz w:val="20"/>
          <w:szCs w:val="20"/>
        </w:rPr>
        <w:t>contractual commitments. Our obligations under operating leases include among others, certain of our offices, data centers, land, colocations, and equipment. Our other contractual commitments are mostly related to our investments in network infrastructure,</w:t>
      </w:r>
      <w:r>
        <w:rPr>
          <w:rFonts w:ascii="Times New Roman" w:eastAsia="宋体" w:hAnsi="Times New Roman"/>
          <w:sz w:val="20"/>
          <w:szCs w:val="20"/>
        </w:rPr>
        <w:t xml:space="preserve"> content acquisitions, consumer hardware, and data center operations. The following table summarizes our commitments to settle contractual obligations in cash as of June 30, 2020 (in millions):</w:t>
      </w:r>
    </w:p>
    <w:tbl>
      <w:tblPr>
        <w:tblW w:w="5000" w:type="pct"/>
        <w:tblCellMar>
          <w:left w:w="0" w:type="dxa"/>
          <w:right w:w="0" w:type="dxa"/>
        </w:tblCellMar>
        <w:tblLook w:val="04A0" w:firstRow="1" w:lastRow="0" w:firstColumn="1" w:lastColumn="0" w:noHBand="0" w:noVBand="1"/>
      </w:tblPr>
      <w:tblGrid>
        <w:gridCol w:w="2837"/>
        <w:gridCol w:w="140"/>
        <w:gridCol w:w="762"/>
        <w:gridCol w:w="14"/>
        <w:gridCol w:w="130"/>
        <w:gridCol w:w="141"/>
        <w:gridCol w:w="845"/>
        <w:gridCol w:w="72"/>
        <w:gridCol w:w="130"/>
        <w:gridCol w:w="141"/>
        <w:gridCol w:w="761"/>
        <w:gridCol w:w="76"/>
        <w:gridCol w:w="130"/>
        <w:gridCol w:w="141"/>
        <w:gridCol w:w="761"/>
        <w:gridCol w:w="76"/>
        <w:gridCol w:w="130"/>
        <w:gridCol w:w="141"/>
        <w:gridCol w:w="799"/>
        <w:gridCol w:w="79"/>
      </w:tblGrid>
      <w:tr w:rsidR="00DF3E10" w14:paraId="4E56AEF7" w14:textId="77777777">
        <w:tc>
          <w:tcPr>
            <w:tcW w:w="0" w:type="auto"/>
            <w:gridSpan w:val="20"/>
            <w:shd w:val="clear" w:color="auto" w:fill="auto"/>
            <w:vAlign w:val="center"/>
          </w:tcPr>
          <w:p w14:paraId="4E56AEF6" w14:textId="77777777" w:rsidR="00DF3E10" w:rsidRDefault="00DF3E10">
            <w:pPr>
              <w:rPr>
                <w:rFonts w:ascii="Times New Roman" w:hAnsi="Times New Roman"/>
                <w:sz w:val="20"/>
                <w:szCs w:val="20"/>
              </w:rPr>
            </w:pPr>
          </w:p>
        </w:tc>
      </w:tr>
      <w:tr w:rsidR="00DF3E10" w14:paraId="4E56AF0C" w14:textId="77777777">
        <w:tc>
          <w:tcPr>
            <w:tcW w:w="1750" w:type="pct"/>
            <w:shd w:val="clear" w:color="auto" w:fill="auto"/>
            <w:vAlign w:val="center"/>
          </w:tcPr>
          <w:p w14:paraId="4E56AEF8" w14:textId="77777777" w:rsidR="00DF3E10" w:rsidRDefault="00DF3E10">
            <w:pPr>
              <w:rPr>
                <w:rFonts w:ascii="Times New Roman" w:hAnsi="Times New Roman"/>
                <w:sz w:val="20"/>
                <w:szCs w:val="20"/>
              </w:rPr>
            </w:pPr>
          </w:p>
        </w:tc>
        <w:tc>
          <w:tcPr>
            <w:tcW w:w="50" w:type="pct"/>
            <w:shd w:val="clear" w:color="auto" w:fill="auto"/>
            <w:vAlign w:val="center"/>
          </w:tcPr>
          <w:p w14:paraId="4E56AEF9" w14:textId="77777777" w:rsidR="00DF3E10" w:rsidRDefault="00DF3E10">
            <w:pPr>
              <w:rPr>
                <w:rFonts w:ascii="Times New Roman" w:hAnsi="Times New Roman"/>
                <w:sz w:val="20"/>
                <w:szCs w:val="20"/>
              </w:rPr>
            </w:pPr>
          </w:p>
        </w:tc>
        <w:tc>
          <w:tcPr>
            <w:tcW w:w="500" w:type="pct"/>
            <w:shd w:val="clear" w:color="auto" w:fill="auto"/>
            <w:vAlign w:val="center"/>
          </w:tcPr>
          <w:p w14:paraId="4E56AEFA" w14:textId="77777777" w:rsidR="00DF3E10" w:rsidRDefault="00DF3E10">
            <w:pPr>
              <w:rPr>
                <w:rFonts w:ascii="Times New Roman" w:hAnsi="Times New Roman"/>
                <w:sz w:val="20"/>
                <w:szCs w:val="20"/>
              </w:rPr>
            </w:pPr>
          </w:p>
        </w:tc>
        <w:tc>
          <w:tcPr>
            <w:tcW w:w="50" w:type="pct"/>
            <w:shd w:val="clear" w:color="auto" w:fill="auto"/>
            <w:vAlign w:val="center"/>
          </w:tcPr>
          <w:p w14:paraId="4E56AEFB" w14:textId="77777777" w:rsidR="00DF3E10" w:rsidRDefault="00DF3E10">
            <w:pPr>
              <w:rPr>
                <w:rFonts w:ascii="Times New Roman" w:hAnsi="Times New Roman"/>
                <w:sz w:val="20"/>
                <w:szCs w:val="20"/>
              </w:rPr>
            </w:pPr>
          </w:p>
        </w:tc>
        <w:tc>
          <w:tcPr>
            <w:tcW w:w="50" w:type="pct"/>
            <w:shd w:val="clear" w:color="auto" w:fill="auto"/>
            <w:vAlign w:val="center"/>
          </w:tcPr>
          <w:p w14:paraId="4E56AEFC" w14:textId="77777777" w:rsidR="00DF3E10" w:rsidRDefault="00DF3E10">
            <w:pPr>
              <w:rPr>
                <w:rFonts w:ascii="Times New Roman" w:hAnsi="Times New Roman"/>
                <w:sz w:val="20"/>
                <w:szCs w:val="20"/>
              </w:rPr>
            </w:pPr>
          </w:p>
        </w:tc>
        <w:tc>
          <w:tcPr>
            <w:tcW w:w="50" w:type="pct"/>
            <w:shd w:val="clear" w:color="auto" w:fill="auto"/>
            <w:vAlign w:val="center"/>
          </w:tcPr>
          <w:p w14:paraId="4E56AEFD" w14:textId="77777777" w:rsidR="00DF3E10" w:rsidRDefault="00DF3E10">
            <w:pPr>
              <w:rPr>
                <w:rFonts w:ascii="Times New Roman" w:hAnsi="Times New Roman"/>
                <w:sz w:val="20"/>
                <w:szCs w:val="20"/>
              </w:rPr>
            </w:pPr>
          </w:p>
        </w:tc>
        <w:tc>
          <w:tcPr>
            <w:tcW w:w="550" w:type="pct"/>
            <w:shd w:val="clear" w:color="auto" w:fill="auto"/>
            <w:vAlign w:val="center"/>
          </w:tcPr>
          <w:p w14:paraId="4E56AEFE" w14:textId="77777777" w:rsidR="00DF3E10" w:rsidRDefault="00DF3E10">
            <w:pPr>
              <w:rPr>
                <w:rFonts w:ascii="Times New Roman" w:hAnsi="Times New Roman"/>
                <w:sz w:val="20"/>
                <w:szCs w:val="20"/>
              </w:rPr>
            </w:pPr>
          </w:p>
        </w:tc>
        <w:tc>
          <w:tcPr>
            <w:tcW w:w="50" w:type="pct"/>
            <w:shd w:val="clear" w:color="auto" w:fill="auto"/>
            <w:vAlign w:val="center"/>
          </w:tcPr>
          <w:p w14:paraId="4E56AEFF" w14:textId="77777777" w:rsidR="00DF3E10" w:rsidRDefault="00DF3E10">
            <w:pPr>
              <w:rPr>
                <w:rFonts w:ascii="Times New Roman" w:hAnsi="Times New Roman"/>
                <w:sz w:val="20"/>
                <w:szCs w:val="20"/>
              </w:rPr>
            </w:pPr>
          </w:p>
        </w:tc>
        <w:tc>
          <w:tcPr>
            <w:tcW w:w="50" w:type="pct"/>
            <w:shd w:val="clear" w:color="auto" w:fill="auto"/>
            <w:vAlign w:val="center"/>
          </w:tcPr>
          <w:p w14:paraId="4E56AF00" w14:textId="77777777" w:rsidR="00DF3E10" w:rsidRDefault="00DF3E10">
            <w:pPr>
              <w:rPr>
                <w:rFonts w:ascii="Times New Roman" w:hAnsi="Times New Roman"/>
                <w:sz w:val="20"/>
                <w:szCs w:val="20"/>
              </w:rPr>
            </w:pPr>
          </w:p>
        </w:tc>
        <w:tc>
          <w:tcPr>
            <w:tcW w:w="50" w:type="pct"/>
            <w:shd w:val="clear" w:color="auto" w:fill="auto"/>
            <w:vAlign w:val="center"/>
          </w:tcPr>
          <w:p w14:paraId="4E56AF01" w14:textId="77777777" w:rsidR="00DF3E10" w:rsidRDefault="00DF3E10">
            <w:pPr>
              <w:rPr>
                <w:rFonts w:ascii="Times New Roman" w:hAnsi="Times New Roman"/>
                <w:sz w:val="20"/>
                <w:szCs w:val="20"/>
              </w:rPr>
            </w:pPr>
          </w:p>
        </w:tc>
        <w:tc>
          <w:tcPr>
            <w:tcW w:w="500" w:type="pct"/>
            <w:shd w:val="clear" w:color="auto" w:fill="auto"/>
            <w:vAlign w:val="center"/>
          </w:tcPr>
          <w:p w14:paraId="4E56AF02" w14:textId="77777777" w:rsidR="00DF3E10" w:rsidRDefault="00DF3E10">
            <w:pPr>
              <w:rPr>
                <w:rFonts w:ascii="Times New Roman" w:hAnsi="Times New Roman"/>
                <w:sz w:val="20"/>
                <w:szCs w:val="20"/>
              </w:rPr>
            </w:pPr>
          </w:p>
        </w:tc>
        <w:tc>
          <w:tcPr>
            <w:tcW w:w="50" w:type="pct"/>
            <w:shd w:val="clear" w:color="auto" w:fill="auto"/>
            <w:vAlign w:val="center"/>
          </w:tcPr>
          <w:p w14:paraId="4E56AF03" w14:textId="77777777" w:rsidR="00DF3E10" w:rsidRDefault="00DF3E10">
            <w:pPr>
              <w:rPr>
                <w:rFonts w:ascii="Times New Roman" w:hAnsi="Times New Roman"/>
                <w:sz w:val="20"/>
                <w:szCs w:val="20"/>
              </w:rPr>
            </w:pPr>
          </w:p>
        </w:tc>
        <w:tc>
          <w:tcPr>
            <w:tcW w:w="50" w:type="pct"/>
            <w:shd w:val="clear" w:color="auto" w:fill="auto"/>
            <w:vAlign w:val="center"/>
          </w:tcPr>
          <w:p w14:paraId="4E56AF04" w14:textId="77777777" w:rsidR="00DF3E10" w:rsidRDefault="00DF3E10">
            <w:pPr>
              <w:rPr>
                <w:rFonts w:ascii="Times New Roman" w:hAnsi="Times New Roman"/>
                <w:sz w:val="20"/>
                <w:szCs w:val="20"/>
              </w:rPr>
            </w:pPr>
          </w:p>
        </w:tc>
        <w:tc>
          <w:tcPr>
            <w:tcW w:w="50" w:type="pct"/>
            <w:shd w:val="clear" w:color="auto" w:fill="auto"/>
            <w:vAlign w:val="center"/>
          </w:tcPr>
          <w:p w14:paraId="4E56AF05" w14:textId="77777777" w:rsidR="00DF3E10" w:rsidRDefault="00DF3E10">
            <w:pPr>
              <w:rPr>
                <w:rFonts w:ascii="Times New Roman" w:hAnsi="Times New Roman"/>
                <w:sz w:val="20"/>
                <w:szCs w:val="20"/>
              </w:rPr>
            </w:pPr>
          </w:p>
        </w:tc>
        <w:tc>
          <w:tcPr>
            <w:tcW w:w="500" w:type="pct"/>
            <w:shd w:val="clear" w:color="auto" w:fill="auto"/>
            <w:vAlign w:val="center"/>
          </w:tcPr>
          <w:p w14:paraId="4E56AF06" w14:textId="77777777" w:rsidR="00DF3E10" w:rsidRDefault="00DF3E10">
            <w:pPr>
              <w:rPr>
                <w:rFonts w:ascii="Times New Roman" w:hAnsi="Times New Roman"/>
                <w:sz w:val="20"/>
                <w:szCs w:val="20"/>
              </w:rPr>
            </w:pPr>
          </w:p>
        </w:tc>
        <w:tc>
          <w:tcPr>
            <w:tcW w:w="50" w:type="pct"/>
            <w:shd w:val="clear" w:color="auto" w:fill="auto"/>
            <w:vAlign w:val="center"/>
          </w:tcPr>
          <w:p w14:paraId="4E56AF07" w14:textId="77777777" w:rsidR="00DF3E10" w:rsidRDefault="00DF3E10">
            <w:pPr>
              <w:rPr>
                <w:rFonts w:ascii="Times New Roman" w:hAnsi="Times New Roman"/>
                <w:sz w:val="20"/>
                <w:szCs w:val="20"/>
              </w:rPr>
            </w:pPr>
          </w:p>
        </w:tc>
        <w:tc>
          <w:tcPr>
            <w:tcW w:w="50" w:type="pct"/>
            <w:shd w:val="clear" w:color="auto" w:fill="auto"/>
            <w:vAlign w:val="center"/>
          </w:tcPr>
          <w:p w14:paraId="4E56AF08" w14:textId="77777777" w:rsidR="00DF3E10" w:rsidRDefault="00DF3E10">
            <w:pPr>
              <w:rPr>
                <w:rFonts w:ascii="Times New Roman" w:hAnsi="Times New Roman"/>
                <w:sz w:val="20"/>
                <w:szCs w:val="20"/>
              </w:rPr>
            </w:pPr>
          </w:p>
        </w:tc>
        <w:tc>
          <w:tcPr>
            <w:tcW w:w="50" w:type="pct"/>
            <w:shd w:val="clear" w:color="auto" w:fill="auto"/>
            <w:vAlign w:val="center"/>
          </w:tcPr>
          <w:p w14:paraId="4E56AF09" w14:textId="77777777" w:rsidR="00DF3E10" w:rsidRDefault="00DF3E10">
            <w:pPr>
              <w:rPr>
                <w:rFonts w:ascii="Times New Roman" w:hAnsi="Times New Roman"/>
                <w:sz w:val="20"/>
                <w:szCs w:val="20"/>
              </w:rPr>
            </w:pPr>
          </w:p>
        </w:tc>
        <w:tc>
          <w:tcPr>
            <w:tcW w:w="500" w:type="pct"/>
            <w:shd w:val="clear" w:color="auto" w:fill="auto"/>
            <w:vAlign w:val="center"/>
          </w:tcPr>
          <w:p w14:paraId="4E56AF0A" w14:textId="77777777" w:rsidR="00DF3E10" w:rsidRDefault="00DF3E10">
            <w:pPr>
              <w:rPr>
                <w:rFonts w:ascii="Times New Roman" w:hAnsi="Times New Roman"/>
                <w:sz w:val="20"/>
                <w:szCs w:val="20"/>
              </w:rPr>
            </w:pPr>
          </w:p>
        </w:tc>
        <w:tc>
          <w:tcPr>
            <w:tcW w:w="50" w:type="pct"/>
            <w:shd w:val="clear" w:color="auto" w:fill="auto"/>
            <w:vAlign w:val="center"/>
          </w:tcPr>
          <w:p w14:paraId="4E56AF0B" w14:textId="77777777" w:rsidR="00DF3E10" w:rsidRDefault="00DF3E10">
            <w:pPr>
              <w:rPr>
                <w:rFonts w:ascii="Times New Roman" w:hAnsi="Times New Roman"/>
                <w:sz w:val="20"/>
                <w:szCs w:val="20"/>
              </w:rPr>
            </w:pPr>
          </w:p>
        </w:tc>
      </w:tr>
      <w:tr w:rsidR="00DF3E10" w14:paraId="4E56AF11" w14:textId="77777777">
        <w:tc>
          <w:tcPr>
            <w:tcW w:w="0" w:type="auto"/>
            <w:shd w:val="clear" w:color="auto" w:fill="auto"/>
            <w:tcMar>
              <w:top w:w="40" w:type="dxa"/>
              <w:left w:w="40" w:type="dxa"/>
              <w:bottom w:w="40" w:type="dxa"/>
              <w:right w:w="40" w:type="dxa"/>
            </w:tcMar>
            <w:vAlign w:val="bottom"/>
          </w:tcPr>
          <w:p w14:paraId="4E56AF0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AF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AF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180" w:type="dxa"/>
              <w:bottom w:w="40" w:type="dxa"/>
            </w:tcMar>
            <w:vAlign w:val="bottom"/>
          </w:tcPr>
          <w:p w14:paraId="4E56AF1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Payment Due by Period</w:t>
            </w:r>
            <w:r>
              <w:rPr>
                <w:rFonts w:ascii="Times New Roman" w:eastAsia="宋体" w:hAnsi="Times New Roman"/>
                <w:sz w:val="16"/>
                <w:szCs w:val="16"/>
              </w:rPr>
              <w:t> </w:t>
            </w:r>
          </w:p>
        </w:tc>
      </w:tr>
      <w:tr w:rsidR="00DF3E10" w14:paraId="4E56AF1C" w14:textId="77777777">
        <w:tc>
          <w:tcPr>
            <w:tcW w:w="0" w:type="auto"/>
            <w:shd w:val="clear" w:color="auto" w:fill="auto"/>
            <w:tcMar>
              <w:top w:w="40" w:type="dxa"/>
              <w:left w:w="40" w:type="dxa"/>
              <w:bottom w:w="40" w:type="dxa"/>
              <w:right w:w="40" w:type="dxa"/>
            </w:tcMar>
            <w:vAlign w:val="bottom"/>
          </w:tcPr>
          <w:p w14:paraId="4E56AF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4E56AF1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E56AF1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4E56AF15"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The remainder of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F1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4E56AF17"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2021-2022</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F1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4E56AF19"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2023-2024</w:t>
            </w:r>
          </w:p>
        </w:tc>
        <w:tc>
          <w:tcPr>
            <w:tcW w:w="0" w:type="auto"/>
            <w:tcBorders>
              <w:top w:val="single" w:sz="8" w:space="0" w:color="000000"/>
            </w:tcBorders>
            <w:shd w:val="clear" w:color="auto" w:fill="auto"/>
            <w:tcMar>
              <w:top w:w="40" w:type="dxa"/>
              <w:left w:w="40" w:type="dxa"/>
              <w:bottom w:w="40" w:type="dxa"/>
              <w:right w:w="40" w:type="dxa"/>
            </w:tcMar>
            <w:vAlign w:val="bottom"/>
          </w:tcPr>
          <w:p w14:paraId="4E56AF1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4E56AF1B"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Thereafter</w:t>
            </w:r>
          </w:p>
        </w:tc>
      </w:tr>
      <w:tr w:rsidR="00DF3E10" w14:paraId="4E56AF31" w14:textId="77777777">
        <w:tc>
          <w:tcPr>
            <w:tcW w:w="0" w:type="auto"/>
            <w:shd w:val="clear" w:color="auto" w:fill="CCEEFF"/>
            <w:tcMar>
              <w:top w:w="40" w:type="dxa"/>
              <w:left w:w="40" w:type="dxa"/>
              <w:bottom w:w="40" w:type="dxa"/>
              <w:right w:w="40" w:type="dxa"/>
            </w:tcMar>
            <w:vAlign w:val="bottom"/>
          </w:tcPr>
          <w:p w14:paraId="4E56AF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Operating lease obligations, including imputed interest</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4E56AF1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F1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18,203</w:t>
            </w:r>
          </w:p>
        </w:tc>
        <w:tc>
          <w:tcPr>
            <w:tcW w:w="0" w:type="auto"/>
            <w:shd w:val="clear" w:color="auto" w:fill="CCEEFF"/>
            <w:vAlign w:val="bottom"/>
          </w:tcPr>
          <w:p w14:paraId="4E56AF2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2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F2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F2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544</w:t>
            </w:r>
          </w:p>
        </w:tc>
        <w:tc>
          <w:tcPr>
            <w:tcW w:w="0" w:type="auto"/>
            <w:shd w:val="clear" w:color="auto" w:fill="CCEEFF"/>
            <w:vAlign w:val="bottom"/>
          </w:tcPr>
          <w:p w14:paraId="4E56AF2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F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F2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2,639</w:t>
            </w:r>
          </w:p>
        </w:tc>
        <w:tc>
          <w:tcPr>
            <w:tcW w:w="0" w:type="auto"/>
            <w:shd w:val="clear" w:color="auto" w:fill="CCEEFF"/>
            <w:vAlign w:val="bottom"/>
          </w:tcPr>
          <w:p w14:paraId="4E56AF28"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F2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F2B"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2,659</w:t>
            </w:r>
          </w:p>
        </w:tc>
        <w:tc>
          <w:tcPr>
            <w:tcW w:w="0" w:type="auto"/>
            <w:shd w:val="clear" w:color="auto" w:fill="CCEEFF"/>
            <w:vAlign w:val="bottom"/>
          </w:tcPr>
          <w:p w14:paraId="4E56AF2C"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2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AF2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AF2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12,361</w:t>
            </w:r>
          </w:p>
        </w:tc>
        <w:tc>
          <w:tcPr>
            <w:tcW w:w="0" w:type="auto"/>
            <w:shd w:val="clear" w:color="auto" w:fill="CCEEFF"/>
            <w:vAlign w:val="bottom"/>
          </w:tcPr>
          <w:p w14:paraId="4E56AF30" w14:textId="77777777" w:rsidR="00DF3E10" w:rsidRDefault="00DF3E10">
            <w:pPr>
              <w:textAlignment w:val="bottom"/>
              <w:rPr>
                <w:rFonts w:ascii="Times New Roman" w:hAnsi="Times New Roman"/>
                <w:sz w:val="20"/>
                <w:szCs w:val="20"/>
              </w:rPr>
            </w:pPr>
          </w:p>
        </w:tc>
      </w:tr>
      <w:tr w:rsidR="00DF3E10" w14:paraId="4E56AF41" w14:textId="77777777">
        <w:tc>
          <w:tcPr>
            <w:tcW w:w="0" w:type="auto"/>
            <w:shd w:val="clear" w:color="auto" w:fill="auto"/>
            <w:tcMar>
              <w:top w:w="40" w:type="dxa"/>
              <w:left w:w="40" w:type="dxa"/>
              <w:bottom w:w="40" w:type="dxa"/>
              <w:right w:w="40" w:type="dxa"/>
            </w:tcMar>
            <w:vAlign w:val="bottom"/>
          </w:tcPr>
          <w:p w14:paraId="4E56AF3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Finance lease obligations, including imputed interest</w:t>
            </w:r>
            <w:r>
              <w:rPr>
                <w:rFonts w:ascii="Times New Roman" w:eastAsia="宋体" w:hAnsi="Times New Roman"/>
                <w:sz w:val="14"/>
                <w:szCs w:val="14"/>
              </w:rPr>
              <w:t>(1)</w:t>
            </w:r>
          </w:p>
        </w:tc>
        <w:tc>
          <w:tcPr>
            <w:tcW w:w="0" w:type="auto"/>
            <w:gridSpan w:val="2"/>
            <w:shd w:val="clear" w:color="auto" w:fill="auto"/>
            <w:tcMar>
              <w:top w:w="40" w:type="dxa"/>
              <w:left w:w="40" w:type="dxa"/>
              <w:bottom w:w="40" w:type="dxa"/>
            </w:tcMar>
            <w:vAlign w:val="bottom"/>
          </w:tcPr>
          <w:p w14:paraId="4E56AF3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auto"/>
            <w:vAlign w:val="bottom"/>
          </w:tcPr>
          <w:p w14:paraId="4E56AF3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3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auto"/>
            <w:vAlign w:val="bottom"/>
          </w:tcPr>
          <w:p w14:paraId="4E56AF3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3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3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201</w:t>
            </w:r>
          </w:p>
        </w:tc>
        <w:tc>
          <w:tcPr>
            <w:tcW w:w="0" w:type="auto"/>
            <w:shd w:val="clear" w:color="auto" w:fill="auto"/>
            <w:vAlign w:val="bottom"/>
          </w:tcPr>
          <w:p w14:paraId="4E56AF3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3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auto"/>
            <w:vAlign w:val="bottom"/>
          </w:tcPr>
          <w:p w14:paraId="4E56AF3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3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512</w:t>
            </w:r>
          </w:p>
        </w:tc>
        <w:tc>
          <w:tcPr>
            <w:tcW w:w="0" w:type="auto"/>
            <w:shd w:val="clear" w:color="auto" w:fill="auto"/>
            <w:vAlign w:val="bottom"/>
          </w:tcPr>
          <w:p w14:paraId="4E56AF40" w14:textId="77777777" w:rsidR="00DF3E10" w:rsidRDefault="00DF3E10">
            <w:pPr>
              <w:textAlignment w:val="bottom"/>
              <w:rPr>
                <w:rFonts w:ascii="Times New Roman" w:hAnsi="Times New Roman"/>
                <w:sz w:val="20"/>
                <w:szCs w:val="20"/>
              </w:rPr>
            </w:pPr>
          </w:p>
        </w:tc>
      </w:tr>
      <w:tr w:rsidR="00DF3E10" w14:paraId="4E56AF51" w14:textId="77777777">
        <w:tc>
          <w:tcPr>
            <w:tcW w:w="0" w:type="auto"/>
            <w:shd w:val="clear" w:color="auto" w:fill="CCEEFF"/>
            <w:tcMar>
              <w:top w:w="40" w:type="dxa"/>
              <w:left w:w="40" w:type="dxa"/>
              <w:bottom w:w="40" w:type="dxa"/>
              <w:right w:w="40" w:type="dxa"/>
            </w:tcMar>
            <w:vAlign w:val="bottom"/>
          </w:tcPr>
          <w:p w14:paraId="4E56AF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Transition tax payable</w:t>
            </w:r>
          </w:p>
        </w:tc>
        <w:tc>
          <w:tcPr>
            <w:tcW w:w="0" w:type="auto"/>
            <w:gridSpan w:val="2"/>
            <w:shd w:val="clear" w:color="auto" w:fill="CCEEFF"/>
            <w:tcMar>
              <w:top w:w="40" w:type="dxa"/>
              <w:left w:w="40" w:type="dxa"/>
              <w:bottom w:w="40" w:type="dxa"/>
            </w:tcMar>
            <w:vAlign w:val="bottom"/>
          </w:tcPr>
          <w:p w14:paraId="4E56AF4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1,566</w:t>
            </w:r>
          </w:p>
        </w:tc>
        <w:tc>
          <w:tcPr>
            <w:tcW w:w="0" w:type="auto"/>
            <w:shd w:val="clear" w:color="auto" w:fill="CCEEFF"/>
            <w:vAlign w:val="bottom"/>
          </w:tcPr>
          <w:p w14:paraId="4E56AF44"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F4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F47"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F4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4E56AF4A"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F4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870</w:t>
            </w:r>
          </w:p>
        </w:tc>
        <w:tc>
          <w:tcPr>
            <w:tcW w:w="0" w:type="auto"/>
            <w:shd w:val="clear" w:color="auto" w:fill="CCEEFF"/>
            <w:vAlign w:val="bottom"/>
          </w:tcPr>
          <w:p w14:paraId="4E56AF4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4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E56AF4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696</w:t>
            </w:r>
          </w:p>
        </w:tc>
        <w:tc>
          <w:tcPr>
            <w:tcW w:w="0" w:type="auto"/>
            <w:shd w:val="clear" w:color="auto" w:fill="CCEEFF"/>
            <w:vAlign w:val="bottom"/>
          </w:tcPr>
          <w:p w14:paraId="4E56AF50" w14:textId="77777777" w:rsidR="00DF3E10" w:rsidRDefault="00DF3E10">
            <w:pPr>
              <w:textAlignment w:val="bottom"/>
              <w:rPr>
                <w:rFonts w:ascii="Times New Roman" w:hAnsi="Times New Roman"/>
                <w:sz w:val="20"/>
                <w:szCs w:val="20"/>
              </w:rPr>
            </w:pPr>
          </w:p>
        </w:tc>
      </w:tr>
      <w:tr w:rsidR="00DF3E10" w14:paraId="4E56AF61" w14:textId="77777777">
        <w:tc>
          <w:tcPr>
            <w:tcW w:w="0" w:type="auto"/>
            <w:shd w:val="clear" w:color="auto" w:fill="auto"/>
            <w:tcMar>
              <w:top w:w="40" w:type="dxa"/>
              <w:left w:w="40" w:type="dxa"/>
              <w:bottom w:w="40" w:type="dxa"/>
              <w:right w:w="40" w:type="dxa"/>
            </w:tcMar>
            <w:vAlign w:val="bottom"/>
          </w:tcPr>
          <w:p w14:paraId="4E56AF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Other contractual commitments</w:t>
            </w:r>
          </w:p>
        </w:tc>
        <w:tc>
          <w:tcPr>
            <w:tcW w:w="0" w:type="auto"/>
            <w:gridSpan w:val="2"/>
            <w:shd w:val="clear" w:color="auto" w:fill="auto"/>
            <w:tcMar>
              <w:top w:w="40" w:type="dxa"/>
              <w:left w:w="40" w:type="dxa"/>
              <w:bottom w:w="40" w:type="dxa"/>
            </w:tcMar>
            <w:vAlign w:val="bottom"/>
          </w:tcPr>
          <w:p w14:paraId="4E56AF53"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8,297</w:t>
            </w:r>
          </w:p>
        </w:tc>
        <w:tc>
          <w:tcPr>
            <w:tcW w:w="0" w:type="auto"/>
            <w:shd w:val="clear" w:color="auto" w:fill="auto"/>
            <w:vAlign w:val="bottom"/>
          </w:tcPr>
          <w:p w14:paraId="4E56AF54"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56"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4,301</w:t>
            </w:r>
          </w:p>
        </w:tc>
        <w:tc>
          <w:tcPr>
            <w:tcW w:w="0" w:type="auto"/>
            <w:shd w:val="clear" w:color="auto" w:fill="auto"/>
            <w:vAlign w:val="bottom"/>
          </w:tcPr>
          <w:p w14:paraId="4E56AF57"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1,757</w:t>
            </w:r>
          </w:p>
        </w:tc>
        <w:tc>
          <w:tcPr>
            <w:tcW w:w="0" w:type="auto"/>
            <w:shd w:val="clear" w:color="auto" w:fill="auto"/>
            <w:vAlign w:val="bottom"/>
          </w:tcPr>
          <w:p w14:paraId="4E56AF5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E56AF5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344</w:t>
            </w:r>
          </w:p>
        </w:tc>
        <w:tc>
          <w:tcPr>
            <w:tcW w:w="0" w:type="auto"/>
            <w:shd w:val="clear" w:color="auto" w:fill="auto"/>
            <w:vAlign w:val="bottom"/>
          </w:tcPr>
          <w:p w14:paraId="4E56AF5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AF5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E56AF5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1,895</w:t>
            </w:r>
          </w:p>
        </w:tc>
        <w:tc>
          <w:tcPr>
            <w:tcW w:w="0" w:type="auto"/>
            <w:tcBorders>
              <w:bottom w:val="single" w:sz="8" w:space="0" w:color="000000"/>
            </w:tcBorders>
            <w:shd w:val="clear" w:color="auto" w:fill="auto"/>
            <w:vAlign w:val="bottom"/>
          </w:tcPr>
          <w:p w14:paraId="4E56AF60" w14:textId="77777777" w:rsidR="00DF3E10" w:rsidRDefault="00DF3E10">
            <w:pPr>
              <w:textAlignment w:val="bottom"/>
              <w:rPr>
                <w:rFonts w:ascii="Times New Roman" w:hAnsi="Times New Roman"/>
                <w:sz w:val="20"/>
                <w:szCs w:val="20"/>
              </w:rPr>
            </w:pPr>
          </w:p>
        </w:tc>
      </w:tr>
      <w:tr w:rsidR="00DF3E10" w14:paraId="4E56AF76" w14:textId="77777777">
        <w:tc>
          <w:tcPr>
            <w:tcW w:w="0" w:type="auto"/>
            <w:shd w:val="clear" w:color="auto" w:fill="CCEEFF"/>
            <w:tcMar>
              <w:top w:w="40" w:type="dxa"/>
              <w:left w:w="400" w:type="dxa"/>
              <w:bottom w:w="40" w:type="dxa"/>
              <w:right w:w="40" w:type="dxa"/>
            </w:tcMar>
            <w:vAlign w:val="bottom"/>
          </w:tcPr>
          <w:p w14:paraId="4E56AF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xml:space="preserve">Total contractual </w:t>
            </w:r>
            <w:r>
              <w:rPr>
                <w:rFonts w:ascii="Times New Roman" w:eastAsia="宋体" w:hAnsi="Times New Roman"/>
                <w:sz w:val="20"/>
                <w:szCs w:val="20"/>
              </w:rPr>
              <w:t>obligations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F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F6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29,019</w:t>
            </w:r>
          </w:p>
        </w:tc>
        <w:tc>
          <w:tcPr>
            <w:tcW w:w="0" w:type="auto"/>
            <w:tcBorders>
              <w:top w:val="single" w:sz="8" w:space="0" w:color="000000"/>
              <w:bottom w:val="double" w:sz="6" w:space="0" w:color="000000"/>
            </w:tcBorders>
            <w:shd w:val="clear" w:color="auto" w:fill="CCEEFF"/>
            <w:vAlign w:val="bottom"/>
          </w:tcPr>
          <w:p w14:paraId="4E56AF65"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6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F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F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4,994</w:t>
            </w:r>
          </w:p>
        </w:tc>
        <w:tc>
          <w:tcPr>
            <w:tcW w:w="0" w:type="auto"/>
            <w:tcBorders>
              <w:top w:val="single" w:sz="8" w:space="0" w:color="000000"/>
              <w:bottom w:val="double" w:sz="6" w:space="0" w:color="000000"/>
            </w:tcBorders>
            <w:shd w:val="clear" w:color="auto" w:fill="CCEEFF"/>
            <w:vAlign w:val="bottom"/>
          </w:tcPr>
          <w:p w14:paraId="4E56AF6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F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F6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4,597</w:t>
            </w:r>
          </w:p>
        </w:tc>
        <w:tc>
          <w:tcPr>
            <w:tcW w:w="0" w:type="auto"/>
            <w:tcBorders>
              <w:top w:val="single" w:sz="8" w:space="0" w:color="000000"/>
              <w:bottom w:val="double" w:sz="6" w:space="0" w:color="000000"/>
            </w:tcBorders>
            <w:shd w:val="clear" w:color="auto" w:fill="CCEEFF"/>
            <w:vAlign w:val="bottom"/>
          </w:tcPr>
          <w:p w14:paraId="4E56AF6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F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F7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3,964</w:t>
            </w:r>
          </w:p>
        </w:tc>
        <w:tc>
          <w:tcPr>
            <w:tcW w:w="0" w:type="auto"/>
            <w:tcBorders>
              <w:top w:val="single" w:sz="8" w:space="0" w:color="000000"/>
              <w:bottom w:val="double" w:sz="6" w:space="0" w:color="000000"/>
            </w:tcBorders>
            <w:shd w:val="clear" w:color="auto" w:fill="CCEEFF"/>
            <w:vAlign w:val="bottom"/>
          </w:tcPr>
          <w:p w14:paraId="4E56AF71"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AF7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E56AF7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E56AF7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15,464</w:t>
            </w:r>
          </w:p>
        </w:tc>
        <w:tc>
          <w:tcPr>
            <w:tcW w:w="0" w:type="auto"/>
            <w:tcBorders>
              <w:top w:val="single" w:sz="8" w:space="0" w:color="000000"/>
              <w:bottom w:val="double" w:sz="6" w:space="0" w:color="000000"/>
            </w:tcBorders>
            <w:shd w:val="clear" w:color="auto" w:fill="CCEEFF"/>
            <w:vAlign w:val="bottom"/>
          </w:tcPr>
          <w:p w14:paraId="4E56AF75" w14:textId="77777777" w:rsidR="00DF3E10" w:rsidRDefault="00DF3E10">
            <w:pPr>
              <w:textAlignment w:val="bottom"/>
              <w:rPr>
                <w:rFonts w:ascii="Times New Roman" w:hAnsi="Times New Roman"/>
                <w:sz w:val="20"/>
                <w:szCs w:val="20"/>
              </w:rPr>
            </w:pPr>
          </w:p>
        </w:tc>
      </w:tr>
    </w:tbl>
    <w:p w14:paraId="4E56AF77" w14:textId="77777777" w:rsidR="00DF3E10" w:rsidRDefault="006B6C28">
      <w:pPr>
        <w:spacing w:line="288" w:lineRule="auto"/>
        <w:ind w:hanging="480"/>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323"/>
      </w:tblGrid>
      <w:tr w:rsidR="00DF3E10" w14:paraId="4E56AF7A" w14:textId="77777777">
        <w:trPr>
          <w:tblCellSpacing w:w="0" w:type="dxa"/>
        </w:trPr>
        <w:tc>
          <w:tcPr>
            <w:tcW w:w="480" w:type="dxa"/>
            <w:shd w:val="clear" w:color="auto" w:fill="auto"/>
            <w:vAlign w:val="center"/>
          </w:tcPr>
          <w:p w14:paraId="4E56AF78" w14:textId="77777777" w:rsidR="00DF3E10" w:rsidRDefault="00DF3E10">
            <w:pPr>
              <w:rPr>
                <w:rFonts w:ascii="Times New Roman" w:hAnsi="Times New Roman"/>
                <w:sz w:val="20"/>
                <w:szCs w:val="20"/>
              </w:rPr>
            </w:pPr>
          </w:p>
        </w:tc>
        <w:tc>
          <w:tcPr>
            <w:tcW w:w="0" w:type="auto"/>
            <w:shd w:val="clear" w:color="auto" w:fill="auto"/>
            <w:vAlign w:val="center"/>
          </w:tcPr>
          <w:p w14:paraId="4E56AF79" w14:textId="77777777" w:rsidR="00DF3E10" w:rsidRDefault="00DF3E10">
            <w:pPr>
              <w:rPr>
                <w:rFonts w:ascii="Times New Roman" w:hAnsi="Times New Roman"/>
                <w:sz w:val="20"/>
                <w:szCs w:val="20"/>
              </w:rPr>
            </w:pPr>
          </w:p>
        </w:tc>
      </w:tr>
      <w:tr w:rsidR="00DF3E10" w14:paraId="4E56AF7D" w14:textId="77777777">
        <w:trPr>
          <w:tblCellSpacing w:w="0" w:type="dxa"/>
        </w:trPr>
        <w:tc>
          <w:tcPr>
            <w:tcW w:w="0" w:type="auto"/>
            <w:shd w:val="clear" w:color="auto" w:fill="auto"/>
          </w:tcPr>
          <w:p w14:paraId="4E56AF7B"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AF7C"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Includes variable lease payments that were fixed subsequent to lease commencement or modification.</w:t>
            </w:r>
          </w:p>
        </w:tc>
      </w:tr>
    </w:tbl>
    <w:p w14:paraId="4E56AF7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As part of the normal course of the business, we may enter into multi-year agreements to purchase renewable energy that do not specify a fixed or minimum volume commitment or to purchase certain network components that do not specify a fixed or minimum pri</w:t>
      </w:r>
      <w:r>
        <w:rPr>
          <w:rFonts w:ascii="Times New Roman" w:eastAsia="宋体" w:hAnsi="Times New Roman"/>
          <w:sz w:val="20"/>
          <w:szCs w:val="20"/>
        </w:rPr>
        <w:t>ce commitment. These agreements are generally entered into in order to secure either volume or price. Using projected market prices or expected volume consumption, the total estimated spend is approximately $4.56 billion. The ultimate spend under these agr</w:t>
      </w:r>
      <w:r>
        <w:rPr>
          <w:rFonts w:ascii="Times New Roman" w:eastAsia="宋体" w:hAnsi="Times New Roman"/>
          <w:sz w:val="20"/>
          <w:szCs w:val="20"/>
        </w:rPr>
        <w:t xml:space="preserve">eements may vary and will be based on prevailing market prices or actual volume purchased.  </w:t>
      </w:r>
    </w:p>
    <w:p w14:paraId="4E56AF7F" w14:textId="77777777" w:rsidR="00DF3E10" w:rsidRDefault="006B6C28">
      <w:pPr>
        <w:spacing w:line="288" w:lineRule="auto"/>
        <w:ind w:firstLine="660"/>
        <w:jc w:val="both"/>
        <w:rPr>
          <w:rFonts w:ascii="Times New Roman" w:hAnsi="Times New Roman"/>
          <w:sz w:val="20"/>
          <w:szCs w:val="20"/>
        </w:rPr>
      </w:pPr>
      <w:r>
        <w:rPr>
          <w:rFonts w:ascii="Times New Roman" w:eastAsia="宋体" w:hAnsi="Times New Roman"/>
          <w:sz w:val="20"/>
          <w:szCs w:val="20"/>
        </w:rPr>
        <w:t>In addition, our other liabilities also include $3.45 billion related to net uncertain tax positions as of June 30, 2020. Due to uncertainties in the timing of the</w:t>
      </w:r>
      <w:r>
        <w:rPr>
          <w:rFonts w:ascii="Times New Roman" w:eastAsia="宋体" w:hAnsi="Times New Roman"/>
          <w:sz w:val="20"/>
          <w:szCs w:val="20"/>
        </w:rPr>
        <w:t xml:space="preserve"> completion of tax audits, the timing of the resolution of these positions is uncertain and we are unable to make a reasonably reliable estimate of the timing of payments in individual years beyond 12 months. As a result, this amount is not included in the</w:t>
      </w:r>
      <w:r>
        <w:rPr>
          <w:rFonts w:ascii="Times New Roman" w:eastAsia="宋体" w:hAnsi="Times New Roman"/>
          <w:sz w:val="20"/>
          <w:szCs w:val="20"/>
        </w:rPr>
        <w:t xml:space="preserve"> above contractual obligations table.</w:t>
      </w:r>
    </w:p>
    <w:p w14:paraId="4E56AF80"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Contingencies</w:t>
      </w:r>
    </w:p>
    <w:p w14:paraId="4E56AF8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involved in legal proceedings, claims, and regulatory, tax or government inquiries and investigations. We record a provision for a liability when we believe that it is both probable that a liabilit</w:t>
      </w:r>
      <w:r>
        <w:rPr>
          <w:rFonts w:ascii="Times New Roman" w:eastAsia="宋体" w:hAnsi="Times New Roman"/>
          <w:sz w:val="20"/>
          <w:szCs w:val="20"/>
        </w:rPr>
        <w:t xml:space="preserve">y has been incurred, and that the amount can be reasonably estimated. If we determine there is a reasonable possibility that we may incur a loss and the loss or range of loss can be estimated, we disclose the possible loss in the accompanying notes to the </w:t>
      </w:r>
      <w:r>
        <w:rPr>
          <w:rFonts w:ascii="Times New Roman" w:eastAsia="宋体" w:hAnsi="Times New Roman"/>
          <w:sz w:val="20"/>
          <w:szCs w:val="20"/>
        </w:rPr>
        <w:t>condensed consolidated financial statements to the extent material. Significant judgment is required to determine both probability and the estimated amount of loss. Such matters are inherently unpredictable and subject to significant uncertainties, some of</w:t>
      </w:r>
      <w:r>
        <w:rPr>
          <w:rFonts w:ascii="Times New Roman" w:eastAsia="宋体" w:hAnsi="Times New Roman"/>
          <w:sz w:val="20"/>
          <w:szCs w:val="20"/>
        </w:rPr>
        <w:t xml:space="preserve"> which are beyond our control. Should any of these estimates and assumptions change or prove to be incorrect, it could have a material impact on our results of operations, financial position, and cash flows.</w:t>
      </w:r>
    </w:p>
    <w:p w14:paraId="4E56AF82" w14:textId="77777777" w:rsidR="00DF3E10" w:rsidRDefault="00DF3E10">
      <w:pPr>
        <w:rPr>
          <w:rFonts w:ascii="Times New Roman" w:hAnsi="Times New Roman"/>
          <w:sz w:val="20"/>
          <w:szCs w:val="20"/>
        </w:rPr>
      </w:pPr>
    </w:p>
    <w:p w14:paraId="4E56AF8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44</w:t>
      </w:r>
    </w:p>
    <w:p w14:paraId="4E56AF84" w14:textId="77777777" w:rsidR="00DF3E10" w:rsidRDefault="006B6C28">
      <w:r>
        <w:rPr>
          <w:rFonts w:ascii="Times New Roman" w:hAnsi="Times New Roman"/>
          <w:sz w:val="20"/>
          <w:szCs w:val="20"/>
        </w:rPr>
        <w:pict w14:anchorId="4E56B789">
          <v:rect id="_x0000_i1068" style="width:415.3pt;height:1.5pt" o:hralign="center" o:hrstd="t" o:hr="t" fillcolor="#a0a0a0" stroked="f"/>
        </w:pict>
      </w:r>
    </w:p>
    <w:p w14:paraId="4E56AF85" w14:textId="77777777" w:rsidR="00DF3E10" w:rsidRDefault="006B6C28">
      <w:pPr>
        <w:spacing w:line="288" w:lineRule="auto"/>
        <w:rPr>
          <w:rFonts w:ascii="Times New Roman" w:hAnsi="Times New Roman"/>
          <w:sz w:val="20"/>
          <w:szCs w:val="20"/>
        </w:rPr>
      </w:pPr>
      <w:hyperlink r:id="rId86" w:anchor="sC1FF62F0D4D85317B5B2C71C7C94F269" w:history="1">
        <w:r>
          <w:rPr>
            <w:rStyle w:val="a5"/>
            <w:rFonts w:ascii="Times New Roman" w:eastAsia="宋体" w:hAnsi="Times New Roman"/>
            <w:sz w:val="20"/>
            <w:szCs w:val="20"/>
          </w:rPr>
          <w:t>Table of Contents</w:t>
        </w:r>
      </w:hyperlink>
    </w:p>
    <w:p w14:paraId="4E56AF86" w14:textId="77777777" w:rsidR="00DF3E10" w:rsidRDefault="00DF3E10">
      <w:pPr>
        <w:rPr>
          <w:rFonts w:ascii="Times New Roman" w:hAnsi="Times New Roman"/>
          <w:sz w:val="20"/>
          <w:szCs w:val="20"/>
        </w:rPr>
      </w:pPr>
    </w:p>
    <w:p w14:paraId="4E56AF8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See Note 10 — Commitments and Contingencies and Note 12 — Income Taxes in the </w:t>
      </w:r>
      <w:r>
        <w:rPr>
          <w:rFonts w:ascii="Times New Roman" w:eastAsia="宋体" w:hAnsi="Times New Roman"/>
          <w:sz w:val="20"/>
          <w:szCs w:val="20"/>
        </w:rPr>
        <w:t>notes to the condensed consolidated financial statements included in Part I, Item 1, and "Legal Proceedings" contained in Part II, Item 1 of this Quarterly Report on Form 10-Q for additional information regarding contingencies.</w:t>
      </w:r>
    </w:p>
    <w:p w14:paraId="4E56AF88" w14:textId="77777777" w:rsidR="00DF3E10" w:rsidRDefault="00DF3E10">
      <w:pPr>
        <w:spacing w:line="288" w:lineRule="auto"/>
        <w:rPr>
          <w:rFonts w:ascii="Times New Roman" w:hAnsi="Times New Roman"/>
          <w:sz w:val="20"/>
          <w:szCs w:val="20"/>
        </w:rPr>
      </w:pPr>
    </w:p>
    <w:p w14:paraId="4E56AF8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Critical Accounting Policie</w:t>
      </w:r>
      <w:r>
        <w:rPr>
          <w:rFonts w:ascii="Times New Roman" w:eastAsia="宋体" w:hAnsi="Times New Roman"/>
          <w:b/>
          <w:bCs/>
          <w:sz w:val="20"/>
          <w:szCs w:val="20"/>
        </w:rPr>
        <w:t>s and Estimates</w:t>
      </w:r>
    </w:p>
    <w:p w14:paraId="4E56AF8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condensed consolidated financial statements are prepared in accordance with GAAP. The preparation of these condensed consolidated financial statements requires us to make estimates and assumptions that affect the reported amounts of ass</w:t>
      </w:r>
      <w:r>
        <w:rPr>
          <w:rFonts w:ascii="Times New Roman" w:eastAsia="宋体" w:hAnsi="Times New Roman"/>
          <w:sz w:val="20"/>
          <w:szCs w:val="20"/>
        </w:rPr>
        <w:t>ets, liabilities, revenue, costs and expenses, and related disclosures. These estimates form the basis for judgments we make about the carrying values of our assets and liabilities, which are not readily apparent from other sources. We base our estimates a</w:t>
      </w:r>
      <w:r>
        <w:rPr>
          <w:rFonts w:ascii="Times New Roman" w:eastAsia="宋体" w:hAnsi="Times New Roman"/>
          <w:sz w:val="20"/>
          <w:szCs w:val="20"/>
        </w:rPr>
        <w:t>nd judgments on historical experience and on various other assumptions that we believe are reasonable under the circumstances. On an ongoing basis, we evaluate our estimates and assumptions. Our actual results may differ from these estimates under differen</w:t>
      </w:r>
      <w:r>
        <w:rPr>
          <w:rFonts w:ascii="Times New Roman" w:eastAsia="宋体" w:hAnsi="Times New Roman"/>
          <w:sz w:val="20"/>
          <w:szCs w:val="20"/>
        </w:rPr>
        <w:t xml:space="preserve">t assumptions or conditions. </w:t>
      </w:r>
    </w:p>
    <w:p w14:paraId="4E56AF8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An accounting policy is deemed to be critical if it requires an accounting estimate to be made based on assumptions about matters that are highly uncertain at the time the estimate is made, if different estimates reasonably co</w:t>
      </w:r>
      <w:r>
        <w:rPr>
          <w:rFonts w:ascii="Times New Roman" w:eastAsia="宋体" w:hAnsi="Times New Roman"/>
          <w:sz w:val="20"/>
          <w:szCs w:val="20"/>
        </w:rPr>
        <w:t xml:space="preserve">uld have been used, or if changes in the estimate that are reasonably possible could materially impact the financial statements. </w:t>
      </w:r>
    </w:p>
    <w:p w14:paraId="4E56AF8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our Annual Report on Form 10-K for the fiscal year ended December 31, 2019, we disclosed the assumptions and estimates asso</w:t>
      </w:r>
      <w:r>
        <w:rPr>
          <w:rFonts w:ascii="Times New Roman" w:eastAsia="宋体" w:hAnsi="Times New Roman"/>
          <w:sz w:val="20"/>
          <w:szCs w:val="20"/>
        </w:rPr>
        <w:t>ciated with income taxes, loss contingencies, and valuation of long-lived assets including goodwill, intangible assets and their associated estimated useful lives have the greatest potential impact on our consolidated financial statements. In addition, dur</w:t>
      </w:r>
      <w:r>
        <w:rPr>
          <w:rFonts w:ascii="Times New Roman" w:eastAsia="宋体" w:hAnsi="Times New Roman"/>
          <w:sz w:val="20"/>
          <w:szCs w:val="20"/>
        </w:rPr>
        <w:t>ing the six months ended June 30, 2020, in response to the economic slowdown caused by the COVID-19 pandemic, we now believe that the assumptions and estimates associated with collectibility assessment of revenue and credit losses of accounts receivable ma</w:t>
      </w:r>
      <w:r>
        <w:rPr>
          <w:rFonts w:ascii="Times New Roman" w:eastAsia="宋体" w:hAnsi="Times New Roman"/>
          <w:sz w:val="20"/>
          <w:szCs w:val="20"/>
        </w:rPr>
        <w:t>y also have a material impact to our consolidated financial statements in future periods, depending on the duration or degree of the impact of the COVID-19 pandemic on the global economy. </w:t>
      </w:r>
    </w:p>
    <w:p w14:paraId="4E56AF8D"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Collectibility assessment of revenue </w:t>
      </w:r>
    </w:p>
    <w:p w14:paraId="4E56AF8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Under Topic 606, we recognize</w:t>
      </w:r>
      <w:r>
        <w:rPr>
          <w:rFonts w:ascii="Times New Roman" w:eastAsia="宋体" w:hAnsi="Times New Roman"/>
          <w:sz w:val="20"/>
          <w:szCs w:val="20"/>
        </w:rPr>
        <w:t xml:space="preserve"> revenue using a five-step model. In step one, for a revenue contract to exist, it must be probable that substantially all of the consideration to which we are entitled to will be collected. In performing such collectibility assessment, we consider various</w:t>
      </w:r>
      <w:r>
        <w:rPr>
          <w:rFonts w:ascii="Times New Roman" w:eastAsia="宋体" w:hAnsi="Times New Roman"/>
          <w:sz w:val="20"/>
          <w:szCs w:val="20"/>
        </w:rPr>
        <w:t xml:space="preserve"> facts and circumstances including future expectations about our customer’s ability and intention to pay. Collectibility assessment uses a probable threshold which requires estimation based on several objective and subjective factors, such as probability o</w:t>
      </w:r>
      <w:r>
        <w:rPr>
          <w:rFonts w:ascii="Times New Roman" w:eastAsia="宋体" w:hAnsi="Times New Roman"/>
          <w:sz w:val="20"/>
          <w:szCs w:val="20"/>
        </w:rPr>
        <w:t>f default, customer’s intention to pay, payment history, financial strength, geography, and industry sub-vertical risks. The collectibility assessment has become increasingly uncertain during the current economic environment caused by the COVID-19 pandemic</w:t>
      </w:r>
      <w:r>
        <w:rPr>
          <w:rFonts w:ascii="Times New Roman" w:eastAsia="宋体" w:hAnsi="Times New Roman"/>
          <w:sz w:val="20"/>
          <w:szCs w:val="20"/>
        </w:rPr>
        <w:t xml:space="preserve">, and our actual experience in the future may differ from our past experiences or current assessment. </w:t>
      </w:r>
    </w:p>
    <w:p w14:paraId="4E56AF8F"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b/>
          <w:bCs/>
          <w:i/>
          <w:iCs/>
          <w:sz w:val="20"/>
          <w:szCs w:val="20"/>
        </w:rPr>
        <w:t>Credit losses of accounts receivable</w:t>
      </w:r>
    </w:p>
    <w:p w14:paraId="4E56AF9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January 1, 2020, we adopted Accounting Standards Update No. 2016-13, </w:t>
      </w:r>
      <w:r>
        <w:rPr>
          <w:rFonts w:ascii="Times New Roman" w:eastAsia="宋体" w:hAnsi="Times New Roman"/>
          <w:i/>
          <w:iCs/>
          <w:sz w:val="20"/>
          <w:szCs w:val="20"/>
        </w:rPr>
        <w:t>Financial Instruments-Credit Losses (Topic 3</w:t>
      </w:r>
      <w:r>
        <w:rPr>
          <w:rFonts w:ascii="Times New Roman" w:eastAsia="宋体" w:hAnsi="Times New Roman"/>
          <w:i/>
          <w:iCs/>
          <w:sz w:val="20"/>
          <w:szCs w:val="20"/>
        </w:rPr>
        <w:t>26): Measurement of Credit Losses on Financial Instruments</w:t>
      </w:r>
      <w:r>
        <w:rPr>
          <w:rFonts w:ascii="Times New Roman" w:eastAsia="宋体" w:hAnsi="Times New Roman"/>
          <w:sz w:val="20"/>
          <w:szCs w:val="20"/>
        </w:rPr>
        <w:t>, which requires the measurement and recognition of expected credit losses for financial assets held at amortized cost that an entity does not expect to collect over the asset’s contractual life, co</w:t>
      </w:r>
      <w:r>
        <w:rPr>
          <w:rFonts w:ascii="Times New Roman" w:eastAsia="宋体" w:hAnsi="Times New Roman"/>
          <w:sz w:val="20"/>
          <w:szCs w:val="20"/>
        </w:rPr>
        <w:t>nsidering past events, current conditions, and reasonable and supportable forecasts of future economic conditions. </w:t>
      </w:r>
    </w:p>
    <w:p w14:paraId="4E56AF9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For accounts receivable measured at amortized cost, we use aging analysis, probability of default methods and incorporate macroeconomic vari</w:t>
      </w:r>
      <w:r>
        <w:rPr>
          <w:rFonts w:ascii="Times New Roman" w:eastAsia="宋体" w:hAnsi="Times New Roman"/>
          <w:sz w:val="20"/>
          <w:szCs w:val="20"/>
        </w:rPr>
        <w:t>ables that are most relevant to evaluating and estimating the expected credit losses. These macroeconomic variables may vary by geography, customer-type, or industry sub-vertical. The contractual life of our trade accounts receivable is generally short-ter</w:t>
      </w:r>
      <w:r>
        <w:rPr>
          <w:rFonts w:ascii="Times New Roman" w:eastAsia="宋体" w:hAnsi="Times New Roman"/>
          <w:sz w:val="20"/>
          <w:szCs w:val="20"/>
        </w:rPr>
        <w:t>m; however, we may experience increasing credit loss risks from accounts receivable in future periods depending on the duration or degree of economic slowdown caused by the COVID-19 pandemic, and our actual experience in the future may differ from our past</w:t>
      </w:r>
      <w:r>
        <w:rPr>
          <w:rFonts w:ascii="Times New Roman" w:eastAsia="宋体" w:hAnsi="Times New Roman"/>
          <w:sz w:val="20"/>
          <w:szCs w:val="20"/>
        </w:rPr>
        <w:t xml:space="preserve"> experiences or current assessment. </w:t>
      </w:r>
    </w:p>
    <w:p w14:paraId="4E56AF92" w14:textId="77777777" w:rsidR="00DF3E10" w:rsidRDefault="00DF3E10">
      <w:pPr>
        <w:spacing w:line="288" w:lineRule="auto"/>
        <w:rPr>
          <w:rFonts w:ascii="Times New Roman" w:hAnsi="Times New Roman"/>
          <w:sz w:val="20"/>
          <w:szCs w:val="20"/>
        </w:rPr>
      </w:pPr>
    </w:p>
    <w:p w14:paraId="4E56AF93" w14:textId="77777777" w:rsidR="00DF3E10" w:rsidRDefault="00DF3E10">
      <w:pPr>
        <w:rPr>
          <w:rFonts w:ascii="Times New Roman" w:hAnsi="Times New Roman"/>
          <w:sz w:val="20"/>
          <w:szCs w:val="20"/>
        </w:rPr>
      </w:pPr>
    </w:p>
    <w:p w14:paraId="4E56AF94"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45</w:t>
      </w:r>
    </w:p>
    <w:p w14:paraId="4E56AF95" w14:textId="77777777" w:rsidR="00DF3E10" w:rsidRDefault="006B6C28">
      <w:r>
        <w:rPr>
          <w:rFonts w:ascii="Times New Roman" w:hAnsi="Times New Roman"/>
          <w:sz w:val="20"/>
          <w:szCs w:val="20"/>
        </w:rPr>
        <w:pict w14:anchorId="4E56B78A">
          <v:rect id="_x0000_i1069" style="width:415.3pt;height:1.5pt" o:hralign="center" o:hrstd="t" o:hr="t" fillcolor="#a0a0a0" stroked="f"/>
        </w:pict>
      </w:r>
    </w:p>
    <w:p w14:paraId="4E56AF96" w14:textId="77777777" w:rsidR="00DF3E10" w:rsidRDefault="006B6C28">
      <w:pPr>
        <w:spacing w:line="288" w:lineRule="auto"/>
        <w:rPr>
          <w:rFonts w:ascii="Times New Roman" w:hAnsi="Times New Roman"/>
          <w:sz w:val="20"/>
          <w:szCs w:val="20"/>
        </w:rPr>
      </w:pPr>
      <w:hyperlink r:id="rId87" w:anchor="sC1FF62F0D4D85317B5B2C71C7C94F269" w:history="1">
        <w:r>
          <w:rPr>
            <w:rStyle w:val="a5"/>
            <w:rFonts w:ascii="Times New Roman" w:eastAsia="宋体" w:hAnsi="Times New Roman"/>
            <w:sz w:val="20"/>
            <w:szCs w:val="20"/>
          </w:rPr>
          <w:t>Table of Contents</w:t>
        </w:r>
      </w:hyperlink>
    </w:p>
    <w:p w14:paraId="4E56AF97"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5189"/>
      </w:tblGrid>
      <w:tr w:rsidR="00DF3E10" w14:paraId="4E56AF9A" w14:textId="77777777">
        <w:trPr>
          <w:tblCellSpacing w:w="0" w:type="dxa"/>
        </w:trPr>
        <w:tc>
          <w:tcPr>
            <w:tcW w:w="960" w:type="dxa"/>
            <w:shd w:val="clear" w:color="auto" w:fill="auto"/>
            <w:vAlign w:val="center"/>
          </w:tcPr>
          <w:p w14:paraId="4E56AF98" w14:textId="77777777" w:rsidR="00DF3E10" w:rsidRDefault="00DF3E10">
            <w:pPr>
              <w:rPr>
                <w:rFonts w:ascii="Times New Roman" w:hAnsi="Times New Roman"/>
                <w:sz w:val="20"/>
                <w:szCs w:val="20"/>
              </w:rPr>
            </w:pPr>
          </w:p>
        </w:tc>
        <w:tc>
          <w:tcPr>
            <w:tcW w:w="0" w:type="auto"/>
            <w:shd w:val="clear" w:color="auto" w:fill="auto"/>
            <w:vAlign w:val="center"/>
          </w:tcPr>
          <w:p w14:paraId="4E56AF99" w14:textId="77777777" w:rsidR="00DF3E10" w:rsidRDefault="00DF3E10">
            <w:pPr>
              <w:rPr>
                <w:rFonts w:ascii="Times New Roman" w:hAnsi="Times New Roman"/>
                <w:sz w:val="20"/>
                <w:szCs w:val="20"/>
              </w:rPr>
            </w:pPr>
          </w:p>
        </w:tc>
      </w:tr>
      <w:tr w:rsidR="00DF3E10" w14:paraId="4E56AF9D" w14:textId="77777777">
        <w:trPr>
          <w:tblCellSpacing w:w="0" w:type="dxa"/>
        </w:trPr>
        <w:tc>
          <w:tcPr>
            <w:tcW w:w="0" w:type="auto"/>
            <w:shd w:val="clear" w:color="auto" w:fill="auto"/>
          </w:tcPr>
          <w:p w14:paraId="4E56AF9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Pr>
          <w:p w14:paraId="4E56AF9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Quantitative and </w:t>
            </w:r>
            <w:r>
              <w:rPr>
                <w:rFonts w:ascii="Times New Roman" w:eastAsia="宋体" w:hAnsi="Times New Roman"/>
                <w:b/>
                <w:bCs/>
                <w:sz w:val="20"/>
                <w:szCs w:val="20"/>
              </w:rPr>
              <w:t>Qualitative Disclosures About Market Risk</w:t>
            </w:r>
          </w:p>
        </w:tc>
      </w:tr>
    </w:tbl>
    <w:p w14:paraId="4E56AF9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market risks, including changes to foreign currency exchange rates, interest rates, and inflation.</w:t>
      </w:r>
    </w:p>
    <w:p w14:paraId="4E56AF9F"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Foreign Currency Exchange Risk</w:t>
      </w:r>
    </w:p>
    <w:p w14:paraId="4E56AFA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foreign currency risks related to our revenue and operati</w:t>
      </w:r>
      <w:r>
        <w:rPr>
          <w:rFonts w:ascii="Times New Roman" w:eastAsia="宋体" w:hAnsi="Times New Roman"/>
          <w:sz w:val="20"/>
          <w:szCs w:val="20"/>
        </w:rPr>
        <w:t>ng expenses denominated in currencies other than the U.S. dollar, primarily the Euro. Accordingly, changes in exchange rates, and in particular a strengthening of the U.S. dollar, have negatively affected, and may continue to negatively affect, our revenue</w:t>
      </w:r>
      <w:r>
        <w:rPr>
          <w:rFonts w:ascii="Times New Roman" w:eastAsia="宋体" w:hAnsi="Times New Roman"/>
          <w:sz w:val="20"/>
          <w:szCs w:val="20"/>
        </w:rPr>
        <w:t xml:space="preserve"> and other operating results as expressed in U.S. dollars.</w:t>
      </w:r>
    </w:p>
    <w:p w14:paraId="4E56AFA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experienced and will continue to experience fluctuations in our net income as a result of transaction gains or losses related to revaluing monetary asset and liability balances that are denominated in currencies other than the functional currency o</w:t>
      </w:r>
      <w:r>
        <w:rPr>
          <w:rFonts w:ascii="Times New Roman" w:eastAsia="宋体" w:hAnsi="Times New Roman"/>
          <w:sz w:val="20"/>
          <w:szCs w:val="20"/>
        </w:rPr>
        <w:t>f the entities in which they are recorded. At this time, we have not entered into, but in the future we may enter into, derivatives or other financial instruments in an attempt to hedge our foreign currency exchange risk. It is difficult to predict the eff</w:t>
      </w:r>
      <w:r>
        <w:rPr>
          <w:rFonts w:ascii="Times New Roman" w:eastAsia="宋体" w:hAnsi="Times New Roman"/>
          <w:sz w:val="20"/>
          <w:szCs w:val="20"/>
        </w:rPr>
        <w:t xml:space="preserve">ect hedging activities would have on our results of operations. Foreign currency gains or losses recognized in the three and six months ended June 30, 2020 and 2019 were not material. </w:t>
      </w:r>
    </w:p>
    <w:p w14:paraId="4E56AFA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Interest Rate Sensitivity</w:t>
      </w:r>
    </w:p>
    <w:p w14:paraId="4E56AFA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exposure to changes in interest </w:t>
      </w:r>
      <w:r>
        <w:rPr>
          <w:rFonts w:ascii="Times New Roman" w:eastAsia="宋体" w:hAnsi="Times New Roman"/>
          <w:sz w:val="20"/>
          <w:szCs w:val="20"/>
        </w:rPr>
        <w:t>rates relates primarily to interest earned and market value on our cash and cash equivalents and marketable securities.</w:t>
      </w:r>
    </w:p>
    <w:p w14:paraId="4E56AFA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cash and cash equivalents and marketable securities consist of cash, certificates of deposit, time deposits, money market funds, U.S</w:t>
      </w:r>
      <w:r>
        <w:rPr>
          <w:rFonts w:ascii="Times New Roman" w:eastAsia="宋体" w:hAnsi="Times New Roman"/>
          <w:sz w:val="20"/>
          <w:szCs w:val="20"/>
        </w:rPr>
        <w:t xml:space="preserve">. government securities, U.S. government agency securities, and investment grade corporate debt securities. Our investment policy and strategy are focused on preservation of capital and supporting our liquidity requirements. Changes in U.S. interest rates </w:t>
      </w:r>
      <w:r>
        <w:rPr>
          <w:rFonts w:ascii="Times New Roman" w:eastAsia="宋体" w:hAnsi="Times New Roman"/>
          <w:sz w:val="20"/>
          <w:szCs w:val="20"/>
        </w:rPr>
        <w:t>affect the interest earned on our cash and cash equivalents and marketable securities, and the market value of those securities. A hypothetical 100 basis point increase in interest rates would have resulted in a decrease of $580 million and $525 million in</w:t>
      </w:r>
      <w:r>
        <w:rPr>
          <w:rFonts w:ascii="Times New Roman" w:eastAsia="宋体" w:hAnsi="Times New Roman"/>
          <w:sz w:val="20"/>
          <w:szCs w:val="20"/>
        </w:rPr>
        <w:t xml:space="preserve"> the market value of our available-for-sale debt securities as of June 30, 2020 and December 31, 2019, respectively. Any realized gains or losses resulting from such interest rate changes would only occur if we sold the investments prior to maturity.</w:t>
      </w:r>
    </w:p>
    <w:p w14:paraId="4E56AFA5" w14:textId="77777777" w:rsidR="00DF3E10" w:rsidRDefault="00DF3E10">
      <w:pPr>
        <w:rPr>
          <w:rFonts w:ascii="Times New Roman" w:hAnsi="Times New Roman"/>
          <w:sz w:val="20"/>
          <w:szCs w:val="20"/>
        </w:rPr>
      </w:pPr>
    </w:p>
    <w:p w14:paraId="4E56AFA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46</w:t>
      </w:r>
    </w:p>
    <w:p w14:paraId="4E56AFA7" w14:textId="77777777" w:rsidR="00DF3E10" w:rsidRDefault="006B6C28">
      <w:r>
        <w:rPr>
          <w:rFonts w:ascii="Times New Roman" w:hAnsi="Times New Roman"/>
          <w:sz w:val="20"/>
          <w:szCs w:val="20"/>
        </w:rPr>
        <w:pict w14:anchorId="4E56B78B">
          <v:rect id="_x0000_i1070" style="width:415.3pt;height:1.5pt" o:hralign="center" o:hrstd="t" o:hr="t" fillcolor="#a0a0a0" stroked="f"/>
        </w:pict>
      </w:r>
    </w:p>
    <w:p w14:paraId="4E56AFA8" w14:textId="77777777" w:rsidR="00DF3E10" w:rsidRDefault="006B6C28">
      <w:pPr>
        <w:spacing w:line="288" w:lineRule="auto"/>
        <w:rPr>
          <w:rFonts w:ascii="Times New Roman" w:hAnsi="Times New Roman"/>
          <w:sz w:val="20"/>
          <w:szCs w:val="20"/>
        </w:rPr>
      </w:pPr>
      <w:hyperlink r:id="rId88" w:anchor="sC1FF62F0D4D85317B5B2C71C7C94F269" w:history="1">
        <w:r>
          <w:rPr>
            <w:rStyle w:val="a5"/>
            <w:rFonts w:ascii="Times New Roman" w:eastAsia="宋体" w:hAnsi="Times New Roman"/>
            <w:sz w:val="20"/>
            <w:szCs w:val="20"/>
          </w:rPr>
          <w:t>Table of Contents</w:t>
        </w:r>
      </w:hyperlink>
    </w:p>
    <w:p w14:paraId="4E56AFA9"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2134"/>
      </w:tblGrid>
      <w:tr w:rsidR="00DF3E10" w14:paraId="4E56AFAC" w14:textId="77777777">
        <w:trPr>
          <w:tblCellSpacing w:w="0" w:type="dxa"/>
        </w:trPr>
        <w:tc>
          <w:tcPr>
            <w:tcW w:w="960" w:type="dxa"/>
            <w:shd w:val="clear" w:color="auto" w:fill="auto"/>
            <w:vAlign w:val="center"/>
          </w:tcPr>
          <w:p w14:paraId="4E56AFAA" w14:textId="77777777" w:rsidR="00DF3E10" w:rsidRDefault="00DF3E10">
            <w:pPr>
              <w:rPr>
                <w:rFonts w:ascii="Times New Roman" w:hAnsi="Times New Roman"/>
                <w:sz w:val="20"/>
                <w:szCs w:val="20"/>
              </w:rPr>
            </w:pPr>
          </w:p>
        </w:tc>
        <w:tc>
          <w:tcPr>
            <w:tcW w:w="0" w:type="auto"/>
            <w:shd w:val="clear" w:color="auto" w:fill="auto"/>
            <w:vAlign w:val="center"/>
          </w:tcPr>
          <w:p w14:paraId="4E56AFAB" w14:textId="77777777" w:rsidR="00DF3E10" w:rsidRDefault="00DF3E10">
            <w:pPr>
              <w:rPr>
                <w:rFonts w:ascii="Times New Roman" w:hAnsi="Times New Roman"/>
                <w:sz w:val="20"/>
                <w:szCs w:val="20"/>
              </w:rPr>
            </w:pPr>
          </w:p>
        </w:tc>
      </w:tr>
      <w:tr w:rsidR="00DF3E10" w14:paraId="4E56AFAF" w14:textId="77777777">
        <w:trPr>
          <w:tblCellSpacing w:w="0" w:type="dxa"/>
        </w:trPr>
        <w:tc>
          <w:tcPr>
            <w:tcW w:w="0" w:type="auto"/>
            <w:shd w:val="clear" w:color="auto" w:fill="auto"/>
          </w:tcPr>
          <w:p w14:paraId="4E56AFA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Pr>
          <w:p w14:paraId="4E56AFA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4E56AFB0"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 xml:space="preserve">Evaluation of Disclosure Controls and </w:t>
      </w:r>
      <w:r>
        <w:rPr>
          <w:rFonts w:ascii="Times New Roman" w:eastAsia="宋体" w:hAnsi="Times New Roman"/>
          <w:b/>
          <w:bCs/>
          <w:sz w:val="20"/>
          <w:szCs w:val="20"/>
        </w:rPr>
        <w:t>Procedures</w:t>
      </w:r>
    </w:p>
    <w:p w14:paraId="4E56AFB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management, with the participation of our chief executive officer (CEO) and chief financial officer (CFO), has evaluated the effectiveness of our disclosure controls and procedures (as defined in Rules 13a- 15(e) and 15d- 15(e) under the Sec</w:t>
      </w:r>
      <w:r>
        <w:rPr>
          <w:rFonts w:ascii="Times New Roman" w:eastAsia="宋体" w:hAnsi="Times New Roman"/>
          <w:sz w:val="20"/>
          <w:szCs w:val="20"/>
        </w:rPr>
        <w:t>urities Exchange Act of 1934, as amended (Exchange Act)), as of the end of the period covered by this Quarterly Report on Form 10-Q. Based on such evaluation, our CEO and CFO have concluded that as of June 30, 2020, our disclosure controls and procedures a</w:t>
      </w:r>
      <w:r>
        <w:rPr>
          <w:rFonts w:ascii="Times New Roman" w:eastAsia="宋体" w:hAnsi="Times New Roman"/>
          <w:sz w:val="20"/>
          <w:szCs w:val="20"/>
        </w:rPr>
        <w:t xml:space="preserve">re designed at a reasonable assurance level and are effective to provide reasonable assurance that information we are required to disclose in reports that we file or submit under the Exchange Act is recorded, processed, summarized, and reported within the </w:t>
      </w:r>
      <w:r>
        <w:rPr>
          <w:rFonts w:ascii="Times New Roman" w:eastAsia="宋体" w:hAnsi="Times New Roman"/>
          <w:sz w:val="20"/>
          <w:szCs w:val="20"/>
        </w:rPr>
        <w:t>time periods specified in the rules and forms of the Securities and Exchange Commission (SEC), and that such information is accumulated and communicated to our management, including our CEO and CFO, as appropriate, to allow timely decisions regarding requi</w:t>
      </w:r>
      <w:r>
        <w:rPr>
          <w:rFonts w:ascii="Times New Roman" w:eastAsia="宋体" w:hAnsi="Times New Roman"/>
          <w:sz w:val="20"/>
          <w:szCs w:val="20"/>
        </w:rPr>
        <w:t>red disclosure.</w:t>
      </w:r>
    </w:p>
    <w:p w14:paraId="4E56AFB2"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Changes in Internal Control</w:t>
      </w:r>
    </w:p>
    <w:p w14:paraId="4E56AFB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There were no changes in our internal control over financial reporting identified in management's evaluation pursuant to Rules 13a-15(d) or 15d-15(d) of the Exchange Act during the period covered by this Quarterl</w:t>
      </w:r>
      <w:r>
        <w:rPr>
          <w:rFonts w:ascii="Times New Roman" w:eastAsia="宋体" w:hAnsi="Times New Roman"/>
          <w:sz w:val="20"/>
          <w:szCs w:val="20"/>
        </w:rPr>
        <w:t>y Report on Form 10-Q that materially affected, or are reasonably likely to materially affect, our internal control over financial reporting.</w:t>
      </w:r>
    </w:p>
    <w:p w14:paraId="4E56AFB4"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Limitations on Effectiveness of Controls and Procedures</w:t>
      </w:r>
    </w:p>
    <w:p w14:paraId="4E56AFB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designing and evaluating the disclosure controls and pr</w:t>
      </w:r>
      <w:r>
        <w:rPr>
          <w:rFonts w:ascii="Times New Roman" w:eastAsia="宋体" w:hAnsi="Times New Roman"/>
          <w:sz w:val="20"/>
          <w:szCs w:val="20"/>
        </w:rPr>
        <w:t>ocedures and internal control over financial reporting, management recognizes that any controls and procedures, no matter how well designed and operated, can provide only reasonable assurance of achieving the desired control objectives. In addition, the de</w:t>
      </w:r>
      <w:r>
        <w:rPr>
          <w:rFonts w:ascii="Times New Roman" w:eastAsia="宋体" w:hAnsi="Times New Roman"/>
          <w:sz w:val="20"/>
          <w:szCs w:val="20"/>
        </w:rPr>
        <w:t>sign of disclosure controls and procedures and internal control over financial reporting must reflect the fact that there are resource constraints and that management is required to apply judgment in evaluating the benefits of possible controls and procedu</w:t>
      </w:r>
      <w:r>
        <w:rPr>
          <w:rFonts w:ascii="Times New Roman" w:eastAsia="宋体" w:hAnsi="Times New Roman"/>
          <w:sz w:val="20"/>
          <w:szCs w:val="20"/>
        </w:rPr>
        <w:t>res relative to their costs.</w:t>
      </w:r>
    </w:p>
    <w:p w14:paraId="4E56AFB6" w14:textId="77777777" w:rsidR="00DF3E10" w:rsidRDefault="00DF3E10">
      <w:pPr>
        <w:spacing w:line="288" w:lineRule="auto"/>
        <w:ind w:firstLine="720"/>
        <w:jc w:val="both"/>
        <w:rPr>
          <w:rFonts w:ascii="Times New Roman" w:hAnsi="Times New Roman"/>
          <w:sz w:val="20"/>
          <w:szCs w:val="20"/>
        </w:rPr>
      </w:pPr>
    </w:p>
    <w:p w14:paraId="4E56AFB7" w14:textId="77777777" w:rsidR="00DF3E10" w:rsidRDefault="00DF3E10">
      <w:pPr>
        <w:rPr>
          <w:rFonts w:ascii="Times New Roman" w:hAnsi="Times New Roman"/>
          <w:sz w:val="20"/>
          <w:szCs w:val="20"/>
        </w:rPr>
      </w:pPr>
    </w:p>
    <w:p w14:paraId="4E56AFB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47</w:t>
      </w:r>
    </w:p>
    <w:p w14:paraId="4E56AFB9" w14:textId="77777777" w:rsidR="00DF3E10" w:rsidRDefault="006B6C28">
      <w:r>
        <w:rPr>
          <w:rFonts w:ascii="Times New Roman" w:hAnsi="Times New Roman"/>
          <w:sz w:val="20"/>
          <w:szCs w:val="20"/>
        </w:rPr>
        <w:pict w14:anchorId="4E56B78C">
          <v:rect id="_x0000_i1071" style="width:415.3pt;height:1.5pt" o:hralign="center" o:hrstd="t" o:hr="t" fillcolor="#a0a0a0" stroked="f"/>
        </w:pict>
      </w:r>
    </w:p>
    <w:p w14:paraId="4E56AFBA" w14:textId="77777777" w:rsidR="00DF3E10" w:rsidRDefault="006B6C28">
      <w:pPr>
        <w:spacing w:line="288" w:lineRule="auto"/>
        <w:rPr>
          <w:rFonts w:ascii="Times New Roman" w:hAnsi="Times New Roman"/>
          <w:sz w:val="20"/>
          <w:szCs w:val="20"/>
        </w:rPr>
      </w:pPr>
      <w:hyperlink r:id="rId89" w:anchor="sC1FF62F0D4D85317B5B2C71C7C94F269" w:history="1">
        <w:r>
          <w:rPr>
            <w:rStyle w:val="a5"/>
            <w:rFonts w:ascii="Times New Roman" w:eastAsia="宋体" w:hAnsi="Times New Roman"/>
            <w:sz w:val="20"/>
            <w:szCs w:val="20"/>
          </w:rPr>
          <w:t>Table of Contents</w:t>
        </w:r>
      </w:hyperlink>
    </w:p>
    <w:p w14:paraId="4E56AFBB" w14:textId="77777777" w:rsidR="00DF3E10" w:rsidRDefault="00DF3E10">
      <w:pPr>
        <w:rPr>
          <w:rFonts w:ascii="Times New Roman" w:hAnsi="Times New Roman"/>
          <w:sz w:val="20"/>
          <w:szCs w:val="20"/>
        </w:rPr>
      </w:pPr>
    </w:p>
    <w:p w14:paraId="4E56AFBC" w14:textId="77777777" w:rsidR="00DF3E10" w:rsidRDefault="006B6C28">
      <w:pPr>
        <w:spacing w:line="288" w:lineRule="auto"/>
        <w:rPr>
          <w:rFonts w:ascii="Times New Roman" w:hAnsi="Times New Roman"/>
          <w:sz w:val="20"/>
          <w:szCs w:val="20"/>
        </w:rPr>
      </w:pPr>
      <w:r>
        <w:rPr>
          <w:rFonts w:ascii="Times New Roman" w:eastAsia="宋体" w:hAnsi="Times New Roman"/>
          <w:b/>
          <w:bCs/>
          <w:sz w:val="20"/>
          <w:szCs w:val="20"/>
        </w:rPr>
        <w:t>PART II—OTHER INFORMATION</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1561"/>
      </w:tblGrid>
      <w:tr w:rsidR="00DF3E10" w14:paraId="4E56AFBF" w14:textId="77777777">
        <w:trPr>
          <w:tblCellSpacing w:w="0" w:type="dxa"/>
        </w:trPr>
        <w:tc>
          <w:tcPr>
            <w:tcW w:w="960" w:type="dxa"/>
            <w:shd w:val="clear" w:color="auto" w:fill="auto"/>
            <w:vAlign w:val="center"/>
          </w:tcPr>
          <w:p w14:paraId="4E56AFBD" w14:textId="77777777" w:rsidR="00DF3E10" w:rsidRDefault="00DF3E10">
            <w:pPr>
              <w:rPr>
                <w:rFonts w:ascii="Times New Roman" w:hAnsi="Times New Roman"/>
                <w:sz w:val="20"/>
                <w:szCs w:val="20"/>
              </w:rPr>
            </w:pPr>
          </w:p>
        </w:tc>
        <w:tc>
          <w:tcPr>
            <w:tcW w:w="0" w:type="auto"/>
            <w:shd w:val="clear" w:color="auto" w:fill="auto"/>
            <w:vAlign w:val="center"/>
          </w:tcPr>
          <w:p w14:paraId="4E56AFBE" w14:textId="77777777" w:rsidR="00DF3E10" w:rsidRDefault="00DF3E10">
            <w:pPr>
              <w:rPr>
                <w:rFonts w:ascii="Times New Roman" w:hAnsi="Times New Roman"/>
                <w:sz w:val="20"/>
                <w:szCs w:val="20"/>
              </w:rPr>
            </w:pPr>
          </w:p>
        </w:tc>
      </w:tr>
      <w:tr w:rsidR="00DF3E10" w14:paraId="4E56AFC2" w14:textId="77777777">
        <w:trPr>
          <w:tblCellSpacing w:w="0" w:type="dxa"/>
        </w:trPr>
        <w:tc>
          <w:tcPr>
            <w:tcW w:w="0" w:type="auto"/>
            <w:shd w:val="clear" w:color="auto" w:fill="auto"/>
          </w:tcPr>
          <w:p w14:paraId="4E56AFC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4E56AFC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Legal </w:t>
            </w:r>
            <w:r>
              <w:rPr>
                <w:rFonts w:ascii="Times New Roman" w:eastAsia="宋体" w:hAnsi="Times New Roman"/>
                <w:b/>
                <w:bCs/>
                <w:sz w:val="20"/>
                <w:szCs w:val="20"/>
              </w:rPr>
              <w:t>Proceedings</w:t>
            </w:r>
          </w:p>
        </w:tc>
      </w:tr>
    </w:tbl>
    <w:p w14:paraId="4E56AFC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March 20, 2018, multiple putative class actions and derivative actions were filed in state and federal courts in the United States and elsewhere against us and certain of our directors and officers alleging violations of securitie</w:t>
      </w:r>
      <w:r>
        <w:rPr>
          <w:rFonts w:ascii="Times New Roman" w:eastAsia="宋体" w:hAnsi="Times New Roman"/>
          <w:sz w:val="20"/>
          <w:szCs w:val="20"/>
        </w:rPr>
        <w:t>s laws, breach of fiduciary duties, and other causes of action in connection with our platform and user data practices as well as the misuse of certain data by a developer that shared such data with third parties in violation of our terms and policies, and</w:t>
      </w:r>
      <w:r>
        <w:rPr>
          <w:rFonts w:ascii="Times New Roman" w:eastAsia="宋体" w:hAnsi="Times New Roman"/>
          <w:sz w:val="20"/>
          <w:szCs w:val="20"/>
        </w:rPr>
        <w:t xml:space="preserve"> seeking unspecified damages and injunctive relief. Beginning on July 27, 2018, two putative class actions were filed in federal court in the United States against us and certain of our directors and officers alleging violations of securities laws in conne</w:t>
      </w:r>
      <w:r>
        <w:rPr>
          <w:rFonts w:ascii="Times New Roman" w:eastAsia="宋体" w:hAnsi="Times New Roman"/>
          <w:sz w:val="20"/>
          <w:szCs w:val="20"/>
        </w:rPr>
        <w:t>ction with the disclosure of our earnings results for the second quarter of 2018 and seeking unspecified damages. These two actions subsequently were transferred and consolidated in the U.S. District Court for the Northern District of California with the p</w:t>
      </w:r>
      <w:r>
        <w:rPr>
          <w:rFonts w:ascii="Times New Roman" w:eastAsia="宋体" w:hAnsi="Times New Roman"/>
          <w:sz w:val="20"/>
          <w:szCs w:val="20"/>
        </w:rPr>
        <w:t>utative securities class action described above relating to our platform and user data practices. On September 25, 2019, the district court granted our motion to dismiss the consolidated putative securities class action, with leave to amend. On November 15</w:t>
      </w:r>
      <w:r>
        <w:rPr>
          <w:rFonts w:ascii="Times New Roman" w:eastAsia="宋体" w:hAnsi="Times New Roman"/>
          <w:sz w:val="20"/>
          <w:szCs w:val="20"/>
        </w:rPr>
        <w:t>, 2019, an amended complaint was filed in the consolidated putative securities class action. We believe these lawsuits are without merit, and we are vigorously defending them. In addition, our platform and user data practices, as well as the events surroun</w:t>
      </w:r>
      <w:r>
        <w:rPr>
          <w:rFonts w:ascii="Times New Roman" w:eastAsia="宋体" w:hAnsi="Times New Roman"/>
          <w:sz w:val="20"/>
          <w:szCs w:val="20"/>
        </w:rPr>
        <w:t>ding the misuse of certain data by a developer, became the subject of U.S. Federal Trade Commission (FTC), state attorneys general, and other government inquiries in the United States, Europe, and other jurisdictions. In July 2019, we entered into a settle</w:t>
      </w:r>
      <w:r>
        <w:rPr>
          <w:rFonts w:ascii="Times New Roman" w:eastAsia="宋体" w:hAnsi="Times New Roman"/>
          <w:sz w:val="20"/>
          <w:szCs w:val="20"/>
        </w:rPr>
        <w:t>ment and modified consent order to resolve the FTC inquiry, which was approved by the federal court and took effect in April 2020. Among other matters, our settlement with the FTC required us to pay a penalty of $5.0 billion and to significantly enhance ou</w:t>
      </w:r>
      <w:r>
        <w:rPr>
          <w:rFonts w:ascii="Times New Roman" w:eastAsia="宋体" w:hAnsi="Times New Roman"/>
          <w:sz w:val="20"/>
          <w:szCs w:val="20"/>
        </w:rPr>
        <w:t>r practices and processes for privacy compliance and oversight. Any other government inquiries regarding these matters could subject us to additional substantial fines and costs, require us to change our business practices, divert resources and the attenti</w:t>
      </w:r>
      <w:r>
        <w:rPr>
          <w:rFonts w:ascii="Times New Roman" w:eastAsia="宋体" w:hAnsi="Times New Roman"/>
          <w:sz w:val="20"/>
          <w:szCs w:val="20"/>
        </w:rPr>
        <w:t>on of management from our business, or adversely affect our business.</w:t>
      </w:r>
    </w:p>
    <w:p w14:paraId="4E56AFC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California by Facebook users alleging that the "tag suggestions" fa</w:t>
      </w:r>
      <w:r>
        <w:rPr>
          <w:rFonts w:ascii="Times New Roman" w:eastAsia="宋体" w:hAnsi="Times New Roman"/>
          <w:sz w:val="20"/>
          <w:szCs w:val="20"/>
        </w:rPr>
        <w:t>cial recognition feature violates the Illinois Biometric Information Privacy Act, and seeking statutory damages and injunctive relief. On April 16, 2018, the district court certified a class of Illinois residents, and on May 14, 2018, the district court de</w:t>
      </w:r>
      <w:r>
        <w:rPr>
          <w:rFonts w:ascii="Times New Roman" w:eastAsia="宋体" w:hAnsi="Times New Roman"/>
          <w:sz w:val="20"/>
          <w:szCs w:val="20"/>
        </w:rPr>
        <w:t xml:space="preserve">nied both parties' motions for summary judgment. On May 29, 2018, the U.S. Court of Appeals for the Ninth Circuit granted our petition for review of the class certification order and stayed the proceeding. On August 8, 2019, the Ninth Circuit affirmed the </w:t>
      </w:r>
      <w:r>
        <w:rPr>
          <w:rFonts w:ascii="Times New Roman" w:eastAsia="宋体" w:hAnsi="Times New Roman"/>
          <w:sz w:val="20"/>
          <w:szCs w:val="20"/>
        </w:rPr>
        <w:t>class certification order. On December 2, 2019, we filed a petition with the U.S. Supreme Court seeking review of the decision of the Ninth Circuit, which was denied. On January 15, 2020, the parties agreed to a settlement in principle to resolve the lawsu</w:t>
      </w:r>
      <w:r>
        <w:rPr>
          <w:rFonts w:ascii="Times New Roman" w:eastAsia="宋体" w:hAnsi="Times New Roman"/>
          <w:sz w:val="20"/>
          <w:szCs w:val="20"/>
        </w:rPr>
        <w:t xml:space="preserve">it, which provided for a payment of $550 million by us and was subject to court approval. On or about May 8, 2020, the parties executed a formal settlement agreement, and plaintiffs filed a motion for preliminary approval of the settlement by the district </w:t>
      </w:r>
      <w:r>
        <w:rPr>
          <w:rFonts w:ascii="Times New Roman" w:eastAsia="宋体" w:hAnsi="Times New Roman"/>
          <w:sz w:val="20"/>
          <w:szCs w:val="20"/>
        </w:rPr>
        <w:t>court. On June 4, 2020, the district court denied the plaintiffs' motion without prejudice. On July 22, 2020, the parties executed an amended settlement agreement, which, among other terms, provides for a payment of $650 million by us. The settlement is su</w:t>
      </w:r>
      <w:r>
        <w:rPr>
          <w:rFonts w:ascii="Times New Roman" w:eastAsia="宋体" w:hAnsi="Times New Roman"/>
          <w:sz w:val="20"/>
          <w:szCs w:val="20"/>
        </w:rPr>
        <w:t>bject to court approval.</w:t>
      </w:r>
    </w:p>
    <w:p w14:paraId="4E56AFC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putative class actions were filed in state and federal courts in the United States and elsewhere against us alleging violations of consumer protection laws and other causes of action in con</w:t>
      </w:r>
      <w:r>
        <w:rPr>
          <w:rFonts w:ascii="Times New Roman" w:eastAsia="宋体" w:hAnsi="Times New Roman"/>
          <w:sz w:val="20"/>
          <w:szCs w:val="20"/>
        </w:rPr>
        <w:t xml:space="preserve">nection with a third-party cyber-attack that exploited a vulnerability in Facebook's code to steal user access tokens and access certain profile information from user accounts on Facebook, and seeking unspecified damages and injunctive relief. The actions </w:t>
      </w:r>
      <w:r>
        <w:rPr>
          <w:rFonts w:ascii="Times New Roman" w:eastAsia="宋体" w:hAnsi="Times New Roman"/>
          <w:sz w:val="20"/>
          <w:szCs w:val="20"/>
        </w:rPr>
        <w:t xml:space="preserve">filed in the United States were consolidated in the U.S. District Court for the Northern District of California. On November 26, 2019, the district court certified a class for injunctive relief purposes, but denied certification of a class for purposes of </w:t>
      </w:r>
      <w:r>
        <w:rPr>
          <w:rFonts w:ascii="Times New Roman" w:eastAsia="宋体" w:hAnsi="Times New Roman"/>
          <w:sz w:val="20"/>
          <w:szCs w:val="20"/>
        </w:rPr>
        <w:t xml:space="preserve">pursuing damages. On January 16, 2020, the parties agreed to a settlement in principle to resolve the lawsuit. We believe the remaining lawsuits are without merit, and we are vigorously defending them. In addition, the events surrounding this cyber-attack </w:t>
      </w:r>
      <w:r>
        <w:rPr>
          <w:rFonts w:ascii="Times New Roman" w:eastAsia="宋体" w:hAnsi="Times New Roman"/>
          <w:sz w:val="20"/>
          <w:szCs w:val="20"/>
        </w:rPr>
        <w:t xml:space="preserve">became the subject of Irish Data Protection Commission (IDPC) and other government inquiries. Any such inquiries could subject us to substantial fines and costs, require us to change our business practices, divert resources and the attention of management </w:t>
      </w:r>
      <w:r>
        <w:rPr>
          <w:rFonts w:ascii="Times New Roman" w:eastAsia="宋体" w:hAnsi="Times New Roman"/>
          <w:sz w:val="20"/>
          <w:szCs w:val="20"/>
        </w:rPr>
        <w:t>from our business, or adversely affect our business.</w:t>
      </w:r>
    </w:p>
    <w:p w14:paraId="4E56AFC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also notify the IDPC, our designated European privacy regulator under the General Data Protection Regulation, of certain other personal data breaches and privacy issues, and are subj</w:t>
      </w:r>
      <w:r>
        <w:rPr>
          <w:rFonts w:ascii="Times New Roman" w:eastAsia="宋体" w:hAnsi="Times New Roman"/>
          <w:sz w:val="20"/>
          <w:szCs w:val="20"/>
        </w:rPr>
        <w:t>ect to inquiries and investigations regarding various aspects of our regulatory compliance. Any such inquiries or investigations could subject us to substantial fines and costs, require us to change our business practices, divert resources and the attentio</w:t>
      </w:r>
      <w:r>
        <w:rPr>
          <w:rFonts w:ascii="Times New Roman" w:eastAsia="宋体" w:hAnsi="Times New Roman"/>
          <w:sz w:val="20"/>
          <w:szCs w:val="20"/>
        </w:rPr>
        <w:t>n of management from our business, or adversely affect our business.</w:t>
      </w:r>
    </w:p>
    <w:p w14:paraId="4E56AFC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from time to time we are subject to inquiries and investigations, formal or informal, by competition authorities in the United States, Europe, and other jurisdictions. For example, in June 2019 we were informed by the FTC that it had opened </w:t>
      </w:r>
    </w:p>
    <w:p w14:paraId="4E56AFC8" w14:textId="77777777" w:rsidR="00DF3E10" w:rsidRDefault="00DF3E10">
      <w:pPr>
        <w:rPr>
          <w:rFonts w:ascii="Times New Roman" w:hAnsi="Times New Roman"/>
          <w:sz w:val="20"/>
          <w:szCs w:val="20"/>
        </w:rPr>
      </w:pPr>
    </w:p>
    <w:p w14:paraId="4E56AFC9"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48</w:t>
      </w:r>
    </w:p>
    <w:p w14:paraId="4E56AFCA" w14:textId="77777777" w:rsidR="00DF3E10" w:rsidRDefault="006B6C28">
      <w:r>
        <w:rPr>
          <w:rFonts w:ascii="Times New Roman" w:hAnsi="Times New Roman"/>
          <w:sz w:val="20"/>
          <w:szCs w:val="20"/>
        </w:rPr>
        <w:pict w14:anchorId="4E56B78D">
          <v:rect id="_x0000_i1072" style="width:415.3pt;height:1.5pt" o:hralign="center" o:hrstd="t" o:hr="t" fillcolor="#a0a0a0" stroked="f"/>
        </w:pict>
      </w:r>
    </w:p>
    <w:p w14:paraId="4E56AFCB" w14:textId="77777777" w:rsidR="00DF3E10" w:rsidRDefault="00DF3E10">
      <w:pPr>
        <w:rPr>
          <w:rFonts w:ascii="Times New Roman" w:hAnsi="Times New Roman"/>
          <w:sz w:val="20"/>
          <w:szCs w:val="20"/>
        </w:rPr>
      </w:pPr>
    </w:p>
    <w:p w14:paraId="4E56AFCC"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an antitrust investigation of our company. In addition, beginning in the third quarter of 2019, we became the subject of antitrust investigations by the U.S. Department of Justice and state attorneys general. These investigations and </w:t>
      </w:r>
      <w:r>
        <w:rPr>
          <w:rFonts w:ascii="Times New Roman" w:eastAsia="宋体" w:hAnsi="Times New Roman"/>
          <w:sz w:val="20"/>
          <w:szCs w:val="20"/>
        </w:rPr>
        <w:t>inquiries concern, among other things, our business practices in the areas of social networking or social media services, digital advertising, and/or mobile or online applications, as well as past acquisitions. The result of such investigations or inquirie</w:t>
      </w:r>
      <w:r>
        <w:rPr>
          <w:rFonts w:ascii="Times New Roman" w:eastAsia="宋体" w:hAnsi="Times New Roman"/>
          <w:sz w:val="20"/>
          <w:szCs w:val="20"/>
        </w:rPr>
        <w:t>s could subject us to substantial monetary remedies and costs, interrupt or require us to change our business practices, divert resources and the attention of management from our business, or subject us to other remedies that adversely affect our business.</w:t>
      </w:r>
    </w:p>
    <w:p w14:paraId="4E56AFC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w:t>
      </w:r>
      <w:r>
        <w:rPr>
          <w:rFonts w:ascii="Times New Roman" w:eastAsia="宋体" w:hAnsi="Times New Roman"/>
          <w:sz w:val="20"/>
          <w:szCs w:val="20"/>
        </w:rPr>
        <w:t>omply with the requests of those agencies, including our obligation to disclose user information in particular circumstances. A number of such instances have resulted in the assessment of fines and penalties against us. We believe we have multiple legal gr</w:t>
      </w:r>
      <w:r>
        <w:rPr>
          <w:rFonts w:ascii="Times New Roman" w:eastAsia="宋体" w:hAnsi="Times New Roman"/>
          <w:sz w:val="20"/>
          <w:szCs w:val="20"/>
        </w:rPr>
        <w:t>ounds to satisfy these requests or prevail against associated fines and penalties, and we intend to vigorously defend such fines and penalties.</w:t>
      </w:r>
    </w:p>
    <w:p w14:paraId="4E56AFC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w:t>
      </w:r>
      <w:r>
        <w:rPr>
          <w:rFonts w:ascii="Times New Roman" w:eastAsia="宋体" w:hAnsi="Times New Roman"/>
          <w:sz w:val="20"/>
          <w:szCs w:val="20"/>
        </w:rPr>
        <w:t>vestigations that arise in the ordinary course of business, and we may in the future be subject to additional legal proceedings and disputes.</w:t>
      </w:r>
    </w:p>
    <w:p w14:paraId="4E56AFCF" w14:textId="77777777" w:rsidR="00DF3E10" w:rsidRDefault="00DF3E10">
      <w:pPr>
        <w:rPr>
          <w:rFonts w:ascii="Times New Roman" w:hAnsi="Times New Roman"/>
          <w:sz w:val="20"/>
          <w:szCs w:val="20"/>
        </w:rPr>
      </w:pPr>
    </w:p>
    <w:p w14:paraId="4E56AFD0"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49</w:t>
      </w:r>
    </w:p>
    <w:p w14:paraId="4E56AFD1" w14:textId="77777777" w:rsidR="00DF3E10" w:rsidRDefault="006B6C28">
      <w:r>
        <w:rPr>
          <w:rFonts w:ascii="Times New Roman" w:hAnsi="Times New Roman"/>
          <w:sz w:val="20"/>
          <w:szCs w:val="20"/>
        </w:rPr>
        <w:pict w14:anchorId="4E56B78E">
          <v:rect id="_x0000_i1073" style="width:415.3pt;height:1.5pt" o:hralign="center" o:hrstd="t" o:hr="t" fillcolor="#a0a0a0" stroked="f"/>
        </w:pict>
      </w:r>
    </w:p>
    <w:p w14:paraId="4E56AFD2" w14:textId="77777777" w:rsidR="00DF3E10" w:rsidRDefault="006B6C28">
      <w:pPr>
        <w:spacing w:line="288" w:lineRule="auto"/>
        <w:rPr>
          <w:rFonts w:ascii="Times New Roman" w:hAnsi="Times New Roman"/>
          <w:sz w:val="20"/>
          <w:szCs w:val="20"/>
        </w:rPr>
      </w:pPr>
      <w:hyperlink r:id="rId90" w:anchor="sC1FF62F0D4D85317B5B2C71C7C94F269" w:history="1">
        <w:r>
          <w:rPr>
            <w:rStyle w:val="a5"/>
            <w:rFonts w:ascii="Times New Roman" w:eastAsia="宋体" w:hAnsi="Times New Roman"/>
            <w:sz w:val="20"/>
            <w:szCs w:val="20"/>
          </w:rPr>
          <w:t>Table of Contents</w:t>
        </w:r>
      </w:hyperlink>
    </w:p>
    <w:p w14:paraId="4E56AFD3"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080"/>
        <w:gridCol w:w="1084"/>
      </w:tblGrid>
      <w:tr w:rsidR="00DF3E10" w14:paraId="4E56AFD6" w14:textId="77777777">
        <w:trPr>
          <w:tblCellSpacing w:w="0" w:type="dxa"/>
        </w:trPr>
        <w:tc>
          <w:tcPr>
            <w:tcW w:w="1080" w:type="dxa"/>
            <w:shd w:val="clear" w:color="auto" w:fill="auto"/>
            <w:vAlign w:val="center"/>
          </w:tcPr>
          <w:p w14:paraId="4E56AFD4" w14:textId="77777777" w:rsidR="00DF3E10" w:rsidRDefault="00DF3E10">
            <w:pPr>
              <w:rPr>
                <w:rFonts w:ascii="Times New Roman" w:hAnsi="Times New Roman"/>
                <w:sz w:val="20"/>
                <w:szCs w:val="20"/>
              </w:rPr>
            </w:pPr>
          </w:p>
        </w:tc>
        <w:tc>
          <w:tcPr>
            <w:tcW w:w="0" w:type="auto"/>
            <w:shd w:val="clear" w:color="auto" w:fill="auto"/>
            <w:vAlign w:val="center"/>
          </w:tcPr>
          <w:p w14:paraId="4E56AFD5" w14:textId="77777777" w:rsidR="00DF3E10" w:rsidRDefault="00DF3E10">
            <w:pPr>
              <w:rPr>
                <w:rFonts w:ascii="Times New Roman" w:hAnsi="Times New Roman"/>
                <w:sz w:val="20"/>
                <w:szCs w:val="20"/>
              </w:rPr>
            </w:pPr>
          </w:p>
        </w:tc>
      </w:tr>
      <w:tr w:rsidR="00DF3E10" w14:paraId="4E56AFD9" w14:textId="77777777">
        <w:trPr>
          <w:tblCellSpacing w:w="0" w:type="dxa"/>
        </w:trPr>
        <w:tc>
          <w:tcPr>
            <w:tcW w:w="0" w:type="auto"/>
            <w:shd w:val="clear" w:color="auto" w:fill="auto"/>
          </w:tcPr>
          <w:p w14:paraId="4E56AFD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Pr>
          <w:p w14:paraId="4E56AFD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Risk Factors </w:t>
            </w:r>
          </w:p>
        </w:tc>
      </w:tr>
    </w:tbl>
    <w:p w14:paraId="4E56AFDA" w14:textId="77777777" w:rsidR="00DF3E10" w:rsidRDefault="006B6C28">
      <w:pPr>
        <w:spacing w:line="288" w:lineRule="auto"/>
        <w:jc w:val="both"/>
        <w:rPr>
          <w:rFonts w:ascii="Times New Roman" w:hAnsi="Times New Roman"/>
          <w:sz w:val="20"/>
          <w:szCs w:val="20"/>
        </w:rPr>
      </w:pPr>
      <w:r>
        <w:rPr>
          <w:rFonts w:ascii="Times New Roman" w:eastAsia="宋体" w:hAnsi="Times New Roman"/>
          <w:i/>
          <w:iCs/>
          <w:sz w:val="20"/>
          <w:szCs w:val="20"/>
        </w:rPr>
        <w:t xml:space="preserve">Certain factors may have a material adverse effect on our business, financial condition, and results of operations. You should consider carefully the risks and </w:t>
      </w:r>
      <w:r>
        <w:rPr>
          <w:rFonts w:ascii="Times New Roman" w:eastAsia="宋体" w:hAnsi="Times New Roman"/>
          <w:i/>
          <w:iCs/>
          <w:sz w:val="20"/>
          <w:szCs w:val="20"/>
        </w:rPr>
        <w:t xml:space="preserve">uncertainties described below, in addition to other information contained in this Quarterly Report on Form 10-Q, including our condensed consolidated financial statements and related notes. The risks and uncertainties described below are not the only ones </w:t>
      </w:r>
      <w:r>
        <w:rPr>
          <w:rFonts w:ascii="Times New Roman" w:eastAsia="宋体" w:hAnsi="Times New Roman"/>
          <w:i/>
          <w:iCs/>
          <w:sz w:val="20"/>
          <w:szCs w:val="20"/>
        </w:rPr>
        <w:t xml:space="preserve">we face. Additional risks and uncertainties that we are unaware of, or that we currently believe are not material, may also become important factors that adversely affect our business. If any of the following risks actually occurs, our business, financial </w:t>
      </w:r>
      <w:r>
        <w:rPr>
          <w:rFonts w:ascii="Times New Roman" w:eastAsia="宋体" w:hAnsi="Times New Roman"/>
          <w:i/>
          <w:iCs/>
          <w:sz w:val="20"/>
          <w:szCs w:val="20"/>
        </w:rPr>
        <w:t>condition, results of operations, and future prospects could be materially and adversely affected. In that event, the trading price of our Class A common stock could decline, and you could lose part or all of your investment.</w:t>
      </w:r>
    </w:p>
    <w:p w14:paraId="4E56AFD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 xml:space="preserve">Risks Related to Our Business </w:t>
      </w:r>
      <w:r>
        <w:rPr>
          <w:rFonts w:ascii="Times New Roman" w:eastAsia="宋体" w:hAnsi="Times New Roman"/>
          <w:b/>
          <w:bCs/>
          <w:sz w:val="20"/>
          <w:szCs w:val="20"/>
        </w:rPr>
        <w:t>and Industry</w:t>
      </w:r>
    </w:p>
    <w:p w14:paraId="4E56AFDC" w14:textId="77777777" w:rsidR="00DF3E10" w:rsidRDefault="00DF3E10">
      <w:pPr>
        <w:spacing w:line="288" w:lineRule="auto"/>
        <w:rPr>
          <w:rFonts w:ascii="Times New Roman" w:hAnsi="Times New Roman"/>
          <w:sz w:val="20"/>
          <w:szCs w:val="20"/>
        </w:rPr>
      </w:pPr>
    </w:p>
    <w:p w14:paraId="4E56AFDD"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The COVID-19 pandemic has had, and is expected to continue to have, a significant adverse impact on our advertising revenue and also exposes our business to other risks.</w:t>
      </w:r>
    </w:p>
    <w:p w14:paraId="4E56AFDE" w14:textId="77777777" w:rsidR="00DF3E10" w:rsidRDefault="00DF3E10">
      <w:pPr>
        <w:spacing w:line="288" w:lineRule="auto"/>
        <w:ind w:firstLine="960"/>
        <w:jc w:val="both"/>
        <w:rPr>
          <w:rFonts w:ascii="Times New Roman" w:hAnsi="Times New Roman"/>
          <w:sz w:val="20"/>
          <w:szCs w:val="20"/>
        </w:rPr>
      </w:pPr>
    </w:p>
    <w:p w14:paraId="4E56AFD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COVID-19 pandemic has resulted in authorities implementing numerous</w:t>
      </w:r>
      <w:r>
        <w:rPr>
          <w:rFonts w:ascii="Times New Roman" w:eastAsia="宋体" w:hAnsi="Times New Roman"/>
          <w:sz w:val="20"/>
          <w:szCs w:val="20"/>
        </w:rPr>
        <w:t xml:space="preserve"> preventative measures to contain or mitigate the outbreak of the virus, such as travel bans and restrictions, limitations on business activity, quarantines, and shelter-in-place orders. These measures have caused, and are continuing to cause, business slo</w:t>
      </w:r>
      <w:r>
        <w:rPr>
          <w:rFonts w:ascii="Times New Roman" w:eastAsia="宋体" w:hAnsi="Times New Roman"/>
          <w:sz w:val="20"/>
          <w:szCs w:val="20"/>
        </w:rPr>
        <w:t>wdowns or shutdowns in affected areas, both regionally and worldwide, which have significantly impacted our business and results of operations. In the second quarter of 2020, our advertising revenue grew 10% year-over-year, which was the slowest growth rat</w:t>
      </w:r>
      <w:r>
        <w:rPr>
          <w:rFonts w:ascii="Times New Roman" w:eastAsia="宋体" w:hAnsi="Times New Roman"/>
          <w:sz w:val="20"/>
          <w:szCs w:val="20"/>
        </w:rPr>
        <w:t>e for any fiscal quarter since our initial public offering. The demand for and pricing of our advertising services may be materially and adversely impacted by the pandemic for the duration of 2020 or longer, and we are unable to predict the duration or deg</w:t>
      </w:r>
      <w:r>
        <w:rPr>
          <w:rFonts w:ascii="Times New Roman" w:eastAsia="宋体" w:hAnsi="Times New Roman"/>
          <w:sz w:val="20"/>
          <w:szCs w:val="20"/>
        </w:rPr>
        <w:t>ree of such impact with any certainty. While our advertising revenue growth slowed in the second quarter of 2020, our total expenses grew 24% year-over-year (after excluding the $2.0 billion legal accrual in the second quarter of 2019 related to our FTC se</w:t>
      </w:r>
      <w:r>
        <w:rPr>
          <w:rFonts w:ascii="Times New Roman" w:eastAsia="宋体" w:hAnsi="Times New Roman"/>
          <w:sz w:val="20"/>
          <w:szCs w:val="20"/>
        </w:rPr>
        <w:t xml:space="preserve">ttlement), which is greater than twice the rate of our advertising revenue growth. If this trend persists for a significant period of time, our operating margin and profitability will be adversely affected and the trading price of our Class A common stock </w:t>
      </w:r>
      <w:r>
        <w:rPr>
          <w:rFonts w:ascii="Times New Roman" w:eastAsia="宋体" w:hAnsi="Times New Roman"/>
          <w:sz w:val="20"/>
          <w:szCs w:val="20"/>
        </w:rPr>
        <w:t>could decline. In addition to the impact on our advertising business and operating margin, the pandemic exposes our business, operations, and workforce to a variety of other risks,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AFE2" w14:textId="77777777">
        <w:trPr>
          <w:tblCellSpacing w:w="0" w:type="dxa"/>
        </w:trPr>
        <w:tc>
          <w:tcPr>
            <w:tcW w:w="1440" w:type="dxa"/>
            <w:shd w:val="clear" w:color="auto" w:fill="auto"/>
            <w:vAlign w:val="center"/>
          </w:tcPr>
          <w:p w14:paraId="4E56AFE0" w14:textId="77777777" w:rsidR="00DF3E10" w:rsidRDefault="00DF3E10">
            <w:pPr>
              <w:rPr>
                <w:rFonts w:ascii="Times New Roman" w:hAnsi="Times New Roman"/>
                <w:sz w:val="20"/>
                <w:szCs w:val="20"/>
              </w:rPr>
            </w:pPr>
          </w:p>
        </w:tc>
        <w:tc>
          <w:tcPr>
            <w:tcW w:w="0" w:type="auto"/>
            <w:shd w:val="clear" w:color="auto" w:fill="auto"/>
            <w:vAlign w:val="center"/>
          </w:tcPr>
          <w:p w14:paraId="4E56AFE1" w14:textId="77777777" w:rsidR="00DF3E10" w:rsidRDefault="00DF3E10">
            <w:pPr>
              <w:rPr>
                <w:rFonts w:ascii="Times New Roman" w:hAnsi="Times New Roman"/>
                <w:sz w:val="20"/>
                <w:szCs w:val="20"/>
              </w:rPr>
            </w:pPr>
          </w:p>
        </w:tc>
      </w:tr>
      <w:tr w:rsidR="00DF3E10" w14:paraId="4E56AFE5" w14:textId="77777777">
        <w:trPr>
          <w:tblCellSpacing w:w="0" w:type="dxa"/>
        </w:trPr>
        <w:tc>
          <w:tcPr>
            <w:tcW w:w="0" w:type="auto"/>
            <w:shd w:val="clear" w:color="auto" w:fill="auto"/>
          </w:tcPr>
          <w:p w14:paraId="4E56AFE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FE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sustain the significant increase in the </w:t>
            </w:r>
            <w:r>
              <w:rPr>
                <w:rFonts w:ascii="Times New Roman" w:eastAsia="宋体" w:hAnsi="Times New Roman"/>
                <w:sz w:val="20"/>
                <w:szCs w:val="20"/>
              </w:rPr>
              <w:t>size of our user base and user engagement, particularly for our messaging products, whether as a result of the lapse of shelter-in-place measures or otherwise;</w:t>
            </w:r>
          </w:p>
        </w:tc>
      </w:tr>
    </w:tbl>
    <w:p w14:paraId="4E56AFE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AFE9" w14:textId="77777777">
        <w:trPr>
          <w:tblCellSpacing w:w="0" w:type="dxa"/>
        </w:trPr>
        <w:tc>
          <w:tcPr>
            <w:tcW w:w="1440" w:type="dxa"/>
            <w:shd w:val="clear" w:color="auto" w:fill="auto"/>
            <w:vAlign w:val="center"/>
          </w:tcPr>
          <w:p w14:paraId="4E56AFE7" w14:textId="77777777" w:rsidR="00DF3E10" w:rsidRDefault="00DF3E10">
            <w:pPr>
              <w:rPr>
                <w:rFonts w:ascii="Times New Roman" w:hAnsi="Times New Roman"/>
                <w:sz w:val="20"/>
                <w:szCs w:val="20"/>
              </w:rPr>
            </w:pPr>
          </w:p>
        </w:tc>
        <w:tc>
          <w:tcPr>
            <w:tcW w:w="0" w:type="auto"/>
            <w:shd w:val="clear" w:color="auto" w:fill="auto"/>
            <w:vAlign w:val="center"/>
          </w:tcPr>
          <w:p w14:paraId="4E56AFE8" w14:textId="77777777" w:rsidR="00DF3E10" w:rsidRDefault="00DF3E10">
            <w:pPr>
              <w:rPr>
                <w:rFonts w:ascii="Times New Roman" w:hAnsi="Times New Roman"/>
                <w:sz w:val="20"/>
                <w:szCs w:val="20"/>
              </w:rPr>
            </w:pPr>
          </w:p>
        </w:tc>
      </w:tr>
      <w:tr w:rsidR="00DF3E10" w14:paraId="4E56AFEC" w14:textId="77777777">
        <w:trPr>
          <w:tblCellSpacing w:w="0" w:type="dxa"/>
        </w:trPr>
        <w:tc>
          <w:tcPr>
            <w:tcW w:w="0" w:type="auto"/>
            <w:shd w:val="clear" w:color="auto" w:fill="auto"/>
          </w:tcPr>
          <w:p w14:paraId="4E56AFE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FE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decreased user engagement as a result of users' inability to purchase data packs or </w:t>
            </w:r>
            <w:r>
              <w:rPr>
                <w:rFonts w:ascii="Times New Roman" w:eastAsia="宋体" w:hAnsi="Times New Roman"/>
                <w:sz w:val="20"/>
                <w:szCs w:val="20"/>
              </w:rPr>
              <w:t>devices to access our products and services;</w:t>
            </w:r>
          </w:p>
        </w:tc>
      </w:tr>
    </w:tbl>
    <w:p w14:paraId="4E56AFE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AFF0" w14:textId="77777777">
        <w:trPr>
          <w:tblCellSpacing w:w="0" w:type="dxa"/>
        </w:trPr>
        <w:tc>
          <w:tcPr>
            <w:tcW w:w="1440" w:type="dxa"/>
            <w:shd w:val="clear" w:color="auto" w:fill="auto"/>
            <w:vAlign w:val="center"/>
          </w:tcPr>
          <w:p w14:paraId="4E56AFEE" w14:textId="77777777" w:rsidR="00DF3E10" w:rsidRDefault="00DF3E10">
            <w:pPr>
              <w:rPr>
                <w:rFonts w:ascii="Times New Roman" w:hAnsi="Times New Roman"/>
                <w:sz w:val="20"/>
                <w:szCs w:val="20"/>
              </w:rPr>
            </w:pPr>
          </w:p>
        </w:tc>
        <w:tc>
          <w:tcPr>
            <w:tcW w:w="0" w:type="auto"/>
            <w:shd w:val="clear" w:color="auto" w:fill="auto"/>
            <w:vAlign w:val="center"/>
          </w:tcPr>
          <w:p w14:paraId="4E56AFEF" w14:textId="77777777" w:rsidR="00DF3E10" w:rsidRDefault="00DF3E10">
            <w:pPr>
              <w:rPr>
                <w:rFonts w:ascii="Times New Roman" w:hAnsi="Times New Roman"/>
                <w:sz w:val="20"/>
                <w:szCs w:val="20"/>
              </w:rPr>
            </w:pPr>
          </w:p>
        </w:tc>
      </w:tr>
      <w:tr w:rsidR="00DF3E10" w14:paraId="4E56AFF3" w14:textId="77777777">
        <w:trPr>
          <w:tblCellSpacing w:w="0" w:type="dxa"/>
        </w:trPr>
        <w:tc>
          <w:tcPr>
            <w:tcW w:w="0" w:type="auto"/>
            <w:shd w:val="clear" w:color="auto" w:fill="auto"/>
          </w:tcPr>
          <w:p w14:paraId="4E56AFF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FF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interruptions in the accessibility or performance of our products and services due to capacity constraints from increased usage, or product changes we implement to maintain accessibility of our </w:t>
            </w:r>
            <w:r>
              <w:rPr>
                <w:rFonts w:ascii="Times New Roman" w:eastAsia="宋体" w:hAnsi="Times New Roman"/>
                <w:sz w:val="20"/>
                <w:szCs w:val="20"/>
              </w:rPr>
              <w:t>services, such as reducing the quality of video to reduce bandwidth usage;</w:t>
            </w:r>
          </w:p>
        </w:tc>
      </w:tr>
    </w:tbl>
    <w:p w14:paraId="4E56AFF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AFF7" w14:textId="77777777">
        <w:trPr>
          <w:tblCellSpacing w:w="0" w:type="dxa"/>
        </w:trPr>
        <w:tc>
          <w:tcPr>
            <w:tcW w:w="1440" w:type="dxa"/>
            <w:shd w:val="clear" w:color="auto" w:fill="auto"/>
            <w:vAlign w:val="center"/>
          </w:tcPr>
          <w:p w14:paraId="4E56AFF5" w14:textId="77777777" w:rsidR="00DF3E10" w:rsidRDefault="00DF3E10">
            <w:pPr>
              <w:rPr>
                <w:rFonts w:ascii="Times New Roman" w:hAnsi="Times New Roman"/>
                <w:sz w:val="20"/>
                <w:szCs w:val="20"/>
              </w:rPr>
            </w:pPr>
          </w:p>
        </w:tc>
        <w:tc>
          <w:tcPr>
            <w:tcW w:w="0" w:type="auto"/>
            <w:shd w:val="clear" w:color="auto" w:fill="auto"/>
            <w:vAlign w:val="center"/>
          </w:tcPr>
          <w:p w14:paraId="4E56AFF6" w14:textId="77777777" w:rsidR="00DF3E10" w:rsidRDefault="00DF3E10">
            <w:pPr>
              <w:rPr>
                <w:rFonts w:ascii="Times New Roman" w:hAnsi="Times New Roman"/>
                <w:sz w:val="20"/>
                <w:szCs w:val="20"/>
              </w:rPr>
            </w:pPr>
          </w:p>
        </w:tc>
      </w:tr>
      <w:tr w:rsidR="00DF3E10" w14:paraId="4E56AFFA" w14:textId="77777777">
        <w:trPr>
          <w:tblCellSpacing w:w="0" w:type="dxa"/>
        </w:trPr>
        <w:tc>
          <w:tcPr>
            <w:tcW w:w="0" w:type="auto"/>
            <w:shd w:val="clear" w:color="auto" w:fill="auto"/>
          </w:tcPr>
          <w:p w14:paraId="4E56AFF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AFF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delays in product development or releases, or reductions in manufacturing production and sales of consumer hardware, as a result of inventory shortages, supply chain </w:t>
            </w:r>
            <w:r>
              <w:rPr>
                <w:rFonts w:ascii="Times New Roman" w:eastAsia="宋体" w:hAnsi="Times New Roman"/>
                <w:sz w:val="20"/>
                <w:szCs w:val="20"/>
              </w:rPr>
              <w:t>shortages, or diversion of our efforts and resources to projects related to COVID-19;</w:t>
            </w:r>
          </w:p>
        </w:tc>
      </w:tr>
    </w:tbl>
    <w:p w14:paraId="4E56AFF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AFFE" w14:textId="77777777">
        <w:trPr>
          <w:tblCellSpacing w:w="0" w:type="dxa"/>
        </w:trPr>
        <w:tc>
          <w:tcPr>
            <w:tcW w:w="1440" w:type="dxa"/>
            <w:shd w:val="clear" w:color="auto" w:fill="auto"/>
            <w:vAlign w:val="center"/>
          </w:tcPr>
          <w:p w14:paraId="4E56AFFC" w14:textId="77777777" w:rsidR="00DF3E10" w:rsidRDefault="00DF3E10">
            <w:pPr>
              <w:rPr>
                <w:rFonts w:ascii="Times New Roman" w:hAnsi="Times New Roman"/>
                <w:sz w:val="20"/>
                <w:szCs w:val="20"/>
              </w:rPr>
            </w:pPr>
          </w:p>
        </w:tc>
        <w:tc>
          <w:tcPr>
            <w:tcW w:w="0" w:type="auto"/>
            <w:shd w:val="clear" w:color="auto" w:fill="auto"/>
            <w:vAlign w:val="center"/>
          </w:tcPr>
          <w:p w14:paraId="4E56AFFD" w14:textId="77777777" w:rsidR="00DF3E10" w:rsidRDefault="00DF3E10">
            <w:pPr>
              <w:rPr>
                <w:rFonts w:ascii="Times New Roman" w:hAnsi="Times New Roman"/>
                <w:sz w:val="20"/>
                <w:szCs w:val="20"/>
              </w:rPr>
            </w:pPr>
          </w:p>
        </w:tc>
      </w:tr>
      <w:tr w:rsidR="00DF3E10" w14:paraId="4E56B001" w14:textId="77777777">
        <w:trPr>
          <w:tblCellSpacing w:w="0" w:type="dxa"/>
        </w:trPr>
        <w:tc>
          <w:tcPr>
            <w:tcW w:w="0" w:type="auto"/>
            <w:shd w:val="clear" w:color="auto" w:fill="auto"/>
          </w:tcPr>
          <w:p w14:paraId="4E56AFF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0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increased misuse of our products and services or user data by third parties, including improper advertising practices or other activity inconsistent with our </w:t>
            </w:r>
            <w:r>
              <w:rPr>
                <w:rFonts w:ascii="Times New Roman" w:eastAsia="宋体" w:hAnsi="Times New Roman"/>
                <w:sz w:val="20"/>
                <w:szCs w:val="20"/>
              </w:rPr>
              <w:t>terms, contracts, or policies, misinformation or other illicit or objectionable material on our platforms, election interference, or other undesirable activity; </w:t>
            </w:r>
          </w:p>
        </w:tc>
      </w:tr>
    </w:tbl>
    <w:p w14:paraId="4E56B00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05" w14:textId="77777777">
        <w:trPr>
          <w:tblCellSpacing w:w="0" w:type="dxa"/>
        </w:trPr>
        <w:tc>
          <w:tcPr>
            <w:tcW w:w="1440" w:type="dxa"/>
            <w:shd w:val="clear" w:color="auto" w:fill="auto"/>
            <w:vAlign w:val="center"/>
          </w:tcPr>
          <w:p w14:paraId="4E56B003" w14:textId="77777777" w:rsidR="00DF3E10" w:rsidRDefault="00DF3E10">
            <w:pPr>
              <w:rPr>
                <w:rFonts w:ascii="Times New Roman" w:hAnsi="Times New Roman"/>
                <w:sz w:val="20"/>
                <w:szCs w:val="20"/>
              </w:rPr>
            </w:pPr>
          </w:p>
        </w:tc>
        <w:tc>
          <w:tcPr>
            <w:tcW w:w="0" w:type="auto"/>
            <w:shd w:val="clear" w:color="auto" w:fill="auto"/>
            <w:vAlign w:val="center"/>
          </w:tcPr>
          <w:p w14:paraId="4E56B004" w14:textId="77777777" w:rsidR="00DF3E10" w:rsidRDefault="00DF3E10">
            <w:pPr>
              <w:rPr>
                <w:rFonts w:ascii="Times New Roman" w:hAnsi="Times New Roman"/>
                <w:sz w:val="20"/>
                <w:szCs w:val="20"/>
              </w:rPr>
            </w:pPr>
          </w:p>
        </w:tc>
      </w:tr>
      <w:tr w:rsidR="00DF3E10" w14:paraId="4E56B008" w14:textId="77777777">
        <w:trPr>
          <w:tblCellSpacing w:w="0" w:type="dxa"/>
        </w:trPr>
        <w:tc>
          <w:tcPr>
            <w:tcW w:w="0" w:type="auto"/>
            <w:shd w:val="clear" w:color="auto" w:fill="auto"/>
          </w:tcPr>
          <w:p w14:paraId="4E56B00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0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adverse impacts to our efforts to combat misuse of our products and services and user d</w:t>
            </w:r>
            <w:r>
              <w:rPr>
                <w:rFonts w:ascii="Times New Roman" w:eastAsia="宋体" w:hAnsi="Times New Roman"/>
                <w:sz w:val="20"/>
                <w:szCs w:val="20"/>
              </w:rPr>
              <w:t>ata as a result of limitations on our safety, security, and content review efforts while our workforce is working remotely, such as the necessity to rely more heavily on artificial intelligence to perform tasks that our workforce is unable to perform; </w:t>
            </w:r>
          </w:p>
        </w:tc>
      </w:tr>
    </w:tbl>
    <w:p w14:paraId="4E56B00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0C" w14:textId="77777777">
        <w:trPr>
          <w:tblCellSpacing w:w="0" w:type="dxa"/>
        </w:trPr>
        <w:tc>
          <w:tcPr>
            <w:tcW w:w="1440" w:type="dxa"/>
            <w:shd w:val="clear" w:color="auto" w:fill="auto"/>
            <w:vAlign w:val="center"/>
          </w:tcPr>
          <w:p w14:paraId="4E56B00A" w14:textId="77777777" w:rsidR="00DF3E10" w:rsidRDefault="00DF3E10">
            <w:pPr>
              <w:rPr>
                <w:rFonts w:ascii="Times New Roman" w:hAnsi="Times New Roman"/>
                <w:sz w:val="20"/>
                <w:szCs w:val="20"/>
              </w:rPr>
            </w:pPr>
          </w:p>
        </w:tc>
        <w:tc>
          <w:tcPr>
            <w:tcW w:w="0" w:type="auto"/>
            <w:shd w:val="clear" w:color="auto" w:fill="auto"/>
            <w:vAlign w:val="center"/>
          </w:tcPr>
          <w:p w14:paraId="4E56B00B" w14:textId="77777777" w:rsidR="00DF3E10" w:rsidRDefault="00DF3E10">
            <w:pPr>
              <w:rPr>
                <w:rFonts w:ascii="Times New Roman" w:hAnsi="Times New Roman"/>
                <w:sz w:val="20"/>
                <w:szCs w:val="20"/>
              </w:rPr>
            </w:pPr>
          </w:p>
        </w:tc>
      </w:tr>
      <w:tr w:rsidR="00DF3E10" w14:paraId="4E56B00F" w14:textId="77777777">
        <w:trPr>
          <w:tblCellSpacing w:w="0" w:type="dxa"/>
        </w:trPr>
        <w:tc>
          <w:tcPr>
            <w:tcW w:w="0" w:type="auto"/>
            <w:shd w:val="clear" w:color="auto" w:fill="auto"/>
          </w:tcPr>
          <w:p w14:paraId="4E56B00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0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recognize revenue, collect payment, or generate future revenue from marketers, including from those that have been or may be forced to close their businesses or are otherwise impacted by the economic downturn;</w:t>
            </w:r>
          </w:p>
        </w:tc>
      </w:tr>
    </w:tbl>
    <w:p w14:paraId="4E56B01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13" w14:textId="77777777">
        <w:trPr>
          <w:tblCellSpacing w:w="0" w:type="dxa"/>
        </w:trPr>
        <w:tc>
          <w:tcPr>
            <w:tcW w:w="1440" w:type="dxa"/>
            <w:shd w:val="clear" w:color="auto" w:fill="auto"/>
            <w:vAlign w:val="center"/>
          </w:tcPr>
          <w:p w14:paraId="4E56B011" w14:textId="77777777" w:rsidR="00DF3E10" w:rsidRDefault="00DF3E10">
            <w:pPr>
              <w:rPr>
                <w:rFonts w:ascii="Times New Roman" w:hAnsi="Times New Roman"/>
                <w:sz w:val="20"/>
                <w:szCs w:val="20"/>
              </w:rPr>
            </w:pPr>
          </w:p>
        </w:tc>
        <w:tc>
          <w:tcPr>
            <w:tcW w:w="0" w:type="auto"/>
            <w:shd w:val="clear" w:color="auto" w:fill="auto"/>
            <w:vAlign w:val="center"/>
          </w:tcPr>
          <w:p w14:paraId="4E56B012" w14:textId="77777777" w:rsidR="00DF3E10" w:rsidRDefault="00DF3E10">
            <w:pPr>
              <w:rPr>
                <w:rFonts w:ascii="Times New Roman" w:hAnsi="Times New Roman"/>
                <w:sz w:val="20"/>
                <w:szCs w:val="20"/>
              </w:rPr>
            </w:pPr>
          </w:p>
        </w:tc>
      </w:tr>
      <w:tr w:rsidR="00DF3E10" w14:paraId="4E56B016" w14:textId="77777777">
        <w:trPr>
          <w:tblCellSpacing w:w="0" w:type="dxa"/>
        </w:trPr>
        <w:tc>
          <w:tcPr>
            <w:tcW w:w="0" w:type="auto"/>
            <w:shd w:val="clear" w:color="auto" w:fill="auto"/>
          </w:tcPr>
          <w:p w14:paraId="4E56B01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1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increased expenses resulting from our initiatives or donations related to the pandemic;</w:t>
            </w:r>
          </w:p>
        </w:tc>
      </w:tr>
    </w:tbl>
    <w:p w14:paraId="4E56B017" w14:textId="77777777" w:rsidR="00DF3E10" w:rsidRDefault="00DF3E10">
      <w:pPr>
        <w:rPr>
          <w:rFonts w:ascii="Times New Roman" w:hAnsi="Times New Roman"/>
          <w:sz w:val="20"/>
          <w:szCs w:val="20"/>
        </w:rPr>
      </w:pPr>
    </w:p>
    <w:p w14:paraId="4E56B01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50</w:t>
      </w:r>
    </w:p>
    <w:p w14:paraId="4E56B019" w14:textId="77777777" w:rsidR="00DF3E10" w:rsidRDefault="006B6C28">
      <w:r>
        <w:rPr>
          <w:rFonts w:ascii="Times New Roman" w:hAnsi="Times New Roman"/>
          <w:sz w:val="20"/>
          <w:szCs w:val="20"/>
        </w:rPr>
        <w:pict w14:anchorId="4E56B78F">
          <v:rect id="_x0000_i1074" style="width:415.3pt;height:1.5pt" o:hralign="center" o:hrstd="t" o:hr="t" fillcolor="#a0a0a0" stroked="f"/>
        </w:pict>
      </w:r>
    </w:p>
    <w:p w14:paraId="4E56B01A" w14:textId="77777777" w:rsidR="00DF3E10" w:rsidRDefault="006B6C28">
      <w:pPr>
        <w:spacing w:line="288" w:lineRule="auto"/>
        <w:rPr>
          <w:rFonts w:ascii="Times New Roman" w:hAnsi="Times New Roman"/>
          <w:sz w:val="20"/>
          <w:szCs w:val="20"/>
        </w:rPr>
      </w:pPr>
      <w:hyperlink r:id="rId91" w:anchor="sC1FF62F0D4D85317B5B2C71C7C94F269" w:history="1">
        <w:r>
          <w:rPr>
            <w:rStyle w:val="a5"/>
            <w:rFonts w:ascii="Times New Roman" w:eastAsia="宋体" w:hAnsi="Times New Roman"/>
            <w:sz w:val="20"/>
            <w:szCs w:val="20"/>
          </w:rPr>
          <w:t>Table of Co</w:t>
        </w:r>
        <w:r>
          <w:rPr>
            <w:rStyle w:val="a5"/>
            <w:rFonts w:ascii="Times New Roman" w:eastAsia="宋体" w:hAnsi="Times New Roman"/>
            <w:sz w:val="20"/>
            <w:szCs w:val="20"/>
          </w:rPr>
          <w:t>ntents</w:t>
        </w:r>
      </w:hyperlink>
    </w:p>
    <w:p w14:paraId="4E56B01B"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1E" w14:textId="77777777">
        <w:trPr>
          <w:tblCellSpacing w:w="0" w:type="dxa"/>
        </w:trPr>
        <w:tc>
          <w:tcPr>
            <w:tcW w:w="1440" w:type="dxa"/>
            <w:shd w:val="clear" w:color="auto" w:fill="auto"/>
            <w:vAlign w:val="center"/>
          </w:tcPr>
          <w:p w14:paraId="4E56B01C" w14:textId="77777777" w:rsidR="00DF3E10" w:rsidRDefault="00DF3E10">
            <w:pPr>
              <w:rPr>
                <w:rFonts w:ascii="Times New Roman" w:hAnsi="Times New Roman"/>
                <w:sz w:val="20"/>
                <w:szCs w:val="20"/>
              </w:rPr>
            </w:pPr>
          </w:p>
        </w:tc>
        <w:tc>
          <w:tcPr>
            <w:tcW w:w="0" w:type="auto"/>
            <w:shd w:val="clear" w:color="auto" w:fill="auto"/>
            <w:vAlign w:val="center"/>
          </w:tcPr>
          <w:p w14:paraId="4E56B01D" w14:textId="77777777" w:rsidR="00DF3E10" w:rsidRDefault="00DF3E10">
            <w:pPr>
              <w:rPr>
                <w:rFonts w:ascii="Times New Roman" w:hAnsi="Times New Roman"/>
                <w:sz w:val="20"/>
                <w:szCs w:val="20"/>
              </w:rPr>
            </w:pPr>
          </w:p>
        </w:tc>
      </w:tr>
      <w:tr w:rsidR="00DF3E10" w14:paraId="4E56B021" w14:textId="77777777">
        <w:trPr>
          <w:tblCellSpacing w:w="0" w:type="dxa"/>
        </w:trPr>
        <w:tc>
          <w:tcPr>
            <w:tcW w:w="0" w:type="auto"/>
            <w:shd w:val="clear" w:color="auto" w:fill="auto"/>
          </w:tcPr>
          <w:p w14:paraId="4E56B01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2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significant disruption of global financial markets, which could cause fluctuations in currency exchange rates or negatively impact our ability to access capital in the future;</w:t>
            </w:r>
          </w:p>
        </w:tc>
      </w:tr>
    </w:tbl>
    <w:p w14:paraId="4E56B02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25" w14:textId="77777777">
        <w:trPr>
          <w:tblCellSpacing w:w="0" w:type="dxa"/>
        </w:trPr>
        <w:tc>
          <w:tcPr>
            <w:tcW w:w="1440" w:type="dxa"/>
            <w:shd w:val="clear" w:color="auto" w:fill="auto"/>
            <w:vAlign w:val="center"/>
          </w:tcPr>
          <w:p w14:paraId="4E56B023" w14:textId="77777777" w:rsidR="00DF3E10" w:rsidRDefault="00DF3E10">
            <w:pPr>
              <w:rPr>
                <w:rFonts w:ascii="Times New Roman" w:hAnsi="Times New Roman"/>
                <w:sz w:val="20"/>
                <w:szCs w:val="20"/>
              </w:rPr>
            </w:pPr>
          </w:p>
        </w:tc>
        <w:tc>
          <w:tcPr>
            <w:tcW w:w="0" w:type="auto"/>
            <w:shd w:val="clear" w:color="auto" w:fill="auto"/>
            <w:vAlign w:val="center"/>
          </w:tcPr>
          <w:p w14:paraId="4E56B024" w14:textId="77777777" w:rsidR="00DF3E10" w:rsidRDefault="00DF3E10">
            <w:pPr>
              <w:rPr>
                <w:rFonts w:ascii="Times New Roman" w:hAnsi="Times New Roman"/>
                <w:sz w:val="20"/>
                <w:szCs w:val="20"/>
              </w:rPr>
            </w:pPr>
          </w:p>
        </w:tc>
      </w:tr>
      <w:tr w:rsidR="00DF3E10" w14:paraId="4E56B028" w14:textId="77777777">
        <w:trPr>
          <w:tblCellSpacing w:w="0" w:type="dxa"/>
        </w:trPr>
        <w:tc>
          <w:tcPr>
            <w:tcW w:w="0" w:type="auto"/>
            <w:shd w:val="clear" w:color="auto" w:fill="auto"/>
          </w:tcPr>
          <w:p w14:paraId="4E56B02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2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negative impact on our workforce </w:t>
            </w:r>
            <w:r>
              <w:rPr>
                <w:rFonts w:ascii="Times New Roman" w:eastAsia="宋体" w:hAnsi="Times New Roman"/>
                <w:sz w:val="20"/>
                <w:szCs w:val="20"/>
              </w:rPr>
              <w:t>productivity, product development, and research and development due to difficulties resulting from our personnel working remotely; </w:t>
            </w:r>
          </w:p>
        </w:tc>
      </w:tr>
    </w:tbl>
    <w:p w14:paraId="4E56B02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2C" w14:textId="77777777">
        <w:trPr>
          <w:tblCellSpacing w:w="0" w:type="dxa"/>
        </w:trPr>
        <w:tc>
          <w:tcPr>
            <w:tcW w:w="1440" w:type="dxa"/>
            <w:shd w:val="clear" w:color="auto" w:fill="auto"/>
            <w:vAlign w:val="center"/>
          </w:tcPr>
          <w:p w14:paraId="4E56B02A" w14:textId="77777777" w:rsidR="00DF3E10" w:rsidRDefault="00DF3E10">
            <w:pPr>
              <w:rPr>
                <w:rFonts w:ascii="Times New Roman" w:hAnsi="Times New Roman"/>
                <w:sz w:val="20"/>
                <w:szCs w:val="20"/>
              </w:rPr>
            </w:pPr>
          </w:p>
        </w:tc>
        <w:tc>
          <w:tcPr>
            <w:tcW w:w="0" w:type="auto"/>
            <w:shd w:val="clear" w:color="auto" w:fill="auto"/>
            <w:vAlign w:val="center"/>
          </w:tcPr>
          <w:p w14:paraId="4E56B02B" w14:textId="77777777" w:rsidR="00DF3E10" w:rsidRDefault="00DF3E10">
            <w:pPr>
              <w:rPr>
                <w:rFonts w:ascii="Times New Roman" w:hAnsi="Times New Roman"/>
                <w:sz w:val="20"/>
                <w:szCs w:val="20"/>
              </w:rPr>
            </w:pPr>
          </w:p>
        </w:tc>
      </w:tr>
      <w:tr w:rsidR="00DF3E10" w14:paraId="4E56B02F" w14:textId="77777777">
        <w:trPr>
          <w:tblCellSpacing w:w="0" w:type="dxa"/>
        </w:trPr>
        <w:tc>
          <w:tcPr>
            <w:tcW w:w="0" w:type="auto"/>
            <w:shd w:val="clear" w:color="auto" w:fill="auto"/>
          </w:tcPr>
          <w:p w14:paraId="4E56B02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2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illnesses to key employees, or a significant portion of our workforce, which may result in </w:t>
            </w:r>
            <w:r>
              <w:rPr>
                <w:rFonts w:ascii="Times New Roman" w:eastAsia="宋体" w:hAnsi="Times New Roman"/>
                <w:sz w:val="20"/>
                <w:szCs w:val="20"/>
              </w:rPr>
              <w:t>inefficiencies, delays, and disruptions in our business; and</w:t>
            </w:r>
          </w:p>
        </w:tc>
      </w:tr>
    </w:tbl>
    <w:p w14:paraId="4E56B03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33" w14:textId="77777777">
        <w:trPr>
          <w:tblCellSpacing w:w="0" w:type="dxa"/>
        </w:trPr>
        <w:tc>
          <w:tcPr>
            <w:tcW w:w="1440" w:type="dxa"/>
            <w:shd w:val="clear" w:color="auto" w:fill="auto"/>
            <w:vAlign w:val="center"/>
          </w:tcPr>
          <w:p w14:paraId="4E56B031" w14:textId="77777777" w:rsidR="00DF3E10" w:rsidRDefault="00DF3E10">
            <w:pPr>
              <w:rPr>
                <w:rFonts w:ascii="Times New Roman" w:hAnsi="Times New Roman"/>
                <w:sz w:val="20"/>
                <w:szCs w:val="20"/>
              </w:rPr>
            </w:pPr>
          </w:p>
        </w:tc>
        <w:tc>
          <w:tcPr>
            <w:tcW w:w="0" w:type="auto"/>
            <w:shd w:val="clear" w:color="auto" w:fill="auto"/>
            <w:vAlign w:val="center"/>
          </w:tcPr>
          <w:p w14:paraId="4E56B032" w14:textId="77777777" w:rsidR="00DF3E10" w:rsidRDefault="00DF3E10">
            <w:pPr>
              <w:rPr>
                <w:rFonts w:ascii="Times New Roman" w:hAnsi="Times New Roman"/>
                <w:sz w:val="20"/>
                <w:szCs w:val="20"/>
              </w:rPr>
            </w:pPr>
          </w:p>
        </w:tc>
      </w:tr>
      <w:tr w:rsidR="00DF3E10" w14:paraId="4E56B036" w14:textId="77777777">
        <w:trPr>
          <w:tblCellSpacing w:w="0" w:type="dxa"/>
        </w:trPr>
        <w:tc>
          <w:tcPr>
            <w:tcW w:w="0" w:type="auto"/>
            <w:shd w:val="clear" w:color="auto" w:fill="auto"/>
          </w:tcPr>
          <w:p w14:paraId="4E56B03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3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increased volatility and uncertainty in the financial projections we use as the basis for estimates used in our financial statements.</w:t>
            </w:r>
          </w:p>
        </w:tc>
      </w:tr>
    </w:tbl>
    <w:p w14:paraId="4E56B037" w14:textId="77777777" w:rsidR="00DF3E10" w:rsidRDefault="00DF3E10">
      <w:pPr>
        <w:spacing w:line="288" w:lineRule="auto"/>
        <w:jc w:val="both"/>
        <w:rPr>
          <w:rFonts w:ascii="Times New Roman" w:hAnsi="Times New Roman"/>
          <w:sz w:val="20"/>
          <w:szCs w:val="20"/>
        </w:rPr>
      </w:pPr>
    </w:p>
    <w:p w14:paraId="4E56B03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Any of these developments may adversely affect </w:t>
      </w:r>
      <w:r>
        <w:rPr>
          <w:rFonts w:ascii="Times New Roman" w:eastAsia="宋体" w:hAnsi="Times New Roman"/>
          <w:sz w:val="20"/>
          <w:szCs w:val="20"/>
        </w:rPr>
        <w:t xml:space="preserve">our business, harm our reputation, or result in legal or regulatory actions against us. The persistence of COVID-19, and the preventative measures implemented to help limit the spread of the illness, have impacted, and will continue to impact, our ability </w:t>
      </w:r>
      <w:r>
        <w:rPr>
          <w:rFonts w:ascii="Times New Roman" w:eastAsia="宋体" w:hAnsi="Times New Roman"/>
          <w:sz w:val="20"/>
          <w:szCs w:val="20"/>
        </w:rPr>
        <w:t>to operate our business and may materially and adversely impact our business, financial condition, and results of operations.</w:t>
      </w:r>
    </w:p>
    <w:p w14:paraId="4E56B03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If we fail to retain existing users or add new users, or if our users decrease their level of engagement with our products, our re</w:t>
      </w:r>
      <w:r>
        <w:rPr>
          <w:rFonts w:ascii="Times New Roman" w:eastAsia="宋体" w:hAnsi="Times New Roman"/>
          <w:b/>
          <w:bCs/>
          <w:i/>
          <w:iCs/>
          <w:sz w:val="20"/>
          <w:szCs w:val="20"/>
        </w:rPr>
        <w:t>venue, financial results, and business may be significantly harmed.</w:t>
      </w:r>
    </w:p>
    <w:p w14:paraId="4E56B03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size of our user base and our users' level of engagement are critical to our success. Our financial performance has been and will continue to be significantly determined by our </w:t>
      </w:r>
      <w:r>
        <w:rPr>
          <w:rFonts w:ascii="Times New Roman" w:eastAsia="宋体" w:hAnsi="Times New Roman"/>
          <w:sz w:val="20"/>
          <w:szCs w:val="20"/>
        </w:rPr>
        <w:t>success in adding, retaining, and engaging active users of our products, particularly for Facebook and Instagram. We anticipate that our active user growth rate will generally decline over time as the size of our active user base increases, and we expect t</w:t>
      </w:r>
      <w:r>
        <w:rPr>
          <w:rFonts w:ascii="Times New Roman" w:eastAsia="宋体" w:hAnsi="Times New Roman"/>
          <w:sz w:val="20"/>
          <w:szCs w:val="20"/>
        </w:rPr>
        <w:t>hat the size of our active user base will fluctuate or decline in one or more markets from time to time, particularly in markets where we have achieved higher penetration rates. For example, in the fourth quarter of 2017, we experienced a slight decline on</w:t>
      </w:r>
      <w:r>
        <w:rPr>
          <w:rFonts w:ascii="Times New Roman" w:eastAsia="宋体" w:hAnsi="Times New Roman"/>
          <w:sz w:val="20"/>
          <w:szCs w:val="20"/>
        </w:rPr>
        <w:t xml:space="preserve"> a quarter-over-quarter basis in the number of daily active users on Facebook in the United States &amp; Canada region. Beginning in the first quarter of 2020, we experienced significant increases in the size and engagement of our active user base across a num</w:t>
      </w:r>
      <w:r>
        <w:rPr>
          <w:rFonts w:ascii="Times New Roman" w:eastAsia="宋体" w:hAnsi="Times New Roman"/>
          <w:sz w:val="20"/>
          <w:szCs w:val="20"/>
        </w:rPr>
        <w:t>ber of regions as a result of the COVID-19 pandemic. More recently, we have seen user growth and engagement trending towards pre-pandemic levels as various preventative measures such as shelter-in-place restrictions have been relaxed in certain regions. We</w:t>
      </w:r>
      <w:r>
        <w:rPr>
          <w:rFonts w:ascii="Times New Roman" w:eastAsia="宋体" w:hAnsi="Times New Roman"/>
          <w:sz w:val="20"/>
          <w:szCs w:val="20"/>
        </w:rPr>
        <w:t xml:space="preserve"> expect this trend to continue as such measures are lifted in the future, although we are unable to predict the impact of the pandemic on user growth and engagement with any certainty. If people do not perceive our products to be useful, reliable, and trus</w:t>
      </w:r>
      <w:r>
        <w:rPr>
          <w:rFonts w:ascii="Times New Roman" w:eastAsia="宋体" w:hAnsi="Times New Roman"/>
          <w:sz w:val="20"/>
          <w:szCs w:val="20"/>
        </w:rPr>
        <w:t>tworthy, we may not be able to attract or retain users or otherwise maintain or increase the frequency and duration of their engagement. A number of other social networking companies that achieved early popularity have since seen their active user bases or</w:t>
      </w:r>
      <w:r>
        <w:rPr>
          <w:rFonts w:ascii="Times New Roman" w:eastAsia="宋体" w:hAnsi="Times New Roman"/>
          <w:sz w:val="20"/>
          <w:szCs w:val="20"/>
        </w:rPr>
        <w:t xml:space="preserve"> levels of engagement decline, in some cases precipitously. There is no guarantee that we will not experience a similar erosion of our active user base or engagement levels. Our user engagement patterns have changed over time, and user engagement can be di</w:t>
      </w:r>
      <w:r>
        <w:rPr>
          <w:rFonts w:ascii="Times New Roman" w:eastAsia="宋体" w:hAnsi="Times New Roman"/>
          <w:sz w:val="20"/>
          <w:szCs w:val="20"/>
        </w:rPr>
        <w:t>fficult to measure, particularly as we introduce new and different products and services. Any number of factors can negatively affect user retention, growth, and engagement, including if:</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21"/>
      </w:tblGrid>
      <w:tr w:rsidR="00DF3E10" w14:paraId="4E56B03D" w14:textId="77777777">
        <w:trPr>
          <w:tblCellSpacing w:w="0" w:type="dxa"/>
        </w:trPr>
        <w:tc>
          <w:tcPr>
            <w:tcW w:w="1440" w:type="dxa"/>
            <w:shd w:val="clear" w:color="auto" w:fill="auto"/>
            <w:vAlign w:val="center"/>
          </w:tcPr>
          <w:p w14:paraId="4E56B03B" w14:textId="77777777" w:rsidR="00DF3E10" w:rsidRDefault="00DF3E10">
            <w:pPr>
              <w:rPr>
                <w:rFonts w:ascii="Times New Roman" w:hAnsi="Times New Roman"/>
                <w:sz w:val="20"/>
                <w:szCs w:val="20"/>
              </w:rPr>
            </w:pPr>
          </w:p>
        </w:tc>
        <w:tc>
          <w:tcPr>
            <w:tcW w:w="0" w:type="auto"/>
            <w:shd w:val="clear" w:color="auto" w:fill="auto"/>
            <w:vAlign w:val="center"/>
          </w:tcPr>
          <w:p w14:paraId="4E56B03C" w14:textId="77777777" w:rsidR="00DF3E10" w:rsidRDefault="00DF3E10">
            <w:pPr>
              <w:rPr>
                <w:rFonts w:ascii="Times New Roman" w:hAnsi="Times New Roman"/>
                <w:sz w:val="20"/>
                <w:szCs w:val="20"/>
              </w:rPr>
            </w:pPr>
          </w:p>
        </w:tc>
      </w:tr>
      <w:tr w:rsidR="00DF3E10" w14:paraId="4E56B040" w14:textId="77777777">
        <w:trPr>
          <w:tblCellSpacing w:w="0" w:type="dxa"/>
        </w:trPr>
        <w:tc>
          <w:tcPr>
            <w:tcW w:w="0" w:type="auto"/>
            <w:shd w:val="clear" w:color="auto" w:fill="auto"/>
          </w:tcPr>
          <w:p w14:paraId="4E56B03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3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users increasingly engage with other competitive products or se</w:t>
            </w:r>
            <w:r>
              <w:rPr>
                <w:rFonts w:ascii="Times New Roman" w:eastAsia="宋体" w:hAnsi="Times New Roman"/>
                <w:sz w:val="20"/>
                <w:szCs w:val="20"/>
              </w:rPr>
              <w:t>rvices;</w:t>
            </w:r>
          </w:p>
        </w:tc>
      </w:tr>
    </w:tbl>
    <w:p w14:paraId="4E56B04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44" w14:textId="77777777">
        <w:trPr>
          <w:tblCellSpacing w:w="0" w:type="dxa"/>
        </w:trPr>
        <w:tc>
          <w:tcPr>
            <w:tcW w:w="1440" w:type="dxa"/>
            <w:shd w:val="clear" w:color="auto" w:fill="auto"/>
            <w:vAlign w:val="center"/>
          </w:tcPr>
          <w:p w14:paraId="4E56B042" w14:textId="77777777" w:rsidR="00DF3E10" w:rsidRDefault="00DF3E10">
            <w:pPr>
              <w:rPr>
                <w:rFonts w:ascii="Times New Roman" w:hAnsi="Times New Roman"/>
                <w:sz w:val="20"/>
                <w:szCs w:val="20"/>
              </w:rPr>
            </w:pPr>
          </w:p>
        </w:tc>
        <w:tc>
          <w:tcPr>
            <w:tcW w:w="0" w:type="auto"/>
            <w:shd w:val="clear" w:color="auto" w:fill="auto"/>
            <w:vAlign w:val="center"/>
          </w:tcPr>
          <w:p w14:paraId="4E56B043" w14:textId="77777777" w:rsidR="00DF3E10" w:rsidRDefault="00DF3E10">
            <w:pPr>
              <w:rPr>
                <w:rFonts w:ascii="Times New Roman" w:hAnsi="Times New Roman"/>
                <w:sz w:val="20"/>
                <w:szCs w:val="20"/>
              </w:rPr>
            </w:pPr>
          </w:p>
        </w:tc>
      </w:tr>
      <w:tr w:rsidR="00DF3E10" w14:paraId="4E56B047" w14:textId="77777777">
        <w:trPr>
          <w:tblCellSpacing w:w="0" w:type="dxa"/>
        </w:trPr>
        <w:tc>
          <w:tcPr>
            <w:tcW w:w="0" w:type="auto"/>
            <w:shd w:val="clear" w:color="auto" w:fill="auto"/>
          </w:tcPr>
          <w:p w14:paraId="4E56B04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4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introduce new features, products or services that users find engaging or if we introduce new products or services, or make changes to existing products and services, that are not favorably received;</w:t>
            </w:r>
          </w:p>
        </w:tc>
      </w:tr>
    </w:tbl>
    <w:p w14:paraId="4E56B04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4B" w14:textId="77777777">
        <w:trPr>
          <w:tblCellSpacing w:w="0" w:type="dxa"/>
        </w:trPr>
        <w:tc>
          <w:tcPr>
            <w:tcW w:w="1440" w:type="dxa"/>
            <w:shd w:val="clear" w:color="auto" w:fill="auto"/>
            <w:vAlign w:val="center"/>
          </w:tcPr>
          <w:p w14:paraId="4E56B049" w14:textId="77777777" w:rsidR="00DF3E10" w:rsidRDefault="00DF3E10">
            <w:pPr>
              <w:rPr>
                <w:rFonts w:ascii="Times New Roman" w:hAnsi="Times New Roman"/>
                <w:sz w:val="20"/>
                <w:szCs w:val="20"/>
              </w:rPr>
            </w:pPr>
          </w:p>
        </w:tc>
        <w:tc>
          <w:tcPr>
            <w:tcW w:w="0" w:type="auto"/>
            <w:shd w:val="clear" w:color="auto" w:fill="auto"/>
            <w:vAlign w:val="center"/>
          </w:tcPr>
          <w:p w14:paraId="4E56B04A" w14:textId="77777777" w:rsidR="00DF3E10" w:rsidRDefault="00DF3E10">
            <w:pPr>
              <w:rPr>
                <w:rFonts w:ascii="Times New Roman" w:hAnsi="Times New Roman"/>
                <w:sz w:val="20"/>
                <w:szCs w:val="20"/>
              </w:rPr>
            </w:pPr>
          </w:p>
        </w:tc>
      </w:tr>
      <w:tr w:rsidR="00DF3E10" w14:paraId="4E56B04E" w14:textId="77777777">
        <w:trPr>
          <w:tblCellSpacing w:w="0" w:type="dxa"/>
        </w:trPr>
        <w:tc>
          <w:tcPr>
            <w:tcW w:w="0" w:type="auto"/>
            <w:shd w:val="clear" w:color="auto" w:fill="auto"/>
          </w:tcPr>
          <w:p w14:paraId="4E56B04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4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users feel that </w:t>
            </w:r>
            <w:r>
              <w:rPr>
                <w:rFonts w:ascii="Times New Roman" w:eastAsia="宋体" w:hAnsi="Times New Roman"/>
                <w:sz w:val="20"/>
                <w:szCs w:val="20"/>
              </w:rPr>
              <w:t>their experience is diminished as a result of the decisions we make with respect to the frequency, prominence, format, size, and quality of ads that we display;</w:t>
            </w:r>
          </w:p>
        </w:tc>
      </w:tr>
    </w:tbl>
    <w:p w14:paraId="4E56B04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52" w14:textId="77777777">
        <w:trPr>
          <w:tblCellSpacing w:w="0" w:type="dxa"/>
        </w:trPr>
        <w:tc>
          <w:tcPr>
            <w:tcW w:w="1440" w:type="dxa"/>
            <w:shd w:val="clear" w:color="auto" w:fill="auto"/>
            <w:vAlign w:val="center"/>
          </w:tcPr>
          <w:p w14:paraId="4E56B050" w14:textId="77777777" w:rsidR="00DF3E10" w:rsidRDefault="00DF3E10">
            <w:pPr>
              <w:rPr>
                <w:rFonts w:ascii="Times New Roman" w:hAnsi="Times New Roman"/>
                <w:sz w:val="20"/>
                <w:szCs w:val="20"/>
              </w:rPr>
            </w:pPr>
          </w:p>
        </w:tc>
        <w:tc>
          <w:tcPr>
            <w:tcW w:w="0" w:type="auto"/>
            <w:shd w:val="clear" w:color="auto" w:fill="auto"/>
            <w:vAlign w:val="center"/>
          </w:tcPr>
          <w:p w14:paraId="4E56B051" w14:textId="77777777" w:rsidR="00DF3E10" w:rsidRDefault="00DF3E10">
            <w:pPr>
              <w:rPr>
                <w:rFonts w:ascii="Times New Roman" w:hAnsi="Times New Roman"/>
                <w:sz w:val="20"/>
                <w:szCs w:val="20"/>
              </w:rPr>
            </w:pPr>
          </w:p>
        </w:tc>
      </w:tr>
      <w:tr w:rsidR="00DF3E10" w14:paraId="4E56B055" w14:textId="77777777">
        <w:trPr>
          <w:tblCellSpacing w:w="0" w:type="dxa"/>
        </w:trPr>
        <w:tc>
          <w:tcPr>
            <w:tcW w:w="0" w:type="auto"/>
            <w:shd w:val="clear" w:color="auto" w:fill="auto"/>
          </w:tcPr>
          <w:p w14:paraId="4E56B05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5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users have difficulty installing, updating, or otherwise accessing our products on mobil</w:t>
            </w:r>
            <w:r>
              <w:rPr>
                <w:rFonts w:ascii="Times New Roman" w:eastAsia="宋体" w:hAnsi="Times New Roman"/>
                <w:sz w:val="20"/>
                <w:szCs w:val="20"/>
              </w:rPr>
              <w:t>e devices as a result of actions by us or third parties that we rely on to distribute our products and deliver our services;</w:t>
            </w:r>
          </w:p>
        </w:tc>
      </w:tr>
    </w:tbl>
    <w:p w14:paraId="4E56B05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59" w14:textId="77777777">
        <w:trPr>
          <w:tblCellSpacing w:w="0" w:type="dxa"/>
        </w:trPr>
        <w:tc>
          <w:tcPr>
            <w:tcW w:w="1440" w:type="dxa"/>
            <w:shd w:val="clear" w:color="auto" w:fill="auto"/>
            <w:vAlign w:val="center"/>
          </w:tcPr>
          <w:p w14:paraId="4E56B057" w14:textId="77777777" w:rsidR="00DF3E10" w:rsidRDefault="00DF3E10">
            <w:pPr>
              <w:rPr>
                <w:rFonts w:ascii="Times New Roman" w:hAnsi="Times New Roman"/>
                <w:sz w:val="20"/>
                <w:szCs w:val="20"/>
              </w:rPr>
            </w:pPr>
          </w:p>
        </w:tc>
        <w:tc>
          <w:tcPr>
            <w:tcW w:w="0" w:type="auto"/>
            <w:shd w:val="clear" w:color="auto" w:fill="auto"/>
            <w:vAlign w:val="center"/>
          </w:tcPr>
          <w:p w14:paraId="4E56B058" w14:textId="77777777" w:rsidR="00DF3E10" w:rsidRDefault="00DF3E10">
            <w:pPr>
              <w:rPr>
                <w:rFonts w:ascii="Times New Roman" w:hAnsi="Times New Roman"/>
                <w:sz w:val="20"/>
                <w:szCs w:val="20"/>
              </w:rPr>
            </w:pPr>
          </w:p>
        </w:tc>
      </w:tr>
      <w:tr w:rsidR="00DF3E10" w14:paraId="4E56B05C" w14:textId="77777777">
        <w:trPr>
          <w:tblCellSpacing w:w="0" w:type="dxa"/>
        </w:trPr>
        <w:tc>
          <w:tcPr>
            <w:tcW w:w="0" w:type="auto"/>
            <w:shd w:val="clear" w:color="auto" w:fill="auto"/>
          </w:tcPr>
          <w:p w14:paraId="4E56B05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5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on any of our products changes, including decreases in the quality and frequency of content shared on our </w:t>
            </w:r>
            <w:r>
              <w:rPr>
                <w:rFonts w:ascii="Times New Roman" w:eastAsia="宋体" w:hAnsi="Times New Roman"/>
                <w:sz w:val="20"/>
                <w:szCs w:val="20"/>
              </w:rPr>
              <w:t>products and services;</w:t>
            </w:r>
          </w:p>
        </w:tc>
      </w:tr>
    </w:tbl>
    <w:p w14:paraId="4E56B05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60" w14:textId="77777777">
        <w:trPr>
          <w:tblCellSpacing w:w="0" w:type="dxa"/>
        </w:trPr>
        <w:tc>
          <w:tcPr>
            <w:tcW w:w="1440" w:type="dxa"/>
            <w:shd w:val="clear" w:color="auto" w:fill="auto"/>
            <w:vAlign w:val="center"/>
          </w:tcPr>
          <w:p w14:paraId="4E56B05E" w14:textId="77777777" w:rsidR="00DF3E10" w:rsidRDefault="00DF3E10">
            <w:pPr>
              <w:rPr>
                <w:rFonts w:ascii="Times New Roman" w:hAnsi="Times New Roman"/>
                <w:sz w:val="20"/>
                <w:szCs w:val="20"/>
              </w:rPr>
            </w:pPr>
          </w:p>
        </w:tc>
        <w:tc>
          <w:tcPr>
            <w:tcW w:w="0" w:type="auto"/>
            <w:shd w:val="clear" w:color="auto" w:fill="auto"/>
            <w:vAlign w:val="center"/>
          </w:tcPr>
          <w:p w14:paraId="4E56B05F" w14:textId="77777777" w:rsidR="00DF3E10" w:rsidRDefault="00DF3E10">
            <w:pPr>
              <w:rPr>
                <w:rFonts w:ascii="Times New Roman" w:hAnsi="Times New Roman"/>
                <w:sz w:val="20"/>
                <w:szCs w:val="20"/>
              </w:rPr>
            </w:pPr>
          </w:p>
        </w:tc>
      </w:tr>
      <w:tr w:rsidR="00DF3E10" w14:paraId="4E56B063" w14:textId="77777777">
        <w:trPr>
          <w:tblCellSpacing w:w="0" w:type="dxa"/>
        </w:trPr>
        <w:tc>
          <w:tcPr>
            <w:tcW w:w="0" w:type="auto"/>
            <w:shd w:val="clear" w:color="auto" w:fill="auto"/>
          </w:tcPr>
          <w:p w14:paraId="4E56B06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6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continue to develop products for mobile devices that users find engaging, that work with a variety of mobile operating systems and networks, and that achieve a high level of market acceptance;</w:t>
            </w:r>
          </w:p>
        </w:tc>
      </w:tr>
    </w:tbl>
    <w:p w14:paraId="4E56B06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67" w14:textId="77777777">
        <w:trPr>
          <w:tblCellSpacing w:w="0" w:type="dxa"/>
        </w:trPr>
        <w:tc>
          <w:tcPr>
            <w:tcW w:w="1440" w:type="dxa"/>
            <w:shd w:val="clear" w:color="auto" w:fill="auto"/>
            <w:vAlign w:val="center"/>
          </w:tcPr>
          <w:p w14:paraId="4E56B065" w14:textId="77777777" w:rsidR="00DF3E10" w:rsidRDefault="00DF3E10">
            <w:pPr>
              <w:rPr>
                <w:rFonts w:ascii="Times New Roman" w:hAnsi="Times New Roman"/>
                <w:sz w:val="20"/>
                <w:szCs w:val="20"/>
              </w:rPr>
            </w:pPr>
          </w:p>
        </w:tc>
        <w:tc>
          <w:tcPr>
            <w:tcW w:w="0" w:type="auto"/>
            <w:shd w:val="clear" w:color="auto" w:fill="auto"/>
            <w:vAlign w:val="center"/>
          </w:tcPr>
          <w:p w14:paraId="4E56B066" w14:textId="77777777" w:rsidR="00DF3E10" w:rsidRDefault="00DF3E10">
            <w:pPr>
              <w:rPr>
                <w:rFonts w:ascii="Times New Roman" w:hAnsi="Times New Roman"/>
                <w:sz w:val="20"/>
                <w:szCs w:val="20"/>
              </w:rPr>
            </w:pPr>
          </w:p>
        </w:tc>
      </w:tr>
      <w:tr w:rsidR="00DF3E10" w14:paraId="4E56B06A" w14:textId="77777777">
        <w:trPr>
          <w:tblCellSpacing w:w="0" w:type="dxa"/>
        </w:trPr>
        <w:tc>
          <w:tcPr>
            <w:tcW w:w="0" w:type="auto"/>
            <w:shd w:val="clear" w:color="auto" w:fill="auto"/>
          </w:tcPr>
          <w:p w14:paraId="4E56B06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6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there are decreases in user sentiment due to questions about the quality or usefulness of our products or our user data practices, or concerns related to privacy and sharing, safety, security, well-being, or other factors;</w:t>
            </w:r>
          </w:p>
        </w:tc>
      </w:tr>
    </w:tbl>
    <w:p w14:paraId="4E56B06B" w14:textId="77777777" w:rsidR="00DF3E10" w:rsidRDefault="00DF3E10">
      <w:pPr>
        <w:rPr>
          <w:rFonts w:ascii="Times New Roman" w:hAnsi="Times New Roman"/>
          <w:sz w:val="20"/>
          <w:szCs w:val="20"/>
        </w:rPr>
      </w:pPr>
    </w:p>
    <w:p w14:paraId="4E56B06C"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51</w:t>
      </w:r>
    </w:p>
    <w:p w14:paraId="4E56B06D" w14:textId="77777777" w:rsidR="00DF3E10" w:rsidRDefault="006B6C28">
      <w:r>
        <w:rPr>
          <w:rFonts w:ascii="Times New Roman" w:hAnsi="Times New Roman"/>
          <w:sz w:val="20"/>
          <w:szCs w:val="20"/>
        </w:rPr>
        <w:pict w14:anchorId="4E56B790">
          <v:rect id="_x0000_i1075" style="width:415.3pt;height:1.5pt" o:hralign="center" o:hrstd="t" o:hr="t" fillcolor="#a0a0a0" stroked="f"/>
        </w:pict>
      </w:r>
    </w:p>
    <w:p w14:paraId="4E56B06E" w14:textId="77777777" w:rsidR="00DF3E10" w:rsidRDefault="006B6C28">
      <w:pPr>
        <w:spacing w:line="288" w:lineRule="auto"/>
        <w:rPr>
          <w:rFonts w:ascii="Times New Roman" w:hAnsi="Times New Roman"/>
          <w:sz w:val="20"/>
          <w:szCs w:val="20"/>
        </w:rPr>
      </w:pPr>
      <w:hyperlink r:id="rId92" w:anchor="sC1FF62F0D4D85317B5B2C71C7C94F269" w:history="1">
        <w:r>
          <w:rPr>
            <w:rStyle w:val="a5"/>
            <w:rFonts w:ascii="Times New Roman" w:eastAsia="宋体" w:hAnsi="Times New Roman"/>
            <w:sz w:val="20"/>
            <w:szCs w:val="20"/>
          </w:rPr>
          <w:t>Table of Contents</w:t>
        </w:r>
      </w:hyperlink>
    </w:p>
    <w:p w14:paraId="4E56B06F"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72" w14:textId="77777777">
        <w:trPr>
          <w:tblCellSpacing w:w="0" w:type="dxa"/>
        </w:trPr>
        <w:tc>
          <w:tcPr>
            <w:tcW w:w="1440" w:type="dxa"/>
            <w:shd w:val="clear" w:color="auto" w:fill="auto"/>
            <w:vAlign w:val="center"/>
          </w:tcPr>
          <w:p w14:paraId="4E56B070" w14:textId="77777777" w:rsidR="00DF3E10" w:rsidRDefault="00DF3E10">
            <w:pPr>
              <w:rPr>
                <w:rFonts w:ascii="Times New Roman" w:hAnsi="Times New Roman"/>
                <w:sz w:val="20"/>
                <w:szCs w:val="20"/>
              </w:rPr>
            </w:pPr>
          </w:p>
        </w:tc>
        <w:tc>
          <w:tcPr>
            <w:tcW w:w="0" w:type="auto"/>
            <w:shd w:val="clear" w:color="auto" w:fill="auto"/>
            <w:vAlign w:val="center"/>
          </w:tcPr>
          <w:p w14:paraId="4E56B071" w14:textId="77777777" w:rsidR="00DF3E10" w:rsidRDefault="00DF3E10">
            <w:pPr>
              <w:rPr>
                <w:rFonts w:ascii="Times New Roman" w:hAnsi="Times New Roman"/>
                <w:sz w:val="20"/>
                <w:szCs w:val="20"/>
              </w:rPr>
            </w:pPr>
          </w:p>
        </w:tc>
      </w:tr>
      <w:tr w:rsidR="00DF3E10" w14:paraId="4E56B075" w14:textId="77777777">
        <w:trPr>
          <w:tblCellSpacing w:w="0" w:type="dxa"/>
        </w:trPr>
        <w:tc>
          <w:tcPr>
            <w:tcW w:w="0" w:type="auto"/>
            <w:shd w:val="clear" w:color="auto" w:fill="auto"/>
          </w:tcPr>
          <w:p w14:paraId="4E56B07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7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manage and prioritize information to ensure users are </w:t>
            </w:r>
            <w:r>
              <w:rPr>
                <w:rFonts w:ascii="Times New Roman" w:eastAsia="宋体" w:hAnsi="Times New Roman"/>
                <w:sz w:val="20"/>
                <w:szCs w:val="20"/>
              </w:rPr>
              <w:t>presented with content that is appropriate, interesting, useful, and relevant to them;</w:t>
            </w:r>
          </w:p>
        </w:tc>
      </w:tr>
    </w:tbl>
    <w:p w14:paraId="4E56B07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15"/>
      </w:tblGrid>
      <w:tr w:rsidR="00DF3E10" w14:paraId="4E56B079" w14:textId="77777777">
        <w:trPr>
          <w:tblCellSpacing w:w="0" w:type="dxa"/>
        </w:trPr>
        <w:tc>
          <w:tcPr>
            <w:tcW w:w="1440" w:type="dxa"/>
            <w:shd w:val="clear" w:color="auto" w:fill="auto"/>
            <w:vAlign w:val="center"/>
          </w:tcPr>
          <w:p w14:paraId="4E56B077" w14:textId="77777777" w:rsidR="00DF3E10" w:rsidRDefault="00DF3E10">
            <w:pPr>
              <w:rPr>
                <w:rFonts w:ascii="Times New Roman" w:hAnsi="Times New Roman"/>
                <w:sz w:val="20"/>
                <w:szCs w:val="20"/>
              </w:rPr>
            </w:pPr>
          </w:p>
        </w:tc>
        <w:tc>
          <w:tcPr>
            <w:tcW w:w="0" w:type="auto"/>
            <w:shd w:val="clear" w:color="auto" w:fill="auto"/>
            <w:vAlign w:val="center"/>
          </w:tcPr>
          <w:p w14:paraId="4E56B078" w14:textId="77777777" w:rsidR="00DF3E10" w:rsidRDefault="00DF3E10">
            <w:pPr>
              <w:rPr>
                <w:rFonts w:ascii="Times New Roman" w:hAnsi="Times New Roman"/>
                <w:sz w:val="20"/>
                <w:szCs w:val="20"/>
              </w:rPr>
            </w:pPr>
          </w:p>
        </w:tc>
      </w:tr>
      <w:tr w:rsidR="00DF3E10" w14:paraId="4E56B07C" w14:textId="77777777">
        <w:trPr>
          <w:tblCellSpacing w:w="0" w:type="dxa"/>
        </w:trPr>
        <w:tc>
          <w:tcPr>
            <w:tcW w:w="0" w:type="auto"/>
            <w:shd w:val="clear" w:color="auto" w:fill="auto"/>
          </w:tcPr>
          <w:p w14:paraId="4E56B07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7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obtain or attract engaging third-party content;</w:t>
            </w:r>
          </w:p>
        </w:tc>
      </w:tr>
    </w:tbl>
    <w:p w14:paraId="4E56B07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80" w14:textId="77777777">
        <w:trPr>
          <w:tblCellSpacing w:w="0" w:type="dxa"/>
        </w:trPr>
        <w:tc>
          <w:tcPr>
            <w:tcW w:w="1440" w:type="dxa"/>
            <w:shd w:val="clear" w:color="auto" w:fill="auto"/>
            <w:vAlign w:val="center"/>
          </w:tcPr>
          <w:p w14:paraId="4E56B07E" w14:textId="77777777" w:rsidR="00DF3E10" w:rsidRDefault="00DF3E10">
            <w:pPr>
              <w:rPr>
                <w:rFonts w:ascii="Times New Roman" w:hAnsi="Times New Roman"/>
                <w:sz w:val="20"/>
                <w:szCs w:val="20"/>
              </w:rPr>
            </w:pPr>
          </w:p>
        </w:tc>
        <w:tc>
          <w:tcPr>
            <w:tcW w:w="0" w:type="auto"/>
            <w:shd w:val="clear" w:color="auto" w:fill="auto"/>
            <w:vAlign w:val="center"/>
          </w:tcPr>
          <w:p w14:paraId="4E56B07F" w14:textId="77777777" w:rsidR="00DF3E10" w:rsidRDefault="00DF3E10">
            <w:pPr>
              <w:rPr>
                <w:rFonts w:ascii="Times New Roman" w:hAnsi="Times New Roman"/>
                <w:sz w:val="20"/>
                <w:szCs w:val="20"/>
              </w:rPr>
            </w:pPr>
          </w:p>
        </w:tc>
      </w:tr>
      <w:tr w:rsidR="00DF3E10" w14:paraId="4E56B083" w14:textId="77777777">
        <w:trPr>
          <w:tblCellSpacing w:w="0" w:type="dxa"/>
        </w:trPr>
        <w:tc>
          <w:tcPr>
            <w:tcW w:w="0" w:type="auto"/>
            <w:shd w:val="clear" w:color="auto" w:fill="auto"/>
          </w:tcPr>
          <w:p w14:paraId="4E56B08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8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successfully maintain or grow usage of and engagement with mobile and </w:t>
            </w:r>
            <w:r>
              <w:rPr>
                <w:rFonts w:ascii="Times New Roman" w:eastAsia="宋体" w:hAnsi="Times New Roman"/>
                <w:sz w:val="20"/>
                <w:szCs w:val="20"/>
              </w:rPr>
              <w:t>web applications that integrate with Facebook and our other products;</w:t>
            </w:r>
          </w:p>
        </w:tc>
      </w:tr>
    </w:tbl>
    <w:p w14:paraId="4E56B08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87" w14:textId="77777777">
        <w:trPr>
          <w:tblCellSpacing w:w="0" w:type="dxa"/>
        </w:trPr>
        <w:tc>
          <w:tcPr>
            <w:tcW w:w="1440" w:type="dxa"/>
            <w:shd w:val="clear" w:color="auto" w:fill="auto"/>
            <w:vAlign w:val="center"/>
          </w:tcPr>
          <w:p w14:paraId="4E56B085" w14:textId="77777777" w:rsidR="00DF3E10" w:rsidRDefault="00DF3E10">
            <w:pPr>
              <w:rPr>
                <w:rFonts w:ascii="Times New Roman" w:hAnsi="Times New Roman"/>
                <w:sz w:val="20"/>
                <w:szCs w:val="20"/>
              </w:rPr>
            </w:pPr>
          </w:p>
        </w:tc>
        <w:tc>
          <w:tcPr>
            <w:tcW w:w="0" w:type="auto"/>
            <w:shd w:val="clear" w:color="auto" w:fill="auto"/>
            <w:vAlign w:val="center"/>
          </w:tcPr>
          <w:p w14:paraId="4E56B086" w14:textId="77777777" w:rsidR="00DF3E10" w:rsidRDefault="00DF3E10">
            <w:pPr>
              <w:rPr>
                <w:rFonts w:ascii="Times New Roman" w:hAnsi="Times New Roman"/>
                <w:sz w:val="20"/>
                <w:szCs w:val="20"/>
              </w:rPr>
            </w:pPr>
          </w:p>
        </w:tc>
      </w:tr>
      <w:tr w:rsidR="00DF3E10" w14:paraId="4E56B08A" w14:textId="77777777">
        <w:trPr>
          <w:tblCellSpacing w:w="0" w:type="dxa"/>
        </w:trPr>
        <w:tc>
          <w:tcPr>
            <w:tcW w:w="0" w:type="auto"/>
            <w:shd w:val="clear" w:color="auto" w:fill="auto"/>
          </w:tcPr>
          <w:p w14:paraId="4E56B08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8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users adopt new technologies where our products may be displaced in favor of other products or services, or may not be featured or otherwise available;</w:t>
            </w:r>
          </w:p>
        </w:tc>
      </w:tr>
    </w:tbl>
    <w:p w14:paraId="4E56B08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8E" w14:textId="77777777">
        <w:trPr>
          <w:tblCellSpacing w:w="0" w:type="dxa"/>
        </w:trPr>
        <w:tc>
          <w:tcPr>
            <w:tcW w:w="1440" w:type="dxa"/>
            <w:shd w:val="clear" w:color="auto" w:fill="auto"/>
            <w:vAlign w:val="center"/>
          </w:tcPr>
          <w:p w14:paraId="4E56B08C" w14:textId="77777777" w:rsidR="00DF3E10" w:rsidRDefault="00DF3E10">
            <w:pPr>
              <w:rPr>
                <w:rFonts w:ascii="Times New Roman" w:hAnsi="Times New Roman"/>
                <w:sz w:val="20"/>
                <w:szCs w:val="20"/>
              </w:rPr>
            </w:pPr>
          </w:p>
        </w:tc>
        <w:tc>
          <w:tcPr>
            <w:tcW w:w="0" w:type="auto"/>
            <w:shd w:val="clear" w:color="auto" w:fill="auto"/>
            <w:vAlign w:val="center"/>
          </w:tcPr>
          <w:p w14:paraId="4E56B08D" w14:textId="77777777" w:rsidR="00DF3E10" w:rsidRDefault="00DF3E10">
            <w:pPr>
              <w:rPr>
                <w:rFonts w:ascii="Times New Roman" w:hAnsi="Times New Roman"/>
                <w:sz w:val="20"/>
                <w:szCs w:val="20"/>
              </w:rPr>
            </w:pPr>
          </w:p>
        </w:tc>
      </w:tr>
      <w:tr w:rsidR="00DF3E10" w14:paraId="4E56B091" w14:textId="77777777">
        <w:trPr>
          <w:tblCellSpacing w:w="0" w:type="dxa"/>
        </w:trPr>
        <w:tc>
          <w:tcPr>
            <w:tcW w:w="0" w:type="auto"/>
            <w:shd w:val="clear" w:color="auto" w:fill="auto"/>
          </w:tcPr>
          <w:p w14:paraId="4E56B08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9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are </w:t>
            </w:r>
            <w:r>
              <w:rPr>
                <w:rFonts w:ascii="Times New Roman" w:eastAsia="宋体" w:hAnsi="Times New Roman"/>
                <w:sz w:val="20"/>
                <w:szCs w:val="20"/>
              </w:rPr>
              <w:t>changes mandated by legislation, regulatory authorities, or litigation that adversely affect our products or users;</w:t>
            </w:r>
          </w:p>
        </w:tc>
      </w:tr>
    </w:tbl>
    <w:p w14:paraId="4E56B09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95" w14:textId="77777777">
        <w:trPr>
          <w:tblCellSpacing w:w="0" w:type="dxa"/>
        </w:trPr>
        <w:tc>
          <w:tcPr>
            <w:tcW w:w="1440" w:type="dxa"/>
            <w:shd w:val="clear" w:color="auto" w:fill="auto"/>
            <w:vAlign w:val="center"/>
          </w:tcPr>
          <w:p w14:paraId="4E56B093" w14:textId="77777777" w:rsidR="00DF3E10" w:rsidRDefault="00DF3E10">
            <w:pPr>
              <w:rPr>
                <w:rFonts w:ascii="Times New Roman" w:hAnsi="Times New Roman"/>
                <w:sz w:val="20"/>
                <w:szCs w:val="20"/>
              </w:rPr>
            </w:pPr>
          </w:p>
        </w:tc>
        <w:tc>
          <w:tcPr>
            <w:tcW w:w="0" w:type="auto"/>
            <w:shd w:val="clear" w:color="auto" w:fill="auto"/>
            <w:vAlign w:val="center"/>
          </w:tcPr>
          <w:p w14:paraId="4E56B094" w14:textId="77777777" w:rsidR="00DF3E10" w:rsidRDefault="00DF3E10">
            <w:pPr>
              <w:rPr>
                <w:rFonts w:ascii="Times New Roman" w:hAnsi="Times New Roman"/>
                <w:sz w:val="20"/>
                <w:szCs w:val="20"/>
              </w:rPr>
            </w:pPr>
          </w:p>
        </w:tc>
      </w:tr>
      <w:tr w:rsidR="00DF3E10" w14:paraId="4E56B098" w14:textId="77777777">
        <w:trPr>
          <w:tblCellSpacing w:w="0" w:type="dxa"/>
        </w:trPr>
        <w:tc>
          <w:tcPr>
            <w:tcW w:w="0" w:type="auto"/>
            <w:shd w:val="clear" w:color="auto" w:fill="auto"/>
          </w:tcPr>
          <w:p w14:paraId="4E56B09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9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is decreased engagement with our products, or failure to accept our terms of service, as part of changes that we </w:t>
            </w:r>
            <w:r>
              <w:rPr>
                <w:rFonts w:ascii="Times New Roman" w:eastAsia="宋体" w:hAnsi="Times New Roman"/>
                <w:sz w:val="20"/>
                <w:szCs w:val="20"/>
              </w:rPr>
              <w:t>implemented in connection with the General Data Protection Regulation (GDPR) in Europe, other similar changes that we implemented in the United States and around the world, or other changes we have implemented or may implement in the future in connection w</w:t>
            </w:r>
            <w:r>
              <w:rPr>
                <w:rFonts w:ascii="Times New Roman" w:eastAsia="宋体" w:hAnsi="Times New Roman"/>
                <w:sz w:val="20"/>
                <w:szCs w:val="20"/>
              </w:rPr>
              <w:t>ith other regulations, regulatory actions or otherwise;</w:t>
            </w:r>
          </w:p>
        </w:tc>
      </w:tr>
    </w:tbl>
    <w:p w14:paraId="4E56B09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9C" w14:textId="77777777">
        <w:trPr>
          <w:tblCellSpacing w:w="0" w:type="dxa"/>
        </w:trPr>
        <w:tc>
          <w:tcPr>
            <w:tcW w:w="1440" w:type="dxa"/>
            <w:shd w:val="clear" w:color="auto" w:fill="auto"/>
            <w:vAlign w:val="center"/>
          </w:tcPr>
          <w:p w14:paraId="4E56B09A" w14:textId="77777777" w:rsidR="00DF3E10" w:rsidRDefault="00DF3E10">
            <w:pPr>
              <w:rPr>
                <w:rFonts w:ascii="Times New Roman" w:hAnsi="Times New Roman"/>
                <w:sz w:val="20"/>
                <w:szCs w:val="20"/>
              </w:rPr>
            </w:pPr>
          </w:p>
        </w:tc>
        <w:tc>
          <w:tcPr>
            <w:tcW w:w="0" w:type="auto"/>
            <w:shd w:val="clear" w:color="auto" w:fill="auto"/>
            <w:vAlign w:val="center"/>
          </w:tcPr>
          <w:p w14:paraId="4E56B09B" w14:textId="77777777" w:rsidR="00DF3E10" w:rsidRDefault="00DF3E10">
            <w:pPr>
              <w:rPr>
                <w:rFonts w:ascii="Times New Roman" w:hAnsi="Times New Roman"/>
                <w:sz w:val="20"/>
                <w:szCs w:val="20"/>
              </w:rPr>
            </w:pPr>
          </w:p>
        </w:tc>
      </w:tr>
      <w:tr w:rsidR="00DF3E10" w14:paraId="4E56B09F" w14:textId="77777777">
        <w:trPr>
          <w:tblCellSpacing w:w="0" w:type="dxa"/>
        </w:trPr>
        <w:tc>
          <w:tcPr>
            <w:tcW w:w="0" w:type="auto"/>
            <w:shd w:val="clear" w:color="auto" w:fill="auto"/>
          </w:tcPr>
          <w:p w14:paraId="4E56B09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9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technical or other problems prevent us from delivering our products in a rapid and reliable manner or otherwise affect the user experience, such as security breaches or failure to prevent or li</w:t>
            </w:r>
            <w:r>
              <w:rPr>
                <w:rFonts w:ascii="Times New Roman" w:eastAsia="宋体" w:hAnsi="Times New Roman"/>
                <w:sz w:val="20"/>
                <w:szCs w:val="20"/>
              </w:rPr>
              <w:t xml:space="preserve">mit spam or similar content; </w:t>
            </w:r>
          </w:p>
        </w:tc>
      </w:tr>
    </w:tbl>
    <w:p w14:paraId="4E56B0A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A3" w14:textId="77777777">
        <w:trPr>
          <w:tblCellSpacing w:w="0" w:type="dxa"/>
        </w:trPr>
        <w:tc>
          <w:tcPr>
            <w:tcW w:w="1440" w:type="dxa"/>
            <w:shd w:val="clear" w:color="auto" w:fill="auto"/>
            <w:vAlign w:val="center"/>
          </w:tcPr>
          <w:p w14:paraId="4E56B0A1" w14:textId="77777777" w:rsidR="00DF3E10" w:rsidRDefault="00DF3E10">
            <w:pPr>
              <w:rPr>
                <w:rFonts w:ascii="Times New Roman" w:hAnsi="Times New Roman"/>
                <w:sz w:val="20"/>
                <w:szCs w:val="20"/>
              </w:rPr>
            </w:pPr>
          </w:p>
        </w:tc>
        <w:tc>
          <w:tcPr>
            <w:tcW w:w="0" w:type="auto"/>
            <w:shd w:val="clear" w:color="auto" w:fill="auto"/>
            <w:vAlign w:val="center"/>
          </w:tcPr>
          <w:p w14:paraId="4E56B0A2" w14:textId="77777777" w:rsidR="00DF3E10" w:rsidRDefault="00DF3E10">
            <w:pPr>
              <w:rPr>
                <w:rFonts w:ascii="Times New Roman" w:hAnsi="Times New Roman"/>
                <w:sz w:val="20"/>
                <w:szCs w:val="20"/>
              </w:rPr>
            </w:pPr>
          </w:p>
        </w:tc>
      </w:tr>
      <w:tr w:rsidR="00DF3E10" w14:paraId="4E56B0A6" w14:textId="77777777">
        <w:trPr>
          <w:tblCellSpacing w:w="0" w:type="dxa"/>
        </w:trPr>
        <w:tc>
          <w:tcPr>
            <w:tcW w:w="0" w:type="auto"/>
            <w:shd w:val="clear" w:color="auto" w:fill="auto"/>
          </w:tcPr>
          <w:p w14:paraId="4E56B0A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A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adopt terms, policies, or procedures related to areas such as sharing, content, user data, or advertising that are perceived negatively by our users or the general public;</w:t>
            </w:r>
          </w:p>
        </w:tc>
      </w:tr>
    </w:tbl>
    <w:p w14:paraId="4E56B0A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AA" w14:textId="77777777">
        <w:trPr>
          <w:tblCellSpacing w:w="0" w:type="dxa"/>
        </w:trPr>
        <w:tc>
          <w:tcPr>
            <w:tcW w:w="1440" w:type="dxa"/>
            <w:shd w:val="clear" w:color="auto" w:fill="auto"/>
            <w:vAlign w:val="center"/>
          </w:tcPr>
          <w:p w14:paraId="4E56B0A8" w14:textId="77777777" w:rsidR="00DF3E10" w:rsidRDefault="00DF3E10">
            <w:pPr>
              <w:rPr>
                <w:rFonts w:ascii="Times New Roman" w:hAnsi="Times New Roman"/>
                <w:sz w:val="20"/>
                <w:szCs w:val="20"/>
              </w:rPr>
            </w:pPr>
          </w:p>
        </w:tc>
        <w:tc>
          <w:tcPr>
            <w:tcW w:w="0" w:type="auto"/>
            <w:shd w:val="clear" w:color="auto" w:fill="auto"/>
            <w:vAlign w:val="center"/>
          </w:tcPr>
          <w:p w14:paraId="4E56B0A9" w14:textId="77777777" w:rsidR="00DF3E10" w:rsidRDefault="00DF3E10">
            <w:pPr>
              <w:rPr>
                <w:rFonts w:ascii="Times New Roman" w:hAnsi="Times New Roman"/>
                <w:sz w:val="20"/>
                <w:szCs w:val="20"/>
              </w:rPr>
            </w:pPr>
          </w:p>
        </w:tc>
      </w:tr>
      <w:tr w:rsidR="00DF3E10" w14:paraId="4E56B0AD" w14:textId="77777777">
        <w:trPr>
          <w:tblCellSpacing w:w="0" w:type="dxa"/>
        </w:trPr>
        <w:tc>
          <w:tcPr>
            <w:tcW w:w="0" w:type="auto"/>
            <w:shd w:val="clear" w:color="auto" w:fill="auto"/>
          </w:tcPr>
          <w:p w14:paraId="4E56B0A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A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elect to focus our product </w:t>
            </w:r>
            <w:r>
              <w:rPr>
                <w:rFonts w:ascii="Times New Roman" w:eastAsia="宋体" w:hAnsi="Times New Roman"/>
                <w:sz w:val="20"/>
                <w:szCs w:val="20"/>
              </w:rPr>
              <w:t>decisions on longer-term initiatives that do not prioritize near-term user growth and engagement;</w:t>
            </w:r>
          </w:p>
        </w:tc>
      </w:tr>
    </w:tbl>
    <w:p w14:paraId="4E56B0A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B1" w14:textId="77777777">
        <w:trPr>
          <w:tblCellSpacing w:w="0" w:type="dxa"/>
        </w:trPr>
        <w:tc>
          <w:tcPr>
            <w:tcW w:w="1440" w:type="dxa"/>
            <w:shd w:val="clear" w:color="auto" w:fill="auto"/>
            <w:vAlign w:val="center"/>
          </w:tcPr>
          <w:p w14:paraId="4E56B0AF" w14:textId="77777777" w:rsidR="00DF3E10" w:rsidRDefault="00DF3E10">
            <w:pPr>
              <w:rPr>
                <w:rFonts w:ascii="Times New Roman" w:hAnsi="Times New Roman"/>
                <w:sz w:val="20"/>
                <w:szCs w:val="20"/>
              </w:rPr>
            </w:pPr>
          </w:p>
        </w:tc>
        <w:tc>
          <w:tcPr>
            <w:tcW w:w="0" w:type="auto"/>
            <w:shd w:val="clear" w:color="auto" w:fill="auto"/>
            <w:vAlign w:val="center"/>
          </w:tcPr>
          <w:p w14:paraId="4E56B0B0" w14:textId="77777777" w:rsidR="00DF3E10" w:rsidRDefault="00DF3E10">
            <w:pPr>
              <w:rPr>
                <w:rFonts w:ascii="Times New Roman" w:hAnsi="Times New Roman"/>
                <w:sz w:val="20"/>
                <w:szCs w:val="20"/>
              </w:rPr>
            </w:pPr>
          </w:p>
        </w:tc>
      </w:tr>
      <w:tr w:rsidR="00DF3E10" w14:paraId="4E56B0B4" w14:textId="77777777">
        <w:trPr>
          <w:tblCellSpacing w:w="0" w:type="dxa"/>
        </w:trPr>
        <w:tc>
          <w:tcPr>
            <w:tcW w:w="0" w:type="auto"/>
            <w:shd w:val="clear" w:color="auto" w:fill="auto"/>
          </w:tcPr>
          <w:p w14:paraId="4E56B0B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B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make changes in how we promote different products and services across our family of products;</w:t>
            </w:r>
          </w:p>
        </w:tc>
      </w:tr>
    </w:tbl>
    <w:p w14:paraId="4E56B0B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B8" w14:textId="77777777">
        <w:trPr>
          <w:tblCellSpacing w:w="0" w:type="dxa"/>
        </w:trPr>
        <w:tc>
          <w:tcPr>
            <w:tcW w:w="1440" w:type="dxa"/>
            <w:shd w:val="clear" w:color="auto" w:fill="auto"/>
            <w:vAlign w:val="center"/>
          </w:tcPr>
          <w:p w14:paraId="4E56B0B6" w14:textId="77777777" w:rsidR="00DF3E10" w:rsidRDefault="00DF3E10">
            <w:pPr>
              <w:rPr>
                <w:rFonts w:ascii="Times New Roman" w:hAnsi="Times New Roman"/>
                <w:sz w:val="20"/>
                <w:szCs w:val="20"/>
              </w:rPr>
            </w:pPr>
          </w:p>
        </w:tc>
        <w:tc>
          <w:tcPr>
            <w:tcW w:w="0" w:type="auto"/>
            <w:shd w:val="clear" w:color="auto" w:fill="auto"/>
            <w:vAlign w:val="center"/>
          </w:tcPr>
          <w:p w14:paraId="4E56B0B7" w14:textId="77777777" w:rsidR="00DF3E10" w:rsidRDefault="00DF3E10">
            <w:pPr>
              <w:rPr>
                <w:rFonts w:ascii="Times New Roman" w:hAnsi="Times New Roman"/>
                <w:sz w:val="20"/>
                <w:szCs w:val="20"/>
              </w:rPr>
            </w:pPr>
          </w:p>
        </w:tc>
      </w:tr>
      <w:tr w:rsidR="00DF3E10" w14:paraId="4E56B0BB" w14:textId="77777777">
        <w:trPr>
          <w:tblCellSpacing w:w="0" w:type="dxa"/>
        </w:trPr>
        <w:tc>
          <w:tcPr>
            <w:tcW w:w="0" w:type="auto"/>
            <w:shd w:val="clear" w:color="auto" w:fill="auto"/>
          </w:tcPr>
          <w:p w14:paraId="4E56B0B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B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initiatives designed to attract and </w:t>
            </w:r>
            <w:r>
              <w:rPr>
                <w:rFonts w:ascii="Times New Roman" w:eastAsia="宋体" w:hAnsi="Times New Roman"/>
                <w:sz w:val="20"/>
                <w:szCs w:val="20"/>
              </w:rPr>
              <w:t>retain users and engagement are unsuccessful or discontinued, whether as a result of actions by us, third parties, or otherwise;</w:t>
            </w:r>
          </w:p>
        </w:tc>
      </w:tr>
    </w:tbl>
    <w:p w14:paraId="4E56B0B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BF" w14:textId="77777777">
        <w:trPr>
          <w:tblCellSpacing w:w="0" w:type="dxa"/>
        </w:trPr>
        <w:tc>
          <w:tcPr>
            <w:tcW w:w="1440" w:type="dxa"/>
            <w:shd w:val="clear" w:color="auto" w:fill="auto"/>
            <w:vAlign w:val="center"/>
          </w:tcPr>
          <w:p w14:paraId="4E56B0BD" w14:textId="77777777" w:rsidR="00DF3E10" w:rsidRDefault="00DF3E10">
            <w:pPr>
              <w:rPr>
                <w:rFonts w:ascii="Times New Roman" w:hAnsi="Times New Roman"/>
                <w:sz w:val="20"/>
                <w:szCs w:val="20"/>
              </w:rPr>
            </w:pPr>
          </w:p>
        </w:tc>
        <w:tc>
          <w:tcPr>
            <w:tcW w:w="0" w:type="auto"/>
            <w:shd w:val="clear" w:color="auto" w:fill="auto"/>
            <w:vAlign w:val="center"/>
          </w:tcPr>
          <w:p w14:paraId="4E56B0BE" w14:textId="77777777" w:rsidR="00DF3E10" w:rsidRDefault="00DF3E10">
            <w:pPr>
              <w:rPr>
                <w:rFonts w:ascii="Times New Roman" w:hAnsi="Times New Roman"/>
                <w:sz w:val="20"/>
                <w:szCs w:val="20"/>
              </w:rPr>
            </w:pPr>
          </w:p>
        </w:tc>
      </w:tr>
      <w:tr w:rsidR="00DF3E10" w14:paraId="4E56B0C2" w14:textId="77777777">
        <w:trPr>
          <w:tblCellSpacing w:w="0" w:type="dxa"/>
        </w:trPr>
        <w:tc>
          <w:tcPr>
            <w:tcW w:w="0" w:type="auto"/>
            <w:shd w:val="clear" w:color="auto" w:fill="auto"/>
          </w:tcPr>
          <w:p w14:paraId="4E56B0C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C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third-party initiatives that may enable greater use of our products, including low-cost or discounted data plans, are </w:t>
            </w:r>
            <w:r>
              <w:rPr>
                <w:rFonts w:ascii="Times New Roman" w:eastAsia="宋体" w:hAnsi="Times New Roman"/>
                <w:sz w:val="20"/>
                <w:szCs w:val="20"/>
              </w:rPr>
              <w:t>discontinued;</w:t>
            </w:r>
          </w:p>
        </w:tc>
      </w:tr>
    </w:tbl>
    <w:p w14:paraId="4E56B0C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C6" w14:textId="77777777">
        <w:trPr>
          <w:tblCellSpacing w:w="0" w:type="dxa"/>
        </w:trPr>
        <w:tc>
          <w:tcPr>
            <w:tcW w:w="1440" w:type="dxa"/>
            <w:shd w:val="clear" w:color="auto" w:fill="auto"/>
            <w:vAlign w:val="center"/>
          </w:tcPr>
          <w:p w14:paraId="4E56B0C4" w14:textId="77777777" w:rsidR="00DF3E10" w:rsidRDefault="00DF3E10">
            <w:pPr>
              <w:rPr>
                <w:rFonts w:ascii="Times New Roman" w:hAnsi="Times New Roman"/>
                <w:sz w:val="20"/>
                <w:szCs w:val="20"/>
              </w:rPr>
            </w:pPr>
          </w:p>
        </w:tc>
        <w:tc>
          <w:tcPr>
            <w:tcW w:w="0" w:type="auto"/>
            <w:shd w:val="clear" w:color="auto" w:fill="auto"/>
            <w:vAlign w:val="center"/>
          </w:tcPr>
          <w:p w14:paraId="4E56B0C5" w14:textId="77777777" w:rsidR="00DF3E10" w:rsidRDefault="00DF3E10">
            <w:pPr>
              <w:rPr>
                <w:rFonts w:ascii="Times New Roman" w:hAnsi="Times New Roman"/>
                <w:sz w:val="20"/>
                <w:szCs w:val="20"/>
              </w:rPr>
            </w:pPr>
          </w:p>
        </w:tc>
      </w:tr>
      <w:tr w:rsidR="00DF3E10" w14:paraId="4E56B0C9" w14:textId="77777777">
        <w:trPr>
          <w:tblCellSpacing w:w="0" w:type="dxa"/>
        </w:trPr>
        <w:tc>
          <w:tcPr>
            <w:tcW w:w="0" w:type="auto"/>
            <w:shd w:val="clear" w:color="auto" w:fill="auto"/>
          </w:tcPr>
          <w:p w14:paraId="4E56B0C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C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there is decreased engagement with our products as a result of taxes imposed on the use of social media or other mobile applications in certain countries, internet shutdowns, or other actions by governments that affect the accessibilit</w:t>
            </w:r>
            <w:r>
              <w:rPr>
                <w:rFonts w:ascii="Times New Roman" w:eastAsia="宋体" w:hAnsi="Times New Roman"/>
                <w:sz w:val="20"/>
                <w:szCs w:val="20"/>
              </w:rPr>
              <w:t>y of our products in their countries;</w:t>
            </w:r>
          </w:p>
        </w:tc>
      </w:tr>
    </w:tbl>
    <w:p w14:paraId="4E56B0C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CD" w14:textId="77777777">
        <w:trPr>
          <w:tblCellSpacing w:w="0" w:type="dxa"/>
        </w:trPr>
        <w:tc>
          <w:tcPr>
            <w:tcW w:w="1440" w:type="dxa"/>
            <w:shd w:val="clear" w:color="auto" w:fill="auto"/>
            <w:vAlign w:val="center"/>
          </w:tcPr>
          <w:p w14:paraId="4E56B0CB" w14:textId="77777777" w:rsidR="00DF3E10" w:rsidRDefault="00DF3E10">
            <w:pPr>
              <w:rPr>
                <w:rFonts w:ascii="Times New Roman" w:hAnsi="Times New Roman"/>
                <w:sz w:val="20"/>
                <w:szCs w:val="20"/>
              </w:rPr>
            </w:pPr>
          </w:p>
        </w:tc>
        <w:tc>
          <w:tcPr>
            <w:tcW w:w="0" w:type="auto"/>
            <w:shd w:val="clear" w:color="auto" w:fill="auto"/>
            <w:vAlign w:val="center"/>
          </w:tcPr>
          <w:p w14:paraId="4E56B0CC" w14:textId="77777777" w:rsidR="00DF3E10" w:rsidRDefault="00DF3E10">
            <w:pPr>
              <w:rPr>
                <w:rFonts w:ascii="Times New Roman" w:hAnsi="Times New Roman"/>
                <w:sz w:val="20"/>
                <w:szCs w:val="20"/>
              </w:rPr>
            </w:pPr>
          </w:p>
        </w:tc>
      </w:tr>
      <w:tr w:rsidR="00DF3E10" w14:paraId="4E56B0D0" w14:textId="77777777">
        <w:trPr>
          <w:tblCellSpacing w:w="0" w:type="dxa"/>
        </w:trPr>
        <w:tc>
          <w:tcPr>
            <w:tcW w:w="0" w:type="auto"/>
            <w:shd w:val="clear" w:color="auto" w:fill="auto"/>
          </w:tcPr>
          <w:p w14:paraId="4E56B0C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C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provide adequate customer service to users, marketers, developers, or other partners;</w:t>
            </w:r>
          </w:p>
        </w:tc>
      </w:tr>
    </w:tbl>
    <w:p w14:paraId="4E56B0D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D4" w14:textId="77777777">
        <w:trPr>
          <w:tblCellSpacing w:w="0" w:type="dxa"/>
        </w:trPr>
        <w:tc>
          <w:tcPr>
            <w:tcW w:w="1440" w:type="dxa"/>
            <w:shd w:val="clear" w:color="auto" w:fill="auto"/>
            <w:vAlign w:val="center"/>
          </w:tcPr>
          <w:p w14:paraId="4E56B0D2" w14:textId="77777777" w:rsidR="00DF3E10" w:rsidRDefault="00DF3E10">
            <w:pPr>
              <w:rPr>
                <w:rFonts w:ascii="Times New Roman" w:hAnsi="Times New Roman"/>
                <w:sz w:val="20"/>
                <w:szCs w:val="20"/>
              </w:rPr>
            </w:pPr>
          </w:p>
        </w:tc>
        <w:tc>
          <w:tcPr>
            <w:tcW w:w="0" w:type="auto"/>
            <w:shd w:val="clear" w:color="auto" w:fill="auto"/>
            <w:vAlign w:val="center"/>
          </w:tcPr>
          <w:p w14:paraId="4E56B0D3" w14:textId="77777777" w:rsidR="00DF3E10" w:rsidRDefault="00DF3E10">
            <w:pPr>
              <w:rPr>
                <w:rFonts w:ascii="Times New Roman" w:hAnsi="Times New Roman"/>
                <w:sz w:val="20"/>
                <w:szCs w:val="20"/>
              </w:rPr>
            </w:pPr>
          </w:p>
        </w:tc>
      </w:tr>
      <w:tr w:rsidR="00DF3E10" w14:paraId="4E56B0D7" w14:textId="77777777">
        <w:trPr>
          <w:tblCellSpacing w:w="0" w:type="dxa"/>
        </w:trPr>
        <w:tc>
          <w:tcPr>
            <w:tcW w:w="0" w:type="auto"/>
            <w:shd w:val="clear" w:color="auto" w:fill="auto"/>
          </w:tcPr>
          <w:p w14:paraId="4E56B0D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D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developers whose products are integrated with our products, or other partners and companies in our </w:t>
            </w:r>
            <w:r>
              <w:rPr>
                <w:rFonts w:ascii="Times New Roman" w:eastAsia="宋体" w:hAnsi="Times New Roman"/>
                <w:sz w:val="20"/>
                <w:szCs w:val="20"/>
              </w:rPr>
              <w:t>industry are the subject of adverse media reports or other negative publicity, including as a result of our or their user data practices; or</w:t>
            </w:r>
          </w:p>
        </w:tc>
      </w:tr>
    </w:tbl>
    <w:p w14:paraId="4E56B0D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DB" w14:textId="77777777">
        <w:trPr>
          <w:tblCellSpacing w:w="0" w:type="dxa"/>
        </w:trPr>
        <w:tc>
          <w:tcPr>
            <w:tcW w:w="1440" w:type="dxa"/>
            <w:shd w:val="clear" w:color="auto" w:fill="auto"/>
            <w:vAlign w:val="center"/>
          </w:tcPr>
          <w:p w14:paraId="4E56B0D9" w14:textId="77777777" w:rsidR="00DF3E10" w:rsidRDefault="00DF3E10">
            <w:pPr>
              <w:rPr>
                <w:rFonts w:ascii="Times New Roman" w:hAnsi="Times New Roman"/>
                <w:sz w:val="20"/>
                <w:szCs w:val="20"/>
              </w:rPr>
            </w:pPr>
          </w:p>
        </w:tc>
        <w:tc>
          <w:tcPr>
            <w:tcW w:w="0" w:type="auto"/>
            <w:shd w:val="clear" w:color="auto" w:fill="auto"/>
            <w:vAlign w:val="center"/>
          </w:tcPr>
          <w:p w14:paraId="4E56B0DA" w14:textId="77777777" w:rsidR="00DF3E10" w:rsidRDefault="00DF3E10">
            <w:pPr>
              <w:rPr>
                <w:rFonts w:ascii="Times New Roman" w:hAnsi="Times New Roman"/>
                <w:sz w:val="20"/>
                <w:szCs w:val="20"/>
              </w:rPr>
            </w:pPr>
          </w:p>
        </w:tc>
      </w:tr>
      <w:tr w:rsidR="00DF3E10" w14:paraId="4E56B0DE" w14:textId="77777777">
        <w:trPr>
          <w:tblCellSpacing w:w="0" w:type="dxa"/>
        </w:trPr>
        <w:tc>
          <w:tcPr>
            <w:tcW w:w="0" w:type="auto"/>
            <w:shd w:val="clear" w:color="auto" w:fill="auto"/>
          </w:tcPr>
          <w:p w14:paraId="4E56B0D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D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current or future products, such as our development tools and application programming </w:t>
            </w:r>
            <w:r>
              <w:rPr>
                <w:rFonts w:ascii="Times New Roman" w:eastAsia="宋体" w:hAnsi="Times New Roman"/>
                <w:sz w:val="20"/>
                <w:szCs w:val="20"/>
              </w:rPr>
              <w:t>interfaces that enable developers to build, grow, and monetize mobile and web applications, reduce user activity on our products by making it easier for our users to interact and share on third-party mobile and web applications.</w:t>
            </w:r>
          </w:p>
        </w:tc>
      </w:tr>
    </w:tbl>
    <w:p w14:paraId="4E56B0D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certain</w:t>
      </w:r>
      <w:r>
        <w:rPr>
          <w:rFonts w:ascii="Times New Roman" w:eastAsia="宋体" w:hAnsi="Times New Roman"/>
          <w:sz w:val="20"/>
          <w:szCs w:val="20"/>
        </w:rPr>
        <w:t xml:space="preserve"> of these factors have negatively affected user retention, growth, and engagement to varying degrees. If we are unable to maintain or increase our user base and user engagement, particularly for our significant revenue-generating products like Facebook and</w:t>
      </w:r>
      <w:r>
        <w:rPr>
          <w:rFonts w:ascii="Times New Roman" w:eastAsia="宋体" w:hAnsi="Times New Roman"/>
          <w:sz w:val="20"/>
          <w:szCs w:val="20"/>
        </w:rPr>
        <w:t xml:space="preserve"> Instagram, our revenue and financial results may be adversely affected. Any decrease in user retention, growth, or engagement could render our products less attractive to users, marketers, and developers, which is likely to have a material and adverse imp</w:t>
      </w:r>
      <w:r>
        <w:rPr>
          <w:rFonts w:ascii="Times New Roman" w:eastAsia="宋体" w:hAnsi="Times New Roman"/>
          <w:sz w:val="20"/>
          <w:szCs w:val="20"/>
        </w:rPr>
        <w:t>act on our revenue, business, financial condition, and results of operations. If our active user growth rate continues to slow, we will become increasingly dependent on our ability to maintain or increase levels of user engagement and monetization in order</w:t>
      </w:r>
      <w:r>
        <w:rPr>
          <w:rFonts w:ascii="Times New Roman" w:eastAsia="宋体" w:hAnsi="Times New Roman"/>
          <w:sz w:val="20"/>
          <w:szCs w:val="20"/>
        </w:rPr>
        <w:t xml:space="preserve"> to drive revenue growth.</w:t>
      </w:r>
    </w:p>
    <w:p w14:paraId="4E56B0E0" w14:textId="77777777" w:rsidR="00DF3E10" w:rsidRDefault="00DF3E10">
      <w:pPr>
        <w:rPr>
          <w:rFonts w:ascii="Times New Roman" w:hAnsi="Times New Roman"/>
          <w:sz w:val="20"/>
          <w:szCs w:val="20"/>
        </w:rPr>
      </w:pPr>
    </w:p>
    <w:p w14:paraId="4E56B0E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52</w:t>
      </w:r>
    </w:p>
    <w:p w14:paraId="4E56B0E2" w14:textId="77777777" w:rsidR="00DF3E10" w:rsidRDefault="006B6C28">
      <w:r>
        <w:rPr>
          <w:rFonts w:ascii="Times New Roman" w:hAnsi="Times New Roman"/>
          <w:sz w:val="20"/>
          <w:szCs w:val="20"/>
        </w:rPr>
        <w:pict w14:anchorId="4E56B791">
          <v:rect id="_x0000_i1076" style="width:415.3pt;height:1.5pt" o:hralign="center" o:hrstd="t" o:hr="t" fillcolor="#a0a0a0" stroked="f"/>
        </w:pict>
      </w:r>
    </w:p>
    <w:p w14:paraId="4E56B0E3" w14:textId="77777777" w:rsidR="00DF3E10" w:rsidRDefault="006B6C28">
      <w:pPr>
        <w:spacing w:line="288" w:lineRule="auto"/>
        <w:rPr>
          <w:rFonts w:ascii="Times New Roman" w:hAnsi="Times New Roman"/>
          <w:sz w:val="20"/>
          <w:szCs w:val="20"/>
        </w:rPr>
      </w:pPr>
      <w:hyperlink r:id="rId93" w:anchor="sC1FF62F0D4D85317B5B2C71C7C94F269" w:history="1">
        <w:r>
          <w:rPr>
            <w:rStyle w:val="a5"/>
            <w:rFonts w:ascii="Times New Roman" w:eastAsia="宋体" w:hAnsi="Times New Roman"/>
            <w:sz w:val="20"/>
            <w:szCs w:val="20"/>
          </w:rPr>
          <w:t>Table of Contents</w:t>
        </w:r>
      </w:hyperlink>
    </w:p>
    <w:p w14:paraId="4E56B0E4" w14:textId="77777777" w:rsidR="00DF3E10" w:rsidRDefault="00DF3E10">
      <w:pPr>
        <w:rPr>
          <w:rFonts w:ascii="Times New Roman" w:hAnsi="Times New Roman"/>
          <w:sz w:val="20"/>
          <w:szCs w:val="20"/>
        </w:rPr>
      </w:pPr>
    </w:p>
    <w:p w14:paraId="4E56B0E5"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generate substantially all of our revenue from ad</w:t>
      </w:r>
      <w:r>
        <w:rPr>
          <w:rFonts w:ascii="Times New Roman" w:eastAsia="宋体" w:hAnsi="Times New Roman"/>
          <w:b/>
          <w:bCs/>
          <w:i/>
          <w:iCs/>
          <w:sz w:val="20"/>
          <w:szCs w:val="20"/>
        </w:rPr>
        <w:t>vertising. The loss of marketers, or reduction in spending by marketers, could seriously harm our business.</w:t>
      </w:r>
    </w:p>
    <w:p w14:paraId="4E56B0E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Substantially all of our revenue is currently generated from third parties advertising on Facebook and Instagram. As is common in the industry, our </w:t>
      </w:r>
      <w:r>
        <w:rPr>
          <w:rFonts w:ascii="Times New Roman" w:eastAsia="宋体" w:hAnsi="Times New Roman"/>
          <w:sz w:val="20"/>
          <w:szCs w:val="20"/>
        </w:rPr>
        <w:t>marketers do not have long-term advertising commitments with us. Many of our marketers spend only a relatively small portion of their overall advertising budget with us. Marketers will not continue to do business with us, or they will reduce the budgets th</w:t>
      </w:r>
      <w:r>
        <w:rPr>
          <w:rFonts w:ascii="Times New Roman" w:eastAsia="宋体" w:hAnsi="Times New Roman"/>
          <w:sz w:val="20"/>
          <w:szCs w:val="20"/>
        </w:rPr>
        <w:t xml:space="preserve">ey are willing to commit to us, if we do not deliver ads in an effective manner, or if they do not believe that their investment in advertising with us will generate a competitive return relative to other alternatives. We have recently implemented, and we </w:t>
      </w:r>
      <w:r>
        <w:rPr>
          <w:rFonts w:ascii="Times New Roman" w:eastAsia="宋体" w:hAnsi="Times New Roman"/>
          <w:sz w:val="20"/>
          <w:szCs w:val="20"/>
        </w:rPr>
        <w:t>will continue to implement, changes to our user data practices. Some of these changes reduce our ability to effectively target ads, which has to some extent adversely affected, and will continue to adversely affect, our advertising business. If we are unab</w:t>
      </w:r>
      <w:r>
        <w:rPr>
          <w:rFonts w:ascii="Times New Roman" w:eastAsia="宋体" w:hAnsi="Times New Roman"/>
          <w:sz w:val="20"/>
          <w:szCs w:val="20"/>
        </w:rPr>
        <w:t>le to provide marketers with a suitable return on investment, the pricing of our ads may not increase, or may decline, in which case our revenue and financial results may be harmed.</w:t>
      </w:r>
    </w:p>
    <w:p w14:paraId="4E56B0E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advertising revenue can also be adversely affected by a number of othe</w:t>
      </w:r>
      <w:r>
        <w:rPr>
          <w:rFonts w:ascii="Times New Roman" w:eastAsia="宋体" w:hAnsi="Times New Roman"/>
          <w:sz w:val="20"/>
          <w:szCs w:val="20"/>
        </w:rPr>
        <w:t>r factors,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66"/>
      </w:tblGrid>
      <w:tr w:rsidR="00DF3E10" w14:paraId="4E56B0EA" w14:textId="77777777">
        <w:trPr>
          <w:tblCellSpacing w:w="0" w:type="dxa"/>
        </w:trPr>
        <w:tc>
          <w:tcPr>
            <w:tcW w:w="1440" w:type="dxa"/>
            <w:shd w:val="clear" w:color="auto" w:fill="auto"/>
            <w:vAlign w:val="center"/>
          </w:tcPr>
          <w:p w14:paraId="4E56B0E8" w14:textId="77777777" w:rsidR="00DF3E10" w:rsidRDefault="00DF3E10">
            <w:pPr>
              <w:rPr>
                <w:rFonts w:ascii="Times New Roman" w:hAnsi="Times New Roman"/>
                <w:sz w:val="20"/>
                <w:szCs w:val="20"/>
              </w:rPr>
            </w:pPr>
          </w:p>
        </w:tc>
        <w:tc>
          <w:tcPr>
            <w:tcW w:w="0" w:type="auto"/>
            <w:shd w:val="clear" w:color="auto" w:fill="auto"/>
            <w:vAlign w:val="center"/>
          </w:tcPr>
          <w:p w14:paraId="4E56B0E9" w14:textId="77777777" w:rsidR="00DF3E10" w:rsidRDefault="00DF3E10">
            <w:pPr>
              <w:rPr>
                <w:rFonts w:ascii="Times New Roman" w:hAnsi="Times New Roman"/>
                <w:sz w:val="20"/>
                <w:szCs w:val="20"/>
              </w:rPr>
            </w:pPr>
          </w:p>
        </w:tc>
      </w:tr>
      <w:tr w:rsidR="00DF3E10" w14:paraId="4E56B0ED" w14:textId="77777777">
        <w:trPr>
          <w:tblCellSpacing w:w="0" w:type="dxa"/>
        </w:trPr>
        <w:tc>
          <w:tcPr>
            <w:tcW w:w="0" w:type="auto"/>
            <w:shd w:val="clear" w:color="auto" w:fill="auto"/>
          </w:tcPr>
          <w:p w14:paraId="4E56B0E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E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decreases in user engagement, including time spent on our products;</w:t>
            </w:r>
          </w:p>
        </w:tc>
      </w:tr>
    </w:tbl>
    <w:p w14:paraId="4E56B0E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0"/>
      </w:tblGrid>
      <w:tr w:rsidR="00DF3E10" w14:paraId="4E56B0F1" w14:textId="77777777">
        <w:trPr>
          <w:tblCellSpacing w:w="0" w:type="dxa"/>
        </w:trPr>
        <w:tc>
          <w:tcPr>
            <w:tcW w:w="1440" w:type="dxa"/>
            <w:shd w:val="clear" w:color="auto" w:fill="auto"/>
            <w:vAlign w:val="center"/>
          </w:tcPr>
          <w:p w14:paraId="4E56B0EF" w14:textId="77777777" w:rsidR="00DF3E10" w:rsidRDefault="00DF3E10">
            <w:pPr>
              <w:rPr>
                <w:rFonts w:ascii="Times New Roman" w:hAnsi="Times New Roman"/>
                <w:sz w:val="20"/>
                <w:szCs w:val="20"/>
              </w:rPr>
            </w:pPr>
          </w:p>
        </w:tc>
        <w:tc>
          <w:tcPr>
            <w:tcW w:w="0" w:type="auto"/>
            <w:shd w:val="clear" w:color="auto" w:fill="auto"/>
            <w:vAlign w:val="center"/>
          </w:tcPr>
          <w:p w14:paraId="4E56B0F0" w14:textId="77777777" w:rsidR="00DF3E10" w:rsidRDefault="00DF3E10">
            <w:pPr>
              <w:rPr>
                <w:rFonts w:ascii="Times New Roman" w:hAnsi="Times New Roman"/>
                <w:sz w:val="20"/>
                <w:szCs w:val="20"/>
              </w:rPr>
            </w:pPr>
          </w:p>
        </w:tc>
      </w:tr>
      <w:tr w:rsidR="00DF3E10" w14:paraId="4E56B0F4" w14:textId="77777777">
        <w:trPr>
          <w:tblCellSpacing w:w="0" w:type="dxa"/>
        </w:trPr>
        <w:tc>
          <w:tcPr>
            <w:tcW w:w="0" w:type="auto"/>
            <w:shd w:val="clear" w:color="auto" w:fill="auto"/>
          </w:tcPr>
          <w:p w14:paraId="4E56B0F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F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continue to increase user access to and engagement with our products;</w:t>
            </w:r>
          </w:p>
        </w:tc>
      </w:tr>
    </w:tbl>
    <w:p w14:paraId="4E56B0F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0F8" w14:textId="77777777">
        <w:trPr>
          <w:tblCellSpacing w:w="0" w:type="dxa"/>
        </w:trPr>
        <w:tc>
          <w:tcPr>
            <w:tcW w:w="1440" w:type="dxa"/>
            <w:shd w:val="clear" w:color="auto" w:fill="auto"/>
            <w:vAlign w:val="center"/>
          </w:tcPr>
          <w:p w14:paraId="4E56B0F6" w14:textId="77777777" w:rsidR="00DF3E10" w:rsidRDefault="00DF3E10">
            <w:pPr>
              <w:rPr>
                <w:rFonts w:ascii="Times New Roman" w:hAnsi="Times New Roman"/>
                <w:sz w:val="20"/>
                <w:szCs w:val="20"/>
              </w:rPr>
            </w:pPr>
          </w:p>
        </w:tc>
        <w:tc>
          <w:tcPr>
            <w:tcW w:w="0" w:type="auto"/>
            <w:shd w:val="clear" w:color="auto" w:fill="auto"/>
            <w:vAlign w:val="center"/>
          </w:tcPr>
          <w:p w14:paraId="4E56B0F7" w14:textId="77777777" w:rsidR="00DF3E10" w:rsidRDefault="00DF3E10">
            <w:pPr>
              <w:rPr>
                <w:rFonts w:ascii="Times New Roman" w:hAnsi="Times New Roman"/>
                <w:sz w:val="20"/>
                <w:szCs w:val="20"/>
              </w:rPr>
            </w:pPr>
          </w:p>
        </w:tc>
      </w:tr>
      <w:tr w:rsidR="00DF3E10" w14:paraId="4E56B0FB" w14:textId="77777777">
        <w:trPr>
          <w:tblCellSpacing w:w="0" w:type="dxa"/>
        </w:trPr>
        <w:tc>
          <w:tcPr>
            <w:tcW w:w="0" w:type="auto"/>
            <w:shd w:val="clear" w:color="auto" w:fill="auto"/>
          </w:tcPr>
          <w:p w14:paraId="4E56B0F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0F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product changes or inventory management decisions we may </w:t>
            </w:r>
            <w:r>
              <w:rPr>
                <w:rFonts w:ascii="Times New Roman" w:eastAsia="宋体" w:hAnsi="Times New Roman"/>
                <w:sz w:val="20"/>
                <w:szCs w:val="20"/>
              </w:rPr>
              <w:t>make that change the size, format, frequency, or relative prominence of ads displayed on our products or of other unpaid content shared by marketers on our products;</w:t>
            </w:r>
          </w:p>
        </w:tc>
      </w:tr>
    </w:tbl>
    <w:p w14:paraId="4E56B0F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43"/>
      </w:tblGrid>
      <w:tr w:rsidR="00DF3E10" w14:paraId="4E56B0FF" w14:textId="77777777">
        <w:trPr>
          <w:tblCellSpacing w:w="0" w:type="dxa"/>
        </w:trPr>
        <w:tc>
          <w:tcPr>
            <w:tcW w:w="1440" w:type="dxa"/>
            <w:shd w:val="clear" w:color="auto" w:fill="auto"/>
            <w:vAlign w:val="center"/>
          </w:tcPr>
          <w:p w14:paraId="4E56B0FD" w14:textId="77777777" w:rsidR="00DF3E10" w:rsidRDefault="00DF3E10">
            <w:pPr>
              <w:rPr>
                <w:rFonts w:ascii="Times New Roman" w:hAnsi="Times New Roman"/>
                <w:sz w:val="20"/>
                <w:szCs w:val="20"/>
              </w:rPr>
            </w:pPr>
          </w:p>
        </w:tc>
        <w:tc>
          <w:tcPr>
            <w:tcW w:w="0" w:type="auto"/>
            <w:shd w:val="clear" w:color="auto" w:fill="auto"/>
            <w:vAlign w:val="center"/>
          </w:tcPr>
          <w:p w14:paraId="4E56B0FE" w14:textId="77777777" w:rsidR="00DF3E10" w:rsidRDefault="00DF3E10">
            <w:pPr>
              <w:rPr>
                <w:rFonts w:ascii="Times New Roman" w:hAnsi="Times New Roman"/>
                <w:sz w:val="20"/>
                <w:szCs w:val="20"/>
              </w:rPr>
            </w:pPr>
          </w:p>
        </w:tc>
      </w:tr>
      <w:tr w:rsidR="00DF3E10" w14:paraId="4E56B102" w14:textId="77777777">
        <w:trPr>
          <w:tblCellSpacing w:w="0" w:type="dxa"/>
        </w:trPr>
        <w:tc>
          <w:tcPr>
            <w:tcW w:w="0" w:type="auto"/>
            <w:shd w:val="clear" w:color="auto" w:fill="auto"/>
          </w:tcPr>
          <w:p w14:paraId="4E56B10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0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maintain or increase marketer demand, the pricing of our ads, or </w:t>
            </w:r>
            <w:r>
              <w:rPr>
                <w:rFonts w:ascii="Times New Roman" w:eastAsia="宋体" w:hAnsi="Times New Roman"/>
                <w:sz w:val="20"/>
                <w:szCs w:val="20"/>
              </w:rPr>
              <w:t>both;</w:t>
            </w:r>
          </w:p>
        </w:tc>
      </w:tr>
    </w:tbl>
    <w:p w14:paraId="4E56B10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510"/>
      </w:tblGrid>
      <w:tr w:rsidR="00DF3E10" w14:paraId="4E56B106" w14:textId="77777777">
        <w:trPr>
          <w:tblCellSpacing w:w="0" w:type="dxa"/>
        </w:trPr>
        <w:tc>
          <w:tcPr>
            <w:tcW w:w="1440" w:type="dxa"/>
            <w:shd w:val="clear" w:color="auto" w:fill="auto"/>
            <w:vAlign w:val="center"/>
          </w:tcPr>
          <w:p w14:paraId="4E56B104" w14:textId="77777777" w:rsidR="00DF3E10" w:rsidRDefault="00DF3E10">
            <w:pPr>
              <w:rPr>
                <w:rFonts w:ascii="Times New Roman" w:hAnsi="Times New Roman"/>
                <w:sz w:val="20"/>
                <w:szCs w:val="20"/>
              </w:rPr>
            </w:pPr>
          </w:p>
        </w:tc>
        <w:tc>
          <w:tcPr>
            <w:tcW w:w="0" w:type="auto"/>
            <w:shd w:val="clear" w:color="auto" w:fill="auto"/>
            <w:vAlign w:val="center"/>
          </w:tcPr>
          <w:p w14:paraId="4E56B105" w14:textId="77777777" w:rsidR="00DF3E10" w:rsidRDefault="00DF3E10">
            <w:pPr>
              <w:rPr>
                <w:rFonts w:ascii="Times New Roman" w:hAnsi="Times New Roman"/>
                <w:sz w:val="20"/>
                <w:szCs w:val="20"/>
              </w:rPr>
            </w:pPr>
          </w:p>
        </w:tc>
      </w:tr>
      <w:tr w:rsidR="00DF3E10" w14:paraId="4E56B109" w14:textId="77777777">
        <w:trPr>
          <w:tblCellSpacing w:w="0" w:type="dxa"/>
        </w:trPr>
        <w:tc>
          <w:tcPr>
            <w:tcW w:w="0" w:type="auto"/>
            <w:shd w:val="clear" w:color="auto" w:fill="auto"/>
          </w:tcPr>
          <w:p w14:paraId="4E56B10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0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maintain or increase the quantity or quality of ads shown to users;</w:t>
            </w:r>
          </w:p>
        </w:tc>
      </w:tr>
    </w:tbl>
    <w:p w14:paraId="4E56B10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0D" w14:textId="77777777">
        <w:trPr>
          <w:tblCellSpacing w:w="0" w:type="dxa"/>
        </w:trPr>
        <w:tc>
          <w:tcPr>
            <w:tcW w:w="1440" w:type="dxa"/>
            <w:shd w:val="clear" w:color="auto" w:fill="auto"/>
            <w:vAlign w:val="center"/>
          </w:tcPr>
          <w:p w14:paraId="4E56B10B" w14:textId="77777777" w:rsidR="00DF3E10" w:rsidRDefault="00DF3E10">
            <w:pPr>
              <w:rPr>
                <w:rFonts w:ascii="Times New Roman" w:hAnsi="Times New Roman"/>
                <w:sz w:val="20"/>
                <w:szCs w:val="20"/>
              </w:rPr>
            </w:pPr>
          </w:p>
        </w:tc>
        <w:tc>
          <w:tcPr>
            <w:tcW w:w="0" w:type="auto"/>
            <w:shd w:val="clear" w:color="auto" w:fill="auto"/>
            <w:vAlign w:val="center"/>
          </w:tcPr>
          <w:p w14:paraId="4E56B10C" w14:textId="77777777" w:rsidR="00DF3E10" w:rsidRDefault="00DF3E10">
            <w:pPr>
              <w:rPr>
                <w:rFonts w:ascii="Times New Roman" w:hAnsi="Times New Roman"/>
                <w:sz w:val="20"/>
                <w:szCs w:val="20"/>
              </w:rPr>
            </w:pPr>
          </w:p>
        </w:tc>
      </w:tr>
      <w:tr w:rsidR="00DF3E10" w14:paraId="4E56B110" w14:textId="77777777">
        <w:trPr>
          <w:tblCellSpacing w:w="0" w:type="dxa"/>
        </w:trPr>
        <w:tc>
          <w:tcPr>
            <w:tcW w:w="0" w:type="auto"/>
            <w:shd w:val="clear" w:color="auto" w:fill="auto"/>
          </w:tcPr>
          <w:p w14:paraId="4E56B10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0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products that we successfully monetize, including as a result of our </w:t>
            </w:r>
            <w:r>
              <w:rPr>
                <w:rFonts w:ascii="Times New Roman" w:eastAsia="宋体" w:hAnsi="Times New Roman"/>
                <w:sz w:val="20"/>
                <w:szCs w:val="20"/>
              </w:rPr>
              <w:t>efforts to promote the Stories format or increased usage of our messaging products;</w:t>
            </w:r>
          </w:p>
        </w:tc>
      </w:tr>
    </w:tbl>
    <w:p w14:paraId="4E56B11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14" w14:textId="77777777">
        <w:trPr>
          <w:tblCellSpacing w:w="0" w:type="dxa"/>
        </w:trPr>
        <w:tc>
          <w:tcPr>
            <w:tcW w:w="1440" w:type="dxa"/>
            <w:shd w:val="clear" w:color="auto" w:fill="auto"/>
            <w:vAlign w:val="center"/>
          </w:tcPr>
          <w:p w14:paraId="4E56B112" w14:textId="77777777" w:rsidR="00DF3E10" w:rsidRDefault="00DF3E10">
            <w:pPr>
              <w:rPr>
                <w:rFonts w:ascii="Times New Roman" w:hAnsi="Times New Roman"/>
                <w:sz w:val="20"/>
                <w:szCs w:val="20"/>
              </w:rPr>
            </w:pPr>
          </w:p>
        </w:tc>
        <w:tc>
          <w:tcPr>
            <w:tcW w:w="0" w:type="auto"/>
            <w:shd w:val="clear" w:color="auto" w:fill="auto"/>
            <w:vAlign w:val="center"/>
          </w:tcPr>
          <w:p w14:paraId="4E56B113" w14:textId="77777777" w:rsidR="00DF3E10" w:rsidRDefault="00DF3E10">
            <w:pPr>
              <w:rPr>
                <w:rFonts w:ascii="Times New Roman" w:hAnsi="Times New Roman"/>
                <w:sz w:val="20"/>
                <w:szCs w:val="20"/>
              </w:rPr>
            </w:pPr>
          </w:p>
        </w:tc>
      </w:tr>
      <w:tr w:rsidR="00DF3E10" w14:paraId="4E56B117" w14:textId="77777777">
        <w:trPr>
          <w:tblCellSpacing w:w="0" w:type="dxa"/>
        </w:trPr>
        <w:tc>
          <w:tcPr>
            <w:tcW w:w="0" w:type="auto"/>
            <w:shd w:val="clear" w:color="auto" w:fill="auto"/>
          </w:tcPr>
          <w:p w14:paraId="4E56B11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1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our efforts to implement or enforce advertising policies that protect the security and integrity of our platform;</w:t>
            </w:r>
          </w:p>
        </w:tc>
      </w:tr>
    </w:tbl>
    <w:p w14:paraId="4E56B11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1B" w14:textId="77777777">
        <w:trPr>
          <w:tblCellSpacing w:w="0" w:type="dxa"/>
        </w:trPr>
        <w:tc>
          <w:tcPr>
            <w:tcW w:w="1440" w:type="dxa"/>
            <w:shd w:val="clear" w:color="auto" w:fill="auto"/>
            <w:vAlign w:val="center"/>
          </w:tcPr>
          <w:p w14:paraId="4E56B119" w14:textId="77777777" w:rsidR="00DF3E10" w:rsidRDefault="00DF3E10">
            <w:pPr>
              <w:rPr>
                <w:rFonts w:ascii="Times New Roman" w:hAnsi="Times New Roman"/>
                <w:sz w:val="20"/>
                <w:szCs w:val="20"/>
              </w:rPr>
            </w:pPr>
          </w:p>
        </w:tc>
        <w:tc>
          <w:tcPr>
            <w:tcW w:w="0" w:type="auto"/>
            <w:shd w:val="clear" w:color="auto" w:fill="auto"/>
            <w:vAlign w:val="center"/>
          </w:tcPr>
          <w:p w14:paraId="4E56B11A" w14:textId="77777777" w:rsidR="00DF3E10" w:rsidRDefault="00DF3E10">
            <w:pPr>
              <w:rPr>
                <w:rFonts w:ascii="Times New Roman" w:hAnsi="Times New Roman"/>
                <w:sz w:val="20"/>
                <w:szCs w:val="20"/>
              </w:rPr>
            </w:pPr>
          </w:p>
        </w:tc>
      </w:tr>
      <w:tr w:rsidR="00DF3E10" w14:paraId="4E56B11E" w14:textId="77777777">
        <w:trPr>
          <w:tblCellSpacing w:w="0" w:type="dxa"/>
        </w:trPr>
        <w:tc>
          <w:tcPr>
            <w:tcW w:w="0" w:type="auto"/>
            <w:shd w:val="clear" w:color="auto" w:fill="auto"/>
          </w:tcPr>
          <w:p w14:paraId="4E56B11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1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third-party policies that limit our ability to deliver, target, or measure the effectiveness of advertising, including changes by mobile operating system and browser providers such as Apple and Google;</w:t>
            </w:r>
          </w:p>
        </w:tc>
      </w:tr>
    </w:tbl>
    <w:p w14:paraId="4E56B11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22" w14:textId="77777777">
        <w:trPr>
          <w:tblCellSpacing w:w="0" w:type="dxa"/>
        </w:trPr>
        <w:tc>
          <w:tcPr>
            <w:tcW w:w="1440" w:type="dxa"/>
            <w:shd w:val="clear" w:color="auto" w:fill="auto"/>
            <w:vAlign w:val="center"/>
          </w:tcPr>
          <w:p w14:paraId="4E56B120" w14:textId="77777777" w:rsidR="00DF3E10" w:rsidRDefault="00DF3E10">
            <w:pPr>
              <w:rPr>
                <w:rFonts w:ascii="Times New Roman" w:hAnsi="Times New Roman"/>
                <w:sz w:val="20"/>
                <w:szCs w:val="20"/>
              </w:rPr>
            </w:pPr>
          </w:p>
        </w:tc>
        <w:tc>
          <w:tcPr>
            <w:tcW w:w="0" w:type="auto"/>
            <w:shd w:val="clear" w:color="auto" w:fill="auto"/>
            <w:vAlign w:val="center"/>
          </w:tcPr>
          <w:p w14:paraId="4E56B121" w14:textId="77777777" w:rsidR="00DF3E10" w:rsidRDefault="00DF3E10">
            <w:pPr>
              <w:rPr>
                <w:rFonts w:ascii="Times New Roman" w:hAnsi="Times New Roman"/>
                <w:sz w:val="20"/>
                <w:szCs w:val="20"/>
              </w:rPr>
            </w:pPr>
          </w:p>
        </w:tc>
      </w:tr>
      <w:tr w:rsidR="00DF3E10" w14:paraId="4E56B125" w14:textId="77777777">
        <w:trPr>
          <w:tblCellSpacing w:w="0" w:type="dxa"/>
        </w:trPr>
        <w:tc>
          <w:tcPr>
            <w:tcW w:w="0" w:type="auto"/>
            <w:shd w:val="clear" w:color="auto" w:fill="auto"/>
          </w:tcPr>
          <w:p w14:paraId="4E56B12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2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availability, </w:t>
            </w:r>
            <w:r>
              <w:rPr>
                <w:rFonts w:ascii="Times New Roman" w:eastAsia="宋体" w:hAnsi="Times New Roman"/>
                <w:sz w:val="20"/>
                <w:szCs w:val="20"/>
              </w:rPr>
              <w:t>accuracy, utility, and security of analytics and measurement solutions offered by us or third parties that demonstrate the value of our ads to marketers, or our ability to further improve such tools;</w:t>
            </w:r>
          </w:p>
        </w:tc>
      </w:tr>
    </w:tbl>
    <w:p w14:paraId="4E56B12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29" w14:textId="77777777">
        <w:trPr>
          <w:tblCellSpacing w:w="0" w:type="dxa"/>
        </w:trPr>
        <w:tc>
          <w:tcPr>
            <w:tcW w:w="1440" w:type="dxa"/>
            <w:shd w:val="clear" w:color="auto" w:fill="auto"/>
            <w:vAlign w:val="center"/>
          </w:tcPr>
          <w:p w14:paraId="4E56B127" w14:textId="77777777" w:rsidR="00DF3E10" w:rsidRDefault="00DF3E10">
            <w:pPr>
              <w:rPr>
                <w:rFonts w:ascii="Times New Roman" w:hAnsi="Times New Roman"/>
                <w:sz w:val="20"/>
                <w:szCs w:val="20"/>
              </w:rPr>
            </w:pPr>
          </w:p>
        </w:tc>
        <w:tc>
          <w:tcPr>
            <w:tcW w:w="0" w:type="auto"/>
            <w:shd w:val="clear" w:color="auto" w:fill="auto"/>
            <w:vAlign w:val="center"/>
          </w:tcPr>
          <w:p w14:paraId="4E56B128" w14:textId="77777777" w:rsidR="00DF3E10" w:rsidRDefault="00DF3E10">
            <w:pPr>
              <w:rPr>
                <w:rFonts w:ascii="Times New Roman" w:hAnsi="Times New Roman"/>
                <w:sz w:val="20"/>
                <w:szCs w:val="20"/>
              </w:rPr>
            </w:pPr>
          </w:p>
        </w:tc>
      </w:tr>
      <w:tr w:rsidR="00DF3E10" w14:paraId="4E56B12C" w14:textId="77777777">
        <w:trPr>
          <w:tblCellSpacing w:w="0" w:type="dxa"/>
        </w:trPr>
        <w:tc>
          <w:tcPr>
            <w:tcW w:w="0" w:type="auto"/>
            <w:shd w:val="clear" w:color="auto" w:fill="auto"/>
          </w:tcPr>
          <w:p w14:paraId="4E56B12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2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loss of advertising market share to our competitors, including if prices to purchase our ads increase or if competitors offer lower priced, more integrated or otherwise more effective products; </w:t>
            </w:r>
          </w:p>
        </w:tc>
      </w:tr>
    </w:tbl>
    <w:p w14:paraId="4E56B12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30" w14:textId="77777777">
        <w:trPr>
          <w:tblCellSpacing w:w="0" w:type="dxa"/>
        </w:trPr>
        <w:tc>
          <w:tcPr>
            <w:tcW w:w="1440" w:type="dxa"/>
            <w:shd w:val="clear" w:color="auto" w:fill="auto"/>
            <w:vAlign w:val="center"/>
          </w:tcPr>
          <w:p w14:paraId="4E56B12E" w14:textId="77777777" w:rsidR="00DF3E10" w:rsidRDefault="00DF3E10">
            <w:pPr>
              <w:rPr>
                <w:rFonts w:ascii="Times New Roman" w:hAnsi="Times New Roman"/>
                <w:sz w:val="20"/>
                <w:szCs w:val="20"/>
              </w:rPr>
            </w:pPr>
          </w:p>
        </w:tc>
        <w:tc>
          <w:tcPr>
            <w:tcW w:w="0" w:type="auto"/>
            <w:shd w:val="clear" w:color="auto" w:fill="auto"/>
            <w:vAlign w:val="center"/>
          </w:tcPr>
          <w:p w14:paraId="4E56B12F" w14:textId="77777777" w:rsidR="00DF3E10" w:rsidRDefault="00DF3E10">
            <w:pPr>
              <w:rPr>
                <w:rFonts w:ascii="Times New Roman" w:hAnsi="Times New Roman"/>
                <w:sz w:val="20"/>
                <w:szCs w:val="20"/>
              </w:rPr>
            </w:pPr>
          </w:p>
        </w:tc>
      </w:tr>
      <w:tr w:rsidR="00DF3E10" w14:paraId="4E56B133" w14:textId="77777777">
        <w:trPr>
          <w:tblCellSpacing w:w="0" w:type="dxa"/>
        </w:trPr>
        <w:tc>
          <w:tcPr>
            <w:tcW w:w="0" w:type="auto"/>
            <w:shd w:val="clear" w:color="auto" w:fill="auto"/>
          </w:tcPr>
          <w:p w14:paraId="4E56B13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3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adverse government actions or legislative, regulatory,</w:t>
            </w:r>
            <w:r>
              <w:rPr>
                <w:rFonts w:ascii="Times New Roman" w:eastAsia="宋体" w:hAnsi="Times New Roman"/>
                <w:sz w:val="20"/>
                <w:szCs w:val="20"/>
              </w:rPr>
              <w:t xml:space="preserve"> or other legal developments relating to advertising, including developments that may impact our ability to deliver, target, or measure the effectiveness of advertising;</w:t>
            </w:r>
          </w:p>
        </w:tc>
      </w:tr>
    </w:tbl>
    <w:p w14:paraId="4E56B13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37" w14:textId="77777777">
        <w:trPr>
          <w:tblCellSpacing w:w="0" w:type="dxa"/>
        </w:trPr>
        <w:tc>
          <w:tcPr>
            <w:tcW w:w="1440" w:type="dxa"/>
            <w:shd w:val="clear" w:color="auto" w:fill="auto"/>
            <w:vAlign w:val="center"/>
          </w:tcPr>
          <w:p w14:paraId="4E56B135" w14:textId="77777777" w:rsidR="00DF3E10" w:rsidRDefault="00DF3E10">
            <w:pPr>
              <w:rPr>
                <w:rFonts w:ascii="Times New Roman" w:hAnsi="Times New Roman"/>
                <w:sz w:val="20"/>
                <w:szCs w:val="20"/>
              </w:rPr>
            </w:pPr>
          </w:p>
        </w:tc>
        <w:tc>
          <w:tcPr>
            <w:tcW w:w="0" w:type="auto"/>
            <w:shd w:val="clear" w:color="auto" w:fill="auto"/>
            <w:vAlign w:val="center"/>
          </w:tcPr>
          <w:p w14:paraId="4E56B136" w14:textId="77777777" w:rsidR="00DF3E10" w:rsidRDefault="00DF3E10">
            <w:pPr>
              <w:rPr>
                <w:rFonts w:ascii="Times New Roman" w:hAnsi="Times New Roman"/>
                <w:sz w:val="20"/>
                <w:szCs w:val="20"/>
              </w:rPr>
            </w:pPr>
          </w:p>
        </w:tc>
      </w:tr>
      <w:tr w:rsidR="00DF3E10" w14:paraId="4E56B13A" w14:textId="77777777">
        <w:trPr>
          <w:tblCellSpacing w:w="0" w:type="dxa"/>
        </w:trPr>
        <w:tc>
          <w:tcPr>
            <w:tcW w:w="0" w:type="auto"/>
            <w:shd w:val="clear" w:color="auto" w:fill="auto"/>
          </w:tcPr>
          <w:p w14:paraId="4E56B13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3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our marketing and sales or other operations that we are </w:t>
            </w:r>
            <w:r>
              <w:rPr>
                <w:rFonts w:ascii="Times New Roman" w:eastAsia="宋体" w:hAnsi="Times New Roman"/>
                <w:sz w:val="20"/>
                <w:szCs w:val="20"/>
              </w:rPr>
              <w:t>required to or elect to make as a result of risks related to complying with foreign laws or regulatory requirements or other government actions;</w:t>
            </w:r>
          </w:p>
        </w:tc>
      </w:tr>
    </w:tbl>
    <w:p w14:paraId="4E56B13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3E" w14:textId="77777777">
        <w:trPr>
          <w:tblCellSpacing w:w="0" w:type="dxa"/>
        </w:trPr>
        <w:tc>
          <w:tcPr>
            <w:tcW w:w="1440" w:type="dxa"/>
            <w:shd w:val="clear" w:color="auto" w:fill="auto"/>
            <w:vAlign w:val="center"/>
          </w:tcPr>
          <w:p w14:paraId="4E56B13C" w14:textId="77777777" w:rsidR="00DF3E10" w:rsidRDefault="00DF3E10">
            <w:pPr>
              <w:rPr>
                <w:rFonts w:ascii="Times New Roman" w:hAnsi="Times New Roman"/>
                <w:sz w:val="20"/>
                <w:szCs w:val="20"/>
              </w:rPr>
            </w:pPr>
          </w:p>
        </w:tc>
        <w:tc>
          <w:tcPr>
            <w:tcW w:w="0" w:type="auto"/>
            <w:shd w:val="clear" w:color="auto" w:fill="auto"/>
            <w:vAlign w:val="center"/>
          </w:tcPr>
          <w:p w14:paraId="4E56B13D" w14:textId="77777777" w:rsidR="00DF3E10" w:rsidRDefault="00DF3E10">
            <w:pPr>
              <w:rPr>
                <w:rFonts w:ascii="Times New Roman" w:hAnsi="Times New Roman"/>
                <w:sz w:val="20"/>
                <w:szCs w:val="20"/>
              </w:rPr>
            </w:pPr>
          </w:p>
        </w:tc>
      </w:tr>
      <w:tr w:rsidR="00DF3E10" w14:paraId="4E56B141" w14:textId="77777777">
        <w:trPr>
          <w:tblCellSpacing w:w="0" w:type="dxa"/>
        </w:trPr>
        <w:tc>
          <w:tcPr>
            <w:tcW w:w="0" w:type="auto"/>
            <w:shd w:val="clear" w:color="auto" w:fill="auto"/>
          </w:tcPr>
          <w:p w14:paraId="4E56B13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4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decisions by marketers to reduce their advertising as a result of adverse media reports or other </w:t>
            </w:r>
            <w:r>
              <w:rPr>
                <w:rFonts w:ascii="Times New Roman" w:eastAsia="宋体" w:hAnsi="Times New Roman"/>
                <w:sz w:val="20"/>
                <w:szCs w:val="20"/>
              </w:rPr>
              <w:t>negative publicity involving us, our user data practices, our advertising metrics or tools, content on our products, developers with mobile and web applications that are integrated with our products, or other companies in our industry;</w:t>
            </w:r>
          </w:p>
        </w:tc>
      </w:tr>
    </w:tbl>
    <w:p w14:paraId="4E56B14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45" w14:textId="77777777">
        <w:trPr>
          <w:tblCellSpacing w:w="0" w:type="dxa"/>
        </w:trPr>
        <w:tc>
          <w:tcPr>
            <w:tcW w:w="1440" w:type="dxa"/>
            <w:shd w:val="clear" w:color="auto" w:fill="auto"/>
            <w:vAlign w:val="center"/>
          </w:tcPr>
          <w:p w14:paraId="4E56B143" w14:textId="77777777" w:rsidR="00DF3E10" w:rsidRDefault="00DF3E10">
            <w:pPr>
              <w:rPr>
                <w:rFonts w:ascii="Times New Roman" w:hAnsi="Times New Roman"/>
                <w:sz w:val="20"/>
                <w:szCs w:val="20"/>
              </w:rPr>
            </w:pPr>
          </w:p>
        </w:tc>
        <w:tc>
          <w:tcPr>
            <w:tcW w:w="0" w:type="auto"/>
            <w:shd w:val="clear" w:color="auto" w:fill="auto"/>
            <w:vAlign w:val="center"/>
          </w:tcPr>
          <w:p w14:paraId="4E56B144" w14:textId="77777777" w:rsidR="00DF3E10" w:rsidRDefault="00DF3E10">
            <w:pPr>
              <w:rPr>
                <w:rFonts w:ascii="Times New Roman" w:hAnsi="Times New Roman"/>
                <w:sz w:val="20"/>
                <w:szCs w:val="20"/>
              </w:rPr>
            </w:pPr>
          </w:p>
        </w:tc>
      </w:tr>
      <w:tr w:rsidR="00DF3E10" w14:paraId="4E56B148" w14:textId="77777777">
        <w:trPr>
          <w:tblCellSpacing w:w="0" w:type="dxa"/>
        </w:trPr>
        <w:tc>
          <w:tcPr>
            <w:tcW w:w="0" w:type="auto"/>
            <w:shd w:val="clear" w:color="auto" w:fill="auto"/>
          </w:tcPr>
          <w:p w14:paraId="4E56B14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4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w:t>
            </w:r>
            <w:r>
              <w:rPr>
                <w:rFonts w:ascii="Times New Roman" w:eastAsia="宋体" w:hAnsi="Times New Roman"/>
                <w:sz w:val="20"/>
                <w:szCs w:val="20"/>
              </w:rPr>
              <w:t xml:space="preserve"> advertising by marketers due to objectionable content published on our products by third parties, questions about our user data practices, concerns about brand safety or potential legal liability, or uncertainty regarding their own legal and compliance ob</w:t>
            </w:r>
            <w:r>
              <w:rPr>
                <w:rFonts w:ascii="Times New Roman" w:eastAsia="宋体" w:hAnsi="Times New Roman"/>
                <w:sz w:val="20"/>
                <w:szCs w:val="20"/>
              </w:rPr>
              <w:t>ligations (for example, a number of marketers have announced that they have paused advertising with us as of July 1, 2020 due to concerns about content published on our products);</w:t>
            </w:r>
          </w:p>
        </w:tc>
      </w:tr>
    </w:tbl>
    <w:p w14:paraId="4E56B14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4C" w14:textId="77777777">
        <w:trPr>
          <w:tblCellSpacing w:w="0" w:type="dxa"/>
        </w:trPr>
        <w:tc>
          <w:tcPr>
            <w:tcW w:w="1440" w:type="dxa"/>
            <w:shd w:val="clear" w:color="auto" w:fill="auto"/>
            <w:vAlign w:val="center"/>
          </w:tcPr>
          <w:p w14:paraId="4E56B14A" w14:textId="77777777" w:rsidR="00DF3E10" w:rsidRDefault="00DF3E10">
            <w:pPr>
              <w:rPr>
                <w:rFonts w:ascii="Times New Roman" w:hAnsi="Times New Roman"/>
                <w:sz w:val="20"/>
                <w:szCs w:val="20"/>
              </w:rPr>
            </w:pPr>
          </w:p>
        </w:tc>
        <w:tc>
          <w:tcPr>
            <w:tcW w:w="0" w:type="auto"/>
            <w:shd w:val="clear" w:color="auto" w:fill="auto"/>
            <w:vAlign w:val="center"/>
          </w:tcPr>
          <w:p w14:paraId="4E56B14B" w14:textId="77777777" w:rsidR="00DF3E10" w:rsidRDefault="00DF3E10">
            <w:pPr>
              <w:rPr>
                <w:rFonts w:ascii="Times New Roman" w:hAnsi="Times New Roman"/>
                <w:sz w:val="20"/>
                <w:szCs w:val="20"/>
              </w:rPr>
            </w:pPr>
          </w:p>
        </w:tc>
      </w:tr>
      <w:tr w:rsidR="00DF3E10" w14:paraId="4E56B14F" w14:textId="77777777">
        <w:trPr>
          <w:tblCellSpacing w:w="0" w:type="dxa"/>
        </w:trPr>
        <w:tc>
          <w:tcPr>
            <w:tcW w:w="0" w:type="auto"/>
            <w:shd w:val="clear" w:color="auto" w:fill="auto"/>
          </w:tcPr>
          <w:p w14:paraId="4E56B14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4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effectiveness of our ad targeting or degree to which users opt out of certain types of ad targeting, including as a result of product changes and controls that we implemented in connection with the GDPR, California Consumer Privacy Act (CCPA), or other</w:t>
            </w:r>
            <w:r>
              <w:rPr>
                <w:rFonts w:ascii="Times New Roman" w:eastAsia="宋体" w:hAnsi="Times New Roman"/>
                <w:sz w:val="20"/>
                <w:szCs w:val="20"/>
              </w:rPr>
              <w:t xml:space="preserve"> similar changes that we implemented in the United States and around the world, or other product changes or controls we have implemented or may implement in the future, whether in connection </w:t>
            </w:r>
          </w:p>
        </w:tc>
      </w:tr>
    </w:tbl>
    <w:p w14:paraId="4E56B150" w14:textId="77777777" w:rsidR="00DF3E10" w:rsidRDefault="00DF3E10">
      <w:pPr>
        <w:rPr>
          <w:rFonts w:ascii="Times New Roman" w:hAnsi="Times New Roman"/>
          <w:sz w:val="20"/>
          <w:szCs w:val="20"/>
        </w:rPr>
      </w:pPr>
    </w:p>
    <w:p w14:paraId="4E56B15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53</w:t>
      </w:r>
    </w:p>
    <w:p w14:paraId="4E56B152" w14:textId="77777777" w:rsidR="00DF3E10" w:rsidRDefault="006B6C28">
      <w:r>
        <w:rPr>
          <w:rFonts w:ascii="Times New Roman" w:hAnsi="Times New Roman"/>
          <w:sz w:val="20"/>
          <w:szCs w:val="20"/>
        </w:rPr>
        <w:pict w14:anchorId="4E56B792">
          <v:rect id="_x0000_i1077" style="width:415.3pt;height:1.5pt" o:hralign="center" o:hrstd="t" o:hr="t" fillcolor="#a0a0a0" stroked="f"/>
        </w:pict>
      </w:r>
    </w:p>
    <w:p w14:paraId="4E56B153" w14:textId="77777777" w:rsidR="00DF3E10" w:rsidRDefault="006B6C28">
      <w:pPr>
        <w:spacing w:line="288" w:lineRule="auto"/>
        <w:rPr>
          <w:rFonts w:ascii="Times New Roman" w:hAnsi="Times New Roman"/>
          <w:sz w:val="20"/>
          <w:szCs w:val="20"/>
        </w:rPr>
      </w:pPr>
      <w:hyperlink r:id="rId94" w:anchor="sC1FF62F0D4D85317B5B2C71C7C94F269" w:history="1">
        <w:r>
          <w:rPr>
            <w:rStyle w:val="a5"/>
            <w:rFonts w:ascii="Times New Roman" w:eastAsia="宋体" w:hAnsi="Times New Roman"/>
            <w:sz w:val="20"/>
            <w:szCs w:val="20"/>
          </w:rPr>
          <w:t>Table of Contents</w:t>
        </w:r>
      </w:hyperlink>
    </w:p>
    <w:p w14:paraId="4E56B154" w14:textId="77777777" w:rsidR="00DF3E10" w:rsidRDefault="00DF3E10">
      <w:pPr>
        <w:rPr>
          <w:rFonts w:ascii="Times New Roman" w:hAnsi="Times New Roman"/>
          <w:sz w:val="20"/>
          <w:szCs w:val="20"/>
        </w:rPr>
      </w:pPr>
    </w:p>
    <w:p w14:paraId="4E56B155"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with other regulations, regulatory actions or otherwise, that impact our ability to </w:t>
      </w:r>
      <w:r>
        <w:rPr>
          <w:rFonts w:ascii="Times New Roman" w:eastAsia="宋体" w:hAnsi="Times New Roman"/>
          <w:sz w:val="20"/>
          <w:szCs w:val="20"/>
        </w:rPr>
        <w:t>target ads;</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58" w14:textId="77777777">
        <w:trPr>
          <w:tblCellSpacing w:w="0" w:type="dxa"/>
        </w:trPr>
        <w:tc>
          <w:tcPr>
            <w:tcW w:w="1440" w:type="dxa"/>
            <w:shd w:val="clear" w:color="auto" w:fill="auto"/>
            <w:vAlign w:val="center"/>
          </w:tcPr>
          <w:p w14:paraId="4E56B156" w14:textId="77777777" w:rsidR="00DF3E10" w:rsidRDefault="00DF3E10">
            <w:pPr>
              <w:rPr>
                <w:rFonts w:ascii="Times New Roman" w:hAnsi="Times New Roman"/>
                <w:sz w:val="20"/>
                <w:szCs w:val="20"/>
              </w:rPr>
            </w:pPr>
          </w:p>
        </w:tc>
        <w:tc>
          <w:tcPr>
            <w:tcW w:w="0" w:type="auto"/>
            <w:shd w:val="clear" w:color="auto" w:fill="auto"/>
            <w:vAlign w:val="center"/>
          </w:tcPr>
          <w:p w14:paraId="4E56B157" w14:textId="77777777" w:rsidR="00DF3E10" w:rsidRDefault="00DF3E10">
            <w:pPr>
              <w:rPr>
                <w:rFonts w:ascii="Times New Roman" w:hAnsi="Times New Roman"/>
                <w:sz w:val="20"/>
                <w:szCs w:val="20"/>
              </w:rPr>
            </w:pPr>
          </w:p>
        </w:tc>
      </w:tr>
      <w:tr w:rsidR="00DF3E10" w14:paraId="4E56B15B" w14:textId="77777777">
        <w:trPr>
          <w:tblCellSpacing w:w="0" w:type="dxa"/>
        </w:trPr>
        <w:tc>
          <w:tcPr>
            <w:tcW w:w="0" w:type="auto"/>
            <w:shd w:val="clear" w:color="auto" w:fill="auto"/>
          </w:tcPr>
          <w:p w14:paraId="4E56B15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5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degree to which users cease or reduce the number of times they engage with our ads;</w:t>
            </w:r>
          </w:p>
        </w:tc>
      </w:tr>
    </w:tbl>
    <w:p w14:paraId="4E56B15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5F" w14:textId="77777777">
        <w:trPr>
          <w:tblCellSpacing w:w="0" w:type="dxa"/>
        </w:trPr>
        <w:tc>
          <w:tcPr>
            <w:tcW w:w="1440" w:type="dxa"/>
            <w:shd w:val="clear" w:color="auto" w:fill="auto"/>
            <w:vAlign w:val="center"/>
          </w:tcPr>
          <w:p w14:paraId="4E56B15D" w14:textId="77777777" w:rsidR="00DF3E10" w:rsidRDefault="00DF3E10">
            <w:pPr>
              <w:rPr>
                <w:rFonts w:ascii="Times New Roman" w:hAnsi="Times New Roman"/>
                <w:sz w:val="20"/>
                <w:szCs w:val="20"/>
              </w:rPr>
            </w:pPr>
          </w:p>
        </w:tc>
        <w:tc>
          <w:tcPr>
            <w:tcW w:w="0" w:type="auto"/>
            <w:shd w:val="clear" w:color="auto" w:fill="auto"/>
            <w:vAlign w:val="center"/>
          </w:tcPr>
          <w:p w14:paraId="4E56B15E" w14:textId="77777777" w:rsidR="00DF3E10" w:rsidRDefault="00DF3E10">
            <w:pPr>
              <w:rPr>
                <w:rFonts w:ascii="Times New Roman" w:hAnsi="Times New Roman"/>
                <w:sz w:val="20"/>
                <w:szCs w:val="20"/>
              </w:rPr>
            </w:pPr>
          </w:p>
        </w:tc>
      </w:tr>
      <w:tr w:rsidR="00DF3E10" w14:paraId="4E56B162" w14:textId="77777777">
        <w:trPr>
          <w:tblCellSpacing w:w="0" w:type="dxa"/>
        </w:trPr>
        <w:tc>
          <w:tcPr>
            <w:tcW w:w="0" w:type="auto"/>
            <w:shd w:val="clear" w:color="auto" w:fill="auto"/>
          </w:tcPr>
          <w:p w14:paraId="4E56B16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6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way advertising on mobile devices or on personal computers is measured or priced;</w:t>
            </w:r>
          </w:p>
        </w:tc>
      </w:tr>
    </w:tbl>
    <w:p w14:paraId="4E56B16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66" w14:textId="77777777">
        <w:trPr>
          <w:tblCellSpacing w:w="0" w:type="dxa"/>
        </w:trPr>
        <w:tc>
          <w:tcPr>
            <w:tcW w:w="1440" w:type="dxa"/>
            <w:shd w:val="clear" w:color="auto" w:fill="auto"/>
            <w:vAlign w:val="center"/>
          </w:tcPr>
          <w:p w14:paraId="4E56B164" w14:textId="77777777" w:rsidR="00DF3E10" w:rsidRDefault="00DF3E10">
            <w:pPr>
              <w:rPr>
                <w:rFonts w:ascii="Times New Roman" w:hAnsi="Times New Roman"/>
                <w:sz w:val="20"/>
                <w:szCs w:val="20"/>
              </w:rPr>
            </w:pPr>
          </w:p>
        </w:tc>
        <w:tc>
          <w:tcPr>
            <w:tcW w:w="0" w:type="auto"/>
            <w:shd w:val="clear" w:color="auto" w:fill="auto"/>
            <w:vAlign w:val="center"/>
          </w:tcPr>
          <w:p w14:paraId="4E56B165" w14:textId="77777777" w:rsidR="00DF3E10" w:rsidRDefault="00DF3E10">
            <w:pPr>
              <w:rPr>
                <w:rFonts w:ascii="Times New Roman" w:hAnsi="Times New Roman"/>
                <w:sz w:val="20"/>
                <w:szCs w:val="20"/>
              </w:rPr>
            </w:pPr>
          </w:p>
        </w:tc>
      </w:tr>
      <w:tr w:rsidR="00DF3E10" w14:paraId="4E56B169" w14:textId="77777777">
        <w:trPr>
          <w:tblCellSpacing w:w="0" w:type="dxa"/>
        </w:trPr>
        <w:tc>
          <w:tcPr>
            <w:tcW w:w="0" w:type="auto"/>
            <w:shd w:val="clear" w:color="auto" w:fill="auto"/>
          </w:tcPr>
          <w:p w14:paraId="4E56B16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6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composition of our </w:t>
            </w:r>
            <w:r>
              <w:rPr>
                <w:rFonts w:ascii="Times New Roman" w:eastAsia="宋体" w:hAnsi="Times New Roman"/>
                <w:sz w:val="20"/>
                <w:szCs w:val="20"/>
              </w:rPr>
              <w:t>marketer base or our inability to maintain or grow our marketer base; and</w:t>
            </w:r>
          </w:p>
        </w:tc>
      </w:tr>
    </w:tbl>
    <w:p w14:paraId="4E56B16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6D" w14:textId="77777777">
        <w:trPr>
          <w:tblCellSpacing w:w="0" w:type="dxa"/>
        </w:trPr>
        <w:tc>
          <w:tcPr>
            <w:tcW w:w="1440" w:type="dxa"/>
            <w:shd w:val="clear" w:color="auto" w:fill="auto"/>
            <w:vAlign w:val="center"/>
          </w:tcPr>
          <w:p w14:paraId="4E56B16B" w14:textId="77777777" w:rsidR="00DF3E10" w:rsidRDefault="00DF3E10">
            <w:pPr>
              <w:rPr>
                <w:rFonts w:ascii="Times New Roman" w:hAnsi="Times New Roman"/>
                <w:sz w:val="20"/>
                <w:szCs w:val="20"/>
              </w:rPr>
            </w:pPr>
          </w:p>
        </w:tc>
        <w:tc>
          <w:tcPr>
            <w:tcW w:w="0" w:type="auto"/>
            <w:shd w:val="clear" w:color="auto" w:fill="auto"/>
            <w:vAlign w:val="center"/>
          </w:tcPr>
          <w:p w14:paraId="4E56B16C" w14:textId="77777777" w:rsidR="00DF3E10" w:rsidRDefault="00DF3E10">
            <w:pPr>
              <w:rPr>
                <w:rFonts w:ascii="Times New Roman" w:hAnsi="Times New Roman"/>
                <w:sz w:val="20"/>
                <w:szCs w:val="20"/>
              </w:rPr>
            </w:pPr>
          </w:p>
        </w:tc>
      </w:tr>
      <w:tr w:rsidR="00DF3E10" w14:paraId="4E56B170" w14:textId="77777777">
        <w:trPr>
          <w:tblCellSpacing w:w="0" w:type="dxa"/>
        </w:trPr>
        <w:tc>
          <w:tcPr>
            <w:tcW w:w="0" w:type="auto"/>
            <w:shd w:val="clear" w:color="auto" w:fill="auto"/>
          </w:tcPr>
          <w:p w14:paraId="4E56B16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6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impact of macroeconomic conditions, whether in the advertising industry in general, or among specific types of marketers or within particular geographies.</w:t>
            </w:r>
          </w:p>
        </w:tc>
      </w:tr>
    </w:tbl>
    <w:p w14:paraId="4E56B171" w14:textId="77777777" w:rsidR="00DF3E10" w:rsidRDefault="00DF3E10">
      <w:pPr>
        <w:spacing w:line="288" w:lineRule="auto"/>
        <w:ind w:firstLine="720"/>
        <w:jc w:val="both"/>
        <w:rPr>
          <w:rFonts w:ascii="Times New Roman" w:hAnsi="Times New Roman"/>
          <w:sz w:val="20"/>
          <w:szCs w:val="20"/>
        </w:rPr>
      </w:pPr>
    </w:p>
    <w:p w14:paraId="4E56B17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w:t>
      </w:r>
      <w:r>
        <w:rPr>
          <w:rFonts w:ascii="Times New Roman" w:eastAsia="宋体" w:hAnsi="Times New Roman"/>
          <w:sz w:val="20"/>
          <w:szCs w:val="20"/>
        </w:rPr>
        <w:t>time, certain of these factors have adversely affected our advertising revenue to varying degrees. The occurrence of any of these or other factors in the future could result in a reduction in demand for our ads, which may reduce the prices we receive for o</w:t>
      </w:r>
      <w:r>
        <w:rPr>
          <w:rFonts w:ascii="Times New Roman" w:eastAsia="宋体" w:hAnsi="Times New Roman"/>
          <w:sz w:val="20"/>
          <w:szCs w:val="20"/>
        </w:rPr>
        <w:t xml:space="preserve">ur ads, or cause marketers to stop advertising with us altogether, either of which would negatively affect our revenue and financial results. For example, macroeconomic conditions have affected, and we expect will continue to affect, marketers' ability or </w:t>
      </w:r>
      <w:r>
        <w:rPr>
          <w:rFonts w:ascii="Times New Roman" w:eastAsia="宋体" w:hAnsi="Times New Roman"/>
          <w:sz w:val="20"/>
          <w:szCs w:val="20"/>
        </w:rPr>
        <w:t xml:space="preserve">willingness to spend with us, as we have seen with the regional and worldwide economic disruption related to the COVID-19 pandemic and associated declines in advertising activity on our products. The effects of the pandemic have resulted in reduced demand </w:t>
      </w:r>
      <w:r>
        <w:rPr>
          <w:rFonts w:ascii="Times New Roman" w:eastAsia="宋体" w:hAnsi="Times New Roman"/>
          <w:sz w:val="20"/>
          <w:szCs w:val="20"/>
        </w:rPr>
        <w:t xml:space="preserve">for our ads, a related decline in pricing of our ads, and additional demands on our technical infrastructure as a result of increased usage of our services, which may impair our ability to maintain or increase the quantity or quality of ads shown to users </w:t>
      </w:r>
      <w:r>
        <w:rPr>
          <w:rFonts w:ascii="Times New Roman" w:eastAsia="宋体" w:hAnsi="Times New Roman"/>
          <w:sz w:val="20"/>
          <w:szCs w:val="20"/>
        </w:rPr>
        <w:t>and adversely affect our revenue and financial results.</w:t>
      </w:r>
    </w:p>
    <w:p w14:paraId="4E56B173" w14:textId="77777777" w:rsidR="00DF3E10" w:rsidRDefault="00DF3E10">
      <w:pPr>
        <w:spacing w:line="288" w:lineRule="auto"/>
        <w:jc w:val="both"/>
        <w:rPr>
          <w:rFonts w:ascii="Times New Roman" w:hAnsi="Times New Roman"/>
          <w:sz w:val="20"/>
          <w:szCs w:val="20"/>
        </w:rPr>
      </w:pPr>
    </w:p>
    <w:p w14:paraId="4E56B174"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advertising revenue is dependent on targeting and measurement tools that incorporate data signals from user activity on websites and services that we do not control, and changes to the regulatory</w:t>
      </w:r>
      <w:r>
        <w:rPr>
          <w:rFonts w:ascii="Times New Roman" w:eastAsia="宋体" w:hAnsi="Times New Roman"/>
          <w:b/>
          <w:bCs/>
          <w:i/>
          <w:iCs/>
          <w:sz w:val="20"/>
          <w:szCs w:val="20"/>
        </w:rPr>
        <w:t xml:space="preserve"> environment, third-party mobile operating systems and browsers, and our own products have impacted, and we expect will continue to impact, the availability of such signals, which will adversely affect our advertising revenue.</w:t>
      </w:r>
    </w:p>
    <w:p w14:paraId="4E56B175" w14:textId="77777777" w:rsidR="00DF3E10" w:rsidRDefault="00DF3E10">
      <w:pPr>
        <w:spacing w:line="288" w:lineRule="auto"/>
        <w:jc w:val="both"/>
        <w:rPr>
          <w:rFonts w:ascii="Times New Roman" w:hAnsi="Times New Roman"/>
          <w:sz w:val="20"/>
          <w:szCs w:val="20"/>
        </w:rPr>
      </w:pPr>
    </w:p>
    <w:p w14:paraId="4E56B17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rely on data signals from</w:t>
      </w:r>
      <w:r>
        <w:rPr>
          <w:rFonts w:ascii="Times New Roman" w:eastAsia="宋体" w:hAnsi="Times New Roman"/>
          <w:sz w:val="20"/>
          <w:szCs w:val="20"/>
        </w:rPr>
        <w:t xml:space="preserve"> user activity on websites and services that we do not control in order to deliver relevant and effective ads to our users. Our advertising revenue is dependent on targeting and measurement tools that incorporate these signals, and any changes in our abili</w:t>
      </w:r>
      <w:r>
        <w:rPr>
          <w:rFonts w:ascii="Times New Roman" w:eastAsia="宋体" w:hAnsi="Times New Roman"/>
          <w:sz w:val="20"/>
          <w:szCs w:val="20"/>
        </w:rPr>
        <w:t xml:space="preserve">ty to use such signals will adversely affect our business. For example, legislative and regulatory changes, such as the GDPR and CCPA, have impacted, and we expect will continue to impact, our ability to use such signals in our ad products. In particular, </w:t>
      </w:r>
      <w:r>
        <w:rPr>
          <w:rFonts w:ascii="Times New Roman" w:eastAsia="宋体" w:hAnsi="Times New Roman"/>
          <w:sz w:val="20"/>
          <w:szCs w:val="20"/>
        </w:rPr>
        <w:t>we have seen an increasing number of users opt out of certain types of ad targeting in Europe following adoption of the GDPR, and we have introduced product changes to limit data signal use for certain users in California following adoption of the CCPA. In</w:t>
      </w:r>
      <w:r>
        <w:rPr>
          <w:rFonts w:ascii="Times New Roman" w:eastAsia="宋体" w:hAnsi="Times New Roman"/>
          <w:sz w:val="20"/>
          <w:szCs w:val="20"/>
        </w:rPr>
        <w:t xml:space="preserve"> addition, mobile operating system and browser providers, such as Apple and Google, have announced product changes as well as future plans to limit the ability of application developers to use these signals to target and measure advertising on their platfo</w:t>
      </w:r>
      <w:r>
        <w:rPr>
          <w:rFonts w:ascii="Times New Roman" w:eastAsia="宋体" w:hAnsi="Times New Roman"/>
          <w:sz w:val="20"/>
          <w:szCs w:val="20"/>
        </w:rPr>
        <w:t>rms. For example, in June 2020, Apple announced that it plans to make certain changes to its products and data use policies in connection with the release of its iOS 14 operating system that will reduce our and other iOS developers' ability to target and m</w:t>
      </w:r>
      <w:r>
        <w:rPr>
          <w:rFonts w:ascii="Times New Roman" w:eastAsia="宋体" w:hAnsi="Times New Roman"/>
          <w:sz w:val="20"/>
          <w:szCs w:val="20"/>
        </w:rPr>
        <w:t>easure advertising, which may in turn reduce the budgets marketers are willing to commit to us and other advertising platforms. In addition, we have implemented, and may continue to implement, product changes that give users the ability to limit our use of</w:t>
      </w:r>
      <w:r>
        <w:rPr>
          <w:rFonts w:ascii="Times New Roman" w:eastAsia="宋体" w:hAnsi="Times New Roman"/>
          <w:sz w:val="20"/>
          <w:szCs w:val="20"/>
        </w:rPr>
        <w:t xml:space="preserve"> such data signals to improve ads and other experiences on our products and services, including our Off-Facebook Activity tool and our worldwide offering of product changes we implemented in connection with the GDPR. These developments have limited our abi</w:t>
      </w:r>
      <w:r>
        <w:rPr>
          <w:rFonts w:ascii="Times New Roman" w:eastAsia="宋体" w:hAnsi="Times New Roman"/>
          <w:sz w:val="20"/>
          <w:szCs w:val="20"/>
        </w:rPr>
        <w:t>lity to target and measure the effectiveness of ads on our platform and negatively impacted our advertising revenue, and as these developments take further effect in the future, our targeting and measurement capabilities may be materially and adversely aff</w:t>
      </w:r>
      <w:r>
        <w:rPr>
          <w:rFonts w:ascii="Times New Roman" w:eastAsia="宋体" w:hAnsi="Times New Roman"/>
          <w:sz w:val="20"/>
          <w:szCs w:val="20"/>
        </w:rPr>
        <w:t>ected, which would in turn significantly impact our future advertising revenue growth.</w:t>
      </w:r>
    </w:p>
    <w:p w14:paraId="4E56B177" w14:textId="77777777" w:rsidR="00DF3E10" w:rsidRDefault="00DF3E10">
      <w:pPr>
        <w:spacing w:line="288" w:lineRule="auto"/>
        <w:ind w:firstLine="720"/>
        <w:jc w:val="both"/>
        <w:rPr>
          <w:rFonts w:ascii="Times New Roman" w:hAnsi="Times New Roman"/>
          <w:sz w:val="20"/>
          <w:szCs w:val="20"/>
        </w:rPr>
      </w:pPr>
    </w:p>
    <w:p w14:paraId="4E56B178"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user growth, engagement, and monetization on mobile devices depend upon effective operation with mobile operating systems, networks, technologies, products, and sta</w:t>
      </w:r>
      <w:r>
        <w:rPr>
          <w:rFonts w:ascii="Times New Roman" w:eastAsia="宋体" w:hAnsi="Times New Roman"/>
          <w:b/>
          <w:bCs/>
          <w:i/>
          <w:iCs/>
          <w:sz w:val="20"/>
          <w:szCs w:val="20"/>
        </w:rPr>
        <w:t>ndards that we do not control.</w:t>
      </w:r>
    </w:p>
    <w:p w14:paraId="4E56B17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substantial majority of our revenue is generated from advertising on mobile devices. There is no guarantee that popular mobile devices will continue to feature Facebook or our other products, or that mobile device users w</w:t>
      </w:r>
      <w:r>
        <w:rPr>
          <w:rFonts w:ascii="Times New Roman" w:eastAsia="宋体" w:hAnsi="Times New Roman"/>
          <w:sz w:val="20"/>
          <w:szCs w:val="20"/>
        </w:rPr>
        <w:t>ill continue to use our products rather than competing products. We are dependent on the interoperability of Facebook and our other products with popular mobile operating systems, networks, technologies, products, and standards that we do not control, such</w:t>
      </w:r>
      <w:r>
        <w:rPr>
          <w:rFonts w:ascii="Times New Roman" w:eastAsia="宋体" w:hAnsi="Times New Roman"/>
          <w:sz w:val="20"/>
          <w:szCs w:val="20"/>
        </w:rPr>
        <w:t xml:space="preserve"> as the Android and iOS operating systems and mobile browsers. Any changes, bugs, or technical issues in such systems, or changes in our relationships with mobile operating system partners, handset manufacturers, browser developers, or mobile carriers, or </w:t>
      </w:r>
      <w:r>
        <w:rPr>
          <w:rFonts w:ascii="Times New Roman" w:eastAsia="宋体" w:hAnsi="Times New Roman"/>
          <w:sz w:val="20"/>
          <w:szCs w:val="20"/>
        </w:rPr>
        <w:t xml:space="preserve">in their terms of service or policies that degrade our products' functionality, reduce or eliminate our ability to update or distribute our products, give preferential treatment to competitive products, limit our ability to deliver, target, or measure the </w:t>
      </w:r>
      <w:r>
        <w:rPr>
          <w:rFonts w:ascii="Times New Roman" w:eastAsia="宋体" w:hAnsi="Times New Roman"/>
          <w:sz w:val="20"/>
          <w:szCs w:val="20"/>
        </w:rPr>
        <w:t xml:space="preserve">effectiveness of ads, or charge fees related to the distribution of our products or our delivery of ads could adversely affect the usage of Facebook </w:t>
      </w:r>
    </w:p>
    <w:p w14:paraId="4E56B17A" w14:textId="77777777" w:rsidR="00DF3E10" w:rsidRDefault="00DF3E10">
      <w:pPr>
        <w:rPr>
          <w:rFonts w:ascii="Times New Roman" w:hAnsi="Times New Roman"/>
          <w:sz w:val="20"/>
          <w:szCs w:val="20"/>
        </w:rPr>
      </w:pPr>
    </w:p>
    <w:p w14:paraId="4E56B17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54</w:t>
      </w:r>
    </w:p>
    <w:p w14:paraId="4E56B17C" w14:textId="77777777" w:rsidR="00DF3E10" w:rsidRDefault="006B6C28">
      <w:r>
        <w:rPr>
          <w:rFonts w:ascii="Times New Roman" w:hAnsi="Times New Roman"/>
          <w:sz w:val="20"/>
          <w:szCs w:val="20"/>
        </w:rPr>
        <w:pict w14:anchorId="4E56B793">
          <v:rect id="_x0000_i1078" style="width:415.3pt;height:1.5pt" o:hralign="center" o:hrstd="t" o:hr="t" fillcolor="#a0a0a0" stroked="f"/>
        </w:pict>
      </w:r>
    </w:p>
    <w:p w14:paraId="4E56B17D" w14:textId="77777777" w:rsidR="00DF3E10" w:rsidRDefault="006B6C28">
      <w:pPr>
        <w:spacing w:line="288" w:lineRule="auto"/>
        <w:rPr>
          <w:rFonts w:ascii="Times New Roman" w:hAnsi="Times New Roman"/>
          <w:sz w:val="20"/>
          <w:szCs w:val="20"/>
        </w:rPr>
      </w:pPr>
      <w:hyperlink r:id="rId95" w:anchor="sC1FF62F0D4D85317B5B2C71C7C94F269" w:history="1">
        <w:r>
          <w:rPr>
            <w:rStyle w:val="a5"/>
            <w:rFonts w:ascii="Times New Roman" w:eastAsia="宋体" w:hAnsi="Times New Roman"/>
            <w:sz w:val="20"/>
            <w:szCs w:val="20"/>
          </w:rPr>
          <w:t>Table of Contents</w:t>
        </w:r>
      </w:hyperlink>
    </w:p>
    <w:p w14:paraId="4E56B17E" w14:textId="77777777" w:rsidR="00DF3E10" w:rsidRDefault="00DF3E10">
      <w:pPr>
        <w:rPr>
          <w:rFonts w:ascii="Times New Roman" w:hAnsi="Times New Roman"/>
          <w:sz w:val="20"/>
          <w:szCs w:val="20"/>
        </w:rPr>
      </w:pPr>
    </w:p>
    <w:p w14:paraId="4E56B17F"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or our other products and monetization on mobile devices. For example, Apple previously released an update to its Safari browser that limits the use of third-party cookies, which </w:t>
      </w:r>
      <w:r>
        <w:rPr>
          <w:rFonts w:ascii="Times New Roman" w:eastAsia="宋体" w:hAnsi="Times New Roman"/>
          <w:sz w:val="20"/>
          <w:szCs w:val="20"/>
        </w:rPr>
        <w:t xml:space="preserve">reduces our ability to provide the most relevant ads to our users and impacts monetization, and recently announced changes to iOS 14 that will limit our ability to target and measure ads effectively. We expect that any similar changes to its, Google's, or </w:t>
      </w:r>
      <w:r>
        <w:rPr>
          <w:rFonts w:ascii="Times New Roman" w:eastAsia="宋体" w:hAnsi="Times New Roman"/>
          <w:sz w:val="20"/>
          <w:szCs w:val="20"/>
        </w:rPr>
        <w:t>other browser or mobile platforms will further limit our ability to target and measure the effectiveness of ads and impact monetization. Additionally, in order to deliver high quality mobile products, it is important that our products work well with a rang</w:t>
      </w:r>
      <w:r>
        <w:rPr>
          <w:rFonts w:ascii="Times New Roman" w:eastAsia="宋体" w:hAnsi="Times New Roman"/>
          <w:sz w:val="20"/>
          <w:szCs w:val="20"/>
        </w:rPr>
        <w:t>e of mobile technologies, products, systems, networks, and standards that we do not control, and that we have good relationships with handset manufacturers, mobile carriers and browser developers. We may not be successful in maintaining or developing relat</w:t>
      </w:r>
      <w:r>
        <w:rPr>
          <w:rFonts w:ascii="Times New Roman" w:eastAsia="宋体" w:hAnsi="Times New Roman"/>
          <w:sz w:val="20"/>
          <w:szCs w:val="20"/>
        </w:rPr>
        <w:t>ionships with key participants in the mobile ecosystem or in developing products that operate effectively with these technologies, products, systems, networks, or standards. In the event that it is more difficult for our users to access and use Facebook or</w:t>
      </w:r>
      <w:r>
        <w:rPr>
          <w:rFonts w:ascii="Times New Roman" w:eastAsia="宋体" w:hAnsi="Times New Roman"/>
          <w:sz w:val="20"/>
          <w:szCs w:val="20"/>
        </w:rPr>
        <w:t xml:space="preserve"> our other products on their mobile devices, or if our users choose not to access or use Facebook or our other products on their mobile devices or use mobile products that do not offer access to Facebook or our other products, our user growth and user enga</w:t>
      </w:r>
      <w:r>
        <w:rPr>
          <w:rFonts w:ascii="Times New Roman" w:eastAsia="宋体" w:hAnsi="Times New Roman"/>
          <w:sz w:val="20"/>
          <w:szCs w:val="20"/>
        </w:rPr>
        <w:t xml:space="preserve">gement could be harmed. From time to time, we may also take actions regarding the distribution of our products or the operation of our business based on what we believe to be in our long-term best interests. Such actions may adversely affect our users and </w:t>
      </w:r>
      <w:r>
        <w:rPr>
          <w:rFonts w:ascii="Times New Roman" w:eastAsia="宋体" w:hAnsi="Times New Roman"/>
          <w:sz w:val="20"/>
          <w:szCs w:val="20"/>
        </w:rPr>
        <w:t>our relationships with the operators of mobile operating systems, handset manufacturers, mobile carriers, browser developers, or other business partners, and there is no assurance that these actions will result in the anticipated long-term benefits. In the</w:t>
      </w:r>
      <w:r>
        <w:rPr>
          <w:rFonts w:ascii="Times New Roman" w:eastAsia="宋体" w:hAnsi="Times New Roman"/>
          <w:sz w:val="20"/>
          <w:szCs w:val="20"/>
        </w:rPr>
        <w:t xml:space="preserve"> event that our users are adversely affected by these actions or if our relationships with such third parties deteriorate, our user growth, engagement, and monetization could be adversely affected and our business could be harmed.</w:t>
      </w:r>
    </w:p>
    <w:p w14:paraId="4E56B180"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highly co</w:t>
      </w:r>
      <w:r>
        <w:rPr>
          <w:rFonts w:ascii="Times New Roman" w:eastAsia="宋体" w:hAnsi="Times New Roman"/>
          <w:b/>
          <w:bCs/>
          <w:i/>
          <w:iCs/>
          <w:sz w:val="20"/>
          <w:szCs w:val="20"/>
        </w:rPr>
        <w:t>mpetitive. Competition presents an ongoing threat to the success of our business.</w:t>
      </w:r>
    </w:p>
    <w:p w14:paraId="4E56B18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compete with companies that sell advertising, as well as with companies that provide social, media, and communication products and services that are designed to engage use</w:t>
      </w:r>
      <w:r>
        <w:rPr>
          <w:rFonts w:ascii="Times New Roman" w:eastAsia="宋体" w:hAnsi="Times New Roman"/>
          <w:sz w:val="20"/>
          <w:szCs w:val="20"/>
        </w:rPr>
        <w:t>rs on mobile devices and online. We face significant competition in every aspect of our business, including from companies that facilitate communication and the sharing of content and information, companies that enable marketers to display advertising, com</w:t>
      </w:r>
      <w:r>
        <w:rPr>
          <w:rFonts w:ascii="Times New Roman" w:eastAsia="宋体" w:hAnsi="Times New Roman"/>
          <w:sz w:val="20"/>
          <w:szCs w:val="20"/>
        </w:rPr>
        <w:t>panies that distribute video and other forms of media content, and companies that provide development platforms for applications developers. We compete with companies that offer products across broad platforms that replicate capabilities we provide. For ex</w:t>
      </w:r>
      <w:r>
        <w:rPr>
          <w:rFonts w:ascii="Times New Roman" w:eastAsia="宋体" w:hAnsi="Times New Roman"/>
          <w:sz w:val="20"/>
          <w:szCs w:val="20"/>
        </w:rPr>
        <w:t>ample, among other areas, we compete with Apple in messaging, Google and YouTube in advertising and video, Tencent and Snap in messaging and social media, ByteDance and Twitter in social media, and Amazon in advertising. We also compete with companies that</w:t>
      </w:r>
      <w:r>
        <w:rPr>
          <w:rFonts w:ascii="Times New Roman" w:eastAsia="宋体" w:hAnsi="Times New Roman"/>
          <w:sz w:val="20"/>
          <w:szCs w:val="20"/>
        </w:rPr>
        <w:t xml:space="preserve"> provide regional social networks and messaging products, many of which have strong positions in particular countries. Some of our competitors may be domiciled in different countries and subject to political, legal, and regulatory regimes that enable them </w:t>
      </w:r>
      <w:r>
        <w:rPr>
          <w:rFonts w:ascii="Times New Roman" w:eastAsia="宋体" w:hAnsi="Times New Roman"/>
          <w:sz w:val="20"/>
          <w:szCs w:val="20"/>
        </w:rPr>
        <w:t>to compete more effectively than us. In addition, we face competition from traditional, online, and mobile businesses that provide media for marketers to reach their audiences and/or develop tools and systems for managing and optimizing advertising campaig</w:t>
      </w:r>
      <w:r>
        <w:rPr>
          <w:rFonts w:ascii="Times New Roman" w:eastAsia="宋体" w:hAnsi="Times New Roman"/>
          <w:sz w:val="20"/>
          <w:szCs w:val="20"/>
        </w:rPr>
        <w:t>ns. We also compete with companies that develop and deliver consumer hardware and virtual reality products and services.</w:t>
      </w:r>
    </w:p>
    <w:p w14:paraId="4E56B18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Some of our current and potential competitors may have greater resources or stronger competitive positions in certain product segments,</w:t>
      </w:r>
      <w:r>
        <w:rPr>
          <w:rFonts w:ascii="Times New Roman" w:eastAsia="宋体" w:hAnsi="Times New Roman"/>
          <w:sz w:val="20"/>
          <w:szCs w:val="20"/>
        </w:rPr>
        <w:t xml:space="preserve"> geographic regions, or user demographics than we do. These factors may allow our competitors to respond more effectively than us to new or emerging technologies and changes in market conditions. We believe that some users, particularly younger users, are </w:t>
      </w:r>
      <w:r>
        <w:rPr>
          <w:rFonts w:ascii="Times New Roman" w:eastAsia="宋体" w:hAnsi="Times New Roman"/>
          <w:sz w:val="20"/>
          <w:szCs w:val="20"/>
        </w:rPr>
        <w:t>aware of and actively engaging with other products and services similar to, or as a substitute for, our products and services, and we believe that some users have reduced their use of and engagement with our products and services in favor of these other pr</w:t>
      </w:r>
      <w:r>
        <w:rPr>
          <w:rFonts w:ascii="Times New Roman" w:eastAsia="宋体" w:hAnsi="Times New Roman"/>
          <w:sz w:val="20"/>
          <w:szCs w:val="20"/>
        </w:rPr>
        <w:t>oducts and services. In the event that users increasingly engage with other products and services, we may experience a decline in use and engagement in key user demographics or more broadly, in which case our business would likely be harmed.</w:t>
      </w:r>
    </w:p>
    <w:p w14:paraId="4E56B18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competitor</w:t>
      </w:r>
      <w:r>
        <w:rPr>
          <w:rFonts w:ascii="Times New Roman" w:eastAsia="宋体" w:hAnsi="Times New Roman"/>
          <w:sz w:val="20"/>
          <w:szCs w:val="20"/>
        </w:rPr>
        <w:t xml:space="preserve">s may develop products, features, or services that are similar to ours or that achieve greater acceptance, may undertake more far-reaching and successful product development efforts or marketing campaigns, or may adopt more aggressive pricing policies. In </w:t>
      </w:r>
      <w:r>
        <w:rPr>
          <w:rFonts w:ascii="Times New Roman" w:eastAsia="宋体" w:hAnsi="Times New Roman"/>
          <w:sz w:val="20"/>
          <w:szCs w:val="20"/>
        </w:rPr>
        <w:t xml:space="preserve">addition, developers whose mobile and web applications are integrated with Facebook or our other products may use information shared by our users through our products in order to develop products or features that compete with us. Some competitors may gain </w:t>
      </w:r>
      <w:r>
        <w:rPr>
          <w:rFonts w:ascii="Times New Roman" w:eastAsia="宋体" w:hAnsi="Times New Roman"/>
          <w:sz w:val="20"/>
          <w:szCs w:val="20"/>
        </w:rPr>
        <w:t>a competitive advantage against us in areas where we operate, including: by making acquisitions; by limiting our ability to deliver, target, or measure the effectiveness of ads; by imposing fees or other charges related to our delivery of ads; by making ac</w:t>
      </w:r>
      <w:r>
        <w:rPr>
          <w:rFonts w:ascii="Times New Roman" w:eastAsia="宋体" w:hAnsi="Times New Roman"/>
          <w:sz w:val="20"/>
          <w:szCs w:val="20"/>
        </w:rPr>
        <w:t>cess to our products more difficult or impossible; by making it more difficult to communicate with our users; or by integrating competing platforms, applications, or features into products they control such as mobile device operating systems, search engine</w:t>
      </w:r>
      <w:r>
        <w:rPr>
          <w:rFonts w:ascii="Times New Roman" w:eastAsia="宋体" w:hAnsi="Times New Roman"/>
          <w:sz w:val="20"/>
          <w:szCs w:val="20"/>
        </w:rPr>
        <w:t>s, browsers, or e-commerce platforms. For example, each of Apple and Google have integrated competitive products with iOS and Android, respectively. In addition, Apple recently announced changes to iOS 14 that will limit our ability, and the ability of oth</w:t>
      </w:r>
      <w:r>
        <w:rPr>
          <w:rFonts w:ascii="Times New Roman" w:eastAsia="宋体" w:hAnsi="Times New Roman"/>
          <w:sz w:val="20"/>
          <w:szCs w:val="20"/>
        </w:rPr>
        <w:t xml:space="preserve">ers in the digital advertising industry, to target and measure ads effectively. As a result, our competitors may, and in some cases will, acquire and engage users or generate advertising or other revenue at </w:t>
      </w:r>
    </w:p>
    <w:p w14:paraId="4E56B184" w14:textId="77777777" w:rsidR="00DF3E10" w:rsidRDefault="00DF3E10">
      <w:pPr>
        <w:rPr>
          <w:rFonts w:ascii="Times New Roman" w:hAnsi="Times New Roman"/>
          <w:sz w:val="20"/>
          <w:szCs w:val="20"/>
        </w:rPr>
      </w:pPr>
    </w:p>
    <w:p w14:paraId="4E56B185"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55</w:t>
      </w:r>
    </w:p>
    <w:p w14:paraId="4E56B186" w14:textId="77777777" w:rsidR="00DF3E10" w:rsidRDefault="006B6C28">
      <w:r>
        <w:rPr>
          <w:rFonts w:ascii="Times New Roman" w:hAnsi="Times New Roman"/>
          <w:sz w:val="20"/>
          <w:szCs w:val="20"/>
        </w:rPr>
        <w:pict w14:anchorId="4E56B794">
          <v:rect id="_x0000_i1079" style="width:415.3pt;height:1.5pt" o:hralign="center" o:hrstd="t" o:hr="t" fillcolor="#a0a0a0" stroked="f"/>
        </w:pict>
      </w:r>
    </w:p>
    <w:p w14:paraId="4E56B187" w14:textId="77777777" w:rsidR="00DF3E10" w:rsidRDefault="006B6C28">
      <w:pPr>
        <w:spacing w:line="288" w:lineRule="auto"/>
        <w:rPr>
          <w:rFonts w:ascii="Times New Roman" w:hAnsi="Times New Roman"/>
          <w:sz w:val="20"/>
          <w:szCs w:val="20"/>
        </w:rPr>
      </w:pPr>
      <w:hyperlink r:id="rId96" w:anchor="sC1FF62F0D4D85317B5B2C71C7C94F269" w:history="1">
        <w:r>
          <w:rPr>
            <w:rStyle w:val="a5"/>
            <w:rFonts w:ascii="Times New Roman" w:eastAsia="宋体" w:hAnsi="Times New Roman"/>
            <w:sz w:val="20"/>
            <w:szCs w:val="20"/>
          </w:rPr>
          <w:t>Table of Contents</w:t>
        </w:r>
      </w:hyperlink>
    </w:p>
    <w:p w14:paraId="4E56B188" w14:textId="77777777" w:rsidR="00DF3E10" w:rsidRDefault="00DF3E10">
      <w:pPr>
        <w:rPr>
          <w:rFonts w:ascii="Times New Roman" w:hAnsi="Times New Roman"/>
          <w:sz w:val="20"/>
          <w:szCs w:val="20"/>
        </w:rPr>
      </w:pPr>
    </w:p>
    <w:p w14:paraId="4E56B189"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the expense of our own efforts, which may negatively affect our business and financial results. In addition, from time to time</w:t>
      </w:r>
      <w:r>
        <w:rPr>
          <w:rFonts w:ascii="Times New Roman" w:eastAsia="宋体" w:hAnsi="Times New Roman"/>
          <w:sz w:val="20"/>
          <w:szCs w:val="20"/>
        </w:rPr>
        <w:t>, we may take actions in response to competitive threats, but we cannot assure you that these actions will be successful or that they will not negatively affect our business and financial results.</w:t>
      </w:r>
    </w:p>
    <w:p w14:paraId="4E56B18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believe that our ability to compete effectively depends </w:t>
      </w:r>
      <w:r>
        <w:rPr>
          <w:rFonts w:ascii="Times New Roman" w:eastAsia="宋体" w:hAnsi="Times New Roman"/>
          <w:sz w:val="20"/>
          <w:szCs w:val="20"/>
        </w:rPr>
        <w:t>upon many factors both within and beyond our control,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8D" w14:textId="77777777">
        <w:trPr>
          <w:tblCellSpacing w:w="0" w:type="dxa"/>
        </w:trPr>
        <w:tc>
          <w:tcPr>
            <w:tcW w:w="1440" w:type="dxa"/>
            <w:shd w:val="clear" w:color="auto" w:fill="auto"/>
            <w:vAlign w:val="center"/>
          </w:tcPr>
          <w:p w14:paraId="4E56B18B" w14:textId="77777777" w:rsidR="00DF3E10" w:rsidRDefault="00DF3E10">
            <w:pPr>
              <w:rPr>
                <w:rFonts w:ascii="Times New Roman" w:hAnsi="Times New Roman"/>
                <w:sz w:val="20"/>
                <w:szCs w:val="20"/>
              </w:rPr>
            </w:pPr>
          </w:p>
        </w:tc>
        <w:tc>
          <w:tcPr>
            <w:tcW w:w="0" w:type="auto"/>
            <w:shd w:val="clear" w:color="auto" w:fill="auto"/>
            <w:vAlign w:val="center"/>
          </w:tcPr>
          <w:p w14:paraId="4E56B18C" w14:textId="77777777" w:rsidR="00DF3E10" w:rsidRDefault="00DF3E10">
            <w:pPr>
              <w:rPr>
                <w:rFonts w:ascii="Times New Roman" w:hAnsi="Times New Roman"/>
                <w:sz w:val="20"/>
                <w:szCs w:val="20"/>
              </w:rPr>
            </w:pPr>
          </w:p>
        </w:tc>
      </w:tr>
      <w:tr w:rsidR="00DF3E10" w14:paraId="4E56B190" w14:textId="77777777">
        <w:trPr>
          <w:tblCellSpacing w:w="0" w:type="dxa"/>
        </w:trPr>
        <w:tc>
          <w:tcPr>
            <w:tcW w:w="0" w:type="auto"/>
            <w:shd w:val="clear" w:color="auto" w:fill="auto"/>
          </w:tcPr>
          <w:p w14:paraId="4E56B18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8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popularity, usefulness, ease of use, performance, and reliability of our products compared to our competitors' products;</w:t>
            </w:r>
          </w:p>
        </w:tc>
      </w:tr>
    </w:tbl>
    <w:p w14:paraId="4E56B19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361"/>
      </w:tblGrid>
      <w:tr w:rsidR="00DF3E10" w14:paraId="4E56B194" w14:textId="77777777">
        <w:trPr>
          <w:tblCellSpacing w:w="0" w:type="dxa"/>
        </w:trPr>
        <w:tc>
          <w:tcPr>
            <w:tcW w:w="1440" w:type="dxa"/>
            <w:shd w:val="clear" w:color="auto" w:fill="auto"/>
            <w:vAlign w:val="center"/>
          </w:tcPr>
          <w:p w14:paraId="4E56B192" w14:textId="77777777" w:rsidR="00DF3E10" w:rsidRDefault="00DF3E10">
            <w:pPr>
              <w:rPr>
                <w:rFonts w:ascii="Times New Roman" w:hAnsi="Times New Roman"/>
                <w:sz w:val="20"/>
                <w:szCs w:val="20"/>
              </w:rPr>
            </w:pPr>
          </w:p>
        </w:tc>
        <w:tc>
          <w:tcPr>
            <w:tcW w:w="0" w:type="auto"/>
            <w:shd w:val="clear" w:color="auto" w:fill="auto"/>
            <w:vAlign w:val="center"/>
          </w:tcPr>
          <w:p w14:paraId="4E56B193" w14:textId="77777777" w:rsidR="00DF3E10" w:rsidRDefault="00DF3E10">
            <w:pPr>
              <w:rPr>
                <w:rFonts w:ascii="Times New Roman" w:hAnsi="Times New Roman"/>
                <w:sz w:val="20"/>
                <w:szCs w:val="20"/>
              </w:rPr>
            </w:pPr>
          </w:p>
        </w:tc>
      </w:tr>
      <w:tr w:rsidR="00DF3E10" w14:paraId="4E56B197" w14:textId="77777777">
        <w:trPr>
          <w:tblCellSpacing w:w="0" w:type="dxa"/>
        </w:trPr>
        <w:tc>
          <w:tcPr>
            <w:tcW w:w="0" w:type="auto"/>
            <w:shd w:val="clear" w:color="auto" w:fill="auto"/>
          </w:tcPr>
          <w:p w14:paraId="4E56B19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9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size and composition of our user base;</w:t>
            </w:r>
          </w:p>
        </w:tc>
      </w:tr>
    </w:tbl>
    <w:p w14:paraId="4E56B19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27"/>
      </w:tblGrid>
      <w:tr w:rsidR="00DF3E10" w14:paraId="4E56B19B" w14:textId="77777777">
        <w:trPr>
          <w:tblCellSpacing w:w="0" w:type="dxa"/>
        </w:trPr>
        <w:tc>
          <w:tcPr>
            <w:tcW w:w="1440" w:type="dxa"/>
            <w:shd w:val="clear" w:color="auto" w:fill="auto"/>
            <w:vAlign w:val="center"/>
          </w:tcPr>
          <w:p w14:paraId="4E56B199" w14:textId="77777777" w:rsidR="00DF3E10" w:rsidRDefault="00DF3E10">
            <w:pPr>
              <w:rPr>
                <w:rFonts w:ascii="Times New Roman" w:hAnsi="Times New Roman"/>
                <w:sz w:val="20"/>
                <w:szCs w:val="20"/>
              </w:rPr>
            </w:pPr>
          </w:p>
        </w:tc>
        <w:tc>
          <w:tcPr>
            <w:tcW w:w="0" w:type="auto"/>
            <w:shd w:val="clear" w:color="auto" w:fill="auto"/>
            <w:vAlign w:val="center"/>
          </w:tcPr>
          <w:p w14:paraId="4E56B19A" w14:textId="77777777" w:rsidR="00DF3E10" w:rsidRDefault="00DF3E10">
            <w:pPr>
              <w:rPr>
                <w:rFonts w:ascii="Times New Roman" w:hAnsi="Times New Roman"/>
                <w:sz w:val="20"/>
                <w:szCs w:val="20"/>
              </w:rPr>
            </w:pPr>
          </w:p>
        </w:tc>
      </w:tr>
      <w:tr w:rsidR="00DF3E10" w14:paraId="4E56B19E" w14:textId="77777777">
        <w:trPr>
          <w:tblCellSpacing w:w="0" w:type="dxa"/>
        </w:trPr>
        <w:tc>
          <w:tcPr>
            <w:tcW w:w="0" w:type="auto"/>
            <w:shd w:val="clear" w:color="auto" w:fill="auto"/>
          </w:tcPr>
          <w:p w14:paraId="4E56B19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9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engagement of users with our products and competing products;</w:t>
            </w:r>
          </w:p>
        </w:tc>
      </w:tr>
    </w:tbl>
    <w:p w14:paraId="4E56B19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A2" w14:textId="77777777">
        <w:trPr>
          <w:tblCellSpacing w:w="0" w:type="dxa"/>
        </w:trPr>
        <w:tc>
          <w:tcPr>
            <w:tcW w:w="1440" w:type="dxa"/>
            <w:shd w:val="clear" w:color="auto" w:fill="auto"/>
            <w:vAlign w:val="center"/>
          </w:tcPr>
          <w:p w14:paraId="4E56B1A0" w14:textId="77777777" w:rsidR="00DF3E10" w:rsidRDefault="00DF3E10">
            <w:pPr>
              <w:rPr>
                <w:rFonts w:ascii="Times New Roman" w:hAnsi="Times New Roman"/>
                <w:sz w:val="20"/>
                <w:szCs w:val="20"/>
              </w:rPr>
            </w:pPr>
          </w:p>
        </w:tc>
        <w:tc>
          <w:tcPr>
            <w:tcW w:w="0" w:type="auto"/>
            <w:shd w:val="clear" w:color="auto" w:fill="auto"/>
            <w:vAlign w:val="center"/>
          </w:tcPr>
          <w:p w14:paraId="4E56B1A1" w14:textId="77777777" w:rsidR="00DF3E10" w:rsidRDefault="00DF3E10">
            <w:pPr>
              <w:rPr>
                <w:rFonts w:ascii="Times New Roman" w:hAnsi="Times New Roman"/>
                <w:sz w:val="20"/>
                <w:szCs w:val="20"/>
              </w:rPr>
            </w:pPr>
          </w:p>
        </w:tc>
      </w:tr>
      <w:tr w:rsidR="00DF3E10" w14:paraId="4E56B1A5" w14:textId="77777777">
        <w:trPr>
          <w:tblCellSpacing w:w="0" w:type="dxa"/>
        </w:trPr>
        <w:tc>
          <w:tcPr>
            <w:tcW w:w="0" w:type="auto"/>
            <w:shd w:val="clear" w:color="auto" w:fill="auto"/>
          </w:tcPr>
          <w:p w14:paraId="4E56B1A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A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timing and market acceptance of products, including developments and enhancements to our or our competitors' products;</w:t>
            </w:r>
          </w:p>
        </w:tc>
      </w:tr>
    </w:tbl>
    <w:p w14:paraId="4E56B1A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A9" w14:textId="77777777">
        <w:trPr>
          <w:tblCellSpacing w:w="0" w:type="dxa"/>
        </w:trPr>
        <w:tc>
          <w:tcPr>
            <w:tcW w:w="1440" w:type="dxa"/>
            <w:shd w:val="clear" w:color="auto" w:fill="auto"/>
            <w:vAlign w:val="center"/>
          </w:tcPr>
          <w:p w14:paraId="4E56B1A7" w14:textId="77777777" w:rsidR="00DF3E10" w:rsidRDefault="00DF3E10">
            <w:pPr>
              <w:rPr>
                <w:rFonts w:ascii="Times New Roman" w:hAnsi="Times New Roman"/>
                <w:sz w:val="20"/>
                <w:szCs w:val="20"/>
              </w:rPr>
            </w:pPr>
          </w:p>
        </w:tc>
        <w:tc>
          <w:tcPr>
            <w:tcW w:w="0" w:type="auto"/>
            <w:shd w:val="clear" w:color="auto" w:fill="auto"/>
            <w:vAlign w:val="center"/>
          </w:tcPr>
          <w:p w14:paraId="4E56B1A8" w14:textId="77777777" w:rsidR="00DF3E10" w:rsidRDefault="00DF3E10">
            <w:pPr>
              <w:rPr>
                <w:rFonts w:ascii="Times New Roman" w:hAnsi="Times New Roman"/>
                <w:sz w:val="20"/>
                <w:szCs w:val="20"/>
              </w:rPr>
            </w:pPr>
          </w:p>
        </w:tc>
      </w:tr>
      <w:tr w:rsidR="00DF3E10" w14:paraId="4E56B1AC" w14:textId="77777777">
        <w:trPr>
          <w:tblCellSpacing w:w="0" w:type="dxa"/>
        </w:trPr>
        <w:tc>
          <w:tcPr>
            <w:tcW w:w="0" w:type="auto"/>
            <w:shd w:val="clear" w:color="auto" w:fill="auto"/>
          </w:tcPr>
          <w:p w14:paraId="4E56B1A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A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safety and security efforts and our </w:t>
            </w:r>
            <w:r>
              <w:rPr>
                <w:rFonts w:ascii="Times New Roman" w:eastAsia="宋体" w:hAnsi="Times New Roman"/>
                <w:sz w:val="20"/>
                <w:szCs w:val="20"/>
              </w:rPr>
              <w:t>ability to protect user data and to provide users with control over their data;</w:t>
            </w:r>
          </w:p>
        </w:tc>
      </w:tr>
    </w:tbl>
    <w:p w14:paraId="4E56B1A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22"/>
      </w:tblGrid>
      <w:tr w:rsidR="00DF3E10" w14:paraId="4E56B1B0" w14:textId="77777777">
        <w:trPr>
          <w:tblCellSpacing w:w="0" w:type="dxa"/>
        </w:trPr>
        <w:tc>
          <w:tcPr>
            <w:tcW w:w="1440" w:type="dxa"/>
            <w:shd w:val="clear" w:color="auto" w:fill="auto"/>
            <w:vAlign w:val="center"/>
          </w:tcPr>
          <w:p w14:paraId="4E56B1AE" w14:textId="77777777" w:rsidR="00DF3E10" w:rsidRDefault="00DF3E10">
            <w:pPr>
              <w:rPr>
                <w:rFonts w:ascii="Times New Roman" w:hAnsi="Times New Roman"/>
                <w:sz w:val="20"/>
                <w:szCs w:val="20"/>
              </w:rPr>
            </w:pPr>
          </w:p>
        </w:tc>
        <w:tc>
          <w:tcPr>
            <w:tcW w:w="0" w:type="auto"/>
            <w:shd w:val="clear" w:color="auto" w:fill="auto"/>
            <w:vAlign w:val="center"/>
          </w:tcPr>
          <w:p w14:paraId="4E56B1AF" w14:textId="77777777" w:rsidR="00DF3E10" w:rsidRDefault="00DF3E10">
            <w:pPr>
              <w:rPr>
                <w:rFonts w:ascii="Times New Roman" w:hAnsi="Times New Roman"/>
                <w:sz w:val="20"/>
                <w:szCs w:val="20"/>
              </w:rPr>
            </w:pPr>
          </w:p>
        </w:tc>
      </w:tr>
      <w:tr w:rsidR="00DF3E10" w14:paraId="4E56B1B3" w14:textId="77777777">
        <w:trPr>
          <w:tblCellSpacing w:w="0" w:type="dxa"/>
        </w:trPr>
        <w:tc>
          <w:tcPr>
            <w:tcW w:w="0" w:type="auto"/>
            <w:shd w:val="clear" w:color="auto" w:fill="auto"/>
          </w:tcPr>
          <w:p w14:paraId="4E56B1B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B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distribute our products to new and existing users;</w:t>
            </w:r>
          </w:p>
        </w:tc>
      </w:tr>
    </w:tbl>
    <w:p w14:paraId="4E56B1B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2928"/>
      </w:tblGrid>
      <w:tr w:rsidR="00DF3E10" w14:paraId="4E56B1B7" w14:textId="77777777">
        <w:trPr>
          <w:tblCellSpacing w:w="0" w:type="dxa"/>
        </w:trPr>
        <w:tc>
          <w:tcPr>
            <w:tcW w:w="1440" w:type="dxa"/>
            <w:shd w:val="clear" w:color="auto" w:fill="auto"/>
            <w:vAlign w:val="center"/>
          </w:tcPr>
          <w:p w14:paraId="4E56B1B5" w14:textId="77777777" w:rsidR="00DF3E10" w:rsidRDefault="00DF3E10">
            <w:pPr>
              <w:rPr>
                <w:rFonts w:ascii="Times New Roman" w:hAnsi="Times New Roman"/>
                <w:sz w:val="20"/>
                <w:szCs w:val="20"/>
              </w:rPr>
            </w:pPr>
          </w:p>
        </w:tc>
        <w:tc>
          <w:tcPr>
            <w:tcW w:w="0" w:type="auto"/>
            <w:shd w:val="clear" w:color="auto" w:fill="auto"/>
            <w:vAlign w:val="center"/>
          </w:tcPr>
          <w:p w14:paraId="4E56B1B6" w14:textId="77777777" w:rsidR="00DF3E10" w:rsidRDefault="00DF3E10">
            <w:pPr>
              <w:rPr>
                <w:rFonts w:ascii="Times New Roman" w:hAnsi="Times New Roman"/>
                <w:sz w:val="20"/>
                <w:szCs w:val="20"/>
              </w:rPr>
            </w:pPr>
          </w:p>
        </w:tc>
      </w:tr>
      <w:tr w:rsidR="00DF3E10" w14:paraId="4E56B1BA" w14:textId="77777777">
        <w:trPr>
          <w:tblCellSpacing w:w="0" w:type="dxa"/>
        </w:trPr>
        <w:tc>
          <w:tcPr>
            <w:tcW w:w="0" w:type="auto"/>
            <w:shd w:val="clear" w:color="auto" w:fill="auto"/>
          </w:tcPr>
          <w:p w14:paraId="4E56B1B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B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monetize our products;</w:t>
            </w:r>
          </w:p>
        </w:tc>
      </w:tr>
    </w:tbl>
    <w:p w14:paraId="4E56B1B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BE" w14:textId="77777777">
        <w:trPr>
          <w:tblCellSpacing w:w="0" w:type="dxa"/>
        </w:trPr>
        <w:tc>
          <w:tcPr>
            <w:tcW w:w="1440" w:type="dxa"/>
            <w:shd w:val="clear" w:color="auto" w:fill="auto"/>
            <w:vAlign w:val="center"/>
          </w:tcPr>
          <w:p w14:paraId="4E56B1BC" w14:textId="77777777" w:rsidR="00DF3E10" w:rsidRDefault="00DF3E10">
            <w:pPr>
              <w:rPr>
                <w:rFonts w:ascii="Times New Roman" w:hAnsi="Times New Roman"/>
                <w:sz w:val="20"/>
                <w:szCs w:val="20"/>
              </w:rPr>
            </w:pPr>
          </w:p>
        </w:tc>
        <w:tc>
          <w:tcPr>
            <w:tcW w:w="0" w:type="auto"/>
            <w:shd w:val="clear" w:color="auto" w:fill="auto"/>
            <w:vAlign w:val="center"/>
          </w:tcPr>
          <w:p w14:paraId="4E56B1BD" w14:textId="77777777" w:rsidR="00DF3E10" w:rsidRDefault="00DF3E10">
            <w:pPr>
              <w:rPr>
                <w:rFonts w:ascii="Times New Roman" w:hAnsi="Times New Roman"/>
                <w:sz w:val="20"/>
                <w:szCs w:val="20"/>
              </w:rPr>
            </w:pPr>
          </w:p>
        </w:tc>
      </w:tr>
      <w:tr w:rsidR="00DF3E10" w14:paraId="4E56B1C1" w14:textId="77777777">
        <w:trPr>
          <w:tblCellSpacing w:w="0" w:type="dxa"/>
        </w:trPr>
        <w:tc>
          <w:tcPr>
            <w:tcW w:w="0" w:type="auto"/>
            <w:shd w:val="clear" w:color="auto" w:fill="auto"/>
          </w:tcPr>
          <w:p w14:paraId="4E56B1B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C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frequency, size, format, quality, and </w:t>
            </w:r>
            <w:r>
              <w:rPr>
                <w:rFonts w:ascii="Times New Roman" w:eastAsia="宋体" w:hAnsi="Times New Roman"/>
                <w:sz w:val="20"/>
                <w:szCs w:val="20"/>
              </w:rPr>
              <w:t>relative prominence of the ads displayed by us or our competitors;</w:t>
            </w:r>
          </w:p>
        </w:tc>
      </w:tr>
    </w:tbl>
    <w:p w14:paraId="4E56B1C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2966"/>
      </w:tblGrid>
      <w:tr w:rsidR="00DF3E10" w14:paraId="4E56B1C5" w14:textId="77777777">
        <w:trPr>
          <w:tblCellSpacing w:w="0" w:type="dxa"/>
        </w:trPr>
        <w:tc>
          <w:tcPr>
            <w:tcW w:w="1440" w:type="dxa"/>
            <w:shd w:val="clear" w:color="auto" w:fill="auto"/>
            <w:vAlign w:val="center"/>
          </w:tcPr>
          <w:p w14:paraId="4E56B1C3" w14:textId="77777777" w:rsidR="00DF3E10" w:rsidRDefault="00DF3E10">
            <w:pPr>
              <w:rPr>
                <w:rFonts w:ascii="Times New Roman" w:hAnsi="Times New Roman"/>
                <w:sz w:val="20"/>
                <w:szCs w:val="20"/>
              </w:rPr>
            </w:pPr>
          </w:p>
        </w:tc>
        <w:tc>
          <w:tcPr>
            <w:tcW w:w="0" w:type="auto"/>
            <w:shd w:val="clear" w:color="auto" w:fill="auto"/>
            <w:vAlign w:val="center"/>
          </w:tcPr>
          <w:p w14:paraId="4E56B1C4" w14:textId="77777777" w:rsidR="00DF3E10" w:rsidRDefault="00DF3E10">
            <w:pPr>
              <w:rPr>
                <w:rFonts w:ascii="Times New Roman" w:hAnsi="Times New Roman"/>
                <w:sz w:val="20"/>
                <w:szCs w:val="20"/>
              </w:rPr>
            </w:pPr>
          </w:p>
        </w:tc>
      </w:tr>
      <w:tr w:rsidR="00DF3E10" w14:paraId="4E56B1C8" w14:textId="77777777">
        <w:trPr>
          <w:tblCellSpacing w:w="0" w:type="dxa"/>
        </w:trPr>
        <w:tc>
          <w:tcPr>
            <w:tcW w:w="0" w:type="auto"/>
            <w:shd w:val="clear" w:color="auto" w:fill="auto"/>
          </w:tcPr>
          <w:p w14:paraId="4E56B1C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C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customer service and support efforts;</w:t>
            </w:r>
          </w:p>
        </w:tc>
      </w:tr>
    </w:tbl>
    <w:p w14:paraId="4E56B1C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CC" w14:textId="77777777">
        <w:trPr>
          <w:tblCellSpacing w:w="0" w:type="dxa"/>
        </w:trPr>
        <w:tc>
          <w:tcPr>
            <w:tcW w:w="1440" w:type="dxa"/>
            <w:shd w:val="clear" w:color="auto" w:fill="auto"/>
            <w:vAlign w:val="center"/>
          </w:tcPr>
          <w:p w14:paraId="4E56B1CA" w14:textId="77777777" w:rsidR="00DF3E10" w:rsidRDefault="00DF3E10">
            <w:pPr>
              <w:rPr>
                <w:rFonts w:ascii="Times New Roman" w:hAnsi="Times New Roman"/>
                <w:sz w:val="20"/>
                <w:szCs w:val="20"/>
              </w:rPr>
            </w:pPr>
          </w:p>
        </w:tc>
        <w:tc>
          <w:tcPr>
            <w:tcW w:w="0" w:type="auto"/>
            <w:shd w:val="clear" w:color="auto" w:fill="auto"/>
            <w:vAlign w:val="center"/>
          </w:tcPr>
          <w:p w14:paraId="4E56B1CB" w14:textId="77777777" w:rsidR="00DF3E10" w:rsidRDefault="00DF3E10">
            <w:pPr>
              <w:rPr>
                <w:rFonts w:ascii="Times New Roman" w:hAnsi="Times New Roman"/>
                <w:sz w:val="20"/>
                <w:szCs w:val="20"/>
              </w:rPr>
            </w:pPr>
          </w:p>
        </w:tc>
      </w:tr>
      <w:tr w:rsidR="00DF3E10" w14:paraId="4E56B1CF" w14:textId="77777777">
        <w:trPr>
          <w:tblCellSpacing w:w="0" w:type="dxa"/>
        </w:trPr>
        <w:tc>
          <w:tcPr>
            <w:tcW w:w="0" w:type="auto"/>
            <w:shd w:val="clear" w:color="auto" w:fill="auto"/>
          </w:tcPr>
          <w:p w14:paraId="4E56B1C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C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marketing and selling efforts, including our ability to measure the effectiveness of our ads and to provide marketers with a </w:t>
            </w:r>
            <w:r>
              <w:rPr>
                <w:rFonts w:ascii="Times New Roman" w:eastAsia="宋体" w:hAnsi="Times New Roman"/>
                <w:sz w:val="20"/>
                <w:szCs w:val="20"/>
              </w:rPr>
              <w:t>compelling return on their investments;</w:t>
            </w:r>
          </w:p>
        </w:tc>
      </w:tr>
    </w:tbl>
    <w:p w14:paraId="4E56B1D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D3" w14:textId="77777777">
        <w:trPr>
          <w:tblCellSpacing w:w="0" w:type="dxa"/>
        </w:trPr>
        <w:tc>
          <w:tcPr>
            <w:tcW w:w="1440" w:type="dxa"/>
            <w:shd w:val="clear" w:color="auto" w:fill="auto"/>
            <w:vAlign w:val="center"/>
          </w:tcPr>
          <w:p w14:paraId="4E56B1D1" w14:textId="77777777" w:rsidR="00DF3E10" w:rsidRDefault="00DF3E10">
            <w:pPr>
              <w:rPr>
                <w:rFonts w:ascii="Times New Roman" w:hAnsi="Times New Roman"/>
                <w:sz w:val="20"/>
                <w:szCs w:val="20"/>
              </w:rPr>
            </w:pPr>
          </w:p>
        </w:tc>
        <w:tc>
          <w:tcPr>
            <w:tcW w:w="0" w:type="auto"/>
            <w:shd w:val="clear" w:color="auto" w:fill="auto"/>
            <w:vAlign w:val="center"/>
          </w:tcPr>
          <w:p w14:paraId="4E56B1D2" w14:textId="77777777" w:rsidR="00DF3E10" w:rsidRDefault="00DF3E10">
            <w:pPr>
              <w:rPr>
                <w:rFonts w:ascii="Times New Roman" w:hAnsi="Times New Roman"/>
                <w:sz w:val="20"/>
                <w:szCs w:val="20"/>
              </w:rPr>
            </w:pPr>
          </w:p>
        </w:tc>
      </w:tr>
      <w:tr w:rsidR="00DF3E10" w14:paraId="4E56B1D6" w14:textId="77777777">
        <w:trPr>
          <w:tblCellSpacing w:w="0" w:type="dxa"/>
        </w:trPr>
        <w:tc>
          <w:tcPr>
            <w:tcW w:w="0" w:type="auto"/>
            <w:shd w:val="clear" w:color="auto" w:fill="auto"/>
          </w:tcPr>
          <w:p w14:paraId="4E56B1D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D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establish and maintain developers' interest in building mobile and web applications that integrate with Facebook and our other products;</w:t>
            </w:r>
          </w:p>
        </w:tc>
      </w:tr>
    </w:tbl>
    <w:p w14:paraId="4E56B1D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DA" w14:textId="77777777">
        <w:trPr>
          <w:tblCellSpacing w:w="0" w:type="dxa"/>
        </w:trPr>
        <w:tc>
          <w:tcPr>
            <w:tcW w:w="1440" w:type="dxa"/>
            <w:shd w:val="clear" w:color="auto" w:fill="auto"/>
            <w:vAlign w:val="center"/>
          </w:tcPr>
          <w:p w14:paraId="4E56B1D8" w14:textId="77777777" w:rsidR="00DF3E10" w:rsidRDefault="00DF3E10">
            <w:pPr>
              <w:rPr>
                <w:rFonts w:ascii="Times New Roman" w:hAnsi="Times New Roman"/>
                <w:sz w:val="20"/>
                <w:szCs w:val="20"/>
              </w:rPr>
            </w:pPr>
          </w:p>
        </w:tc>
        <w:tc>
          <w:tcPr>
            <w:tcW w:w="0" w:type="auto"/>
            <w:shd w:val="clear" w:color="auto" w:fill="auto"/>
            <w:vAlign w:val="center"/>
          </w:tcPr>
          <w:p w14:paraId="4E56B1D9" w14:textId="77777777" w:rsidR="00DF3E10" w:rsidRDefault="00DF3E10">
            <w:pPr>
              <w:rPr>
                <w:rFonts w:ascii="Times New Roman" w:hAnsi="Times New Roman"/>
                <w:sz w:val="20"/>
                <w:szCs w:val="20"/>
              </w:rPr>
            </w:pPr>
          </w:p>
        </w:tc>
      </w:tr>
      <w:tr w:rsidR="00DF3E10" w14:paraId="4E56B1DD" w14:textId="77777777">
        <w:trPr>
          <w:tblCellSpacing w:w="0" w:type="dxa"/>
        </w:trPr>
        <w:tc>
          <w:tcPr>
            <w:tcW w:w="0" w:type="auto"/>
            <w:shd w:val="clear" w:color="auto" w:fill="auto"/>
          </w:tcPr>
          <w:p w14:paraId="4E56B1D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D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establish and maintain </w:t>
            </w:r>
            <w:r>
              <w:rPr>
                <w:rFonts w:ascii="Times New Roman" w:eastAsia="宋体" w:hAnsi="Times New Roman"/>
                <w:sz w:val="20"/>
                <w:szCs w:val="20"/>
              </w:rPr>
              <w:t>publisher interest in integrating their content with Facebook and our other products;</w:t>
            </w:r>
          </w:p>
        </w:tc>
      </w:tr>
    </w:tbl>
    <w:p w14:paraId="4E56B1D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E1" w14:textId="77777777">
        <w:trPr>
          <w:tblCellSpacing w:w="0" w:type="dxa"/>
        </w:trPr>
        <w:tc>
          <w:tcPr>
            <w:tcW w:w="1440" w:type="dxa"/>
            <w:shd w:val="clear" w:color="auto" w:fill="auto"/>
            <w:vAlign w:val="center"/>
          </w:tcPr>
          <w:p w14:paraId="4E56B1DF" w14:textId="77777777" w:rsidR="00DF3E10" w:rsidRDefault="00DF3E10">
            <w:pPr>
              <w:rPr>
                <w:rFonts w:ascii="Times New Roman" w:hAnsi="Times New Roman"/>
                <w:sz w:val="20"/>
                <w:szCs w:val="20"/>
              </w:rPr>
            </w:pPr>
          </w:p>
        </w:tc>
        <w:tc>
          <w:tcPr>
            <w:tcW w:w="0" w:type="auto"/>
            <w:shd w:val="clear" w:color="auto" w:fill="auto"/>
            <w:vAlign w:val="center"/>
          </w:tcPr>
          <w:p w14:paraId="4E56B1E0" w14:textId="77777777" w:rsidR="00DF3E10" w:rsidRDefault="00DF3E10">
            <w:pPr>
              <w:rPr>
                <w:rFonts w:ascii="Times New Roman" w:hAnsi="Times New Roman"/>
                <w:sz w:val="20"/>
                <w:szCs w:val="20"/>
              </w:rPr>
            </w:pPr>
          </w:p>
        </w:tc>
      </w:tr>
      <w:tr w:rsidR="00DF3E10" w14:paraId="4E56B1E4" w14:textId="77777777">
        <w:trPr>
          <w:tblCellSpacing w:w="0" w:type="dxa"/>
        </w:trPr>
        <w:tc>
          <w:tcPr>
            <w:tcW w:w="0" w:type="auto"/>
            <w:shd w:val="clear" w:color="auto" w:fill="auto"/>
          </w:tcPr>
          <w:p w14:paraId="4E56B1E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E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mandated by legislation, regulatory authorities, or litigation, some of which may have a disproportionate effect on us;</w:t>
            </w:r>
          </w:p>
        </w:tc>
      </w:tr>
    </w:tbl>
    <w:p w14:paraId="4E56B1E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E8" w14:textId="77777777">
        <w:trPr>
          <w:tblCellSpacing w:w="0" w:type="dxa"/>
        </w:trPr>
        <w:tc>
          <w:tcPr>
            <w:tcW w:w="1440" w:type="dxa"/>
            <w:shd w:val="clear" w:color="auto" w:fill="auto"/>
            <w:vAlign w:val="center"/>
          </w:tcPr>
          <w:p w14:paraId="4E56B1E6" w14:textId="77777777" w:rsidR="00DF3E10" w:rsidRDefault="00DF3E10">
            <w:pPr>
              <w:rPr>
                <w:rFonts w:ascii="Times New Roman" w:hAnsi="Times New Roman"/>
                <w:sz w:val="20"/>
                <w:szCs w:val="20"/>
              </w:rPr>
            </w:pPr>
          </w:p>
        </w:tc>
        <w:tc>
          <w:tcPr>
            <w:tcW w:w="0" w:type="auto"/>
            <w:shd w:val="clear" w:color="auto" w:fill="auto"/>
            <w:vAlign w:val="center"/>
          </w:tcPr>
          <w:p w14:paraId="4E56B1E7" w14:textId="77777777" w:rsidR="00DF3E10" w:rsidRDefault="00DF3E10">
            <w:pPr>
              <w:rPr>
                <w:rFonts w:ascii="Times New Roman" w:hAnsi="Times New Roman"/>
                <w:sz w:val="20"/>
                <w:szCs w:val="20"/>
              </w:rPr>
            </w:pPr>
          </w:p>
        </w:tc>
      </w:tr>
      <w:tr w:rsidR="00DF3E10" w14:paraId="4E56B1EB" w14:textId="77777777">
        <w:trPr>
          <w:tblCellSpacing w:w="0" w:type="dxa"/>
        </w:trPr>
        <w:tc>
          <w:tcPr>
            <w:tcW w:w="0" w:type="auto"/>
            <w:shd w:val="clear" w:color="auto" w:fill="auto"/>
          </w:tcPr>
          <w:p w14:paraId="4E56B1E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E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acquisitions or </w:t>
            </w:r>
            <w:r>
              <w:rPr>
                <w:rFonts w:ascii="Times New Roman" w:eastAsia="宋体" w:hAnsi="Times New Roman"/>
                <w:sz w:val="20"/>
                <w:szCs w:val="20"/>
              </w:rPr>
              <w:t>consolidation within our industry, which may result in more formidable competitors;</w:t>
            </w:r>
          </w:p>
        </w:tc>
      </w:tr>
    </w:tbl>
    <w:p w14:paraId="4E56B1E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1EF" w14:textId="77777777">
        <w:trPr>
          <w:tblCellSpacing w:w="0" w:type="dxa"/>
        </w:trPr>
        <w:tc>
          <w:tcPr>
            <w:tcW w:w="1440" w:type="dxa"/>
            <w:shd w:val="clear" w:color="auto" w:fill="auto"/>
            <w:vAlign w:val="center"/>
          </w:tcPr>
          <w:p w14:paraId="4E56B1ED" w14:textId="77777777" w:rsidR="00DF3E10" w:rsidRDefault="00DF3E10">
            <w:pPr>
              <w:rPr>
                <w:rFonts w:ascii="Times New Roman" w:hAnsi="Times New Roman"/>
                <w:sz w:val="20"/>
                <w:szCs w:val="20"/>
              </w:rPr>
            </w:pPr>
          </w:p>
        </w:tc>
        <w:tc>
          <w:tcPr>
            <w:tcW w:w="0" w:type="auto"/>
            <w:shd w:val="clear" w:color="auto" w:fill="auto"/>
            <w:vAlign w:val="center"/>
          </w:tcPr>
          <w:p w14:paraId="4E56B1EE" w14:textId="77777777" w:rsidR="00DF3E10" w:rsidRDefault="00DF3E10">
            <w:pPr>
              <w:rPr>
                <w:rFonts w:ascii="Times New Roman" w:hAnsi="Times New Roman"/>
                <w:sz w:val="20"/>
                <w:szCs w:val="20"/>
              </w:rPr>
            </w:pPr>
          </w:p>
        </w:tc>
      </w:tr>
      <w:tr w:rsidR="00DF3E10" w14:paraId="4E56B1F2" w14:textId="77777777">
        <w:trPr>
          <w:tblCellSpacing w:w="0" w:type="dxa"/>
        </w:trPr>
        <w:tc>
          <w:tcPr>
            <w:tcW w:w="0" w:type="auto"/>
            <w:shd w:val="clear" w:color="auto" w:fill="auto"/>
          </w:tcPr>
          <w:p w14:paraId="4E56B1F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F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attract, retain, and motivate talented employees, particularly software engineers, designers, and product managers;</w:t>
            </w:r>
          </w:p>
        </w:tc>
      </w:tr>
    </w:tbl>
    <w:p w14:paraId="4E56B1F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393"/>
      </w:tblGrid>
      <w:tr w:rsidR="00DF3E10" w14:paraId="4E56B1F6" w14:textId="77777777">
        <w:trPr>
          <w:tblCellSpacing w:w="0" w:type="dxa"/>
        </w:trPr>
        <w:tc>
          <w:tcPr>
            <w:tcW w:w="1440" w:type="dxa"/>
            <w:shd w:val="clear" w:color="auto" w:fill="auto"/>
            <w:vAlign w:val="center"/>
          </w:tcPr>
          <w:p w14:paraId="4E56B1F4" w14:textId="77777777" w:rsidR="00DF3E10" w:rsidRDefault="00DF3E10">
            <w:pPr>
              <w:rPr>
                <w:rFonts w:ascii="Times New Roman" w:hAnsi="Times New Roman"/>
                <w:sz w:val="20"/>
                <w:szCs w:val="20"/>
              </w:rPr>
            </w:pPr>
          </w:p>
        </w:tc>
        <w:tc>
          <w:tcPr>
            <w:tcW w:w="0" w:type="auto"/>
            <w:shd w:val="clear" w:color="auto" w:fill="auto"/>
            <w:vAlign w:val="center"/>
          </w:tcPr>
          <w:p w14:paraId="4E56B1F5" w14:textId="77777777" w:rsidR="00DF3E10" w:rsidRDefault="00DF3E10">
            <w:pPr>
              <w:rPr>
                <w:rFonts w:ascii="Times New Roman" w:hAnsi="Times New Roman"/>
                <w:sz w:val="20"/>
                <w:szCs w:val="20"/>
              </w:rPr>
            </w:pPr>
          </w:p>
        </w:tc>
      </w:tr>
      <w:tr w:rsidR="00DF3E10" w14:paraId="4E56B1F9" w14:textId="77777777">
        <w:trPr>
          <w:tblCellSpacing w:w="0" w:type="dxa"/>
        </w:trPr>
        <w:tc>
          <w:tcPr>
            <w:tcW w:w="0" w:type="auto"/>
            <w:shd w:val="clear" w:color="auto" w:fill="auto"/>
          </w:tcPr>
          <w:p w14:paraId="4E56B1F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F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w:t>
            </w:r>
            <w:r>
              <w:rPr>
                <w:rFonts w:ascii="Times New Roman" w:eastAsia="宋体" w:hAnsi="Times New Roman"/>
                <w:sz w:val="20"/>
                <w:szCs w:val="20"/>
              </w:rPr>
              <w:t>cost-effectively manage and grow our operations; and</w:t>
            </w:r>
          </w:p>
        </w:tc>
      </w:tr>
    </w:tbl>
    <w:p w14:paraId="4E56B1F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571"/>
      </w:tblGrid>
      <w:tr w:rsidR="00DF3E10" w14:paraId="4E56B1FD" w14:textId="77777777">
        <w:trPr>
          <w:tblCellSpacing w:w="0" w:type="dxa"/>
        </w:trPr>
        <w:tc>
          <w:tcPr>
            <w:tcW w:w="1440" w:type="dxa"/>
            <w:shd w:val="clear" w:color="auto" w:fill="auto"/>
            <w:vAlign w:val="center"/>
          </w:tcPr>
          <w:p w14:paraId="4E56B1FB" w14:textId="77777777" w:rsidR="00DF3E10" w:rsidRDefault="00DF3E10">
            <w:pPr>
              <w:rPr>
                <w:rFonts w:ascii="Times New Roman" w:hAnsi="Times New Roman"/>
                <w:sz w:val="20"/>
                <w:szCs w:val="20"/>
              </w:rPr>
            </w:pPr>
          </w:p>
        </w:tc>
        <w:tc>
          <w:tcPr>
            <w:tcW w:w="0" w:type="auto"/>
            <w:shd w:val="clear" w:color="auto" w:fill="auto"/>
            <w:vAlign w:val="center"/>
          </w:tcPr>
          <w:p w14:paraId="4E56B1FC" w14:textId="77777777" w:rsidR="00DF3E10" w:rsidRDefault="00DF3E10">
            <w:pPr>
              <w:rPr>
                <w:rFonts w:ascii="Times New Roman" w:hAnsi="Times New Roman"/>
                <w:sz w:val="20"/>
                <w:szCs w:val="20"/>
              </w:rPr>
            </w:pPr>
          </w:p>
        </w:tc>
      </w:tr>
      <w:tr w:rsidR="00DF3E10" w14:paraId="4E56B200" w14:textId="77777777">
        <w:trPr>
          <w:tblCellSpacing w:w="0" w:type="dxa"/>
        </w:trPr>
        <w:tc>
          <w:tcPr>
            <w:tcW w:w="0" w:type="auto"/>
            <w:shd w:val="clear" w:color="auto" w:fill="auto"/>
          </w:tcPr>
          <w:p w14:paraId="4E56B1F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1F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reputation and brand strength relative to those of our competitors.</w:t>
            </w:r>
          </w:p>
        </w:tc>
      </w:tr>
    </w:tbl>
    <w:p w14:paraId="4E56B20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we are not able to compete effectively, our user base and level of user engagement may decrease, we may become less </w:t>
      </w:r>
      <w:r>
        <w:rPr>
          <w:rFonts w:ascii="Times New Roman" w:eastAsia="宋体" w:hAnsi="Times New Roman"/>
          <w:sz w:val="20"/>
          <w:szCs w:val="20"/>
        </w:rPr>
        <w:t>attractive to developers and marketers, and our revenue and results of operations may be materially and adversely affected.</w:t>
      </w:r>
    </w:p>
    <w:p w14:paraId="4E56B20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Actions by governments that restrict access to Facebook or our other products in their countries, or that otherwise impair our abili</w:t>
      </w:r>
      <w:r>
        <w:rPr>
          <w:rFonts w:ascii="Times New Roman" w:eastAsia="宋体" w:hAnsi="Times New Roman"/>
          <w:b/>
          <w:bCs/>
          <w:i/>
          <w:iCs/>
          <w:sz w:val="20"/>
          <w:szCs w:val="20"/>
        </w:rPr>
        <w:t>ty to sell advertising in their countries, could substantially harm our business and financial results.</w:t>
      </w:r>
    </w:p>
    <w:p w14:paraId="4E56B20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Governments from time to time seek to censor content available on Facebook or our other products in their country, restrict access to our products from </w:t>
      </w:r>
      <w:r>
        <w:rPr>
          <w:rFonts w:ascii="Times New Roman" w:eastAsia="宋体" w:hAnsi="Times New Roman"/>
          <w:sz w:val="20"/>
          <w:szCs w:val="20"/>
        </w:rPr>
        <w:t>their country entirely, or impose other restrictions that may affect the accessibility of our products in their country for an extended period of time or indefinitely. For example, user access to Facebook and certain of our other products has been or is cu</w:t>
      </w:r>
      <w:r>
        <w:rPr>
          <w:rFonts w:ascii="Times New Roman" w:eastAsia="宋体" w:hAnsi="Times New Roman"/>
          <w:sz w:val="20"/>
          <w:szCs w:val="20"/>
        </w:rPr>
        <w:t>rrently restricted in whole or in part in China, Iran, and North Korea. In addition, government authorities in other countries may seek to restrict user access to our products if they consider us to be in violation of their laws or a threat to public safet</w:t>
      </w:r>
      <w:r>
        <w:rPr>
          <w:rFonts w:ascii="Times New Roman" w:eastAsia="宋体" w:hAnsi="Times New Roman"/>
          <w:sz w:val="20"/>
          <w:szCs w:val="20"/>
        </w:rPr>
        <w:t xml:space="preserve">y or for other reasons, and certain of our products have been restricted by governments in other countries from time to time. For example, Hong Kong recently adopted a National Security Law that provides authorities with the ability </w:t>
      </w:r>
    </w:p>
    <w:p w14:paraId="4E56B204" w14:textId="77777777" w:rsidR="00DF3E10" w:rsidRDefault="00DF3E10">
      <w:pPr>
        <w:rPr>
          <w:rFonts w:ascii="Times New Roman" w:hAnsi="Times New Roman"/>
          <w:sz w:val="20"/>
          <w:szCs w:val="20"/>
        </w:rPr>
      </w:pPr>
    </w:p>
    <w:p w14:paraId="4E56B205"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56</w:t>
      </w:r>
    </w:p>
    <w:p w14:paraId="4E56B206" w14:textId="77777777" w:rsidR="00DF3E10" w:rsidRDefault="006B6C28">
      <w:r>
        <w:rPr>
          <w:rFonts w:ascii="Times New Roman" w:hAnsi="Times New Roman"/>
          <w:sz w:val="20"/>
          <w:szCs w:val="20"/>
        </w:rPr>
        <w:pict w14:anchorId="4E56B795">
          <v:rect id="_x0000_i1080" style="width:415.3pt;height:1.5pt" o:hralign="center" o:hrstd="t" o:hr="t" fillcolor="#a0a0a0" stroked="f"/>
        </w:pict>
      </w:r>
    </w:p>
    <w:p w14:paraId="4E56B207" w14:textId="77777777" w:rsidR="00DF3E10" w:rsidRDefault="006B6C28">
      <w:pPr>
        <w:spacing w:line="288" w:lineRule="auto"/>
        <w:rPr>
          <w:rFonts w:ascii="Times New Roman" w:hAnsi="Times New Roman"/>
          <w:sz w:val="20"/>
          <w:szCs w:val="20"/>
        </w:rPr>
      </w:pPr>
      <w:hyperlink r:id="rId97" w:anchor="sC1FF62F0D4D85317B5B2C71C7C94F269" w:history="1">
        <w:r>
          <w:rPr>
            <w:rStyle w:val="a5"/>
            <w:rFonts w:ascii="Times New Roman" w:eastAsia="宋体" w:hAnsi="Times New Roman"/>
            <w:sz w:val="20"/>
            <w:szCs w:val="20"/>
          </w:rPr>
          <w:t>Table of Contents</w:t>
        </w:r>
      </w:hyperlink>
    </w:p>
    <w:p w14:paraId="4E56B208" w14:textId="77777777" w:rsidR="00DF3E10" w:rsidRDefault="00DF3E10">
      <w:pPr>
        <w:rPr>
          <w:rFonts w:ascii="Times New Roman" w:hAnsi="Times New Roman"/>
          <w:sz w:val="20"/>
          <w:szCs w:val="20"/>
        </w:rPr>
      </w:pPr>
    </w:p>
    <w:p w14:paraId="4E56B209"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to obtain information, remove and block access to content, and suspend user services</w:t>
      </w:r>
      <w:r>
        <w:rPr>
          <w:rFonts w:ascii="Times New Roman" w:eastAsia="宋体" w:hAnsi="Times New Roman"/>
          <w:sz w:val="20"/>
          <w:szCs w:val="20"/>
        </w:rPr>
        <w:t>, and if we are found to be in violation of this law then the use of our products may be restricted. In addition, if we are required to or elect to make changes to our marketing and sales or other operations in Hong Kong as a result of the National Securit</w:t>
      </w:r>
      <w:r>
        <w:rPr>
          <w:rFonts w:ascii="Times New Roman" w:eastAsia="宋体" w:hAnsi="Times New Roman"/>
          <w:sz w:val="20"/>
          <w:szCs w:val="20"/>
        </w:rPr>
        <w:t>y Law, our revenue and business in the region will be adversely affected. It is also possible that government authorities could take action that impairs our ability to sell advertising, including in countries where access to our consumer-facing products ma</w:t>
      </w:r>
      <w:r>
        <w:rPr>
          <w:rFonts w:ascii="Times New Roman" w:eastAsia="宋体" w:hAnsi="Times New Roman"/>
          <w:sz w:val="20"/>
          <w:szCs w:val="20"/>
        </w:rPr>
        <w:t xml:space="preserve">y be blocked or restricted. For example, we generate meaningful revenue from a limited number of resellers representing advertisers based in China, and it is possible that the Chinese government could take action that reduces or eliminates our China-based </w:t>
      </w:r>
      <w:r>
        <w:rPr>
          <w:rFonts w:ascii="Times New Roman" w:eastAsia="宋体" w:hAnsi="Times New Roman"/>
          <w:sz w:val="20"/>
          <w:szCs w:val="20"/>
        </w:rPr>
        <w:t>advertising revenue, whether as a result of the trade dispute with the United States, in response to content issues or information requests in Hong Kong or elsewhere, or for other reasons, or take other action against us, such as imposing taxes or other pe</w:t>
      </w:r>
      <w:r>
        <w:rPr>
          <w:rFonts w:ascii="Times New Roman" w:eastAsia="宋体" w:hAnsi="Times New Roman"/>
          <w:sz w:val="20"/>
          <w:szCs w:val="20"/>
        </w:rPr>
        <w:t>nalties, which could adversely affect our financial results. In the event that content shown on Facebook or our other products is subject to censorship, access to our products is restricted, in whole or in part, in one or more countries, we are required to</w:t>
      </w:r>
      <w:r>
        <w:rPr>
          <w:rFonts w:ascii="Times New Roman" w:eastAsia="宋体" w:hAnsi="Times New Roman"/>
          <w:sz w:val="20"/>
          <w:szCs w:val="20"/>
        </w:rPr>
        <w:t xml:space="preserve"> or elect to make changes to our operations, or other restrictions are imposed on our products, or our competitors are able to successfully penetrate new geographic markets or capture a greater share of existing geographic markets that we cannot access or </w:t>
      </w:r>
      <w:r>
        <w:rPr>
          <w:rFonts w:ascii="Times New Roman" w:eastAsia="宋体" w:hAnsi="Times New Roman"/>
          <w:sz w:val="20"/>
          <w:szCs w:val="20"/>
        </w:rPr>
        <w:t>where we face other restrictions, our ability to retain or increase our user base, user engagement, or the level of advertising by marketers may be adversely affected, we may not be able to maintain or grow our revenue as anticipated, and our financial res</w:t>
      </w:r>
      <w:r>
        <w:rPr>
          <w:rFonts w:ascii="Times New Roman" w:eastAsia="宋体" w:hAnsi="Times New Roman"/>
          <w:sz w:val="20"/>
          <w:szCs w:val="20"/>
        </w:rPr>
        <w:t>ults could be adversely affected.</w:t>
      </w:r>
    </w:p>
    <w:p w14:paraId="4E56B20A"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new products and changes to existing products could fail to attract or retain users or generate revenue and profits.</w:t>
      </w:r>
    </w:p>
    <w:p w14:paraId="4E56B20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ability to retain, increase, and engage our user base and to increase our revenue depends heavily</w:t>
      </w:r>
      <w:r>
        <w:rPr>
          <w:rFonts w:ascii="Times New Roman" w:eastAsia="宋体" w:hAnsi="Times New Roman"/>
          <w:sz w:val="20"/>
          <w:szCs w:val="20"/>
        </w:rPr>
        <w:t xml:space="preserve"> on our ability to continue to evolve our existing products and to create successful new products, both independently and in conjunction with developers or other third parties. We may introduce significant changes to our existing products or acquire or int</w:t>
      </w:r>
      <w:r>
        <w:rPr>
          <w:rFonts w:ascii="Times New Roman" w:eastAsia="宋体" w:hAnsi="Times New Roman"/>
          <w:sz w:val="20"/>
          <w:szCs w:val="20"/>
        </w:rPr>
        <w:t>roduce new and unproven products, including using technologies with which we have little or no prior development or operating experience. For example, we do not have significant experience with consumer hardware products or virtual or augmented reality tec</w:t>
      </w:r>
      <w:r>
        <w:rPr>
          <w:rFonts w:ascii="Times New Roman" w:eastAsia="宋体" w:hAnsi="Times New Roman"/>
          <w:sz w:val="20"/>
          <w:szCs w:val="20"/>
        </w:rPr>
        <w:t>hnology, which may adversely affect our ability to successfully develop and market these products and technologies. We continue to incur substantial costs, and we may not be successful in generating profits, in connection with these efforts. In addition, t</w:t>
      </w:r>
      <w:r>
        <w:rPr>
          <w:rFonts w:ascii="Times New Roman" w:eastAsia="宋体" w:hAnsi="Times New Roman"/>
          <w:sz w:val="20"/>
          <w:szCs w:val="20"/>
        </w:rPr>
        <w:t xml:space="preserve">he introduction of new products, or changes to existing products, may result in new or enhanced governmental or regulatory scrutiny or other complications that could adversely affect our business and financial results. We have also invested, and expect to </w:t>
      </w:r>
      <w:r>
        <w:rPr>
          <w:rFonts w:ascii="Times New Roman" w:eastAsia="宋体" w:hAnsi="Times New Roman"/>
          <w:sz w:val="20"/>
          <w:szCs w:val="20"/>
        </w:rPr>
        <w:t>continue to invest, significant resources in growing our WhatsApp and Messenger products to support increasing usage of such products. We have historically monetized messaging in only a limited fashion, and we may not be successful in our efforts to genera</w:t>
      </w:r>
      <w:r>
        <w:rPr>
          <w:rFonts w:ascii="Times New Roman" w:eastAsia="宋体" w:hAnsi="Times New Roman"/>
          <w:sz w:val="20"/>
          <w:szCs w:val="20"/>
        </w:rPr>
        <w:t>te meaningful revenue or profits from messaging over the long term. In addition, we have announced plans to implement end-to-end encryption across our messaging services, as well as facilitate interoperability between these platforms, which plans have draw</w:t>
      </w:r>
      <w:r>
        <w:rPr>
          <w:rFonts w:ascii="Times New Roman" w:eastAsia="宋体" w:hAnsi="Times New Roman"/>
          <w:sz w:val="20"/>
          <w:szCs w:val="20"/>
        </w:rPr>
        <w:t>n governmental and regulatory scrutiny in multiple jurisdictions. If our new or enhanced products fail to engage users, marketers, or developers, or if our business plans are unsuccessful, we may fail to attract or retain users or to generate sufficient re</w:t>
      </w:r>
      <w:r>
        <w:rPr>
          <w:rFonts w:ascii="Times New Roman" w:eastAsia="宋体" w:hAnsi="Times New Roman"/>
          <w:sz w:val="20"/>
          <w:szCs w:val="20"/>
        </w:rPr>
        <w:t>venue, operating margin, or other value to justify our investments, and our business may be adversely affected.</w:t>
      </w:r>
    </w:p>
    <w:p w14:paraId="4E56B20C"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make product and investment decisions that may not prioritize short-term financial results and may not produce the long-term benefits that we</w:t>
      </w:r>
      <w:r>
        <w:rPr>
          <w:rFonts w:ascii="Times New Roman" w:eastAsia="宋体" w:hAnsi="Times New Roman"/>
          <w:b/>
          <w:bCs/>
          <w:i/>
          <w:iCs/>
          <w:sz w:val="20"/>
          <w:szCs w:val="20"/>
        </w:rPr>
        <w:t xml:space="preserve"> expect.</w:t>
      </w:r>
    </w:p>
    <w:p w14:paraId="4E56B20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frequently make product and investment decisions that may not prioritize short-term financial results if we believe that the decisions are consistent with our mission and benefit the aggregate user experience and will thereby improve our financ</w:t>
      </w:r>
      <w:r>
        <w:rPr>
          <w:rFonts w:ascii="Times New Roman" w:eastAsia="宋体" w:hAnsi="Times New Roman"/>
          <w:sz w:val="20"/>
          <w:szCs w:val="20"/>
        </w:rPr>
        <w:t>ial performance over the long term. For example, we have recently implemented, and we will continue to implement, changes to our user data practices. Some of these changes reduce our ability to effectively target ads, which has to some extent adversely aff</w:t>
      </w:r>
      <w:r>
        <w:rPr>
          <w:rFonts w:ascii="Times New Roman" w:eastAsia="宋体" w:hAnsi="Times New Roman"/>
          <w:sz w:val="20"/>
          <w:szCs w:val="20"/>
        </w:rPr>
        <w:t>ected, and will continue to adversely affect, our advertising business. For example, our Off-Facebook Activity tool enables users to place limits on our storage and use of information about their interactions with advertisers' apps and websites, which will</w:t>
      </w:r>
      <w:r>
        <w:rPr>
          <w:rFonts w:ascii="Times New Roman" w:eastAsia="宋体" w:hAnsi="Times New Roman"/>
          <w:sz w:val="20"/>
          <w:szCs w:val="20"/>
        </w:rPr>
        <w:t xml:space="preserve"> reduce our ability to deliver the most relevant and effective ads to our users. Similarly, from time to time we update our News Feed ranking algorithm to optimize the user experience, and these changes have had, and may in the future have, the effect of r</w:t>
      </w:r>
      <w:r>
        <w:rPr>
          <w:rFonts w:ascii="Times New Roman" w:eastAsia="宋体" w:hAnsi="Times New Roman"/>
          <w:sz w:val="20"/>
          <w:szCs w:val="20"/>
        </w:rPr>
        <w:t>educing time spent and some measures of user engagement with Facebook, which could adversely affect our financial results. From time to time, we may also change the size, frequency, or relative prominence of ads in order to improve ad quality and overall u</w:t>
      </w:r>
      <w:r>
        <w:rPr>
          <w:rFonts w:ascii="Times New Roman" w:eastAsia="宋体" w:hAnsi="Times New Roman"/>
          <w:sz w:val="20"/>
          <w:szCs w:val="20"/>
        </w:rPr>
        <w:t>ser experience. In addition, we have made, and we expect to continue to make, other changes to our products which may adversely affect the distribution of content of publishers, marketers, and developers, and could reduce their incentive to invest in their</w:t>
      </w:r>
      <w:r>
        <w:rPr>
          <w:rFonts w:ascii="Times New Roman" w:eastAsia="宋体" w:hAnsi="Times New Roman"/>
          <w:sz w:val="20"/>
          <w:szCs w:val="20"/>
        </w:rPr>
        <w:t xml:space="preserve"> efforts on Facebook. We also may introduce new features or other changes to existing products, or introduce new stand-alone products, that attract users away from properties, formats, or use cases where we have more proven means of monetization. For examp</w:t>
      </w:r>
      <w:r>
        <w:rPr>
          <w:rFonts w:ascii="Times New Roman" w:eastAsia="宋体" w:hAnsi="Times New Roman"/>
          <w:sz w:val="20"/>
          <w:szCs w:val="20"/>
        </w:rPr>
        <w:t>le, we plan to continue to promote the Stories format, but we do not currently monetize Stories at the same rate as News Feed. In addition, as we focus on growing users and engagement across our family of products, from time to time these efforts have redu</w:t>
      </w:r>
      <w:r>
        <w:rPr>
          <w:rFonts w:ascii="Times New Roman" w:eastAsia="宋体" w:hAnsi="Times New Roman"/>
          <w:sz w:val="20"/>
          <w:szCs w:val="20"/>
        </w:rPr>
        <w:t xml:space="preserve">ced, and may in the future reduce, engagement with one or more products and services in favor of other products or services that we monetize less successfully or that are not growing as quickly. These decisions may adversely </w:t>
      </w:r>
    </w:p>
    <w:p w14:paraId="4E56B20E" w14:textId="77777777" w:rsidR="00DF3E10" w:rsidRDefault="00DF3E10">
      <w:pPr>
        <w:rPr>
          <w:rFonts w:ascii="Times New Roman" w:hAnsi="Times New Roman"/>
          <w:sz w:val="20"/>
          <w:szCs w:val="20"/>
        </w:rPr>
      </w:pPr>
    </w:p>
    <w:p w14:paraId="4E56B20F"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57</w:t>
      </w:r>
    </w:p>
    <w:p w14:paraId="4E56B210" w14:textId="77777777" w:rsidR="00DF3E10" w:rsidRDefault="006B6C28">
      <w:r>
        <w:rPr>
          <w:rFonts w:ascii="Times New Roman" w:hAnsi="Times New Roman"/>
          <w:sz w:val="20"/>
          <w:szCs w:val="20"/>
        </w:rPr>
        <w:pict w14:anchorId="4E56B796">
          <v:rect id="_x0000_i1081" style="width:415.3pt;height:1.5pt" o:hralign="center" o:hrstd="t" o:hr="t" fillcolor="#a0a0a0" stroked="f"/>
        </w:pict>
      </w:r>
    </w:p>
    <w:p w14:paraId="4E56B211" w14:textId="77777777" w:rsidR="00DF3E10" w:rsidRDefault="006B6C28">
      <w:pPr>
        <w:spacing w:line="288" w:lineRule="auto"/>
        <w:rPr>
          <w:rFonts w:ascii="Times New Roman" w:hAnsi="Times New Roman"/>
          <w:sz w:val="20"/>
          <w:szCs w:val="20"/>
        </w:rPr>
      </w:pPr>
      <w:hyperlink r:id="rId98" w:anchor="sC1FF62F0D4D85317B5B2C71C7C94F269" w:history="1">
        <w:r>
          <w:rPr>
            <w:rStyle w:val="a5"/>
            <w:rFonts w:ascii="Times New Roman" w:eastAsia="宋体" w:hAnsi="Times New Roman"/>
            <w:sz w:val="20"/>
            <w:szCs w:val="20"/>
          </w:rPr>
          <w:t>Table of Contents</w:t>
        </w:r>
      </w:hyperlink>
    </w:p>
    <w:p w14:paraId="4E56B212" w14:textId="77777777" w:rsidR="00DF3E10" w:rsidRDefault="00DF3E10">
      <w:pPr>
        <w:rPr>
          <w:rFonts w:ascii="Times New Roman" w:hAnsi="Times New Roman"/>
          <w:sz w:val="20"/>
          <w:szCs w:val="20"/>
        </w:rPr>
      </w:pPr>
    </w:p>
    <w:p w14:paraId="4E56B213"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affect our business and results of operations and may not produce the long-term benefits that we expect.</w:t>
      </w:r>
    </w:p>
    <w:p w14:paraId="4E56B214"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If </w:t>
      </w:r>
      <w:r>
        <w:rPr>
          <w:rFonts w:ascii="Times New Roman" w:eastAsia="宋体" w:hAnsi="Times New Roman"/>
          <w:b/>
          <w:bCs/>
          <w:i/>
          <w:iCs/>
          <w:sz w:val="20"/>
          <w:szCs w:val="20"/>
        </w:rPr>
        <w:t>we are not able to maintain and enhance our brands, our ability to expand our base of users, marketers, and developers may be impaired, and our business and financial results may be harmed.</w:t>
      </w:r>
    </w:p>
    <w:p w14:paraId="4E56B21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brands have significantly contributed to the s</w:t>
      </w:r>
      <w:r>
        <w:rPr>
          <w:rFonts w:ascii="Times New Roman" w:eastAsia="宋体" w:hAnsi="Times New Roman"/>
          <w:sz w:val="20"/>
          <w:szCs w:val="20"/>
        </w:rPr>
        <w:t xml:space="preserve">uccess of our business. We also believe that maintaining and enhancing our brands is critical to expanding our base of users, marketers, and developers. Many of our new users are referred by existing users. Maintaining and enhancing our brands will depend </w:t>
      </w:r>
      <w:r>
        <w:rPr>
          <w:rFonts w:ascii="Times New Roman" w:eastAsia="宋体" w:hAnsi="Times New Roman"/>
          <w:sz w:val="20"/>
          <w:szCs w:val="20"/>
        </w:rPr>
        <w:t>largely on our ability to continue to provide useful, reliable, trustworthy, and innovative products, which we may not do successfully. We may introduce new products or terms of service or policies that users do not like, which may negatively affect our br</w:t>
      </w:r>
      <w:r>
        <w:rPr>
          <w:rFonts w:ascii="Times New Roman" w:eastAsia="宋体" w:hAnsi="Times New Roman"/>
          <w:sz w:val="20"/>
          <w:szCs w:val="20"/>
        </w:rPr>
        <w:t xml:space="preserve">ands. Additionally, the actions of our developers or advertisers may affect our brands if users do not have a positive experience using third-party mobile and web applications integrated with our products or interacting with parties that advertise through </w:t>
      </w:r>
      <w:r>
        <w:rPr>
          <w:rFonts w:ascii="Times New Roman" w:eastAsia="宋体" w:hAnsi="Times New Roman"/>
          <w:sz w:val="20"/>
          <w:szCs w:val="20"/>
        </w:rPr>
        <w:t>our products. We will also continue to experience media, legislative, or regulatory scrutiny of our actions or decisions regarding user privacy, encryption, content, advertising, and other issues, including actions or decisions in connection with elections</w:t>
      </w:r>
      <w:r>
        <w:rPr>
          <w:rFonts w:ascii="Times New Roman" w:eastAsia="宋体" w:hAnsi="Times New Roman"/>
          <w:sz w:val="20"/>
          <w:szCs w:val="20"/>
        </w:rPr>
        <w:t xml:space="preserve"> or the COVID-19 pandemic, which may adversely affect our reputation and brands. For example, in March 2018, we announced developments regarding the misuse of certain data by a developer that shared such data with third parties in violation of our terms an</w:t>
      </w:r>
      <w:r>
        <w:rPr>
          <w:rFonts w:ascii="Times New Roman" w:eastAsia="宋体" w:hAnsi="Times New Roman"/>
          <w:sz w:val="20"/>
          <w:szCs w:val="20"/>
        </w:rPr>
        <w:t>d policies. We also may fail to respond expeditiously or appropriately to the sharing of objectionable content on our services or objectionable practices by advertisers or developers, or to otherwise address user concerns, which has occurred in the past an</w:t>
      </w:r>
      <w:r>
        <w:rPr>
          <w:rFonts w:ascii="Times New Roman" w:eastAsia="宋体" w:hAnsi="Times New Roman"/>
          <w:sz w:val="20"/>
          <w:szCs w:val="20"/>
        </w:rPr>
        <w:t>d which could erode confidence in our brands. Our brands may also be negatively affected by the actions of users that are deemed to be hostile or inappropriate to other users, by the actions of users acting under false or inauthentic identities, by the use</w:t>
      </w:r>
      <w:r>
        <w:rPr>
          <w:rFonts w:ascii="Times New Roman" w:eastAsia="宋体" w:hAnsi="Times New Roman"/>
          <w:sz w:val="20"/>
          <w:szCs w:val="20"/>
        </w:rPr>
        <w:t xml:space="preserve"> of our products or services to disseminate information that is deemed to be misleading (or intended to manipulate opinions), by perceived or actual efforts by governments to obtain access to user information for security-related purposes or to censor cert</w:t>
      </w:r>
      <w:r>
        <w:rPr>
          <w:rFonts w:ascii="Times New Roman" w:eastAsia="宋体" w:hAnsi="Times New Roman"/>
          <w:sz w:val="20"/>
          <w:szCs w:val="20"/>
        </w:rPr>
        <w:t>ain content on our platform, or by the use of our products or services for illicit or objectionable ends, including, for example, any such actions around the pandemic, the 2020 U.S. presidential election, or other elections around the world. Maintaining an</w:t>
      </w:r>
      <w:r>
        <w:rPr>
          <w:rFonts w:ascii="Times New Roman" w:eastAsia="宋体" w:hAnsi="Times New Roman"/>
          <w:sz w:val="20"/>
          <w:szCs w:val="20"/>
        </w:rPr>
        <w:t>d enhancing our brands will require us to make substantial investments and these investments may not be successful. Certain of our past actions, such as the foregoing matter regarding developer misuse of data and concerns around our handling of political s</w:t>
      </w:r>
      <w:r>
        <w:rPr>
          <w:rFonts w:ascii="Times New Roman" w:eastAsia="宋体" w:hAnsi="Times New Roman"/>
          <w:sz w:val="20"/>
          <w:szCs w:val="20"/>
        </w:rPr>
        <w:t>peech, hate speech, and other content, have eroded confidence in our brands, and if we fail to successfully promote and maintain our brands or if we incur excessive expenses in this effort, our business and financial results may be adversely affected.</w:t>
      </w:r>
    </w:p>
    <w:p w14:paraId="4E56B216" w14:textId="77777777" w:rsidR="00DF3E10" w:rsidRDefault="00DF3E10">
      <w:pPr>
        <w:spacing w:line="288" w:lineRule="auto"/>
        <w:jc w:val="both"/>
        <w:rPr>
          <w:rFonts w:ascii="Times New Roman" w:hAnsi="Times New Roman"/>
          <w:sz w:val="20"/>
          <w:szCs w:val="20"/>
        </w:rPr>
      </w:pPr>
    </w:p>
    <w:p w14:paraId="4E56B217"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Sec</w:t>
      </w:r>
      <w:r>
        <w:rPr>
          <w:rFonts w:ascii="Times New Roman" w:eastAsia="宋体" w:hAnsi="Times New Roman"/>
          <w:b/>
          <w:bCs/>
          <w:i/>
          <w:iCs/>
          <w:sz w:val="20"/>
          <w:szCs w:val="20"/>
        </w:rPr>
        <w:t>urity breaches, improper access to or disclosure of our data or user data, other hacking and phishing attacks on our systems, or other cyber incidents could harm our reputation and adversely affect our business.</w:t>
      </w:r>
    </w:p>
    <w:p w14:paraId="4E56B218" w14:textId="77777777" w:rsidR="00DF3E10" w:rsidRDefault="00DF3E10">
      <w:pPr>
        <w:spacing w:line="288" w:lineRule="auto"/>
        <w:ind w:firstLine="720"/>
        <w:jc w:val="both"/>
        <w:rPr>
          <w:rFonts w:ascii="Times New Roman" w:hAnsi="Times New Roman"/>
          <w:sz w:val="20"/>
          <w:szCs w:val="20"/>
        </w:rPr>
      </w:pPr>
    </w:p>
    <w:p w14:paraId="4E56B21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industry is prone to cyber-attacks by third parties seeking unauthorized access to our data or users' data or to disrupt our ability to provide service. Our products and services involve the collection, storage, processing, and transmission of a large </w:t>
      </w:r>
      <w:r>
        <w:rPr>
          <w:rFonts w:ascii="Times New Roman" w:eastAsia="宋体" w:hAnsi="Times New Roman"/>
          <w:sz w:val="20"/>
          <w:szCs w:val="20"/>
        </w:rPr>
        <w:t>amount of data. Any failure to prevent or mitigate security breaches and improper access to or disclosure of our data or user data, including personal information, content, or payment information from users, or information from marketers, could result in t</w:t>
      </w:r>
      <w:r>
        <w:rPr>
          <w:rFonts w:ascii="Times New Roman" w:eastAsia="宋体" w:hAnsi="Times New Roman"/>
          <w:sz w:val="20"/>
          <w:szCs w:val="20"/>
        </w:rPr>
        <w:t>he loss, modification, disclosure, destruction, or other misuse of such data, which could harm our business and reputation and diminish our competitive position. In addition, computer malware, viruses, social engineering (predominantly spear phishing attac</w:t>
      </w:r>
      <w:r>
        <w:rPr>
          <w:rFonts w:ascii="Times New Roman" w:eastAsia="宋体" w:hAnsi="Times New Roman"/>
          <w:sz w:val="20"/>
          <w:szCs w:val="20"/>
        </w:rPr>
        <w:t xml:space="preserve">ks), and general hacking have become more prevalent in our industry, have occurred on our systems in the past, and will occur on our systems in the future. We also regularly encounter attempts to create false or undesirable user accounts, purchase ads, or </w:t>
      </w:r>
      <w:r>
        <w:rPr>
          <w:rFonts w:ascii="Times New Roman" w:eastAsia="宋体" w:hAnsi="Times New Roman"/>
          <w:sz w:val="20"/>
          <w:szCs w:val="20"/>
        </w:rPr>
        <w:t>take other actions on our platform for purposes such as spamming, spreading misinformation, or other objectionable ends. As a result of our prominence, the size of our user base, the types and volume of personal data on our systems, and the evolving nature</w:t>
      </w:r>
      <w:r>
        <w:rPr>
          <w:rFonts w:ascii="Times New Roman" w:eastAsia="宋体" w:hAnsi="Times New Roman"/>
          <w:sz w:val="20"/>
          <w:szCs w:val="20"/>
        </w:rPr>
        <w:t xml:space="preserve"> of our products and services (including our efforts involving new and emerging technologies), we believe that we are a particularly attractive target for such breaches and attacks, including from highly sophisticated, state-sponsored, or otherwise well-fu</w:t>
      </w:r>
      <w:r>
        <w:rPr>
          <w:rFonts w:ascii="Times New Roman" w:eastAsia="宋体" w:hAnsi="Times New Roman"/>
          <w:sz w:val="20"/>
          <w:szCs w:val="20"/>
        </w:rPr>
        <w:t>nded actors. Our efforts to address undesirable activity on our platform also increase the risk of retaliatory attacks. Such breaches and attacks may cause interruptions to the services we provide, degrade the user experience, cause users or marketers to l</w:t>
      </w:r>
      <w:r>
        <w:rPr>
          <w:rFonts w:ascii="Times New Roman" w:eastAsia="宋体" w:hAnsi="Times New Roman"/>
          <w:sz w:val="20"/>
          <w:szCs w:val="20"/>
        </w:rPr>
        <w:t>ose confidence and trust in our products, impair our internal systems, or result in financial harm to us. Our efforts to protect our company data or the information we receive, and to disable undesirable activities on our platform, may also be unsuccessful</w:t>
      </w:r>
      <w:r>
        <w:rPr>
          <w:rFonts w:ascii="Times New Roman" w:eastAsia="宋体" w:hAnsi="Times New Roman"/>
          <w:sz w:val="20"/>
          <w:szCs w:val="20"/>
        </w:rPr>
        <w:t xml:space="preserve"> due to software bugs or other technical malfunctions; employee, contractor, or vendor error or malfeasance, including defects or vulnerabilities in our vendors' information technology systems or offerings; government surveillance; breaches of physical sec</w:t>
      </w:r>
      <w:r>
        <w:rPr>
          <w:rFonts w:ascii="Times New Roman" w:eastAsia="宋体" w:hAnsi="Times New Roman"/>
          <w:sz w:val="20"/>
          <w:szCs w:val="20"/>
        </w:rPr>
        <w:t>urity of our facilities or technical infrastructure; or other threats that evolve. In addition, third parties may attempt to fraudulently induce employees or users to disclose information in order to gain access to our data or our users' data. Cyber-attack</w:t>
      </w:r>
      <w:r>
        <w:rPr>
          <w:rFonts w:ascii="Times New Roman" w:eastAsia="宋体" w:hAnsi="Times New Roman"/>
          <w:sz w:val="20"/>
          <w:szCs w:val="20"/>
        </w:rPr>
        <w:t>s continue to evolve in sophistication and volume, and inherently may be difficult to detect for long periods of time. Although we have developed systems and processes that are designed to protect our data and user data, to prevent data loss, to disable un</w:t>
      </w:r>
      <w:r>
        <w:rPr>
          <w:rFonts w:ascii="Times New Roman" w:eastAsia="宋体" w:hAnsi="Times New Roman"/>
          <w:sz w:val="20"/>
          <w:szCs w:val="20"/>
        </w:rPr>
        <w:t xml:space="preserve">desirable accounts and activities on our platform, and to prevent or detect security breaches, we cannot assure you that such measures will provide absolute security, that we will be able to react in a timely manner, or that our remediation </w:t>
      </w:r>
    </w:p>
    <w:p w14:paraId="4E56B21A" w14:textId="77777777" w:rsidR="00DF3E10" w:rsidRDefault="00DF3E10">
      <w:pPr>
        <w:rPr>
          <w:rFonts w:ascii="Times New Roman" w:hAnsi="Times New Roman"/>
          <w:sz w:val="20"/>
          <w:szCs w:val="20"/>
        </w:rPr>
      </w:pPr>
    </w:p>
    <w:p w14:paraId="4E56B21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58</w:t>
      </w:r>
    </w:p>
    <w:p w14:paraId="4E56B21C" w14:textId="77777777" w:rsidR="00DF3E10" w:rsidRDefault="006B6C28">
      <w:r>
        <w:rPr>
          <w:rFonts w:ascii="Times New Roman" w:hAnsi="Times New Roman"/>
          <w:sz w:val="20"/>
          <w:szCs w:val="20"/>
        </w:rPr>
        <w:pict w14:anchorId="4E56B797">
          <v:rect id="_x0000_i1082" style="width:415.3pt;height:1.5pt" o:hralign="center" o:hrstd="t" o:hr="t" fillcolor="#a0a0a0" stroked="f"/>
        </w:pict>
      </w:r>
    </w:p>
    <w:p w14:paraId="4E56B21D" w14:textId="77777777" w:rsidR="00DF3E10" w:rsidRDefault="006B6C28">
      <w:pPr>
        <w:spacing w:line="288" w:lineRule="auto"/>
        <w:rPr>
          <w:rFonts w:ascii="Times New Roman" w:hAnsi="Times New Roman"/>
          <w:sz w:val="20"/>
          <w:szCs w:val="20"/>
        </w:rPr>
      </w:pPr>
      <w:hyperlink r:id="rId99" w:anchor="sC1FF62F0D4D85317B5B2C71C7C94F269" w:history="1">
        <w:r>
          <w:rPr>
            <w:rStyle w:val="a5"/>
            <w:rFonts w:ascii="Times New Roman" w:eastAsia="宋体" w:hAnsi="Times New Roman"/>
            <w:sz w:val="20"/>
            <w:szCs w:val="20"/>
          </w:rPr>
          <w:t>Table of Contents</w:t>
        </w:r>
      </w:hyperlink>
    </w:p>
    <w:p w14:paraId="4E56B21E" w14:textId="77777777" w:rsidR="00DF3E10" w:rsidRDefault="00DF3E10">
      <w:pPr>
        <w:rPr>
          <w:rFonts w:ascii="Times New Roman" w:hAnsi="Times New Roman"/>
          <w:sz w:val="20"/>
          <w:szCs w:val="20"/>
        </w:rPr>
      </w:pPr>
    </w:p>
    <w:p w14:paraId="4E56B21F"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efforts will be successful. We experience cyber-attacks and other security </w:t>
      </w:r>
      <w:r>
        <w:rPr>
          <w:rFonts w:ascii="Times New Roman" w:eastAsia="宋体" w:hAnsi="Times New Roman"/>
          <w:sz w:val="20"/>
          <w:szCs w:val="20"/>
        </w:rPr>
        <w:t>incidents of varying degrees from time to time, and we may incur significant costs in protecting against or remediating such incidents.</w:t>
      </w:r>
    </w:p>
    <w:p w14:paraId="4E56B220" w14:textId="77777777" w:rsidR="00DF3E10" w:rsidRDefault="00DF3E10">
      <w:pPr>
        <w:spacing w:line="288" w:lineRule="auto"/>
        <w:ind w:firstLine="720"/>
        <w:jc w:val="both"/>
        <w:rPr>
          <w:rFonts w:ascii="Times New Roman" w:hAnsi="Times New Roman"/>
          <w:sz w:val="20"/>
          <w:szCs w:val="20"/>
        </w:rPr>
      </w:pPr>
    </w:p>
    <w:p w14:paraId="4E56B22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some of our developers or other partners, such as those that help us measure the effectiveness of ads, may</w:t>
      </w:r>
      <w:r>
        <w:rPr>
          <w:rFonts w:ascii="Times New Roman" w:eastAsia="宋体" w:hAnsi="Times New Roman"/>
          <w:sz w:val="20"/>
          <w:szCs w:val="20"/>
        </w:rPr>
        <w:t xml:space="preserve"> receive or store information provided by us or by our users through mobile or web applications integrated with Facebook. We provide limited information to such third parties based on the scope of services provided to us. However, if these third parties or</w:t>
      </w:r>
      <w:r>
        <w:rPr>
          <w:rFonts w:ascii="Times New Roman" w:eastAsia="宋体" w:hAnsi="Times New Roman"/>
          <w:sz w:val="20"/>
          <w:szCs w:val="20"/>
        </w:rPr>
        <w:t xml:space="preserve"> developers fail to adopt or adhere to adequate data security practices, or in the event of a breach of their networks, our data or our users' data may be improperly accessed, used, or disclosed. </w:t>
      </w:r>
    </w:p>
    <w:p w14:paraId="4E56B22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are subject to a variety of laws and regulations in the </w:t>
      </w:r>
      <w:r>
        <w:rPr>
          <w:rFonts w:ascii="Times New Roman" w:eastAsia="宋体" w:hAnsi="Times New Roman"/>
          <w:sz w:val="20"/>
          <w:szCs w:val="20"/>
        </w:rPr>
        <w:t>United States and abroad relating to cybersecurity and data protection, as well as obligations under our modified consent order with the U.S. Federal Trade Commission (FTC). As a result, affected users or government authorities could initiate legal or regu</w:t>
      </w:r>
      <w:r>
        <w:rPr>
          <w:rFonts w:ascii="Times New Roman" w:eastAsia="宋体" w:hAnsi="Times New Roman"/>
          <w:sz w:val="20"/>
          <w:szCs w:val="20"/>
        </w:rPr>
        <w:t>latory actions against us in connection with any actual or perceived security breaches or improper access to or disclosure of data, which has occurred in the past and which could cause us to incur significant expense and liability or result in orders or co</w:t>
      </w:r>
      <w:r>
        <w:rPr>
          <w:rFonts w:ascii="Times New Roman" w:eastAsia="宋体" w:hAnsi="Times New Roman"/>
          <w:sz w:val="20"/>
          <w:szCs w:val="20"/>
        </w:rPr>
        <w:t xml:space="preserve">nsent decrees forcing us to modify our business practices. Such incidents or our efforts to remediate such incidents may also result in a decline in our active user base or engagement levels. Any of these events could have a material and adverse effect on </w:t>
      </w:r>
      <w:r>
        <w:rPr>
          <w:rFonts w:ascii="Times New Roman" w:eastAsia="宋体" w:hAnsi="Times New Roman"/>
          <w:sz w:val="20"/>
          <w:szCs w:val="20"/>
        </w:rPr>
        <w:t>our business, reputation, or financial results.</w:t>
      </w:r>
    </w:p>
    <w:p w14:paraId="4E56B22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in September 2018, we announced our discovery of a third-party cyber-attack that exploited a vulnerability in Facebook's code to steal user access tokens, which were then used to access certain p</w:t>
      </w:r>
      <w:r>
        <w:rPr>
          <w:rFonts w:ascii="Times New Roman" w:eastAsia="宋体" w:hAnsi="Times New Roman"/>
          <w:sz w:val="20"/>
          <w:szCs w:val="20"/>
        </w:rPr>
        <w:t>rofile information from approximately 29 million user accounts on Facebook. The events surrounding this cyber-attack became the subject of Irish Data Protection Commission and other government inquiries. Any such inquiries could subject us to substantial f</w:t>
      </w:r>
      <w:r>
        <w:rPr>
          <w:rFonts w:ascii="Times New Roman" w:eastAsia="宋体" w:hAnsi="Times New Roman"/>
          <w:sz w:val="20"/>
          <w:szCs w:val="20"/>
        </w:rPr>
        <w:t>ines and costs, require us to change our business practices, divert resources and the attention of management from our business, or adversely affect our business.</w:t>
      </w:r>
    </w:p>
    <w:p w14:paraId="4E56B22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the changes in our work environment as a result of the COVID-19 pandemic could i</w:t>
      </w:r>
      <w:r>
        <w:rPr>
          <w:rFonts w:ascii="Times New Roman" w:eastAsia="宋体" w:hAnsi="Times New Roman"/>
          <w:sz w:val="20"/>
          <w:szCs w:val="20"/>
        </w:rPr>
        <w:t>mpact the security of our systems, as well as our ability to protect against attacks and detect and respond to them quickly. The rapid adoption of some third-party services designed to enable the transition to a remote workforce also may introduce security</w:t>
      </w:r>
      <w:r>
        <w:rPr>
          <w:rFonts w:ascii="Times New Roman" w:eastAsia="宋体" w:hAnsi="Times New Roman"/>
          <w:sz w:val="20"/>
          <w:szCs w:val="20"/>
        </w:rPr>
        <w:t xml:space="preserve"> risk that is not fully mitigated prior to the use of these services. We may also be subject to increased cyber-attacks, such as phishing attacks by threat actors using the attention placed on the pandemic as a method for targeting our personnel.</w:t>
      </w:r>
    </w:p>
    <w:p w14:paraId="4E56B225"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antici</w:t>
      </w:r>
      <w:r>
        <w:rPr>
          <w:rFonts w:ascii="Times New Roman" w:eastAsia="宋体" w:hAnsi="Times New Roman"/>
          <w:b/>
          <w:bCs/>
          <w:i/>
          <w:iCs/>
          <w:sz w:val="20"/>
          <w:szCs w:val="20"/>
        </w:rPr>
        <w:t>pate that our ongoing efforts related to privacy, safety, security, and content review will identify additional instances of misuse of user data or other undesirable activity by third parties on our platform.</w:t>
      </w:r>
    </w:p>
    <w:p w14:paraId="4E56B22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to our efforts to mitigate cybersec</w:t>
      </w:r>
      <w:r>
        <w:rPr>
          <w:rFonts w:ascii="Times New Roman" w:eastAsia="宋体" w:hAnsi="Times New Roman"/>
          <w:sz w:val="20"/>
          <w:szCs w:val="20"/>
        </w:rPr>
        <w:t>urity risks, we are making significant investments in privacy, safety, security, and content review efforts to combat misuse of our services and user data by third parties, including investigations and audits of platform applications that previously access</w:t>
      </w:r>
      <w:r>
        <w:rPr>
          <w:rFonts w:ascii="Times New Roman" w:eastAsia="宋体" w:hAnsi="Times New Roman"/>
          <w:sz w:val="20"/>
          <w:szCs w:val="20"/>
        </w:rPr>
        <w:t>ed information of a large number of users of our services. As a result of these efforts we have discovered and announced, and anticipate that we will continue to discover and announce, additional incidents of misuse of user data or other undesirable activi</w:t>
      </w:r>
      <w:r>
        <w:rPr>
          <w:rFonts w:ascii="Times New Roman" w:eastAsia="宋体" w:hAnsi="Times New Roman"/>
          <w:sz w:val="20"/>
          <w:szCs w:val="20"/>
        </w:rPr>
        <w:t>ty by third parties. We may not discover all such incidents or activity, whether as a result of our data limitations, including our lack of visibility over our encrypted services, the scale of activity on our platform, challenges related to our personnel w</w:t>
      </w:r>
      <w:r>
        <w:rPr>
          <w:rFonts w:ascii="Times New Roman" w:eastAsia="宋体" w:hAnsi="Times New Roman"/>
          <w:sz w:val="20"/>
          <w:szCs w:val="20"/>
        </w:rPr>
        <w:t>orking remotely during the COVID-19 pandemic, the re-allocation of resources to other projects, or other factors, and we may be notified of such incidents or activity by the independent privacy assessor required under our modified consent order with the FT</w:t>
      </w:r>
      <w:r>
        <w:rPr>
          <w:rFonts w:ascii="Times New Roman" w:eastAsia="宋体" w:hAnsi="Times New Roman"/>
          <w:sz w:val="20"/>
          <w:szCs w:val="20"/>
        </w:rPr>
        <w:t>C, the media, or other third parties. Such incidents and activities have in the past, and may in the future, include the use of user data or our systems in a manner inconsistent with our terms, contracts or policies, the existence of false or undesirable u</w:t>
      </w:r>
      <w:r>
        <w:rPr>
          <w:rFonts w:ascii="Times New Roman" w:eastAsia="宋体" w:hAnsi="Times New Roman"/>
          <w:sz w:val="20"/>
          <w:szCs w:val="20"/>
        </w:rPr>
        <w:t xml:space="preserve">ser accounts, election interference, improper advertising practices, activities that threaten people's safety on- or offline, or instances of spamming, scraping, data harvesting, unsecured datasets, or spreading misinformation. We may also be unsuccessful </w:t>
      </w:r>
      <w:r>
        <w:rPr>
          <w:rFonts w:ascii="Times New Roman" w:eastAsia="宋体" w:hAnsi="Times New Roman"/>
          <w:sz w:val="20"/>
          <w:szCs w:val="20"/>
        </w:rPr>
        <w:t>in our efforts to enforce our policies or otherwise remediate any such incidents. Any of the foregoing developments may negatively affect user trust and engagement, harm our reputation and brands, require us to change our business practices in a manner adv</w:t>
      </w:r>
      <w:r>
        <w:rPr>
          <w:rFonts w:ascii="Times New Roman" w:eastAsia="宋体" w:hAnsi="Times New Roman"/>
          <w:sz w:val="20"/>
          <w:szCs w:val="20"/>
        </w:rPr>
        <w:t>erse to our business, and adversely affect our business and financial results. Any such developments may also subject us to additional litigation and regulatory inquiries, which could subject us to monetary penalties and damages, divert management's time a</w:t>
      </w:r>
      <w:r>
        <w:rPr>
          <w:rFonts w:ascii="Times New Roman" w:eastAsia="宋体" w:hAnsi="Times New Roman"/>
          <w:sz w:val="20"/>
          <w:szCs w:val="20"/>
        </w:rPr>
        <w:t>nd attention, and lead to enhanced regulatory oversight.</w:t>
      </w:r>
    </w:p>
    <w:p w14:paraId="4E56B227"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Unfavorable media coverage could negatively affect our business.</w:t>
      </w:r>
    </w:p>
    <w:p w14:paraId="4E56B22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receive a high degree of media coverage around the world. Unfavorable publicity regarding, for example, our privacy practices, term</w:t>
      </w:r>
      <w:r>
        <w:rPr>
          <w:rFonts w:ascii="Times New Roman" w:eastAsia="宋体" w:hAnsi="Times New Roman"/>
          <w:sz w:val="20"/>
          <w:szCs w:val="20"/>
        </w:rPr>
        <w:t xml:space="preserve">s of service, advertising policies, product changes, product quality, litigation or regulatory activity, government surveillance, the actions of our advertisers, the actions of our developers whose products are integrated with our products, the use of our </w:t>
      </w:r>
      <w:r>
        <w:rPr>
          <w:rFonts w:ascii="Times New Roman" w:eastAsia="宋体" w:hAnsi="Times New Roman"/>
          <w:sz w:val="20"/>
          <w:szCs w:val="20"/>
        </w:rPr>
        <w:t xml:space="preserve">products or services for illicit or objectionable ends, the substance or enforcement of our community standards, the </w:t>
      </w:r>
    </w:p>
    <w:p w14:paraId="4E56B229" w14:textId="77777777" w:rsidR="00DF3E10" w:rsidRDefault="00DF3E10">
      <w:pPr>
        <w:rPr>
          <w:rFonts w:ascii="Times New Roman" w:hAnsi="Times New Roman"/>
          <w:sz w:val="20"/>
          <w:szCs w:val="20"/>
        </w:rPr>
      </w:pPr>
    </w:p>
    <w:p w14:paraId="4E56B22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59</w:t>
      </w:r>
    </w:p>
    <w:p w14:paraId="4E56B22B" w14:textId="77777777" w:rsidR="00DF3E10" w:rsidRDefault="006B6C28">
      <w:r>
        <w:rPr>
          <w:rFonts w:ascii="Times New Roman" w:hAnsi="Times New Roman"/>
          <w:sz w:val="20"/>
          <w:szCs w:val="20"/>
        </w:rPr>
        <w:pict w14:anchorId="4E56B798">
          <v:rect id="_x0000_i1083" style="width:415.3pt;height:1.5pt" o:hralign="center" o:hrstd="t" o:hr="t" fillcolor="#a0a0a0" stroked="f"/>
        </w:pict>
      </w:r>
    </w:p>
    <w:p w14:paraId="4E56B22C" w14:textId="77777777" w:rsidR="00DF3E10" w:rsidRDefault="006B6C28">
      <w:pPr>
        <w:spacing w:line="288" w:lineRule="auto"/>
        <w:rPr>
          <w:rFonts w:ascii="Times New Roman" w:hAnsi="Times New Roman"/>
          <w:sz w:val="20"/>
          <w:szCs w:val="20"/>
        </w:rPr>
      </w:pPr>
      <w:hyperlink r:id="rId100" w:anchor="sC1FF62F0D4D85317B5B2C71C7C94F269" w:history="1">
        <w:r>
          <w:rPr>
            <w:rStyle w:val="a5"/>
            <w:rFonts w:ascii="Times New Roman" w:eastAsia="宋体" w:hAnsi="Times New Roman"/>
            <w:sz w:val="20"/>
            <w:szCs w:val="20"/>
          </w:rPr>
          <w:t>Table of Contents</w:t>
        </w:r>
      </w:hyperlink>
    </w:p>
    <w:p w14:paraId="4E56B22D" w14:textId="77777777" w:rsidR="00DF3E10" w:rsidRDefault="00DF3E10">
      <w:pPr>
        <w:rPr>
          <w:rFonts w:ascii="Times New Roman" w:hAnsi="Times New Roman"/>
          <w:sz w:val="20"/>
          <w:szCs w:val="20"/>
        </w:rPr>
      </w:pPr>
    </w:p>
    <w:p w14:paraId="4E56B22E"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actions of our users, the quality and integrity of content shared on our platform, or the actions of other companies that provide similar services to ours, has in the past, and could in the future, adversely affect o</w:t>
      </w:r>
      <w:r>
        <w:rPr>
          <w:rFonts w:ascii="Times New Roman" w:eastAsia="宋体" w:hAnsi="Times New Roman"/>
          <w:sz w:val="20"/>
          <w:szCs w:val="20"/>
        </w:rPr>
        <w:t>ur reputation. For example, beginning in May 2020, we became the subject of significant media coverage involving concerns around our handling of political speech, hate speech, and other content, and we have continued to receive negative publicity. In addit</w:t>
      </w:r>
      <w:r>
        <w:rPr>
          <w:rFonts w:ascii="Times New Roman" w:eastAsia="宋体" w:hAnsi="Times New Roman"/>
          <w:sz w:val="20"/>
          <w:szCs w:val="20"/>
        </w:rPr>
        <w:t>ion, we may be subject to negative publicity if we are not successful in our efforts to prevent misinformation or other illicit or objectionable use of our products or services in connection with the COVID-19 pandemic, the 2020 U.S. presidential election o</w:t>
      </w:r>
      <w:r>
        <w:rPr>
          <w:rFonts w:ascii="Times New Roman" w:eastAsia="宋体" w:hAnsi="Times New Roman"/>
          <w:sz w:val="20"/>
          <w:szCs w:val="20"/>
        </w:rPr>
        <w:t>r other elections around the world. Any such negative publicity could have an adverse effect on the size, engagement, and loyalty of our user base and marketer demand for advertising on our products, which could result in decreased revenue and adversely af</w:t>
      </w:r>
      <w:r>
        <w:rPr>
          <w:rFonts w:ascii="Times New Roman" w:eastAsia="宋体" w:hAnsi="Times New Roman"/>
          <w:sz w:val="20"/>
          <w:szCs w:val="20"/>
        </w:rPr>
        <w:t>fect our business and financial results.</w:t>
      </w:r>
    </w:p>
    <w:p w14:paraId="4E56B22F"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financial results will fluctuate from quarter to quarter and are difficult to predict.</w:t>
      </w:r>
    </w:p>
    <w:p w14:paraId="4E56B23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quarterly financial results have fluctuated in the past and will fluctuate in the future. Additionally, we have a limite</w:t>
      </w:r>
      <w:r>
        <w:rPr>
          <w:rFonts w:ascii="Times New Roman" w:eastAsia="宋体" w:hAnsi="Times New Roman"/>
          <w:sz w:val="20"/>
          <w:szCs w:val="20"/>
        </w:rPr>
        <w:t>d operating history with the current scale of our business, which makes it difficult to forecast our future results. As a result, you should not rely upon our past quarterly financial results as indicators of future performance. You should take into accoun</w:t>
      </w:r>
      <w:r>
        <w:rPr>
          <w:rFonts w:ascii="Times New Roman" w:eastAsia="宋体" w:hAnsi="Times New Roman"/>
          <w:sz w:val="20"/>
          <w:szCs w:val="20"/>
        </w:rPr>
        <w:t>t the risks and uncertainties frequently encountered by companies in rapidly evolving markets. Our financial results in any given quarter can be influenced by numerous factors, many of which we are unable to predict or are outside of our control, including</w:t>
      </w:r>
      <w:r>
        <w:rPr>
          <w:rFonts w:ascii="Times New Roman" w:eastAsia="宋体" w:hAnsi="Times New Roman"/>
          <w:sz w:val="20"/>
          <w:szCs w:val="20"/>
        </w:rPr>
        <w:t>:</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82"/>
      </w:tblGrid>
      <w:tr w:rsidR="00DF3E10" w14:paraId="4E56B233" w14:textId="77777777">
        <w:trPr>
          <w:tblCellSpacing w:w="0" w:type="dxa"/>
        </w:trPr>
        <w:tc>
          <w:tcPr>
            <w:tcW w:w="1440" w:type="dxa"/>
            <w:shd w:val="clear" w:color="auto" w:fill="auto"/>
            <w:vAlign w:val="center"/>
          </w:tcPr>
          <w:p w14:paraId="4E56B231" w14:textId="77777777" w:rsidR="00DF3E10" w:rsidRDefault="00DF3E10">
            <w:pPr>
              <w:rPr>
                <w:rFonts w:ascii="Times New Roman" w:hAnsi="Times New Roman"/>
                <w:sz w:val="20"/>
                <w:szCs w:val="20"/>
              </w:rPr>
            </w:pPr>
          </w:p>
        </w:tc>
        <w:tc>
          <w:tcPr>
            <w:tcW w:w="0" w:type="auto"/>
            <w:shd w:val="clear" w:color="auto" w:fill="auto"/>
            <w:vAlign w:val="center"/>
          </w:tcPr>
          <w:p w14:paraId="4E56B232" w14:textId="77777777" w:rsidR="00DF3E10" w:rsidRDefault="00DF3E10">
            <w:pPr>
              <w:rPr>
                <w:rFonts w:ascii="Times New Roman" w:hAnsi="Times New Roman"/>
                <w:sz w:val="20"/>
                <w:szCs w:val="20"/>
              </w:rPr>
            </w:pPr>
          </w:p>
        </w:tc>
      </w:tr>
      <w:tr w:rsidR="00DF3E10" w14:paraId="4E56B236" w14:textId="77777777">
        <w:trPr>
          <w:tblCellSpacing w:w="0" w:type="dxa"/>
        </w:trPr>
        <w:tc>
          <w:tcPr>
            <w:tcW w:w="0" w:type="auto"/>
            <w:shd w:val="clear" w:color="auto" w:fill="auto"/>
          </w:tcPr>
          <w:p w14:paraId="4E56B23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3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and grow our user base and user engagement;</w:t>
            </w:r>
          </w:p>
        </w:tc>
      </w:tr>
    </w:tbl>
    <w:p w14:paraId="4E56B23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43"/>
      </w:tblGrid>
      <w:tr w:rsidR="00DF3E10" w14:paraId="4E56B23A" w14:textId="77777777">
        <w:trPr>
          <w:tblCellSpacing w:w="0" w:type="dxa"/>
        </w:trPr>
        <w:tc>
          <w:tcPr>
            <w:tcW w:w="1440" w:type="dxa"/>
            <w:shd w:val="clear" w:color="auto" w:fill="auto"/>
            <w:vAlign w:val="center"/>
          </w:tcPr>
          <w:p w14:paraId="4E56B238" w14:textId="77777777" w:rsidR="00DF3E10" w:rsidRDefault="00DF3E10">
            <w:pPr>
              <w:rPr>
                <w:rFonts w:ascii="Times New Roman" w:hAnsi="Times New Roman"/>
                <w:sz w:val="20"/>
                <w:szCs w:val="20"/>
              </w:rPr>
            </w:pPr>
          </w:p>
        </w:tc>
        <w:tc>
          <w:tcPr>
            <w:tcW w:w="0" w:type="auto"/>
            <w:shd w:val="clear" w:color="auto" w:fill="auto"/>
            <w:vAlign w:val="center"/>
          </w:tcPr>
          <w:p w14:paraId="4E56B239" w14:textId="77777777" w:rsidR="00DF3E10" w:rsidRDefault="00DF3E10">
            <w:pPr>
              <w:rPr>
                <w:rFonts w:ascii="Times New Roman" w:hAnsi="Times New Roman"/>
                <w:sz w:val="20"/>
                <w:szCs w:val="20"/>
              </w:rPr>
            </w:pPr>
          </w:p>
        </w:tc>
      </w:tr>
      <w:tr w:rsidR="00DF3E10" w14:paraId="4E56B23D" w14:textId="77777777">
        <w:trPr>
          <w:tblCellSpacing w:w="0" w:type="dxa"/>
        </w:trPr>
        <w:tc>
          <w:tcPr>
            <w:tcW w:w="0" w:type="auto"/>
            <w:shd w:val="clear" w:color="auto" w:fill="auto"/>
          </w:tcPr>
          <w:p w14:paraId="4E56B23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3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attract and retain marketers in a particular period;</w:t>
            </w:r>
          </w:p>
        </w:tc>
      </w:tr>
    </w:tbl>
    <w:p w14:paraId="4E56B23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41" w14:textId="77777777">
        <w:trPr>
          <w:tblCellSpacing w:w="0" w:type="dxa"/>
        </w:trPr>
        <w:tc>
          <w:tcPr>
            <w:tcW w:w="1440" w:type="dxa"/>
            <w:shd w:val="clear" w:color="auto" w:fill="auto"/>
            <w:vAlign w:val="center"/>
          </w:tcPr>
          <w:p w14:paraId="4E56B23F" w14:textId="77777777" w:rsidR="00DF3E10" w:rsidRDefault="00DF3E10">
            <w:pPr>
              <w:rPr>
                <w:rFonts w:ascii="Times New Roman" w:hAnsi="Times New Roman"/>
                <w:sz w:val="20"/>
                <w:szCs w:val="20"/>
              </w:rPr>
            </w:pPr>
          </w:p>
        </w:tc>
        <w:tc>
          <w:tcPr>
            <w:tcW w:w="0" w:type="auto"/>
            <w:shd w:val="clear" w:color="auto" w:fill="auto"/>
            <w:vAlign w:val="center"/>
          </w:tcPr>
          <w:p w14:paraId="4E56B240" w14:textId="77777777" w:rsidR="00DF3E10" w:rsidRDefault="00DF3E10">
            <w:pPr>
              <w:rPr>
                <w:rFonts w:ascii="Times New Roman" w:hAnsi="Times New Roman"/>
                <w:sz w:val="20"/>
                <w:szCs w:val="20"/>
              </w:rPr>
            </w:pPr>
          </w:p>
        </w:tc>
      </w:tr>
      <w:tr w:rsidR="00DF3E10" w14:paraId="4E56B244" w14:textId="77777777">
        <w:trPr>
          <w:tblCellSpacing w:w="0" w:type="dxa"/>
        </w:trPr>
        <w:tc>
          <w:tcPr>
            <w:tcW w:w="0" w:type="auto"/>
            <w:shd w:val="clear" w:color="auto" w:fill="auto"/>
          </w:tcPr>
          <w:p w14:paraId="4E56B24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4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recognize revenue or collect payments from marketers in a particular period, </w:t>
            </w:r>
            <w:r>
              <w:rPr>
                <w:rFonts w:ascii="Times New Roman" w:eastAsia="宋体" w:hAnsi="Times New Roman"/>
                <w:sz w:val="20"/>
                <w:szCs w:val="20"/>
              </w:rPr>
              <w:t>including as a result of the effects of the COVID-19 pandemic;</w:t>
            </w:r>
          </w:p>
        </w:tc>
      </w:tr>
    </w:tbl>
    <w:p w14:paraId="4E56B24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48" w14:textId="77777777">
        <w:trPr>
          <w:tblCellSpacing w:w="0" w:type="dxa"/>
        </w:trPr>
        <w:tc>
          <w:tcPr>
            <w:tcW w:w="1440" w:type="dxa"/>
            <w:shd w:val="clear" w:color="auto" w:fill="auto"/>
            <w:vAlign w:val="center"/>
          </w:tcPr>
          <w:p w14:paraId="4E56B246" w14:textId="77777777" w:rsidR="00DF3E10" w:rsidRDefault="00DF3E10">
            <w:pPr>
              <w:rPr>
                <w:rFonts w:ascii="Times New Roman" w:hAnsi="Times New Roman"/>
                <w:sz w:val="20"/>
                <w:szCs w:val="20"/>
              </w:rPr>
            </w:pPr>
          </w:p>
        </w:tc>
        <w:tc>
          <w:tcPr>
            <w:tcW w:w="0" w:type="auto"/>
            <w:shd w:val="clear" w:color="auto" w:fill="auto"/>
            <w:vAlign w:val="center"/>
          </w:tcPr>
          <w:p w14:paraId="4E56B247" w14:textId="77777777" w:rsidR="00DF3E10" w:rsidRDefault="00DF3E10">
            <w:pPr>
              <w:rPr>
                <w:rFonts w:ascii="Times New Roman" w:hAnsi="Times New Roman"/>
                <w:sz w:val="20"/>
                <w:szCs w:val="20"/>
              </w:rPr>
            </w:pPr>
          </w:p>
        </w:tc>
      </w:tr>
      <w:tr w:rsidR="00DF3E10" w14:paraId="4E56B24B" w14:textId="77777777">
        <w:trPr>
          <w:tblCellSpacing w:w="0" w:type="dxa"/>
        </w:trPr>
        <w:tc>
          <w:tcPr>
            <w:tcW w:w="0" w:type="auto"/>
            <w:shd w:val="clear" w:color="auto" w:fill="auto"/>
          </w:tcPr>
          <w:p w14:paraId="4E56B24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4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spending by our marketers due to seasonality, such as historically strong spending in the fourth quarter of each year, episodic regional or global events, including the C</w:t>
            </w:r>
            <w:r>
              <w:rPr>
                <w:rFonts w:ascii="Times New Roman" w:eastAsia="宋体" w:hAnsi="Times New Roman"/>
                <w:sz w:val="20"/>
                <w:szCs w:val="20"/>
              </w:rPr>
              <w:t>OVID-19 pandemic, or other factors;</w:t>
            </w:r>
          </w:p>
        </w:tc>
      </w:tr>
    </w:tbl>
    <w:p w14:paraId="4E56B24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004"/>
      </w:tblGrid>
      <w:tr w:rsidR="00DF3E10" w14:paraId="4E56B24F" w14:textId="77777777">
        <w:trPr>
          <w:tblCellSpacing w:w="0" w:type="dxa"/>
        </w:trPr>
        <w:tc>
          <w:tcPr>
            <w:tcW w:w="1440" w:type="dxa"/>
            <w:shd w:val="clear" w:color="auto" w:fill="auto"/>
            <w:vAlign w:val="center"/>
          </w:tcPr>
          <w:p w14:paraId="4E56B24D" w14:textId="77777777" w:rsidR="00DF3E10" w:rsidRDefault="00DF3E10">
            <w:pPr>
              <w:rPr>
                <w:rFonts w:ascii="Times New Roman" w:hAnsi="Times New Roman"/>
                <w:sz w:val="20"/>
                <w:szCs w:val="20"/>
              </w:rPr>
            </w:pPr>
          </w:p>
        </w:tc>
        <w:tc>
          <w:tcPr>
            <w:tcW w:w="0" w:type="auto"/>
            <w:shd w:val="clear" w:color="auto" w:fill="auto"/>
            <w:vAlign w:val="center"/>
          </w:tcPr>
          <w:p w14:paraId="4E56B24E" w14:textId="77777777" w:rsidR="00DF3E10" w:rsidRDefault="00DF3E10">
            <w:pPr>
              <w:rPr>
                <w:rFonts w:ascii="Times New Roman" w:hAnsi="Times New Roman"/>
                <w:sz w:val="20"/>
                <w:szCs w:val="20"/>
              </w:rPr>
            </w:pPr>
          </w:p>
        </w:tc>
      </w:tr>
      <w:tr w:rsidR="00DF3E10" w14:paraId="4E56B252" w14:textId="77777777">
        <w:trPr>
          <w:tblCellSpacing w:w="0" w:type="dxa"/>
        </w:trPr>
        <w:tc>
          <w:tcPr>
            <w:tcW w:w="0" w:type="auto"/>
            <w:shd w:val="clear" w:color="auto" w:fill="auto"/>
          </w:tcPr>
          <w:p w14:paraId="4E56B25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5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prominence, size, format, and quality of ads shown to users;</w:t>
            </w:r>
          </w:p>
        </w:tc>
      </w:tr>
    </w:tbl>
    <w:p w14:paraId="4E56B25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144"/>
      </w:tblGrid>
      <w:tr w:rsidR="00DF3E10" w14:paraId="4E56B256" w14:textId="77777777">
        <w:trPr>
          <w:tblCellSpacing w:w="0" w:type="dxa"/>
        </w:trPr>
        <w:tc>
          <w:tcPr>
            <w:tcW w:w="1440" w:type="dxa"/>
            <w:shd w:val="clear" w:color="auto" w:fill="auto"/>
            <w:vAlign w:val="center"/>
          </w:tcPr>
          <w:p w14:paraId="4E56B254" w14:textId="77777777" w:rsidR="00DF3E10" w:rsidRDefault="00DF3E10">
            <w:pPr>
              <w:rPr>
                <w:rFonts w:ascii="Times New Roman" w:hAnsi="Times New Roman"/>
                <w:sz w:val="20"/>
                <w:szCs w:val="20"/>
              </w:rPr>
            </w:pPr>
          </w:p>
        </w:tc>
        <w:tc>
          <w:tcPr>
            <w:tcW w:w="0" w:type="auto"/>
            <w:shd w:val="clear" w:color="auto" w:fill="auto"/>
            <w:vAlign w:val="center"/>
          </w:tcPr>
          <w:p w14:paraId="4E56B255" w14:textId="77777777" w:rsidR="00DF3E10" w:rsidRDefault="00DF3E10">
            <w:pPr>
              <w:rPr>
                <w:rFonts w:ascii="Times New Roman" w:hAnsi="Times New Roman"/>
                <w:sz w:val="20"/>
                <w:szCs w:val="20"/>
              </w:rPr>
            </w:pPr>
          </w:p>
        </w:tc>
      </w:tr>
      <w:tr w:rsidR="00DF3E10" w14:paraId="4E56B259" w14:textId="77777777">
        <w:trPr>
          <w:tblCellSpacing w:w="0" w:type="dxa"/>
        </w:trPr>
        <w:tc>
          <w:tcPr>
            <w:tcW w:w="0" w:type="auto"/>
            <w:shd w:val="clear" w:color="auto" w:fill="auto"/>
          </w:tcPr>
          <w:p w14:paraId="4E56B25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5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success of technologies designed to block the display of ads;</w:t>
            </w:r>
          </w:p>
        </w:tc>
      </w:tr>
    </w:tbl>
    <w:p w14:paraId="4E56B25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5D" w14:textId="77777777">
        <w:trPr>
          <w:tblCellSpacing w:w="0" w:type="dxa"/>
        </w:trPr>
        <w:tc>
          <w:tcPr>
            <w:tcW w:w="1440" w:type="dxa"/>
            <w:shd w:val="clear" w:color="auto" w:fill="auto"/>
            <w:vAlign w:val="center"/>
          </w:tcPr>
          <w:p w14:paraId="4E56B25B" w14:textId="77777777" w:rsidR="00DF3E10" w:rsidRDefault="00DF3E10">
            <w:pPr>
              <w:rPr>
                <w:rFonts w:ascii="Times New Roman" w:hAnsi="Times New Roman"/>
                <w:sz w:val="20"/>
                <w:szCs w:val="20"/>
              </w:rPr>
            </w:pPr>
          </w:p>
        </w:tc>
        <w:tc>
          <w:tcPr>
            <w:tcW w:w="0" w:type="auto"/>
            <w:shd w:val="clear" w:color="auto" w:fill="auto"/>
            <w:vAlign w:val="center"/>
          </w:tcPr>
          <w:p w14:paraId="4E56B25C" w14:textId="77777777" w:rsidR="00DF3E10" w:rsidRDefault="00DF3E10">
            <w:pPr>
              <w:rPr>
                <w:rFonts w:ascii="Times New Roman" w:hAnsi="Times New Roman"/>
                <w:sz w:val="20"/>
                <w:szCs w:val="20"/>
              </w:rPr>
            </w:pPr>
          </w:p>
        </w:tc>
      </w:tr>
      <w:tr w:rsidR="00DF3E10" w14:paraId="4E56B260" w14:textId="77777777">
        <w:trPr>
          <w:tblCellSpacing w:w="0" w:type="dxa"/>
        </w:trPr>
        <w:tc>
          <w:tcPr>
            <w:tcW w:w="0" w:type="auto"/>
            <w:shd w:val="clear" w:color="auto" w:fill="auto"/>
          </w:tcPr>
          <w:p w14:paraId="4E56B25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5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to third-party policies that limit our </w:t>
            </w:r>
            <w:r>
              <w:rPr>
                <w:rFonts w:ascii="Times New Roman" w:eastAsia="宋体" w:hAnsi="Times New Roman"/>
                <w:sz w:val="20"/>
                <w:szCs w:val="20"/>
              </w:rPr>
              <w:t>ability to deliver, target, or measure the effectiveness of advertising, including changes by mobile operating system and browser providers such as Apple and Google;</w:t>
            </w:r>
          </w:p>
        </w:tc>
      </w:tr>
    </w:tbl>
    <w:p w14:paraId="4E56B26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305"/>
      </w:tblGrid>
      <w:tr w:rsidR="00DF3E10" w14:paraId="4E56B264" w14:textId="77777777">
        <w:trPr>
          <w:tblCellSpacing w:w="0" w:type="dxa"/>
        </w:trPr>
        <w:tc>
          <w:tcPr>
            <w:tcW w:w="1440" w:type="dxa"/>
            <w:shd w:val="clear" w:color="auto" w:fill="auto"/>
            <w:vAlign w:val="center"/>
          </w:tcPr>
          <w:p w14:paraId="4E56B262" w14:textId="77777777" w:rsidR="00DF3E10" w:rsidRDefault="00DF3E10">
            <w:pPr>
              <w:rPr>
                <w:rFonts w:ascii="Times New Roman" w:hAnsi="Times New Roman"/>
                <w:sz w:val="20"/>
                <w:szCs w:val="20"/>
              </w:rPr>
            </w:pPr>
          </w:p>
        </w:tc>
        <w:tc>
          <w:tcPr>
            <w:tcW w:w="0" w:type="auto"/>
            <w:shd w:val="clear" w:color="auto" w:fill="auto"/>
            <w:vAlign w:val="center"/>
          </w:tcPr>
          <w:p w14:paraId="4E56B263" w14:textId="77777777" w:rsidR="00DF3E10" w:rsidRDefault="00DF3E10">
            <w:pPr>
              <w:rPr>
                <w:rFonts w:ascii="Times New Roman" w:hAnsi="Times New Roman"/>
                <w:sz w:val="20"/>
                <w:szCs w:val="20"/>
              </w:rPr>
            </w:pPr>
          </w:p>
        </w:tc>
      </w:tr>
      <w:tr w:rsidR="00DF3E10" w14:paraId="4E56B267" w14:textId="77777777">
        <w:trPr>
          <w:tblCellSpacing w:w="0" w:type="dxa"/>
        </w:trPr>
        <w:tc>
          <w:tcPr>
            <w:tcW w:w="0" w:type="auto"/>
            <w:shd w:val="clear" w:color="auto" w:fill="auto"/>
          </w:tcPr>
          <w:p w14:paraId="4E56B26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6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the pricing of our ads and other products;</w:t>
            </w:r>
          </w:p>
        </w:tc>
      </w:tr>
    </w:tbl>
    <w:p w14:paraId="4E56B26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6B" w14:textId="77777777">
        <w:trPr>
          <w:tblCellSpacing w:w="0" w:type="dxa"/>
        </w:trPr>
        <w:tc>
          <w:tcPr>
            <w:tcW w:w="1440" w:type="dxa"/>
            <w:shd w:val="clear" w:color="auto" w:fill="auto"/>
            <w:vAlign w:val="center"/>
          </w:tcPr>
          <w:p w14:paraId="4E56B269" w14:textId="77777777" w:rsidR="00DF3E10" w:rsidRDefault="00DF3E10">
            <w:pPr>
              <w:rPr>
                <w:rFonts w:ascii="Times New Roman" w:hAnsi="Times New Roman"/>
                <w:sz w:val="20"/>
                <w:szCs w:val="20"/>
              </w:rPr>
            </w:pPr>
          </w:p>
        </w:tc>
        <w:tc>
          <w:tcPr>
            <w:tcW w:w="0" w:type="auto"/>
            <w:shd w:val="clear" w:color="auto" w:fill="auto"/>
            <w:vAlign w:val="center"/>
          </w:tcPr>
          <w:p w14:paraId="4E56B26A" w14:textId="77777777" w:rsidR="00DF3E10" w:rsidRDefault="00DF3E10">
            <w:pPr>
              <w:rPr>
                <w:rFonts w:ascii="Times New Roman" w:hAnsi="Times New Roman"/>
                <w:sz w:val="20"/>
                <w:szCs w:val="20"/>
              </w:rPr>
            </w:pPr>
          </w:p>
        </w:tc>
      </w:tr>
      <w:tr w:rsidR="00DF3E10" w14:paraId="4E56B26E" w14:textId="77777777">
        <w:trPr>
          <w:tblCellSpacing w:w="0" w:type="dxa"/>
        </w:trPr>
        <w:tc>
          <w:tcPr>
            <w:tcW w:w="0" w:type="auto"/>
            <w:shd w:val="clear" w:color="auto" w:fill="auto"/>
          </w:tcPr>
          <w:p w14:paraId="4E56B26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6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diversification and growth of revenue sources beyond advertising on Facebook and Instagram;</w:t>
            </w:r>
          </w:p>
        </w:tc>
      </w:tr>
    </w:tbl>
    <w:p w14:paraId="4E56B26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72" w14:textId="77777777">
        <w:trPr>
          <w:tblCellSpacing w:w="0" w:type="dxa"/>
        </w:trPr>
        <w:tc>
          <w:tcPr>
            <w:tcW w:w="1440" w:type="dxa"/>
            <w:shd w:val="clear" w:color="auto" w:fill="auto"/>
            <w:vAlign w:val="center"/>
          </w:tcPr>
          <w:p w14:paraId="4E56B270" w14:textId="77777777" w:rsidR="00DF3E10" w:rsidRDefault="00DF3E10">
            <w:pPr>
              <w:rPr>
                <w:rFonts w:ascii="Times New Roman" w:hAnsi="Times New Roman"/>
                <w:sz w:val="20"/>
                <w:szCs w:val="20"/>
              </w:rPr>
            </w:pPr>
          </w:p>
        </w:tc>
        <w:tc>
          <w:tcPr>
            <w:tcW w:w="0" w:type="auto"/>
            <w:shd w:val="clear" w:color="auto" w:fill="auto"/>
            <w:vAlign w:val="center"/>
          </w:tcPr>
          <w:p w14:paraId="4E56B271" w14:textId="77777777" w:rsidR="00DF3E10" w:rsidRDefault="00DF3E10">
            <w:pPr>
              <w:rPr>
                <w:rFonts w:ascii="Times New Roman" w:hAnsi="Times New Roman"/>
                <w:sz w:val="20"/>
                <w:szCs w:val="20"/>
              </w:rPr>
            </w:pPr>
          </w:p>
        </w:tc>
      </w:tr>
      <w:tr w:rsidR="00DF3E10" w14:paraId="4E56B275" w14:textId="77777777">
        <w:trPr>
          <w:tblCellSpacing w:w="0" w:type="dxa"/>
        </w:trPr>
        <w:tc>
          <w:tcPr>
            <w:tcW w:w="0" w:type="auto"/>
            <w:shd w:val="clear" w:color="auto" w:fill="auto"/>
          </w:tcPr>
          <w:p w14:paraId="4E56B27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7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generate revenue from Payments, or the sale of our consumer hardware products or other products we may introduce in the future;</w:t>
            </w:r>
          </w:p>
        </w:tc>
      </w:tr>
    </w:tbl>
    <w:p w14:paraId="4E56B27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79" w14:textId="77777777">
        <w:trPr>
          <w:tblCellSpacing w:w="0" w:type="dxa"/>
        </w:trPr>
        <w:tc>
          <w:tcPr>
            <w:tcW w:w="1440" w:type="dxa"/>
            <w:shd w:val="clear" w:color="auto" w:fill="auto"/>
            <w:vAlign w:val="center"/>
          </w:tcPr>
          <w:p w14:paraId="4E56B277" w14:textId="77777777" w:rsidR="00DF3E10" w:rsidRDefault="00DF3E10">
            <w:pPr>
              <w:rPr>
                <w:rFonts w:ascii="Times New Roman" w:hAnsi="Times New Roman"/>
                <w:sz w:val="20"/>
                <w:szCs w:val="20"/>
              </w:rPr>
            </w:pPr>
          </w:p>
        </w:tc>
        <w:tc>
          <w:tcPr>
            <w:tcW w:w="0" w:type="auto"/>
            <w:shd w:val="clear" w:color="auto" w:fill="auto"/>
            <w:vAlign w:val="center"/>
          </w:tcPr>
          <w:p w14:paraId="4E56B278" w14:textId="77777777" w:rsidR="00DF3E10" w:rsidRDefault="00DF3E10">
            <w:pPr>
              <w:rPr>
                <w:rFonts w:ascii="Times New Roman" w:hAnsi="Times New Roman"/>
                <w:sz w:val="20"/>
                <w:szCs w:val="20"/>
              </w:rPr>
            </w:pPr>
          </w:p>
        </w:tc>
      </w:tr>
      <w:tr w:rsidR="00DF3E10" w14:paraId="4E56B27C" w14:textId="77777777">
        <w:trPr>
          <w:tblCellSpacing w:w="0" w:type="dxa"/>
        </w:trPr>
        <w:tc>
          <w:tcPr>
            <w:tcW w:w="0" w:type="auto"/>
            <w:shd w:val="clear" w:color="auto" w:fill="auto"/>
          </w:tcPr>
          <w:p w14:paraId="4E56B27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7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existing products or services or the development and introduction of new products or services by us or our competitors;</w:t>
            </w:r>
          </w:p>
        </w:tc>
      </w:tr>
    </w:tbl>
    <w:p w14:paraId="4E56B27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80" w14:textId="77777777">
        <w:trPr>
          <w:tblCellSpacing w:w="0" w:type="dxa"/>
        </w:trPr>
        <w:tc>
          <w:tcPr>
            <w:tcW w:w="1440" w:type="dxa"/>
            <w:shd w:val="clear" w:color="auto" w:fill="auto"/>
            <w:vAlign w:val="center"/>
          </w:tcPr>
          <w:p w14:paraId="4E56B27E" w14:textId="77777777" w:rsidR="00DF3E10" w:rsidRDefault="00DF3E10">
            <w:pPr>
              <w:rPr>
                <w:rFonts w:ascii="Times New Roman" w:hAnsi="Times New Roman"/>
                <w:sz w:val="20"/>
                <w:szCs w:val="20"/>
              </w:rPr>
            </w:pPr>
          </w:p>
        </w:tc>
        <w:tc>
          <w:tcPr>
            <w:tcW w:w="0" w:type="auto"/>
            <w:shd w:val="clear" w:color="auto" w:fill="auto"/>
            <w:vAlign w:val="center"/>
          </w:tcPr>
          <w:p w14:paraId="4E56B27F" w14:textId="77777777" w:rsidR="00DF3E10" w:rsidRDefault="00DF3E10">
            <w:pPr>
              <w:rPr>
                <w:rFonts w:ascii="Times New Roman" w:hAnsi="Times New Roman"/>
                <w:sz w:val="20"/>
                <w:szCs w:val="20"/>
              </w:rPr>
            </w:pPr>
          </w:p>
        </w:tc>
      </w:tr>
      <w:tr w:rsidR="00DF3E10" w14:paraId="4E56B283" w14:textId="77777777">
        <w:trPr>
          <w:tblCellSpacing w:w="0" w:type="dxa"/>
        </w:trPr>
        <w:tc>
          <w:tcPr>
            <w:tcW w:w="0" w:type="auto"/>
            <w:shd w:val="clear" w:color="auto" w:fill="auto"/>
          </w:tcPr>
          <w:p w14:paraId="4E56B28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8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products that we successfully </w:t>
            </w:r>
            <w:r>
              <w:rPr>
                <w:rFonts w:ascii="Times New Roman" w:eastAsia="宋体" w:hAnsi="Times New Roman"/>
                <w:sz w:val="20"/>
                <w:szCs w:val="20"/>
              </w:rPr>
              <w:t>monetize;</w:t>
            </w:r>
          </w:p>
        </w:tc>
      </w:tr>
    </w:tbl>
    <w:p w14:paraId="4E56B28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87" w14:textId="77777777">
        <w:trPr>
          <w:tblCellSpacing w:w="0" w:type="dxa"/>
        </w:trPr>
        <w:tc>
          <w:tcPr>
            <w:tcW w:w="1440" w:type="dxa"/>
            <w:shd w:val="clear" w:color="auto" w:fill="auto"/>
            <w:vAlign w:val="center"/>
          </w:tcPr>
          <w:p w14:paraId="4E56B285" w14:textId="77777777" w:rsidR="00DF3E10" w:rsidRDefault="00DF3E10">
            <w:pPr>
              <w:rPr>
                <w:rFonts w:ascii="Times New Roman" w:hAnsi="Times New Roman"/>
                <w:sz w:val="20"/>
                <w:szCs w:val="20"/>
              </w:rPr>
            </w:pPr>
          </w:p>
        </w:tc>
        <w:tc>
          <w:tcPr>
            <w:tcW w:w="0" w:type="auto"/>
            <w:shd w:val="clear" w:color="auto" w:fill="auto"/>
            <w:vAlign w:val="center"/>
          </w:tcPr>
          <w:p w14:paraId="4E56B286" w14:textId="77777777" w:rsidR="00DF3E10" w:rsidRDefault="00DF3E10">
            <w:pPr>
              <w:rPr>
                <w:rFonts w:ascii="Times New Roman" w:hAnsi="Times New Roman"/>
                <w:sz w:val="20"/>
                <w:szCs w:val="20"/>
              </w:rPr>
            </w:pPr>
          </w:p>
        </w:tc>
      </w:tr>
      <w:tr w:rsidR="00DF3E10" w14:paraId="4E56B28A" w14:textId="77777777">
        <w:trPr>
          <w:tblCellSpacing w:w="0" w:type="dxa"/>
        </w:trPr>
        <w:tc>
          <w:tcPr>
            <w:tcW w:w="0" w:type="auto"/>
            <w:shd w:val="clear" w:color="auto" w:fill="auto"/>
          </w:tcPr>
          <w:p w14:paraId="4E56B28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8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increases in marketing, sales, and other operating expenses that we will incur to grow and expand our operations and to remain competitive, including costs related to our data centers and technical infrastructure;</w:t>
            </w:r>
          </w:p>
        </w:tc>
      </w:tr>
    </w:tbl>
    <w:p w14:paraId="4E56B28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726"/>
      </w:tblGrid>
      <w:tr w:rsidR="00DF3E10" w14:paraId="4E56B28E" w14:textId="77777777">
        <w:trPr>
          <w:tblCellSpacing w:w="0" w:type="dxa"/>
        </w:trPr>
        <w:tc>
          <w:tcPr>
            <w:tcW w:w="1440" w:type="dxa"/>
            <w:shd w:val="clear" w:color="auto" w:fill="auto"/>
            <w:vAlign w:val="center"/>
          </w:tcPr>
          <w:p w14:paraId="4E56B28C" w14:textId="77777777" w:rsidR="00DF3E10" w:rsidRDefault="00DF3E10">
            <w:pPr>
              <w:rPr>
                <w:rFonts w:ascii="Times New Roman" w:hAnsi="Times New Roman"/>
                <w:sz w:val="20"/>
                <w:szCs w:val="20"/>
              </w:rPr>
            </w:pPr>
          </w:p>
        </w:tc>
        <w:tc>
          <w:tcPr>
            <w:tcW w:w="0" w:type="auto"/>
            <w:shd w:val="clear" w:color="auto" w:fill="auto"/>
            <w:vAlign w:val="center"/>
          </w:tcPr>
          <w:p w14:paraId="4E56B28D" w14:textId="77777777" w:rsidR="00DF3E10" w:rsidRDefault="00DF3E10">
            <w:pPr>
              <w:rPr>
                <w:rFonts w:ascii="Times New Roman" w:hAnsi="Times New Roman"/>
                <w:sz w:val="20"/>
                <w:szCs w:val="20"/>
              </w:rPr>
            </w:pPr>
          </w:p>
        </w:tc>
      </w:tr>
      <w:tr w:rsidR="00DF3E10" w14:paraId="4E56B291" w14:textId="77777777">
        <w:trPr>
          <w:tblCellSpacing w:w="0" w:type="dxa"/>
        </w:trPr>
        <w:tc>
          <w:tcPr>
            <w:tcW w:w="0" w:type="auto"/>
            <w:shd w:val="clear" w:color="auto" w:fill="auto"/>
          </w:tcPr>
          <w:p w14:paraId="4E56B28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9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costs </w:t>
            </w:r>
            <w:r>
              <w:rPr>
                <w:rFonts w:ascii="Times New Roman" w:eastAsia="宋体" w:hAnsi="Times New Roman"/>
                <w:sz w:val="20"/>
                <w:szCs w:val="20"/>
              </w:rPr>
              <w:t>related to our privacy, safety, security, and content review efforts;</w:t>
            </w:r>
          </w:p>
        </w:tc>
      </w:tr>
    </w:tbl>
    <w:p w14:paraId="4E56B29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95" w14:textId="77777777">
        <w:trPr>
          <w:tblCellSpacing w:w="0" w:type="dxa"/>
        </w:trPr>
        <w:tc>
          <w:tcPr>
            <w:tcW w:w="1440" w:type="dxa"/>
            <w:shd w:val="clear" w:color="auto" w:fill="auto"/>
            <w:vAlign w:val="center"/>
          </w:tcPr>
          <w:p w14:paraId="4E56B293" w14:textId="77777777" w:rsidR="00DF3E10" w:rsidRDefault="00DF3E10">
            <w:pPr>
              <w:rPr>
                <w:rFonts w:ascii="Times New Roman" w:hAnsi="Times New Roman"/>
                <w:sz w:val="20"/>
                <w:szCs w:val="20"/>
              </w:rPr>
            </w:pPr>
          </w:p>
        </w:tc>
        <w:tc>
          <w:tcPr>
            <w:tcW w:w="0" w:type="auto"/>
            <w:shd w:val="clear" w:color="auto" w:fill="auto"/>
            <w:vAlign w:val="center"/>
          </w:tcPr>
          <w:p w14:paraId="4E56B294" w14:textId="77777777" w:rsidR="00DF3E10" w:rsidRDefault="00DF3E10">
            <w:pPr>
              <w:rPr>
                <w:rFonts w:ascii="Times New Roman" w:hAnsi="Times New Roman"/>
                <w:sz w:val="20"/>
                <w:szCs w:val="20"/>
              </w:rPr>
            </w:pPr>
          </w:p>
        </w:tc>
      </w:tr>
      <w:tr w:rsidR="00DF3E10" w14:paraId="4E56B298" w14:textId="77777777">
        <w:trPr>
          <w:tblCellSpacing w:w="0" w:type="dxa"/>
        </w:trPr>
        <w:tc>
          <w:tcPr>
            <w:tcW w:w="0" w:type="auto"/>
            <w:shd w:val="clear" w:color="auto" w:fill="auto"/>
          </w:tcPr>
          <w:p w14:paraId="4E56B29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9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costs and expenses related to the development and delivery of our consumer hardware products;</w:t>
            </w:r>
          </w:p>
        </w:tc>
      </w:tr>
    </w:tbl>
    <w:p w14:paraId="4E56B29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44"/>
      </w:tblGrid>
      <w:tr w:rsidR="00DF3E10" w14:paraId="4E56B29C" w14:textId="77777777">
        <w:trPr>
          <w:tblCellSpacing w:w="0" w:type="dxa"/>
        </w:trPr>
        <w:tc>
          <w:tcPr>
            <w:tcW w:w="1440" w:type="dxa"/>
            <w:shd w:val="clear" w:color="auto" w:fill="auto"/>
            <w:vAlign w:val="center"/>
          </w:tcPr>
          <w:p w14:paraId="4E56B29A" w14:textId="77777777" w:rsidR="00DF3E10" w:rsidRDefault="00DF3E10">
            <w:pPr>
              <w:rPr>
                <w:rFonts w:ascii="Times New Roman" w:hAnsi="Times New Roman"/>
                <w:sz w:val="20"/>
                <w:szCs w:val="20"/>
              </w:rPr>
            </w:pPr>
          </w:p>
        </w:tc>
        <w:tc>
          <w:tcPr>
            <w:tcW w:w="0" w:type="auto"/>
            <w:shd w:val="clear" w:color="auto" w:fill="auto"/>
            <w:vAlign w:val="center"/>
          </w:tcPr>
          <w:p w14:paraId="4E56B29B" w14:textId="77777777" w:rsidR="00DF3E10" w:rsidRDefault="00DF3E10">
            <w:pPr>
              <w:rPr>
                <w:rFonts w:ascii="Times New Roman" w:hAnsi="Times New Roman"/>
                <w:sz w:val="20"/>
                <w:szCs w:val="20"/>
              </w:rPr>
            </w:pPr>
          </w:p>
        </w:tc>
      </w:tr>
      <w:tr w:rsidR="00DF3E10" w14:paraId="4E56B29F" w14:textId="77777777">
        <w:trPr>
          <w:tblCellSpacing w:w="0" w:type="dxa"/>
        </w:trPr>
        <w:tc>
          <w:tcPr>
            <w:tcW w:w="0" w:type="auto"/>
            <w:shd w:val="clear" w:color="auto" w:fill="auto"/>
          </w:tcPr>
          <w:p w14:paraId="4E56B29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9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gross margins and operating margins;</w:t>
            </w:r>
          </w:p>
        </w:tc>
      </w:tr>
    </w:tbl>
    <w:p w14:paraId="4E56B2A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A3" w14:textId="77777777">
        <w:trPr>
          <w:tblCellSpacing w:w="0" w:type="dxa"/>
        </w:trPr>
        <w:tc>
          <w:tcPr>
            <w:tcW w:w="1440" w:type="dxa"/>
            <w:shd w:val="clear" w:color="auto" w:fill="auto"/>
            <w:vAlign w:val="center"/>
          </w:tcPr>
          <w:p w14:paraId="4E56B2A1" w14:textId="77777777" w:rsidR="00DF3E10" w:rsidRDefault="00DF3E10">
            <w:pPr>
              <w:rPr>
                <w:rFonts w:ascii="Times New Roman" w:hAnsi="Times New Roman"/>
                <w:sz w:val="20"/>
                <w:szCs w:val="20"/>
              </w:rPr>
            </w:pPr>
          </w:p>
        </w:tc>
        <w:tc>
          <w:tcPr>
            <w:tcW w:w="0" w:type="auto"/>
            <w:shd w:val="clear" w:color="auto" w:fill="auto"/>
            <w:vAlign w:val="center"/>
          </w:tcPr>
          <w:p w14:paraId="4E56B2A2" w14:textId="77777777" w:rsidR="00DF3E10" w:rsidRDefault="00DF3E10">
            <w:pPr>
              <w:rPr>
                <w:rFonts w:ascii="Times New Roman" w:hAnsi="Times New Roman"/>
                <w:sz w:val="20"/>
                <w:szCs w:val="20"/>
              </w:rPr>
            </w:pPr>
          </w:p>
        </w:tc>
      </w:tr>
      <w:tr w:rsidR="00DF3E10" w14:paraId="4E56B2A6" w14:textId="77777777">
        <w:trPr>
          <w:tblCellSpacing w:w="0" w:type="dxa"/>
        </w:trPr>
        <w:tc>
          <w:tcPr>
            <w:tcW w:w="0" w:type="auto"/>
            <w:shd w:val="clear" w:color="auto" w:fill="auto"/>
          </w:tcPr>
          <w:p w14:paraId="4E56B2A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A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costs </w:t>
            </w:r>
            <w:r>
              <w:rPr>
                <w:rFonts w:ascii="Times New Roman" w:eastAsia="宋体" w:hAnsi="Times New Roman"/>
                <w:sz w:val="20"/>
                <w:szCs w:val="20"/>
              </w:rPr>
              <w:t>related to acquisitions, including costs associated with amortization and additional investments to develop the acquired technologies;</w:t>
            </w:r>
          </w:p>
        </w:tc>
      </w:tr>
    </w:tbl>
    <w:p w14:paraId="4E56B2A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76"/>
      </w:tblGrid>
      <w:tr w:rsidR="00DF3E10" w14:paraId="4E56B2AA" w14:textId="77777777">
        <w:trPr>
          <w:tblCellSpacing w:w="0" w:type="dxa"/>
        </w:trPr>
        <w:tc>
          <w:tcPr>
            <w:tcW w:w="1440" w:type="dxa"/>
            <w:shd w:val="clear" w:color="auto" w:fill="auto"/>
            <w:vAlign w:val="center"/>
          </w:tcPr>
          <w:p w14:paraId="4E56B2A8" w14:textId="77777777" w:rsidR="00DF3E10" w:rsidRDefault="00DF3E10">
            <w:pPr>
              <w:rPr>
                <w:rFonts w:ascii="Times New Roman" w:hAnsi="Times New Roman"/>
                <w:sz w:val="20"/>
                <w:szCs w:val="20"/>
              </w:rPr>
            </w:pPr>
          </w:p>
        </w:tc>
        <w:tc>
          <w:tcPr>
            <w:tcW w:w="0" w:type="auto"/>
            <w:shd w:val="clear" w:color="auto" w:fill="auto"/>
            <w:vAlign w:val="center"/>
          </w:tcPr>
          <w:p w14:paraId="4E56B2A9" w14:textId="77777777" w:rsidR="00DF3E10" w:rsidRDefault="00DF3E10">
            <w:pPr>
              <w:rPr>
                <w:rFonts w:ascii="Times New Roman" w:hAnsi="Times New Roman"/>
                <w:sz w:val="20"/>
                <w:szCs w:val="20"/>
              </w:rPr>
            </w:pPr>
          </w:p>
        </w:tc>
      </w:tr>
      <w:tr w:rsidR="00DF3E10" w14:paraId="4E56B2AD" w14:textId="77777777">
        <w:trPr>
          <w:tblCellSpacing w:w="0" w:type="dxa"/>
        </w:trPr>
        <w:tc>
          <w:tcPr>
            <w:tcW w:w="0" w:type="auto"/>
            <w:shd w:val="clear" w:color="auto" w:fill="auto"/>
          </w:tcPr>
          <w:p w14:paraId="4E56B2A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A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charges associated with impairment of any assets on our balance sheet;</w:t>
            </w:r>
          </w:p>
        </w:tc>
      </w:tr>
    </w:tbl>
    <w:p w14:paraId="4E56B2AE" w14:textId="77777777" w:rsidR="00DF3E10" w:rsidRDefault="00DF3E10">
      <w:pPr>
        <w:rPr>
          <w:rFonts w:ascii="Times New Roman" w:hAnsi="Times New Roman"/>
          <w:sz w:val="20"/>
          <w:szCs w:val="20"/>
        </w:rPr>
      </w:pPr>
    </w:p>
    <w:p w14:paraId="4E56B2AF"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60</w:t>
      </w:r>
    </w:p>
    <w:p w14:paraId="4E56B2B0" w14:textId="77777777" w:rsidR="00DF3E10" w:rsidRDefault="006B6C28">
      <w:r>
        <w:rPr>
          <w:rFonts w:ascii="Times New Roman" w:hAnsi="Times New Roman"/>
          <w:sz w:val="20"/>
          <w:szCs w:val="20"/>
        </w:rPr>
        <w:pict w14:anchorId="4E56B799">
          <v:rect id="_x0000_i1084" style="width:415.3pt;height:1.5pt" o:hralign="center" o:hrstd="t" o:hr="t" fillcolor="#a0a0a0" stroked="f"/>
        </w:pict>
      </w:r>
    </w:p>
    <w:p w14:paraId="4E56B2B1" w14:textId="77777777" w:rsidR="00DF3E10" w:rsidRDefault="006B6C28">
      <w:pPr>
        <w:spacing w:line="288" w:lineRule="auto"/>
        <w:rPr>
          <w:rFonts w:ascii="Times New Roman" w:hAnsi="Times New Roman"/>
          <w:sz w:val="20"/>
          <w:szCs w:val="20"/>
        </w:rPr>
      </w:pPr>
      <w:hyperlink r:id="rId101" w:anchor="sC1FF62F0D4D85317B5B2C71C7C94F269" w:history="1">
        <w:r>
          <w:rPr>
            <w:rStyle w:val="a5"/>
            <w:rFonts w:ascii="Times New Roman" w:eastAsia="宋体" w:hAnsi="Times New Roman"/>
            <w:sz w:val="20"/>
            <w:szCs w:val="20"/>
          </w:rPr>
          <w:t>Table of Contents</w:t>
        </w:r>
      </w:hyperlink>
    </w:p>
    <w:p w14:paraId="4E56B2B2"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B5" w14:textId="77777777">
        <w:trPr>
          <w:tblCellSpacing w:w="0" w:type="dxa"/>
        </w:trPr>
        <w:tc>
          <w:tcPr>
            <w:tcW w:w="1440" w:type="dxa"/>
            <w:shd w:val="clear" w:color="auto" w:fill="auto"/>
            <w:vAlign w:val="center"/>
          </w:tcPr>
          <w:p w14:paraId="4E56B2B3" w14:textId="77777777" w:rsidR="00DF3E10" w:rsidRDefault="00DF3E10">
            <w:pPr>
              <w:rPr>
                <w:rFonts w:ascii="Times New Roman" w:hAnsi="Times New Roman"/>
                <w:sz w:val="20"/>
                <w:szCs w:val="20"/>
              </w:rPr>
            </w:pPr>
          </w:p>
        </w:tc>
        <w:tc>
          <w:tcPr>
            <w:tcW w:w="0" w:type="auto"/>
            <w:shd w:val="clear" w:color="auto" w:fill="auto"/>
            <w:vAlign w:val="center"/>
          </w:tcPr>
          <w:p w14:paraId="4E56B2B4" w14:textId="77777777" w:rsidR="00DF3E10" w:rsidRDefault="00DF3E10">
            <w:pPr>
              <w:rPr>
                <w:rFonts w:ascii="Times New Roman" w:hAnsi="Times New Roman"/>
                <w:sz w:val="20"/>
                <w:szCs w:val="20"/>
              </w:rPr>
            </w:pPr>
          </w:p>
        </w:tc>
      </w:tr>
      <w:tr w:rsidR="00DF3E10" w14:paraId="4E56B2B8" w14:textId="77777777">
        <w:trPr>
          <w:tblCellSpacing w:w="0" w:type="dxa"/>
        </w:trPr>
        <w:tc>
          <w:tcPr>
            <w:tcW w:w="0" w:type="auto"/>
            <w:shd w:val="clear" w:color="auto" w:fill="auto"/>
          </w:tcPr>
          <w:p w14:paraId="4E56B2B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B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obtain equipment, components, and labor for our data </w:t>
            </w:r>
            <w:r>
              <w:rPr>
                <w:rFonts w:ascii="Times New Roman" w:eastAsia="宋体" w:hAnsi="Times New Roman"/>
                <w:sz w:val="20"/>
                <w:szCs w:val="20"/>
              </w:rPr>
              <w:t>centers and other technical infrastructure in a timely and cost-effective manner;</w:t>
            </w:r>
          </w:p>
        </w:tc>
      </w:tr>
    </w:tbl>
    <w:p w14:paraId="4E56B2B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BC" w14:textId="77777777">
        <w:trPr>
          <w:tblCellSpacing w:w="0" w:type="dxa"/>
        </w:trPr>
        <w:tc>
          <w:tcPr>
            <w:tcW w:w="1440" w:type="dxa"/>
            <w:shd w:val="clear" w:color="auto" w:fill="auto"/>
            <w:vAlign w:val="center"/>
          </w:tcPr>
          <w:p w14:paraId="4E56B2BA" w14:textId="77777777" w:rsidR="00DF3E10" w:rsidRDefault="00DF3E10">
            <w:pPr>
              <w:rPr>
                <w:rFonts w:ascii="Times New Roman" w:hAnsi="Times New Roman"/>
                <w:sz w:val="20"/>
                <w:szCs w:val="20"/>
              </w:rPr>
            </w:pPr>
          </w:p>
        </w:tc>
        <w:tc>
          <w:tcPr>
            <w:tcW w:w="0" w:type="auto"/>
            <w:shd w:val="clear" w:color="auto" w:fill="auto"/>
            <w:vAlign w:val="center"/>
          </w:tcPr>
          <w:p w14:paraId="4E56B2BB" w14:textId="77777777" w:rsidR="00DF3E10" w:rsidRDefault="00DF3E10">
            <w:pPr>
              <w:rPr>
                <w:rFonts w:ascii="Times New Roman" w:hAnsi="Times New Roman"/>
                <w:sz w:val="20"/>
                <w:szCs w:val="20"/>
              </w:rPr>
            </w:pPr>
          </w:p>
        </w:tc>
      </w:tr>
      <w:tr w:rsidR="00DF3E10" w14:paraId="4E56B2BF" w14:textId="77777777">
        <w:trPr>
          <w:tblCellSpacing w:w="0" w:type="dxa"/>
        </w:trPr>
        <w:tc>
          <w:tcPr>
            <w:tcW w:w="0" w:type="auto"/>
            <w:shd w:val="clear" w:color="auto" w:fill="auto"/>
          </w:tcPr>
          <w:p w14:paraId="4E56B2B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B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system failures or outages or government blocking, which could prevent us from serving ads for any period of time;</w:t>
            </w:r>
          </w:p>
        </w:tc>
      </w:tr>
    </w:tbl>
    <w:p w14:paraId="4E56B2C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C3" w14:textId="77777777">
        <w:trPr>
          <w:tblCellSpacing w:w="0" w:type="dxa"/>
        </w:trPr>
        <w:tc>
          <w:tcPr>
            <w:tcW w:w="1440" w:type="dxa"/>
            <w:shd w:val="clear" w:color="auto" w:fill="auto"/>
            <w:vAlign w:val="center"/>
          </w:tcPr>
          <w:p w14:paraId="4E56B2C1" w14:textId="77777777" w:rsidR="00DF3E10" w:rsidRDefault="00DF3E10">
            <w:pPr>
              <w:rPr>
                <w:rFonts w:ascii="Times New Roman" w:hAnsi="Times New Roman"/>
                <w:sz w:val="20"/>
                <w:szCs w:val="20"/>
              </w:rPr>
            </w:pPr>
          </w:p>
        </w:tc>
        <w:tc>
          <w:tcPr>
            <w:tcW w:w="0" w:type="auto"/>
            <w:shd w:val="clear" w:color="auto" w:fill="auto"/>
            <w:vAlign w:val="center"/>
          </w:tcPr>
          <w:p w14:paraId="4E56B2C2" w14:textId="77777777" w:rsidR="00DF3E10" w:rsidRDefault="00DF3E10">
            <w:pPr>
              <w:rPr>
                <w:rFonts w:ascii="Times New Roman" w:hAnsi="Times New Roman"/>
                <w:sz w:val="20"/>
                <w:szCs w:val="20"/>
              </w:rPr>
            </w:pPr>
          </w:p>
        </w:tc>
      </w:tr>
      <w:tr w:rsidR="00DF3E10" w14:paraId="4E56B2C6" w14:textId="77777777">
        <w:trPr>
          <w:tblCellSpacing w:w="0" w:type="dxa"/>
        </w:trPr>
        <w:tc>
          <w:tcPr>
            <w:tcW w:w="0" w:type="auto"/>
            <w:shd w:val="clear" w:color="auto" w:fill="auto"/>
          </w:tcPr>
          <w:p w14:paraId="4E56B2C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C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breaches of security or privacy, and the </w:t>
            </w:r>
            <w:r>
              <w:rPr>
                <w:rFonts w:ascii="Times New Roman" w:eastAsia="宋体" w:hAnsi="Times New Roman"/>
                <w:sz w:val="20"/>
                <w:szCs w:val="20"/>
              </w:rPr>
              <w:t>costs associated with any such breaches and remediation;</w:t>
            </w:r>
          </w:p>
        </w:tc>
      </w:tr>
    </w:tbl>
    <w:p w14:paraId="4E56B2C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CA" w14:textId="77777777">
        <w:trPr>
          <w:tblCellSpacing w:w="0" w:type="dxa"/>
        </w:trPr>
        <w:tc>
          <w:tcPr>
            <w:tcW w:w="1440" w:type="dxa"/>
            <w:shd w:val="clear" w:color="auto" w:fill="auto"/>
            <w:vAlign w:val="center"/>
          </w:tcPr>
          <w:p w14:paraId="4E56B2C8" w14:textId="77777777" w:rsidR="00DF3E10" w:rsidRDefault="00DF3E10">
            <w:pPr>
              <w:rPr>
                <w:rFonts w:ascii="Times New Roman" w:hAnsi="Times New Roman"/>
                <w:sz w:val="20"/>
                <w:szCs w:val="20"/>
              </w:rPr>
            </w:pPr>
          </w:p>
        </w:tc>
        <w:tc>
          <w:tcPr>
            <w:tcW w:w="0" w:type="auto"/>
            <w:shd w:val="clear" w:color="auto" w:fill="auto"/>
            <w:vAlign w:val="center"/>
          </w:tcPr>
          <w:p w14:paraId="4E56B2C9" w14:textId="77777777" w:rsidR="00DF3E10" w:rsidRDefault="00DF3E10">
            <w:pPr>
              <w:rPr>
                <w:rFonts w:ascii="Times New Roman" w:hAnsi="Times New Roman"/>
                <w:sz w:val="20"/>
                <w:szCs w:val="20"/>
              </w:rPr>
            </w:pPr>
          </w:p>
        </w:tc>
      </w:tr>
      <w:tr w:rsidR="00DF3E10" w14:paraId="4E56B2CD" w14:textId="77777777">
        <w:trPr>
          <w:tblCellSpacing w:w="0" w:type="dxa"/>
        </w:trPr>
        <w:tc>
          <w:tcPr>
            <w:tcW w:w="0" w:type="auto"/>
            <w:shd w:val="clear" w:color="auto" w:fill="auto"/>
          </w:tcPr>
          <w:p w14:paraId="4E56B2C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C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manner in which we distribute our products or inaccessibility of our products due to third-party actions;</w:t>
            </w:r>
          </w:p>
        </w:tc>
      </w:tr>
    </w:tbl>
    <w:p w14:paraId="4E56B2C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66"/>
      </w:tblGrid>
      <w:tr w:rsidR="00DF3E10" w14:paraId="4E56B2D1" w14:textId="77777777">
        <w:trPr>
          <w:tblCellSpacing w:w="0" w:type="dxa"/>
        </w:trPr>
        <w:tc>
          <w:tcPr>
            <w:tcW w:w="1440" w:type="dxa"/>
            <w:shd w:val="clear" w:color="auto" w:fill="auto"/>
            <w:vAlign w:val="center"/>
          </w:tcPr>
          <w:p w14:paraId="4E56B2CF" w14:textId="77777777" w:rsidR="00DF3E10" w:rsidRDefault="00DF3E10">
            <w:pPr>
              <w:rPr>
                <w:rFonts w:ascii="Times New Roman" w:hAnsi="Times New Roman"/>
                <w:sz w:val="20"/>
                <w:szCs w:val="20"/>
              </w:rPr>
            </w:pPr>
          </w:p>
        </w:tc>
        <w:tc>
          <w:tcPr>
            <w:tcW w:w="0" w:type="auto"/>
            <w:shd w:val="clear" w:color="auto" w:fill="auto"/>
            <w:vAlign w:val="center"/>
          </w:tcPr>
          <w:p w14:paraId="4E56B2D0" w14:textId="77777777" w:rsidR="00DF3E10" w:rsidRDefault="00DF3E10">
            <w:pPr>
              <w:rPr>
                <w:rFonts w:ascii="Times New Roman" w:hAnsi="Times New Roman"/>
                <w:sz w:val="20"/>
                <w:szCs w:val="20"/>
              </w:rPr>
            </w:pPr>
          </w:p>
        </w:tc>
      </w:tr>
      <w:tr w:rsidR="00DF3E10" w14:paraId="4E56B2D4" w14:textId="77777777">
        <w:trPr>
          <w:tblCellSpacing w:w="0" w:type="dxa"/>
        </w:trPr>
        <w:tc>
          <w:tcPr>
            <w:tcW w:w="0" w:type="auto"/>
            <w:shd w:val="clear" w:color="auto" w:fill="auto"/>
          </w:tcPr>
          <w:p w14:paraId="4E56B2D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D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fees paid to third parties for content or the </w:t>
            </w:r>
            <w:r>
              <w:rPr>
                <w:rFonts w:ascii="Times New Roman" w:eastAsia="宋体" w:hAnsi="Times New Roman"/>
                <w:sz w:val="20"/>
                <w:szCs w:val="20"/>
              </w:rPr>
              <w:t>distribution of our products;</w:t>
            </w:r>
          </w:p>
        </w:tc>
      </w:tr>
    </w:tbl>
    <w:p w14:paraId="4E56B2D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222"/>
      </w:tblGrid>
      <w:tr w:rsidR="00DF3E10" w14:paraId="4E56B2D8" w14:textId="77777777">
        <w:trPr>
          <w:tblCellSpacing w:w="0" w:type="dxa"/>
        </w:trPr>
        <w:tc>
          <w:tcPr>
            <w:tcW w:w="1440" w:type="dxa"/>
            <w:shd w:val="clear" w:color="auto" w:fill="auto"/>
            <w:vAlign w:val="center"/>
          </w:tcPr>
          <w:p w14:paraId="4E56B2D6" w14:textId="77777777" w:rsidR="00DF3E10" w:rsidRDefault="00DF3E10">
            <w:pPr>
              <w:rPr>
                <w:rFonts w:ascii="Times New Roman" w:hAnsi="Times New Roman"/>
                <w:sz w:val="20"/>
                <w:szCs w:val="20"/>
              </w:rPr>
            </w:pPr>
          </w:p>
        </w:tc>
        <w:tc>
          <w:tcPr>
            <w:tcW w:w="0" w:type="auto"/>
            <w:shd w:val="clear" w:color="auto" w:fill="auto"/>
            <w:vAlign w:val="center"/>
          </w:tcPr>
          <w:p w14:paraId="4E56B2D7" w14:textId="77777777" w:rsidR="00DF3E10" w:rsidRDefault="00DF3E10">
            <w:pPr>
              <w:rPr>
                <w:rFonts w:ascii="Times New Roman" w:hAnsi="Times New Roman"/>
                <w:sz w:val="20"/>
                <w:szCs w:val="20"/>
              </w:rPr>
            </w:pPr>
          </w:p>
        </w:tc>
      </w:tr>
      <w:tr w:rsidR="00DF3E10" w14:paraId="4E56B2DB" w14:textId="77777777">
        <w:trPr>
          <w:tblCellSpacing w:w="0" w:type="dxa"/>
        </w:trPr>
        <w:tc>
          <w:tcPr>
            <w:tcW w:w="0" w:type="auto"/>
            <w:shd w:val="clear" w:color="auto" w:fill="auto"/>
          </w:tcPr>
          <w:p w14:paraId="4E56B2D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D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refunds or other concessions provided to advertisers;</w:t>
            </w:r>
          </w:p>
        </w:tc>
      </w:tr>
    </w:tbl>
    <w:p w14:paraId="4E56B2D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943"/>
      </w:tblGrid>
      <w:tr w:rsidR="00DF3E10" w14:paraId="4E56B2DF" w14:textId="77777777">
        <w:trPr>
          <w:tblCellSpacing w:w="0" w:type="dxa"/>
        </w:trPr>
        <w:tc>
          <w:tcPr>
            <w:tcW w:w="1440" w:type="dxa"/>
            <w:shd w:val="clear" w:color="auto" w:fill="auto"/>
            <w:vAlign w:val="center"/>
          </w:tcPr>
          <w:p w14:paraId="4E56B2DD" w14:textId="77777777" w:rsidR="00DF3E10" w:rsidRDefault="00DF3E10">
            <w:pPr>
              <w:rPr>
                <w:rFonts w:ascii="Times New Roman" w:hAnsi="Times New Roman"/>
                <w:sz w:val="20"/>
                <w:szCs w:val="20"/>
              </w:rPr>
            </w:pPr>
          </w:p>
        </w:tc>
        <w:tc>
          <w:tcPr>
            <w:tcW w:w="0" w:type="auto"/>
            <w:shd w:val="clear" w:color="auto" w:fill="auto"/>
            <w:vAlign w:val="center"/>
          </w:tcPr>
          <w:p w14:paraId="4E56B2DE" w14:textId="77777777" w:rsidR="00DF3E10" w:rsidRDefault="00DF3E10">
            <w:pPr>
              <w:rPr>
                <w:rFonts w:ascii="Times New Roman" w:hAnsi="Times New Roman"/>
                <w:sz w:val="20"/>
                <w:szCs w:val="20"/>
              </w:rPr>
            </w:pPr>
          </w:p>
        </w:tc>
      </w:tr>
      <w:tr w:rsidR="00DF3E10" w14:paraId="4E56B2E2" w14:textId="77777777">
        <w:trPr>
          <w:tblCellSpacing w:w="0" w:type="dxa"/>
        </w:trPr>
        <w:tc>
          <w:tcPr>
            <w:tcW w:w="0" w:type="auto"/>
            <w:shd w:val="clear" w:color="auto" w:fill="auto"/>
          </w:tcPr>
          <w:p w14:paraId="4E56B2E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E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share-based compensation expense, including acquisition-related expense;</w:t>
            </w:r>
          </w:p>
        </w:tc>
      </w:tr>
    </w:tbl>
    <w:p w14:paraId="4E56B2E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882"/>
      </w:tblGrid>
      <w:tr w:rsidR="00DF3E10" w14:paraId="4E56B2E6" w14:textId="77777777">
        <w:trPr>
          <w:tblCellSpacing w:w="0" w:type="dxa"/>
        </w:trPr>
        <w:tc>
          <w:tcPr>
            <w:tcW w:w="1440" w:type="dxa"/>
            <w:shd w:val="clear" w:color="auto" w:fill="auto"/>
            <w:vAlign w:val="center"/>
          </w:tcPr>
          <w:p w14:paraId="4E56B2E4" w14:textId="77777777" w:rsidR="00DF3E10" w:rsidRDefault="00DF3E10">
            <w:pPr>
              <w:rPr>
                <w:rFonts w:ascii="Times New Roman" w:hAnsi="Times New Roman"/>
                <w:sz w:val="20"/>
                <w:szCs w:val="20"/>
              </w:rPr>
            </w:pPr>
          </w:p>
        </w:tc>
        <w:tc>
          <w:tcPr>
            <w:tcW w:w="0" w:type="auto"/>
            <w:shd w:val="clear" w:color="auto" w:fill="auto"/>
            <w:vAlign w:val="center"/>
          </w:tcPr>
          <w:p w14:paraId="4E56B2E5" w14:textId="77777777" w:rsidR="00DF3E10" w:rsidRDefault="00DF3E10">
            <w:pPr>
              <w:rPr>
                <w:rFonts w:ascii="Times New Roman" w:hAnsi="Times New Roman"/>
                <w:sz w:val="20"/>
                <w:szCs w:val="20"/>
              </w:rPr>
            </w:pPr>
          </w:p>
        </w:tc>
      </w:tr>
      <w:tr w:rsidR="00DF3E10" w14:paraId="4E56B2E9" w14:textId="77777777">
        <w:trPr>
          <w:tblCellSpacing w:w="0" w:type="dxa"/>
        </w:trPr>
        <w:tc>
          <w:tcPr>
            <w:tcW w:w="0" w:type="auto"/>
            <w:shd w:val="clear" w:color="auto" w:fill="auto"/>
          </w:tcPr>
          <w:p w14:paraId="4E56B2E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E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litigation judgments, settlements, or other </w:t>
            </w:r>
            <w:r>
              <w:rPr>
                <w:rFonts w:ascii="Times New Roman" w:eastAsia="宋体" w:hAnsi="Times New Roman"/>
                <w:sz w:val="20"/>
                <w:szCs w:val="20"/>
              </w:rPr>
              <w:t>litigation-related costs;</w:t>
            </w:r>
          </w:p>
        </w:tc>
      </w:tr>
    </w:tbl>
    <w:p w14:paraId="4E56B2E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ED" w14:textId="77777777">
        <w:trPr>
          <w:tblCellSpacing w:w="0" w:type="dxa"/>
        </w:trPr>
        <w:tc>
          <w:tcPr>
            <w:tcW w:w="1440" w:type="dxa"/>
            <w:shd w:val="clear" w:color="auto" w:fill="auto"/>
            <w:vAlign w:val="center"/>
          </w:tcPr>
          <w:p w14:paraId="4E56B2EB" w14:textId="77777777" w:rsidR="00DF3E10" w:rsidRDefault="00DF3E10">
            <w:pPr>
              <w:rPr>
                <w:rFonts w:ascii="Times New Roman" w:hAnsi="Times New Roman"/>
                <w:sz w:val="20"/>
                <w:szCs w:val="20"/>
              </w:rPr>
            </w:pPr>
          </w:p>
        </w:tc>
        <w:tc>
          <w:tcPr>
            <w:tcW w:w="0" w:type="auto"/>
            <w:shd w:val="clear" w:color="auto" w:fill="auto"/>
            <w:vAlign w:val="center"/>
          </w:tcPr>
          <w:p w14:paraId="4E56B2EC" w14:textId="77777777" w:rsidR="00DF3E10" w:rsidRDefault="00DF3E10">
            <w:pPr>
              <w:rPr>
                <w:rFonts w:ascii="Times New Roman" w:hAnsi="Times New Roman"/>
                <w:sz w:val="20"/>
                <w:szCs w:val="20"/>
              </w:rPr>
            </w:pPr>
          </w:p>
        </w:tc>
      </w:tr>
      <w:tr w:rsidR="00DF3E10" w14:paraId="4E56B2F0" w14:textId="77777777">
        <w:trPr>
          <w:tblCellSpacing w:w="0" w:type="dxa"/>
        </w:trPr>
        <w:tc>
          <w:tcPr>
            <w:tcW w:w="0" w:type="auto"/>
            <w:shd w:val="clear" w:color="auto" w:fill="auto"/>
          </w:tcPr>
          <w:p w14:paraId="4E56B2E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E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legislative or regulatory environment, including with respect to privacy and data protection, or actions by governments or regulators, including fines, orders, or consent decrees;</w:t>
            </w:r>
          </w:p>
        </w:tc>
      </w:tr>
    </w:tbl>
    <w:p w14:paraId="4E56B2F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F4" w14:textId="77777777">
        <w:trPr>
          <w:tblCellSpacing w:w="0" w:type="dxa"/>
        </w:trPr>
        <w:tc>
          <w:tcPr>
            <w:tcW w:w="1440" w:type="dxa"/>
            <w:shd w:val="clear" w:color="auto" w:fill="auto"/>
            <w:vAlign w:val="center"/>
          </w:tcPr>
          <w:p w14:paraId="4E56B2F2" w14:textId="77777777" w:rsidR="00DF3E10" w:rsidRDefault="00DF3E10">
            <w:pPr>
              <w:rPr>
                <w:rFonts w:ascii="Times New Roman" w:hAnsi="Times New Roman"/>
                <w:sz w:val="20"/>
                <w:szCs w:val="20"/>
              </w:rPr>
            </w:pPr>
          </w:p>
        </w:tc>
        <w:tc>
          <w:tcPr>
            <w:tcW w:w="0" w:type="auto"/>
            <w:shd w:val="clear" w:color="auto" w:fill="auto"/>
            <w:vAlign w:val="center"/>
          </w:tcPr>
          <w:p w14:paraId="4E56B2F3" w14:textId="77777777" w:rsidR="00DF3E10" w:rsidRDefault="00DF3E10">
            <w:pPr>
              <w:rPr>
                <w:rFonts w:ascii="Times New Roman" w:hAnsi="Times New Roman"/>
                <w:sz w:val="20"/>
                <w:szCs w:val="20"/>
              </w:rPr>
            </w:pPr>
          </w:p>
        </w:tc>
      </w:tr>
      <w:tr w:rsidR="00DF3E10" w14:paraId="4E56B2F7" w14:textId="77777777">
        <w:trPr>
          <w:tblCellSpacing w:w="0" w:type="dxa"/>
        </w:trPr>
        <w:tc>
          <w:tcPr>
            <w:tcW w:w="0" w:type="auto"/>
            <w:shd w:val="clear" w:color="auto" w:fill="auto"/>
          </w:tcPr>
          <w:p w14:paraId="4E56B2F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F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overall tax </w:t>
            </w:r>
            <w:r>
              <w:rPr>
                <w:rFonts w:ascii="Times New Roman" w:eastAsia="宋体" w:hAnsi="Times New Roman"/>
                <w:sz w:val="20"/>
                <w:szCs w:val="20"/>
              </w:rPr>
              <w:t xml:space="preserve">rate for our business, which may be affected by the mix of income we earn in the U.S. and in jurisdictions with comparatively lower tax rates, the effects of share-based compensation, the effects of integrating intellectual property from acquisitions, and </w:t>
            </w:r>
            <w:r>
              <w:rPr>
                <w:rFonts w:ascii="Times New Roman" w:eastAsia="宋体" w:hAnsi="Times New Roman"/>
                <w:sz w:val="20"/>
                <w:szCs w:val="20"/>
              </w:rPr>
              <w:t>the effects of changes in our business;</w:t>
            </w:r>
          </w:p>
        </w:tc>
      </w:tr>
    </w:tbl>
    <w:p w14:paraId="4E56B2F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2FB" w14:textId="77777777">
        <w:trPr>
          <w:tblCellSpacing w:w="0" w:type="dxa"/>
        </w:trPr>
        <w:tc>
          <w:tcPr>
            <w:tcW w:w="1440" w:type="dxa"/>
            <w:shd w:val="clear" w:color="auto" w:fill="auto"/>
            <w:vAlign w:val="center"/>
          </w:tcPr>
          <w:p w14:paraId="4E56B2F9" w14:textId="77777777" w:rsidR="00DF3E10" w:rsidRDefault="00DF3E10">
            <w:pPr>
              <w:rPr>
                <w:rFonts w:ascii="Times New Roman" w:hAnsi="Times New Roman"/>
                <w:sz w:val="20"/>
                <w:szCs w:val="20"/>
              </w:rPr>
            </w:pPr>
          </w:p>
        </w:tc>
        <w:tc>
          <w:tcPr>
            <w:tcW w:w="0" w:type="auto"/>
            <w:shd w:val="clear" w:color="auto" w:fill="auto"/>
            <w:vAlign w:val="center"/>
          </w:tcPr>
          <w:p w14:paraId="4E56B2FA" w14:textId="77777777" w:rsidR="00DF3E10" w:rsidRDefault="00DF3E10">
            <w:pPr>
              <w:rPr>
                <w:rFonts w:ascii="Times New Roman" w:hAnsi="Times New Roman"/>
                <w:sz w:val="20"/>
                <w:szCs w:val="20"/>
              </w:rPr>
            </w:pPr>
          </w:p>
        </w:tc>
      </w:tr>
      <w:tr w:rsidR="00DF3E10" w14:paraId="4E56B2FE" w14:textId="77777777">
        <w:trPr>
          <w:tblCellSpacing w:w="0" w:type="dxa"/>
        </w:trPr>
        <w:tc>
          <w:tcPr>
            <w:tcW w:w="0" w:type="auto"/>
            <w:shd w:val="clear" w:color="auto" w:fill="auto"/>
          </w:tcPr>
          <w:p w14:paraId="4E56B2F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2F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changes in tax laws or judicial or regulatory interpretations of tax laws, which are recorded in the period such laws are enacted or interpretations are issued, and may significantly affect </w:t>
            </w:r>
            <w:r>
              <w:rPr>
                <w:rFonts w:ascii="Times New Roman" w:eastAsia="宋体" w:hAnsi="Times New Roman"/>
                <w:sz w:val="20"/>
                <w:szCs w:val="20"/>
              </w:rPr>
              <w:t>the effective tax rate of that period;</w:t>
            </w:r>
          </w:p>
        </w:tc>
      </w:tr>
    </w:tbl>
    <w:p w14:paraId="4E56B2F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02" w14:textId="77777777">
        <w:trPr>
          <w:tblCellSpacing w:w="0" w:type="dxa"/>
        </w:trPr>
        <w:tc>
          <w:tcPr>
            <w:tcW w:w="1440" w:type="dxa"/>
            <w:shd w:val="clear" w:color="auto" w:fill="auto"/>
            <w:vAlign w:val="center"/>
          </w:tcPr>
          <w:p w14:paraId="4E56B300" w14:textId="77777777" w:rsidR="00DF3E10" w:rsidRDefault="00DF3E10">
            <w:pPr>
              <w:rPr>
                <w:rFonts w:ascii="Times New Roman" w:hAnsi="Times New Roman"/>
                <w:sz w:val="20"/>
                <w:szCs w:val="20"/>
              </w:rPr>
            </w:pPr>
          </w:p>
        </w:tc>
        <w:tc>
          <w:tcPr>
            <w:tcW w:w="0" w:type="auto"/>
            <w:shd w:val="clear" w:color="auto" w:fill="auto"/>
            <w:vAlign w:val="center"/>
          </w:tcPr>
          <w:p w14:paraId="4E56B301" w14:textId="77777777" w:rsidR="00DF3E10" w:rsidRDefault="00DF3E10">
            <w:pPr>
              <w:rPr>
                <w:rFonts w:ascii="Times New Roman" w:hAnsi="Times New Roman"/>
                <w:sz w:val="20"/>
                <w:szCs w:val="20"/>
              </w:rPr>
            </w:pPr>
          </w:p>
        </w:tc>
      </w:tr>
      <w:tr w:rsidR="00DF3E10" w14:paraId="4E56B305" w14:textId="77777777">
        <w:trPr>
          <w:tblCellSpacing w:w="0" w:type="dxa"/>
        </w:trPr>
        <w:tc>
          <w:tcPr>
            <w:tcW w:w="0" w:type="auto"/>
            <w:shd w:val="clear" w:color="auto" w:fill="auto"/>
          </w:tcPr>
          <w:p w14:paraId="4E56B30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0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tax obligations that may arise from resolutions of tax examinations, including the examination we are currently under by the Internal Revenue Service (IRS), that materially differ from the amounts we have </w:t>
            </w:r>
            <w:r>
              <w:rPr>
                <w:rFonts w:ascii="Times New Roman" w:eastAsia="宋体" w:hAnsi="Times New Roman"/>
                <w:sz w:val="20"/>
                <w:szCs w:val="20"/>
              </w:rPr>
              <w:t>anticipated;</w:t>
            </w:r>
          </w:p>
        </w:tc>
      </w:tr>
    </w:tbl>
    <w:p w14:paraId="4E56B30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09" w14:textId="77777777">
        <w:trPr>
          <w:tblCellSpacing w:w="0" w:type="dxa"/>
        </w:trPr>
        <w:tc>
          <w:tcPr>
            <w:tcW w:w="1440" w:type="dxa"/>
            <w:shd w:val="clear" w:color="auto" w:fill="auto"/>
            <w:vAlign w:val="center"/>
          </w:tcPr>
          <w:p w14:paraId="4E56B307" w14:textId="77777777" w:rsidR="00DF3E10" w:rsidRDefault="00DF3E10">
            <w:pPr>
              <w:rPr>
                <w:rFonts w:ascii="Times New Roman" w:hAnsi="Times New Roman"/>
                <w:sz w:val="20"/>
                <w:szCs w:val="20"/>
              </w:rPr>
            </w:pPr>
          </w:p>
        </w:tc>
        <w:tc>
          <w:tcPr>
            <w:tcW w:w="0" w:type="auto"/>
            <w:shd w:val="clear" w:color="auto" w:fill="auto"/>
            <w:vAlign w:val="center"/>
          </w:tcPr>
          <w:p w14:paraId="4E56B308" w14:textId="77777777" w:rsidR="00DF3E10" w:rsidRDefault="00DF3E10">
            <w:pPr>
              <w:rPr>
                <w:rFonts w:ascii="Times New Roman" w:hAnsi="Times New Roman"/>
                <w:sz w:val="20"/>
                <w:szCs w:val="20"/>
              </w:rPr>
            </w:pPr>
          </w:p>
        </w:tc>
      </w:tr>
      <w:tr w:rsidR="00DF3E10" w14:paraId="4E56B30C" w14:textId="77777777">
        <w:trPr>
          <w:tblCellSpacing w:w="0" w:type="dxa"/>
        </w:trPr>
        <w:tc>
          <w:tcPr>
            <w:tcW w:w="0" w:type="auto"/>
            <w:shd w:val="clear" w:color="auto" w:fill="auto"/>
          </w:tcPr>
          <w:p w14:paraId="4E56B30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0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changes in the proportion of our revenue and expenses denominated in foreign currencies;</w:t>
            </w:r>
          </w:p>
        </w:tc>
      </w:tr>
    </w:tbl>
    <w:p w14:paraId="4E56B30D"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910"/>
      </w:tblGrid>
      <w:tr w:rsidR="00DF3E10" w14:paraId="4E56B310" w14:textId="77777777">
        <w:trPr>
          <w:tblCellSpacing w:w="0" w:type="dxa"/>
        </w:trPr>
        <w:tc>
          <w:tcPr>
            <w:tcW w:w="1440" w:type="dxa"/>
            <w:shd w:val="clear" w:color="auto" w:fill="auto"/>
            <w:vAlign w:val="center"/>
          </w:tcPr>
          <w:p w14:paraId="4E56B30E" w14:textId="77777777" w:rsidR="00DF3E10" w:rsidRDefault="00DF3E10">
            <w:pPr>
              <w:rPr>
                <w:rFonts w:ascii="Times New Roman" w:hAnsi="Times New Roman"/>
                <w:sz w:val="20"/>
                <w:szCs w:val="20"/>
              </w:rPr>
            </w:pPr>
          </w:p>
        </w:tc>
        <w:tc>
          <w:tcPr>
            <w:tcW w:w="0" w:type="auto"/>
            <w:shd w:val="clear" w:color="auto" w:fill="auto"/>
            <w:vAlign w:val="center"/>
          </w:tcPr>
          <w:p w14:paraId="4E56B30F" w14:textId="77777777" w:rsidR="00DF3E10" w:rsidRDefault="00DF3E10">
            <w:pPr>
              <w:rPr>
                <w:rFonts w:ascii="Times New Roman" w:hAnsi="Times New Roman"/>
                <w:sz w:val="20"/>
                <w:szCs w:val="20"/>
              </w:rPr>
            </w:pPr>
          </w:p>
        </w:tc>
      </w:tr>
      <w:tr w:rsidR="00DF3E10" w14:paraId="4E56B313" w14:textId="77777777">
        <w:trPr>
          <w:tblCellSpacing w:w="0" w:type="dxa"/>
        </w:trPr>
        <w:tc>
          <w:tcPr>
            <w:tcW w:w="0" w:type="auto"/>
            <w:shd w:val="clear" w:color="auto" w:fill="auto"/>
          </w:tcPr>
          <w:p w14:paraId="4E56B311"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12"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w:t>
            </w:r>
          </w:p>
        </w:tc>
      </w:tr>
    </w:tbl>
    <w:p w14:paraId="4E56B314"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566"/>
      </w:tblGrid>
      <w:tr w:rsidR="00DF3E10" w14:paraId="4E56B317" w14:textId="77777777">
        <w:trPr>
          <w:tblCellSpacing w:w="0" w:type="dxa"/>
        </w:trPr>
        <w:tc>
          <w:tcPr>
            <w:tcW w:w="1440" w:type="dxa"/>
            <w:shd w:val="clear" w:color="auto" w:fill="auto"/>
            <w:vAlign w:val="center"/>
          </w:tcPr>
          <w:p w14:paraId="4E56B315" w14:textId="77777777" w:rsidR="00DF3E10" w:rsidRDefault="00DF3E10">
            <w:pPr>
              <w:rPr>
                <w:rFonts w:ascii="Times New Roman" w:hAnsi="Times New Roman"/>
                <w:sz w:val="20"/>
                <w:szCs w:val="20"/>
              </w:rPr>
            </w:pPr>
          </w:p>
        </w:tc>
        <w:tc>
          <w:tcPr>
            <w:tcW w:w="0" w:type="auto"/>
            <w:shd w:val="clear" w:color="auto" w:fill="auto"/>
            <w:vAlign w:val="center"/>
          </w:tcPr>
          <w:p w14:paraId="4E56B316" w14:textId="77777777" w:rsidR="00DF3E10" w:rsidRDefault="00DF3E10">
            <w:pPr>
              <w:rPr>
                <w:rFonts w:ascii="Times New Roman" w:hAnsi="Times New Roman"/>
                <w:sz w:val="20"/>
                <w:szCs w:val="20"/>
              </w:rPr>
            </w:pPr>
          </w:p>
        </w:tc>
      </w:tr>
      <w:tr w:rsidR="00DF3E10" w14:paraId="4E56B31A" w14:textId="77777777">
        <w:trPr>
          <w:tblCellSpacing w:w="0" w:type="dxa"/>
        </w:trPr>
        <w:tc>
          <w:tcPr>
            <w:tcW w:w="0" w:type="auto"/>
            <w:shd w:val="clear" w:color="auto" w:fill="auto"/>
          </w:tcPr>
          <w:p w14:paraId="4E56B31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1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fluctuations in the market values of </w:t>
            </w:r>
            <w:r>
              <w:rPr>
                <w:rFonts w:ascii="Times New Roman" w:eastAsia="宋体" w:hAnsi="Times New Roman"/>
                <w:sz w:val="20"/>
                <w:szCs w:val="20"/>
              </w:rPr>
              <w:t>our portfolio investments and in interest rates;</w:t>
            </w:r>
          </w:p>
        </w:tc>
      </w:tr>
    </w:tbl>
    <w:p w14:paraId="4E56B31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960"/>
      </w:tblGrid>
      <w:tr w:rsidR="00DF3E10" w14:paraId="4E56B31E" w14:textId="77777777">
        <w:trPr>
          <w:tblCellSpacing w:w="0" w:type="dxa"/>
        </w:trPr>
        <w:tc>
          <w:tcPr>
            <w:tcW w:w="1440" w:type="dxa"/>
            <w:shd w:val="clear" w:color="auto" w:fill="auto"/>
            <w:vAlign w:val="center"/>
          </w:tcPr>
          <w:p w14:paraId="4E56B31C" w14:textId="77777777" w:rsidR="00DF3E10" w:rsidRDefault="00DF3E10">
            <w:pPr>
              <w:rPr>
                <w:rFonts w:ascii="Times New Roman" w:hAnsi="Times New Roman"/>
                <w:sz w:val="20"/>
                <w:szCs w:val="20"/>
              </w:rPr>
            </w:pPr>
          </w:p>
        </w:tc>
        <w:tc>
          <w:tcPr>
            <w:tcW w:w="0" w:type="auto"/>
            <w:shd w:val="clear" w:color="auto" w:fill="auto"/>
            <w:vAlign w:val="center"/>
          </w:tcPr>
          <w:p w14:paraId="4E56B31D" w14:textId="77777777" w:rsidR="00DF3E10" w:rsidRDefault="00DF3E10">
            <w:pPr>
              <w:rPr>
                <w:rFonts w:ascii="Times New Roman" w:hAnsi="Times New Roman"/>
                <w:sz w:val="20"/>
                <w:szCs w:val="20"/>
              </w:rPr>
            </w:pPr>
          </w:p>
        </w:tc>
      </w:tr>
      <w:tr w:rsidR="00DF3E10" w14:paraId="4E56B321" w14:textId="77777777">
        <w:trPr>
          <w:tblCellSpacing w:w="0" w:type="dxa"/>
        </w:trPr>
        <w:tc>
          <w:tcPr>
            <w:tcW w:w="0" w:type="auto"/>
            <w:shd w:val="clear" w:color="auto" w:fill="auto"/>
          </w:tcPr>
          <w:p w14:paraId="4E56B31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2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U.S. generally accepted accounting principles; and</w:t>
            </w:r>
          </w:p>
        </w:tc>
      </w:tr>
    </w:tbl>
    <w:p w14:paraId="4E56B32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25" w14:textId="77777777">
        <w:trPr>
          <w:tblCellSpacing w:w="0" w:type="dxa"/>
        </w:trPr>
        <w:tc>
          <w:tcPr>
            <w:tcW w:w="1440" w:type="dxa"/>
            <w:shd w:val="clear" w:color="auto" w:fill="auto"/>
            <w:vAlign w:val="center"/>
          </w:tcPr>
          <w:p w14:paraId="4E56B323" w14:textId="77777777" w:rsidR="00DF3E10" w:rsidRDefault="00DF3E10">
            <w:pPr>
              <w:rPr>
                <w:rFonts w:ascii="Times New Roman" w:hAnsi="Times New Roman"/>
                <w:sz w:val="20"/>
                <w:szCs w:val="20"/>
              </w:rPr>
            </w:pPr>
          </w:p>
        </w:tc>
        <w:tc>
          <w:tcPr>
            <w:tcW w:w="0" w:type="auto"/>
            <w:shd w:val="clear" w:color="auto" w:fill="auto"/>
            <w:vAlign w:val="center"/>
          </w:tcPr>
          <w:p w14:paraId="4E56B324" w14:textId="77777777" w:rsidR="00DF3E10" w:rsidRDefault="00DF3E10">
            <w:pPr>
              <w:rPr>
                <w:rFonts w:ascii="Times New Roman" w:hAnsi="Times New Roman"/>
                <w:sz w:val="20"/>
                <w:szCs w:val="20"/>
              </w:rPr>
            </w:pPr>
          </w:p>
        </w:tc>
      </w:tr>
      <w:tr w:rsidR="00DF3E10" w14:paraId="4E56B328" w14:textId="77777777">
        <w:trPr>
          <w:tblCellSpacing w:w="0" w:type="dxa"/>
        </w:trPr>
        <w:tc>
          <w:tcPr>
            <w:tcW w:w="0" w:type="auto"/>
            <w:shd w:val="clear" w:color="auto" w:fill="auto"/>
          </w:tcPr>
          <w:p w14:paraId="4E56B32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2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regional or global business or macroeconomic conditions, including as a result of the COVID-19 pandemic, which may impact the other factors described above. </w:t>
            </w:r>
          </w:p>
        </w:tc>
      </w:tr>
    </w:tbl>
    <w:p w14:paraId="4E56B32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expect our rates of growth to be volatile in the near term as a result of the </w:t>
      </w:r>
      <w:r>
        <w:rPr>
          <w:rFonts w:ascii="Times New Roman" w:eastAsia="宋体" w:hAnsi="Times New Roman"/>
          <w:b/>
          <w:bCs/>
          <w:i/>
          <w:iCs/>
          <w:sz w:val="20"/>
          <w:szCs w:val="20"/>
        </w:rPr>
        <w:t>COVID-19 pandemic and to decline over time in the future.</w:t>
      </w:r>
    </w:p>
    <w:p w14:paraId="4E56B32A" w14:textId="77777777" w:rsidR="00DF3E10" w:rsidRDefault="00DF3E10">
      <w:pPr>
        <w:spacing w:line="288" w:lineRule="auto"/>
        <w:ind w:firstLine="720"/>
        <w:jc w:val="both"/>
        <w:rPr>
          <w:rFonts w:ascii="Times New Roman" w:hAnsi="Times New Roman"/>
          <w:sz w:val="20"/>
          <w:szCs w:val="20"/>
        </w:rPr>
      </w:pPr>
    </w:p>
    <w:p w14:paraId="4E56B32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expect our user and revenue growth rates to be volatile in the near term as a result of the COVID-19 pandemic, although we are unable to predict the duration or degree of such volatility with an</w:t>
      </w:r>
      <w:r>
        <w:rPr>
          <w:rFonts w:ascii="Times New Roman" w:eastAsia="宋体" w:hAnsi="Times New Roman"/>
          <w:sz w:val="20"/>
          <w:szCs w:val="20"/>
        </w:rPr>
        <w:t>y certainty. In the long term, we expect that our user growth rate will generally decline over time as the size of our active user base increases, and it is possible that the size of our active user base may fluctuate or decline in one or more markets, par</w:t>
      </w:r>
      <w:r>
        <w:rPr>
          <w:rFonts w:ascii="Times New Roman" w:eastAsia="宋体" w:hAnsi="Times New Roman"/>
          <w:sz w:val="20"/>
          <w:szCs w:val="20"/>
        </w:rPr>
        <w:t>ticularly as we achieve greater market penetration. We also expect our revenue growth rate will continue to decline over time as our revenue increases to higher levels. As our growth rates experience volatility or decline, investors' perceptions of our bus</w:t>
      </w:r>
      <w:r>
        <w:rPr>
          <w:rFonts w:ascii="Times New Roman" w:eastAsia="宋体" w:hAnsi="Times New Roman"/>
          <w:sz w:val="20"/>
          <w:szCs w:val="20"/>
        </w:rPr>
        <w:t>iness may be adversely affected and the trading price of our Class A common stock could decline.</w:t>
      </w:r>
    </w:p>
    <w:p w14:paraId="4E56B32C" w14:textId="77777777" w:rsidR="00DF3E10" w:rsidRDefault="00DF3E10">
      <w:pPr>
        <w:spacing w:line="288" w:lineRule="auto"/>
        <w:jc w:val="both"/>
        <w:rPr>
          <w:rFonts w:ascii="Times New Roman" w:hAnsi="Times New Roman"/>
          <w:sz w:val="20"/>
          <w:szCs w:val="20"/>
        </w:rPr>
      </w:pPr>
    </w:p>
    <w:p w14:paraId="4E56B32D"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costs are continuing to grow, and some of our investments have the effect of reducing our operating margin and profitability. If our investments are not s</w:t>
      </w:r>
      <w:r>
        <w:rPr>
          <w:rFonts w:ascii="Times New Roman" w:eastAsia="宋体" w:hAnsi="Times New Roman"/>
          <w:b/>
          <w:bCs/>
          <w:i/>
          <w:iCs/>
          <w:sz w:val="20"/>
          <w:szCs w:val="20"/>
        </w:rPr>
        <w:t>uccessful, our business and financial performance could be harmed.</w:t>
      </w:r>
    </w:p>
    <w:p w14:paraId="4E56B32E" w14:textId="77777777" w:rsidR="00DF3E10" w:rsidRDefault="00DF3E10">
      <w:pPr>
        <w:spacing w:line="288" w:lineRule="auto"/>
        <w:jc w:val="both"/>
        <w:rPr>
          <w:rFonts w:ascii="Times New Roman" w:hAnsi="Times New Roman"/>
          <w:sz w:val="20"/>
          <w:szCs w:val="20"/>
        </w:rPr>
      </w:pPr>
    </w:p>
    <w:p w14:paraId="4E56B32F" w14:textId="77777777" w:rsidR="00DF3E10" w:rsidRDefault="00DF3E10">
      <w:pPr>
        <w:rPr>
          <w:rFonts w:ascii="Times New Roman" w:hAnsi="Times New Roman"/>
          <w:sz w:val="20"/>
          <w:szCs w:val="20"/>
        </w:rPr>
      </w:pPr>
    </w:p>
    <w:p w14:paraId="4E56B330"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61</w:t>
      </w:r>
    </w:p>
    <w:p w14:paraId="4E56B331" w14:textId="77777777" w:rsidR="00DF3E10" w:rsidRDefault="006B6C28">
      <w:r>
        <w:rPr>
          <w:rFonts w:ascii="Times New Roman" w:hAnsi="Times New Roman"/>
          <w:sz w:val="20"/>
          <w:szCs w:val="20"/>
        </w:rPr>
        <w:pict w14:anchorId="4E56B79A">
          <v:rect id="_x0000_i1085" style="width:415.3pt;height:1.5pt" o:hralign="center" o:hrstd="t" o:hr="t" fillcolor="#a0a0a0" stroked="f"/>
        </w:pict>
      </w:r>
    </w:p>
    <w:p w14:paraId="4E56B332" w14:textId="77777777" w:rsidR="00DF3E10" w:rsidRDefault="006B6C28">
      <w:pPr>
        <w:spacing w:line="288" w:lineRule="auto"/>
        <w:rPr>
          <w:rFonts w:ascii="Times New Roman" w:hAnsi="Times New Roman"/>
          <w:sz w:val="20"/>
          <w:szCs w:val="20"/>
        </w:rPr>
      </w:pPr>
      <w:hyperlink r:id="rId102" w:anchor="sC1FF62F0D4D85317B5B2C71C7C94F269" w:history="1">
        <w:r>
          <w:rPr>
            <w:rStyle w:val="a5"/>
            <w:rFonts w:ascii="Times New Roman" w:eastAsia="宋体" w:hAnsi="Times New Roman"/>
            <w:sz w:val="20"/>
            <w:szCs w:val="20"/>
          </w:rPr>
          <w:t>Table of Contents</w:t>
        </w:r>
      </w:hyperlink>
    </w:p>
    <w:p w14:paraId="4E56B333" w14:textId="77777777" w:rsidR="00DF3E10" w:rsidRDefault="00DF3E10">
      <w:pPr>
        <w:rPr>
          <w:rFonts w:ascii="Times New Roman" w:hAnsi="Times New Roman"/>
          <w:sz w:val="20"/>
          <w:szCs w:val="20"/>
        </w:rPr>
      </w:pPr>
    </w:p>
    <w:p w14:paraId="4E56B33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Operating </w:t>
      </w:r>
      <w:r>
        <w:rPr>
          <w:rFonts w:ascii="Times New Roman" w:eastAsia="宋体" w:hAnsi="Times New Roman"/>
          <w:sz w:val="20"/>
          <w:szCs w:val="20"/>
        </w:rPr>
        <w:t>our business is costly, and we expect our expenses to continue to increase in the future as we broaden our user base, as users increase the amount and types of content they consume and the data they share with us, for example with respect to video, as we d</w:t>
      </w:r>
      <w:r>
        <w:rPr>
          <w:rFonts w:ascii="Times New Roman" w:eastAsia="宋体" w:hAnsi="Times New Roman"/>
          <w:sz w:val="20"/>
          <w:szCs w:val="20"/>
        </w:rPr>
        <w:t>evelop and implement new products, as we market new and existing products and promote our brands, as we continue to expand our technical infrastructure, as we continue to invest in new and unproven technologies, and as we continue to hire additional employ</w:t>
      </w:r>
      <w:r>
        <w:rPr>
          <w:rFonts w:ascii="Times New Roman" w:eastAsia="宋体" w:hAnsi="Times New Roman"/>
          <w:sz w:val="20"/>
          <w:szCs w:val="20"/>
        </w:rPr>
        <w:t>ees and contractors to support our expanding operations, including our efforts to focus on privacy, safety, security, and content review. In addition, from time to time we are subject to settlements, judgments, fines, or other monetary penalties in connect</w:t>
      </w:r>
      <w:r>
        <w:rPr>
          <w:rFonts w:ascii="Times New Roman" w:eastAsia="宋体" w:hAnsi="Times New Roman"/>
          <w:sz w:val="20"/>
          <w:szCs w:val="20"/>
        </w:rPr>
        <w:t>ion with legal and regulatory developments that may be material to our business. We are also continuing to increase our investments in new platforms and technologies. Some of these investments, particularly our significant investments in virtual and augmen</w:t>
      </w:r>
      <w:r>
        <w:rPr>
          <w:rFonts w:ascii="Times New Roman" w:eastAsia="宋体" w:hAnsi="Times New Roman"/>
          <w:sz w:val="20"/>
          <w:szCs w:val="20"/>
        </w:rPr>
        <w:t>ted reality, have generated only limited revenue and reduced our operating margin and profitability. If our investments are not successful, our ability to grow revenue will be harmed, which could adversely affect our business and financial performance.</w:t>
      </w:r>
    </w:p>
    <w:p w14:paraId="4E56B335" w14:textId="77777777" w:rsidR="00DF3E10" w:rsidRDefault="00DF3E10">
      <w:pPr>
        <w:spacing w:line="288" w:lineRule="auto"/>
        <w:ind w:firstLine="720"/>
        <w:jc w:val="both"/>
        <w:rPr>
          <w:rFonts w:ascii="Times New Roman" w:hAnsi="Times New Roman"/>
          <w:sz w:val="20"/>
          <w:szCs w:val="20"/>
        </w:rPr>
      </w:pPr>
    </w:p>
    <w:p w14:paraId="4E56B33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Gi</w:t>
      </w:r>
      <w:r>
        <w:rPr>
          <w:rFonts w:ascii="Times New Roman" w:eastAsia="宋体" w:hAnsi="Times New Roman"/>
          <w:b/>
          <w:bCs/>
          <w:i/>
          <w:iCs/>
          <w:sz w:val="20"/>
          <w:szCs w:val="20"/>
        </w:rPr>
        <w:t>ven our levels of share-based compensation, our tax rate may vary significantly depending on our stock price.</w:t>
      </w:r>
    </w:p>
    <w:p w14:paraId="4E56B337" w14:textId="77777777" w:rsidR="00DF3E10" w:rsidRDefault="00DF3E10">
      <w:pPr>
        <w:spacing w:line="288" w:lineRule="auto"/>
        <w:ind w:firstLine="720"/>
        <w:jc w:val="both"/>
        <w:rPr>
          <w:rFonts w:ascii="Times New Roman" w:hAnsi="Times New Roman"/>
          <w:sz w:val="20"/>
          <w:szCs w:val="20"/>
        </w:rPr>
      </w:pPr>
    </w:p>
    <w:p w14:paraId="4E56B33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tax effects of the accounting for share-based compensation may significantly impact our effective tax rate from period to period. In periods </w:t>
      </w:r>
      <w:r>
        <w:rPr>
          <w:rFonts w:ascii="Times New Roman" w:eastAsia="宋体" w:hAnsi="Times New Roman"/>
          <w:sz w:val="20"/>
          <w:szCs w:val="20"/>
        </w:rPr>
        <w:t xml:space="preserve">in which our stock price is higher than the grant price of the share-based compensation vesting in that period, we will recognize excess tax benefits that will decrease our effective tax rate. For example, in the six months ended June 30, 2020, excess tax </w:t>
      </w:r>
      <w:r>
        <w:rPr>
          <w:rFonts w:ascii="Times New Roman" w:eastAsia="宋体" w:hAnsi="Times New Roman"/>
          <w:sz w:val="20"/>
          <w:szCs w:val="20"/>
        </w:rPr>
        <w:t>benefits recognized from share-based compensation decreased our provision for income taxes by $167 million and our effective tax rate by one percentage point as compared to the tax rate without such benefits. In future periods in which our stock price is l</w:t>
      </w:r>
      <w:r>
        <w:rPr>
          <w:rFonts w:ascii="Times New Roman" w:eastAsia="宋体" w:hAnsi="Times New Roman"/>
          <w:sz w:val="20"/>
          <w:szCs w:val="20"/>
        </w:rPr>
        <w:t>ower than the grant price of the share-based compensation vesting in that period, our effective tax rate may increase. The amount and value of share-based compensation issued relative to our earnings in a particular period will also affect the magnitude of</w:t>
      </w:r>
      <w:r>
        <w:rPr>
          <w:rFonts w:ascii="Times New Roman" w:eastAsia="宋体" w:hAnsi="Times New Roman"/>
          <w:sz w:val="20"/>
          <w:szCs w:val="20"/>
        </w:rPr>
        <w:t xml:space="preserve"> the impact of share-based compensation on our effective tax rate. These tax effects are dependent on our stock price, which we do not control, and a decline in our stock price could significantly increase our effective tax rate and adversely affect our fi</w:t>
      </w:r>
      <w:r>
        <w:rPr>
          <w:rFonts w:ascii="Times New Roman" w:eastAsia="宋体" w:hAnsi="Times New Roman"/>
          <w:sz w:val="20"/>
          <w:szCs w:val="20"/>
        </w:rPr>
        <w:t>nancial results.</w:t>
      </w:r>
    </w:p>
    <w:p w14:paraId="4E56B33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business is subject to complex and evolving U.S. and foreign laws and regulations regarding privacy, data protection, content, competition, consumer protection, and other matters. Many of these laws and regulations are subject to </w:t>
      </w:r>
      <w:r>
        <w:rPr>
          <w:rFonts w:ascii="Times New Roman" w:eastAsia="宋体" w:hAnsi="Times New Roman"/>
          <w:b/>
          <w:bCs/>
          <w:i/>
          <w:iCs/>
          <w:sz w:val="20"/>
          <w:szCs w:val="20"/>
        </w:rPr>
        <w:t>change and uncertain interpretation, and could result in claims, changes to our business practices, monetary penalties, increased cost of operations, or declines in user growth or engagement, or otherwise harm our business.</w:t>
      </w:r>
    </w:p>
    <w:p w14:paraId="4E56B33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w:t>
      </w:r>
      <w:r>
        <w:rPr>
          <w:rFonts w:ascii="Times New Roman" w:eastAsia="宋体" w:hAnsi="Times New Roman"/>
          <w:sz w:val="20"/>
          <w:szCs w:val="20"/>
        </w:rPr>
        <w:t>aws and regulations in the United States and abroad that involve matters central to our business, including privacy, data protection and personal information, rights of publicity, content, intellectual property, advertising, marketing, distribution, data s</w:t>
      </w:r>
      <w:r>
        <w:rPr>
          <w:rFonts w:ascii="Times New Roman" w:eastAsia="宋体" w:hAnsi="Times New Roman"/>
          <w:sz w:val="20"/>
          <w:szCs w:val="20"/>
        </w:rPr>
        <w:t>ecurity, data retention and deletion, data localization and storage, data disclosure, electronic contracts and other communications, competition, protection of minors, consumer protection, telecommunications, product liability, e-commerce, taxation, econom</w:t>
      </w:r>
      <w:r>
        <w:rPr>
          <w:rFonts w:ascii="Times New Roman" w:eastAsia="宋体" w:hAnsi="Times New Roman"/>
          <w:sz w:val="20"/>
          <w:szCs w:val="20"/>
        </w:rPr>
        <w:t>ic or other trade prohibitions or sanctions, anti-corruption and political law compliance, securities law compliance, and online payment services. The introduction of new products, expansion of our activities in certain jurisdictions, or other actions that</w:t>
      </w:r>
      <w:r>
        <w:rPr>
          <w:rFonts w:ascii="Times New Roman" w:eastAsia="宋体" w:hAnsi="Times New Roman"/>
          <w:sz w:val="20"/>
          <w:szCs w:val="20"/>
        </w:rPr>
        <w:t xml:space="preserve"> we may take may subject us to additional laws, regulations, or other government scrutiny. In addition, foreign data protection, privacy, content, competition, and other laws and regulations can impose different obligations or be more restrictive than thos</w:t>
      </w:r>
      <w:r>
        <w:rPr>
          <w:rFonts w:ascii="Times New Roman" w:eastAsia="宋体" w:hAnsi="Times New Roman"/>
          <w:sz w:val="20"/>
          <w:szCs w:val="20"/>
        </w:rPr>
        <w:t>e in the United States.</w:t>
      </w:r>
    </w:p>
    <w:p w14:paraId="4E56B33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These U.S. federal and state and foreign laws and regulations, which in some cases can be enforced by private parties in addition to government entities, are constantly evolving and can be subject to significant change. As a </w:t>
      </w:r>
      <w:r>
        <w:rPr>
          <w:rFonts w:ascii="Times New Roman" w:eastAsia="宋体" w:hAnsi="Times New Roman"/>
          <w:sz w:val="20"/>
          <w:szCs w:val="20"/>
        </w:rPr>
        <w:t>result, the application, interpretation, and enforcement of these laws and regulations are often uncertain, particularly in the new and rapidly evolving industry in which we operate, and may be interpreted and applied inconsistently from country to country</w:t>
      </w:r>
      <w:r>
        <w:rPr>
          <w:rFonts w:ascii="Times New Roman" w:eastAsia="宋体" w:hAnsi="Times New Roman"/>
          <w:sz w:val="20"/>
          <w:szCs w:val="20"/>
        </w:rPr>
        <w:t xml:space="preserve"> and inconsistently with our current policies and practices. For example, regulatory or legislative actions affecting the manner in which we display content to our users or obtain consent to various practices could adversely affect user growth and engageme</w:t>
      </w:r>
      <w:r>
        <w:rPr>
          <w:rFonts w:ascii="Times New Roman" w:eastAsia="宋体" w:hAnsi="Times New Roman"/>
          <w:sz w:val="20"/>
          <w:szCs w:val="20"/>
        </w:rPr>
        <w:t>nt. Such actions could affect the manner in which we provide our services or adversely affect our financial results.</w:t>
      </w:r>
    </w:p>
    <w:p w14:paraId="4E56B33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subject to evolving laws and regulations that dictate whether, how, and under what circumstances we can transfer, process and/o</w:t>
      </w:r>
      <w:r>
        <w:rPr>
          <w:rFonts w:ascii="Times New Roman" w:eastAsia="宋体" w:hAnsi="Times New Roman"/>
          <w:sz w:val="20"/>
          <w:szCs w:val="20"/>
        </w:rPr>
        <w:t>r receive certain data that is critical to our operations, including data shared between countries or regions in which we operate and data shared among our products and services. For example, in 2016, the European Union and United States agreed to a transf</w:t>
      </w:r>
      <w:r>
        <w:rPr>
          <w:rFonts w:ascii="Times New Roman" w:eastAsia="宋体" w:hAnsi="Times New Roman"/>
          <w:sz w:val="20"/>
          <w:szCs w:val="20"/>
        </w:rPr>
        <w:t>er framework for data transferred from the European Union to the United States, called the Privacy Shield, but the Privacy Shield was invalidated in July 2020 by the Court of Justice of the European Union (CJEU). In addition, the other bases upon which Fac</w:t>
      </w:r>
      <w:r>
        <w:rPr>
          <w:rFonts w:ascii="Times New Roman" w:eastAsia="宋体" w:hAnsi="Times New Roman"/>
          <w:sz w:val="20"/>
          <w:szCs w:val="20"/>
        </w:rPr>
        <w:t>ebook relies to legitimize the transfer of such data, such as Standard Contractual Clauses (SCCs), have been subjected to regulatory and judicial scrutiny. For example, the CJEU considered the validity of SCCs as a basis to transfer user data from the Euro</w:t>
      </w:r>
      <w:r>
        <w:rPr>
          <w:rFonts w:ascii="Times New Roman" w:eastAsia="宋体" w:hAnsi="Times New Roman"/>
          <w:sz w:val="20"/>
          <w:szCs w:val="20"/>
        </w:rPr>
        <w:t xml:space="preserve">pean Union to the United States following a challenge brought by the Irish Data Protection </w:t>
      </w:r>
    </w:p>
    <w:p w14:paraId="4E56B33D" w14:textId="77777777" w:rsidR="00DF3E10" w:rsidRDefault="00DF3E10">
      <w:pPr>
        <w:rPr>
          <w:rFonts w:ascii="Times New Roman" w:hAnsi="Times New Roman"/>
          <w:sz w:val="20"/>
          <w:szCs w:val="20"/>
        </w:rPr>
      </w:pPr>
    </w:p>
    <w:p w14:paraId="4E56B33E"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62</w:t>
      </w:r>
    </w:p>
    <w:p w14:paraId="4E56B33F" w14:textId="77777777" w:rsidR="00DF3E10" w:rsidRDefault="006B6C28">
      <w:r>
        <w:rPr>
          <w:rFonts w:ascii="Times New Roman" w:hAnsi="Times New Roman"/>
          <w:sz w:val="20"/>
          <w:szCs w:val="20"/>
        </w:rPr>
        <w:pict w14:anchorId="4E56B79B">
          <v:rect id="_x0000_i1086" style="width:415.3pt;height:1.5pt" o:hralign="center" o:hrstd="t" o:hr="t" fillcolor="#a0a0a0" stroked="f"/>
        </w:pict>
      </w:r>
    </w:p>
    <w:p w14:paraId="4E56B340" w14:textId="77777777" w:rsidR="00DF3E10" w:rsidRDefault="006B6C28">
      <w:pPr>
        <w:spacing w:line="288" w:lineRule="auto"/>
        <w:rPr>
          <w:rFonts w:ascii="Times New Roman" w:hAnsi="Times New Roman"/>
          <w:sz w:val="20"/>
          <w:szCs w:val="20"/>
        </w:rPr>
      </w:pPr>
      <w:hyperlink r:id="rId103" w:anchor="sC1FF62F0D4D85317B5B2C71C7C94F269"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4E56B341" w14:textId="77777777" w:rsidR="00DF3E10" w:rsidRDefault="00DF3E10">
      <w:pPr>
        <w:rPr>
          <w:rFonts w:ascii="Times New Roman" w:hAnsi="Times New Roman"/>
          <w:sz w:val="20"/>
          <w:szCs w:val="20"/>
        </w:rPr>
      </w:pPr>
    </w:p>
    <w:p w14:paraId="4E56B342"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Commissioner. Although the CJEU upheld the validity of SCCs in July 2020, our continued reliance on SCCs is contingent on satisfying certain new conditions that will be the subject of future regulatory guidance. We have also been managing inv</w:t>
      </w:r>
      <w:r>
        <w:rPr>
          <w:rFonts w:ascii="Times New Roman" w:eastAsia="宋体" w:hAnsi="Times New Roman"/>
          <w:sz w:val="20"/>
          <w:szCs w:val="20"/>
        </w:rPr>
        <w:t>estigations and lawsuits in Europe, India, and other jurisdictions regarding the August 2016 update to WhatsApp's terms of service and privacy policy and its sharing of certain data with other Facebook products and services, including a lawsuit currently p</w:t>
      </w:r>
      <w:r>
        <w:rPr>
          <w:rFonts w:ascii="Times New Roman" w:eastAsia="宋体" w:hAnsi="Times New Roman"/>
          <w:sz w:val="20"/>
          <w:szCs w:val="20"/>
        </w:rPr>
        <w:t>ending before the Supreme Court of India. If one or more of the legal bases for transferring data from Europe to the United States is invalidated or the transfer frameworks are amended, if we are unable to transfer data between and among countries and regi</w:t>
      </w:r>
      <w:r>
        <w:rPr>
          <w:rFonts w:ascii="Times New Roman" w:eastAsia="宋体" w:hAnsi="Times New Roman"/>
          <w:sz w:val="20"/>
          <w:szCs w:val="20"/>
        </w:rPr>
        <w:t>ons in which we operate, or if we are restricted from sharing data among our products and services, it could affect the manner in which we provide our services or our ability to target ads, which could adversely affect our financial results. For example, w</w:t>
      </w:r>
      <w:r>
        <w:rPr>
          <w:rFonts w:ascii="Times New Roman" w:eastAsia="宋体" w:hAnsi="Times New Roman"/>
          <w:sz w:val="20"/>
          <w:szCs w:val="20"/>
        </w:rPr>
        <w:t>e are considering alternative data transfer mechanisms for certain products and services as a result of the CJEU invalidation of the Privacy Shield, and any new data transfer framework adopted by the European Union and United States in the future may signi</w:t>
      </w:r>
      <w:r>
        <w:rPr>
          <w:rFonts w:ascii="Times New Roman" w:eastAsia="宋体" w:hAnsi="Times New Roman"/>
          <w:sz w:val="20"/>
          <w:szCs w:val="20"/>
        </w:rPr>
        <w:t>ficantly impact our data practices.</w:t>
      </w:r>
    </w:p>
    <w:p w14:paraId="4E56B34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Proposed or new legislation and regulations could also significantly affect our business. For example, the European General Data Protection Regulation (GDPR) took effect in May 2018 and applies to all of our products and</w:t>
      </w:r>
      <w:r>
        <w:rPr>
          <w:rFonts w:ascii="Times New Roman" w:eastAsia="宋体" w:hAnsi="Times New Roman"/>
          <w:sz w:val="20"/>
          <w:szCs w:val="20"/>
        </w:rPr>
        <w:t xml:space="preserve"> services used by people in Europe. The GDPR includes operational requirements for companies that receive or process personal data of residents of the European Union that are different from those previously in place in the European Union. As a result, we i</w:t>
      </w:r>
      <w:r>
        <w:rPr>
          <w:rFonts w:ascii="Times New Roman" w:eastAsia="宋体" w:hAnsi="Times New Roman"/>
          <w:sz w:val="20"/>
          <w:szCs w:val="20"/>
        </w:rPr>
        <w:t>mplemented measures to change our service for minors under the age of 16 for certain countries in Europe that maintain the minimum age of 16 under the GDPR. We also obtain consent and/or offer new controls to existing and new users in Europe before process</w:t>
      </w:r>
      <w:r>
        <w:rPr>
          <w:rFonts w:ascii="Times New Roman" w:eastAsia="宋体" w:hAnsi="Times New Roman"/>
          <w:sz w:val="20"/>
          <w:szCs w:val="20"/>
        </w:rPr>
        <w:t>ing data for certain aspects of our service. In addition, the GDPR requires submission of personal data breach notifications to our designated European privacy regulator, the Irish Data Protection Commission, and includes significant penalties for non-comp</w:t>
      </w:r>
      <w:r>
        <w:rPr>
          <w:rFonts w:ascii="Times New Roman" w:eastAsia="宋体" w:hAnsi="Times New Roman"/>
          <w:sz w:val="20"/>
          <w:szCs w:val="20"/>
        </w:rPr>
        <w:t xml:space="preserve">liance with the notification obligation as well as other requirements of the regulation. Similarly, the Brazilian General Data Protection Law imposes data privacy-related requirements on products and services offered to users in Brazil and is scheduled to </w:t>
      </w:r>
      <w:r>
        <w:rPr>
          <w:rFonts w:ascii="Times New Roman" w:eastAsia="宋体" w:hAnsi="Times New Roman"/>
          <w:sz w:val="20"/>
          <w:szCs w:val="20"/>
        </w:rPr>
        <w:t>go in effect in August 2020, although the deadline to comply may be extended to a later date. The California Consumer Privacy Act (CCPA), which took effect in January 2020, also establishes certain transparency rules and creates new data privacy rights for</w:t>
      </w:r>
      <w:r>
        <w:rPr>
          <w:rFonts w:ascii="Times New Roman" w:eastAsia="宋体" w:hAnsi="Times New Roman"/>
          <w:sz w:val="20"/>
          <w:szCs w:val="20"/>
        </w:rPr>
        <w:t xml:space="preserve"> users, including more ability to control how their data is shared with third parties. These laws and regulations are evolving and subject to interpretation, and resulting limitations on our advertising services, or reductions of advertising by marketers, </w:t>
      </w:r>
      <w:r>
        <w:rPr>
          <w:rFonts w:ascii="Times New Roman" w:eastAsia="宋体" w:hAnsi="Times New Roman"/>
          <w:sz w:val="20"/>
          <w:szCs w:val="20"/>
        </w:rPr>
        <w:t xml:space="preserve">have to some extent adversely affected, and will continue to adversely affect, our advertising business. Similarly, there are a number of legislative proposals in the European Union, the United States, at both the federal and state level, as well as other </w:t>
      </w:r>
      <w:r>
        <w:rPr>
          <w:rFonts w:ascii="Times New Roman" w:eastAsia="宋体" w:hAnsi="Times New Roman"/>
          <w:sz w:val="20"/>
          <w:szCs w:val="20"/>
        </w:rPr>
        <w:t>jurisdictions that could impose new obligations or limitations in areas affecting our business. In addition, some countries are considering or have passed legislation implementing data protection requirements or requiring local storage and processing of da</w:t>
      </w:r>
      <w:r>
        <w:rPr>
          <w:rFonts w:ascii="Times New Roman" w:eastAsia="宋体" w:hAnsi="Times New Roman"/>
          <w:sz w:val="20"/>
          <w:szCs w:val="20"/>
        </w:rPr>
        <w:t>ta or similar requirements that could increase the cost and complexity of delivering our services.</w:t>
      </w:r>
    </w:p>
    <w:p w14:paraId="4E56B34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These laws and regulations, as well as any associated claims, inquiries, or investigations or any other government actions, have in the past led to, and may </w:t>
      </w:r>
      <w:r>
        <w:rPr>
          <w:rFonts w:ascii="Times New Roman" w:eastAsia="宋体" w:hAnsi="Times New Roman"/>
          <w:sz w:val="20"/>
          <w:szCs w:val="20"/>
        </w:rPr>
        <w:t>in the future lead to, unfavorable outcomes including increased compliance costs, delays or impediments in the development of new products, negative publicity and reputational harm, increased operating costs, diversion of management time and attention, and</w:t>
      </w:r>
      <w:r>
        <w:rPr>
          <w:rFonts w:ascii="Times New Roman" w:eastAsia="宋体" w:hAnsi="Times New Roman"/>
          <w:sz w:val="20"/>
          <w:szCs w:val="20"/>
        </w:rPr>
        <w:t xml:space="preserve"> remedies that harm our business, including fines or demands or orders that we modify or cease existing business practices.</w:t>
      </w:r>
    </w:p>
    <w:p w14:paraId="4E56B345"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have been subject to regulatory and other government investigations, enforcement actions, and settlements, and we expect to conti</w:t>
      </w:r>
      <w:r>
        <w:rPr>
          <w:rFonts w:ascii="Times New Roman" w:eastAsia="宋体" w:hAnsi="Times New Roman"/>
          <w:b/>
          <w:bCs/>
          <w:i/>
          <w:iCs/>
          <w:sz w:val="20"/>
          <w:szCs w:val="20"/>
        </w:rPr>
        <w:t xml:space="preserve">nue to be subject to such proceedings and other inquiries in the future, which could cause us to incur substantial costs or require us to change our business practices in a manner materially adverse to our business. </w:t>
      </w:r>
    </w:p>
    <w:p w14:paraId="4E56B34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formal an</w:t>
      </w:r>
      <w:r>
        <w:rPr>
          <w:rFonts w:ascii="Times New Roman" w:eastAsia="宋体" w:hAnsi="Times New Roman"/>
          <w:sz w:val="20"/>
          <w:szCs w:val="20"/>
        </w:rPr>
        <w:t>d informal inquiries from government authorities and regulators regarding our compliance with laws and regulations, many of which are evolving and subject to interpretation. We are and expect to continue to be the subject of investigations, inquiries, data</w:t>
      </w:r>
      <w:r>
        <w:rPr>
          <w:rFonts w:ascii="Times New Roman" w:eastAsia="宋体" w:hAnsi="Times New Roman"/>
          <w:sz w:val="20"/>
          <w:szCs w:val="20"/>
        </w:rPr>
        <w:t xml:space="preserve"> requests, requests for information, actions, and audits in the United States, Europe, and around the world, particularly in the areas of privacy, data protection, law enforcement, consumer protection, and competition, as we continue to grow and expand our</w:t>
      </w:r>
      <w:r>
        <w:rPr>
          <w:rFonts w:ascii="Times New Roman" w:eastAsia="宋体" w:hAnsi="Times New Roman"/>
          <w:sz w:val="20"/>
          <w:szCs w:val="20"/>
        </w:rPr>
        <w:t xml:space="preserve"> operations. In addition, we are currently, and may in the future be, subject to regulatory orders or consent decrees. For example, data protection, competition, and consumer protection authorities in the European Union have initiated actions, investigatio</w:t>
      </w:r>
      <w:r>
        <w:rPr>
          <w:rFonts w:ascii="Times New Roman" w:eastAsia="宋体" w:hAnsi="Times New Roman"/>
          <w:sz w:val="20"/>
          <w:szCs w:val="20"/>
        </w:rPr>
        <w:t>ns, or administrative orders seeking to restrict the ways in which we collect and use information, or impose sanctions, and other authorities may do the same. In addition, beginning in March 2018, we became subject to FTC, state attorneys general, and othe</w:t>
      </w:r>
      <w:r>
        <w:rPr>
          <w:rFonts w:ascii="Times New Roman" w:eastAsia="宋体" w:hAnsi="Times New Roman"/>
          <w:sz w:val="20"/>
          <w:szCs w:val="20"/>
        </w:rPr>
        <w:t>r government inquiries in the United States, Europe, and other jurisdictions in connection with our platform and user data practices as well as the misuse of certain data by a developer that shared such data with third parties in violation of our terms and</w:t>
      </w:r>
      <w:r>
        <w:rPr>
          <w:rFonts w:ascii="Times New Roman" w:eastAsia="宋体" w:hAnsi="Times New Roman"/>
          <w:sz w:val="20"/>
          <w:szCs w:val="20"/>
        </w:rPr>
        <w:t xml:space="preserve"> policies. In July 2019, we entered into a settlement and modified consent order to resolve the FTC inquiry, which was approved by the federal court and took effect in April 2020. Among other matters, our settlement with the FTC required us to pay a penalt</w:t>
      </w:r>
      <w:r>
        <w:rPr>
          <w:rFonts w:ascii="Times New Roman" w:eastAsia="宋体" w:hAnsi="Times New Roman"/>
          <w:sz w:val="20"/>
          <w:szCs w:val="20"/>
        </w:rPr>
        <w:t xml:space="preserve">y of $5.0 billion and to significantly enhance our practices and processes for privacy compliance and oversight. Beginning in September 2018, we also became subject to Irish Data Protection </w:t>
      </w:r>
    </w:p>
    <w:p w14:paraId="4E56B347" w14:textId="77777777" w:rsidR="00DF3E10" w:rsidRDefault="00DF3E10">
      <w:pPr>
        <w:rPr>
          <w:rFonts w:ascii="Times New Roman" w:hAnsi="Times New Roman"/>
          <w:sz w:val="20"/>
          <w:szCs w:val="20"/>
        </w:rPr>
      </w:pPr>
    </w:p>
    <w:p w14:paraId="4E56B34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63</w:t>
      </w:r>
    </w:p>
    <w:p w14:paraId="4E56B349" w14:textId="77777777" w:rsidR="00DF3E10" w:rsidRDefault="006B6C28">
      <w:r>
        <w:rPr>
          <w:rFonts w:ascii="Times New Roman" w:hAnsi="Times New Roman"/>
          <w:sz w:val="20"/>
          <w:szCs w:val="20"/>
        </w:rPr>
        <w:pict w14:anchorId="4E56B79C">
          <v:rect id="_x0000_i1087" style="width:415.3pt;height:1.5pt" o:hralign="center" o:hrstd="t" o:hr="t" fillcolor="#a0a0a0" stroked="f"/>
        </w:pict>
      </w:r>
    </w:p>
    <w:p w14:paraId="4E56B34A" w14:textId="77777777" w:rsidR="00DF3E10" w:rsidRDefault="006B6C28">
      <w:pPr>
        <w:spacing w:line="288" w:lineRule="auto"/>
        <w:rPr>
          <w:rFonts w:ascii="Times New Roman" w:hAnsi="Times New Roman"/>
          <w:sz w:val="20"/>
          <w:szCs w:val="20"/>
        </w:rPr>
      </w:pPr>
      <w:hyperlink r:id="rId104" w:anchor="sC1FF62F0D4D85317B5B2C71C7C94F269" w:history="1">
        <w:r>
          <w:rPr>
            <w:rStyle w:val="a5"/>
            <w:rFonts w:ascii="Times New Roman" w:eastAsia="宋体" w:hAnsi="Times New Roman"/>
            <w:sz w:val="20"/>
            <w:szCs w:val="20"/>
          </w:rPr>
          <w:t>Table of Contents</w:t>
        </w:r>
      </w:hyperlink>
    </w:p>
    <w:p w14:paraId="4E56B34B" w14:textId="77777777" w:rsidR="00DF3E10" w:rsidRDefault="00DF3E10">
      <w:pPr>
        <w:rPr>
          <w:rFonts w:ascii="Times New Roman" w:hAnsi="Times New Roman"/>
          <w:sz w:val="20"/>
          <w:szCs w:val="20"/>
        </w:rPr>
      </w:pPr>
    </w:p>
    <w:p w14:paraId="4E56B34C"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Commission (IDPC) and other government inquiries in connection with a third-party cyber-attack that exploited a vulnerability in Facebook's cod</w:t>
      </w:r>
      <w:r>
        <w:rPr>
          <w:rFonts w:ascii="Times New Roman" w:eastAsia="宋体" w:hAnsi="Times New Roman"/>
          <w:sz w:val="20"/>
          <w:szCs w:val="20"/>
        </w:rPr>
        <w:t>e to steal user access tokens and access certain profile information from user accounts on Facebook. From time to time we also notify the IDPC, our designated European privacy regulator under the GDPR, of certain other personal data breaches and privacy is</w:t>
      </w:r>
      <w:r>
        <w:rPr>
          <w:rFonts w:ascii="Times New Roman" w:eastAsia="宋体" w:hAnsi="Times New Roman"/>
          <w:sz w:val="20"/>
          <w:szCs w:val="20"/>
        </w:rPr>
        <w:t xml:space="preserve">sues, and are subject to inquiries and investigations regarding various aspects of our regulatory compliance. </w:t>
      </w:r>
    </w:p>
    <w:p w14:paraId="4E56B34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competition authorities in the United States, Europe, and other jurisdictions have initiated formal and informal inquiries and inves</w:t>
      </w:r>
      <w:r>
        <w:rPr>
          <w:rFonts w:ascii="Times New Roman" w:eastAsia="宋体" w:hAnsi="Times New Roman"/>
          <w:sz w:val="20"/>
          <w:szCs w:val="20"/>
        </w:rPr>
        <w:t>tigations into many aspects of our business, including with respect to users and advertisers, as well as our industry. For example, in June 2019 we were informed by the FTC that it had opened an antitrust investigation of our company. In addition, beginnin</w:t>
      </w:r>
      <w:r>
        <w:rPr>
          <w:rFonts w:ascii="Times New Roman" w:eastAsia="宋体" w:hAnsi="Times New Roman"/>
          <w:sz w:val="20"/>
          <w:szCs w:val="20"/>
        </w:rPr>
        <w:t>g in the third quarter of 2019, we became the subject of antitrust inquiries and investigations by the U.S. Department of Justice, the U.S. House of Representatives, and state attorneys general. These inquiries and investigations concern, among other thing</w:t>
      </w:r>
      <w:r>
        <w:rPr>
          <w:rFonts w:ascii="Times New Roman" w:eastAsia="宋体" w:hAnsi="Times New Roman"/>
          <w:sz w:val="20"/>
          <w:szCs w:val="20"/>
        </w:rPr>
        <w:t>s, our business practices in the areas of social networking or social media services, digital advertising, and/or mobile or online applications, as well as past acquisitions.</w:t>
      </w:r>
    </w:p>
    <w:p w14:paraId="4E56B34E" w14:textId="77777777" w:rsidR="00DF3E10" w:rsidRDefault="00DF3E10">
      <w:pPr>
        <w:spacing w:line="288" w:lineRule="auto"/>
        <w:ind w:firstLine="720"/>
        <w:jc w:val="both"/>
        <w:rPr>
          <w:rFonts w:ascii="Times New Roman" w:hAnsi="Times New Roman"/>
          <w:sz w:val="20"/>
          <w:szCs w:val="20"/>
        </w:rPr>
      </w:pPr>
    </w:p>
    <w:p w14:paraId="4E56B34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Orders issued by, or inquiries or enforcement actions initiated by, government o</w:t>
      </w:r>
      <w:r>
        <w:rPr>
          <w:rFonts w:ascii="Times New Roman" w:eastAsia="宋体" w:hAnsi="Times New Roman"/>
          <w:sz w:val="20"/>
          <w:szCs w:val="20"/>
        </w:rPr>
        <w:t>r regulatory authorities could cause us to incur substantial costs, expose us to unanticipated civil and criminal liability or penalties (including substantial monetary remedies), interrupt or require us to change our business practices in a manner materia</w:t>
      </w:r>
      <w:r>
        <w:rPr>
          <w:rFonts w:ascii="Times New Roman" w:eastAsia="宋体" w:hAnsi="Times New Roman"/>
          <w:sz w:val="20"/>
          <w:szCs w:val="20"/>
        </w:rPr>
        <w:t>lly adverse to our business, result in negative publicity and reputational harm, divert resources and the attention of management from our business, or subject us to other remedies that adversely affect our business.</w:t>
      </w:r>
    </w:p>
    <w:p w14:paraId="4E56B350" w14:textId="77777777" w:rsidR="00DF3E10" w:rsidRDefault="00DF3E10">
      <w:pPr>
        <w:spacing w:line="288" w:lineRule="auto"/>
        <w:jc w:val="both"/>
        <w:rPr>
          <w:rFonts w:ascii="Times New Roman" w:hAnsi="Times New Roman"/>
          <w:sz w:val="20"/>
          <w:szCs w:val="20"/>
        </w:rPr>
      </w:pPr>
    </w:p>
    <w:p w14:paraId="4E56B351"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Compliance with our FTC consent order,</w:t>
      </w:r>
      <w:r>
        <w:rPr>
          <w:rFonts w:ascii="Times New Roman" w:eastAsia="宋体" w:hAnsi="Times New Roman"/>
          <w:b/>
          <w:bCs/>
          <w:i/>
          <w:iCs/>
          <w:sz w:val="20"/>
          <w:szCs w:val="20"/>
        </w:rPr>
        <w:t xml:space="preserve"> the GDPR, the CCPA, and other regulatory and legislative privacy requirements will require significant operational resources and modifications to our business practices, and any compliance failures may have a material adverse effect on our business, reput</w:t>
      </w:r>
      <w:r>
        <w:rPr>
          <w:rFonts w:ascii="Times New Roman" w:eastAsia="宋体" w:hAnsi="Times New Roman"/>
          <w:b/>
          <w:bCs/>
          <w:i/>
          <w:iCs/>
          <w:sz w:val="20"/>
          <w:szCs w:val="20"/>
        </w:rPr>
        <w:t>ation, and financial results.</w:t>
      </w:r>
    </w:p>
    <w:p w14:paraId="4E56B352" w14:textId="77777777" w:rsidR="00DF3E10" w:rsidRDefault="00DF3E10">
      <w:pPr>
        <w:spacing w:line="288" w:lineRule="auto"/>
        <w:ind w:firstLine="720"/>
        <w:jc w:val="both"/>
        <w:rPr>
          <w:rFonts w:ascii="Times New Roman" w:hAnsi="Times New Roman"/>
          <w:sz w:val="20"/>
          <w:szCs w:val="20"/>
        </w:rPr>
      </w:pPr>
    </w:p>
    <w:p w14:paraId="4E56B35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engaged in ongoing privacy compliance and oversight efforts, including as a result of our modified consent order with the FTC, as well as our efforts to comply with the GDPR and other regulatory and legislative require</w:t>
      </w:r>
      <w:r>
        <w:rPr>
          <w:rFonts w:ascii="Times New Roman" w:eastAsia="宋体" w:hAnsi="Times New Roman"/>
          <w:sz w:val="20"/>
          <w:szCs w:val="20"/>
        </w:rPr>
        <w:t xml:space="preserve">ments around the world, including the CCPA. In particular, we have agreed with the FTC to implement a comprehensive expansion of our privacy program, including substantial management and board of directors oversight, stringent operational requirements and </w:t>
      </w:r>
      <w:r>
        <w:rPr>
          <w:rFonts w:ascii="Times New Roman" w:eastAsia="宋体" w:hAnsi="Times New Roman"/>
          <w:sz w:val="20"/>
          <w:szCs w:val="20"/>
        </w:rPr>
        <w:t>reporting obligations, prohibitions against making misrepresentations relating to user data, and a process to regularly certify our compliance with the privacy program to the FTC, which will be challenging and costly to implement. We expect that these enha</w:t>
      </w:r>
      <w:r>
        <w:rPr>
          <w:rFonts w:ascii="Times New Roman" w:eastAsia="宋体" w:hAnsi="Times New Roman"/>
          <w:sz w:val="20"/>
          <w:szCs w:val="20"/>
        </w:rPr>
        <w:t xml:space="preserve">ncements will result in both improved privacy compliance and oversight and the discovery of additional privacy issues, at least in the near-term, and we expect to continue to notify the FTC of such issues from time to time in accordance with our reporting </w:t>
      </w:r>
      <w:r>
        <w:rPr>
          <w:rFonts w:ascii="Times New Roman" w:eastAsia="宋体" w:hAnsi="Times New Roman"/>
          <w:sz w:val="20"/>
          <w:szCs w:val="20"/>
        </w:rPr>
        <w:t>obligations under the consent order. These compliance and oversight efforts will increase demand on our systems and resources, and will require significant investments, including investments in compliance processes, personnel, and technical infrastructure.</w:t>
      </w:r>
      <w:r>
        <w:rPr>
          <w:rFonts w:ascii="Times New Roman" w:eastAsia="宋体" w:hAnsi="Times New Roman"/>
          <w:sz w:val="20"/>
          <w:szCs w:val="20"/>
        </w:rPr>
        <w:t xml:space="preserve"> In the near-term, we are reallocating resources internally to assist with these efforts, and this has had, and will continue to have, an adverse impact on our other business initiatives. In addition, these efforts will require substantial modifications to</w:t>
      </w:r>
      <w:r>
        <w:rPr>
          <w:rFonts w:ascii="Times New Roman" w:eastAsia="宋体" w:hAnsi="Times New Roman"/>
          <w:sz w:val="20"/>
          <w:szCs w:val="20"/>
        </w:rPr>
        <w:t xml:space="preserve"> our business practices and make some practices such as product and ads development more difficult, time-consuming, and costly. As a result, we believe our ability to develop and launch new features, products, and services in a timely manner will be advers</w:t>
      </w:r>
      <w:r>
        <w:rPr>
          <w:rFonts w:ascii="Times New Roman" w:eastAsia="宋体" w:hAnsi="Times New Roman"/>
          <w:sz w:val="20"/>
          <w:szCs w:val="20"/>
        </w:rPr>
        <w:t xml:space="preserve">ely affected. We also expect that our privacy compliance and oversight efforts will require significant time and attention from our management and board of directors. In addition, regulatory and legislative privacy requirements are constantly evolving and </w:t>
      </w:r>
      <w:r>
        <w:rPr>
          <w:rFonts w:ascii="Times New Roman" w:eastAsia="宋体" w:hAnsi="Times New Roman"/>
          <w:sz w:val="20"/>
          <w:szCs w:val="20"/>
        </w:rPr>
        <w:t>can be subject to significant change and uncertain interpretation. If we are unable to successfully implement and comply with the mandates of the FTC consent order, GDPR, CCPA, or other regulatory or legislative requirements, or if we are found to be in vi</w:t>
      </w:r>
      <w:r>
        <w:rPr>
          <w:rFonts w:ascii="Times New Roman" w:eastAsia="宋体" w:hAnsi="Times New Roman"/>
          <w:sz w:val="20"/>
          <w:szCs w:val="20"/>
        </w:rPr>
        <w:t>olation of the consent order or other requirements, we may be subject to regulatory or governmental investigations or lawsuits, which may result in significant monetary fines, judgments, or other penalties, and we may also be required to make additional ch</w:t>
      </w:r>
      <w:r>
        <w:rPr>
          <w:rFonts w:ascii="Times New Roman" w:eastAsia="宋体" w:hAnsi="Times New Roman"/>
          <w:sz w:val="20"/>
          <w:szCs w:val="20"/>
        </w:rPr>
        <w:t>anges to our business practices. Any of these events could have a material adverse effect on our business, reputation, and financial results.</w:t>
      </w:r>
    </w:p>
    <w:p w14:paraId="4E56B354" w14:textId="77777777" w:rsidR="00DF3E10" w:rsidRDefault="00DF3E10">
      <w:pPr>
        <w:spacing w:line="288" w:lineRule="auto"/>
        <w:ind w:firstLine="720"/>
        <w:jc w:val="both"/>
        <w:rPr>
          <w:rFonts w:ascii="Times New Roman" w:hAnsi="Times New Roman"/>
          <w:sz w:val="20"/>
          <w:szCs w:val="20"/>
        </w:rPr>
      </w:pPr>
    </w:p>
    <w:p w14:paraId="4E56B355" w14:textId="77777777" w:rsidR="00DF3E10" w:rsidRDefault="00DF3E10">
      <w:pPr>
        <w:rPr>
          <w:rFonts w:ascii="Times New Roman" w:hAnsi="Times New Roman"/>
          <w:sz w:val="20"/>
          <w:szCs w:val="20"/>
        </w:rPr>
      </w:pPr>
    </w:p>
    <w:p w14:paraId="4E56B35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64</w:t>
      </w:r>
    </w:p>
    <w:p w14:paraId="4E56B357" w14:textId="77777777" w:rsidR="00DF3E10" w:rsidRDefault="006B6C28">
      <w:r>
        <w:rPr>
          <w:rFonts w:ascii="Times New Roman" w:hAnsi="Times New Roman"/>
          <w:sz w:val="20"/>
          <w:szCs w:val="20"/>
        </w:rPr>
        <w:pict w14:anchorId="4E56B79D">
          <v:rect id="_x0000_i1088" style="width:415.3pt;height:1.5pt" o:hralign="center" o:hrstd="t" o:hr="t" fillcolor="#a0a0a0" stroked="f"/>
        </w:pict>
      </w:r>
    </w:p>
    <w:p w14:paraId="4E56B358" w14:textId="77777777" w:rsidR="00DF3E10" w:rsidRDefault="006B6C28">
      <w:pPr>
        <w:spacing w:line="288" w:lineRule="auto"/>
        <w:rPr>
          <w:rFonts w:ascii="Times New Roman" w:hAnsi="Times New Roman"/>
          <w:sz w:val="20"/>
          <w:szCs w:val="20"/>
        </w:rPr>
      </w:pPr>
      <w:hyperlink r:id="rId105" w:anchor="sC1FF62F0D4D85317B5B2C71C7C94F269" w:history="1">
        <w:r>
          <w:rPr>
            <w:rStyle w:val="a5"/>
            <w:rFonts w:ascii="Times New Roman" w:eastAsia="宋体" w:hAnsi="Times New Roman"/>
            <w:sz w:val="20"/>
            <w:szCs w:val="20"/>
          </w:rPr>
          <w:t>Table of Contents</w:t>
        </w:r>
      </w:hyperlink>
    </w:p>
    <w:p w14:paraId="4E56B359" w14:textId="77777777" w:rsidR="00DF3E10" w:rsidRDefault="00DF3E10">
      <w:pPr>
        <w:rPr>
          <w:rFonts w:ascii="Times New Roman" w:hAnsi="Times New Roman"/>
          <w:sz w:val="20"/>
          <w:szCs w:val="20"/>
        </w:rPr>
      </w:pPr>
    </w:p>
    <w:p w14:paraId="4E56B35A"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If we are unable to protect our intellectual property, the value of our brands and o</w:t>
      </w:r>
      <w:r>
        <w:rPr>
          <w:rFonts w:ascii="Times New Roman" w:eastAsia="宋体" w:hAnsi="Times New Roman"/>
          <w:b/>
          <w:bCs/>
          <w:i/>
          <w:iCs/>
          <w:sz w:val="20"/>
          <w:szCs w:val="20"/>
        </w:rPr>
        <w:t>ther intangible assets may be diminished, and our business may be adversely affected.</w:t>
      </w:r>
    </w:p>
    <w:p w14:paraId="4E56B35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rely and expect to continue to rely on a combination of confidentiality, assignment, and license agreements with our employees, consultants, and third parties with who</w:t>
      </w:r>
      <w:r>
        <w:rPr>
          <w:rFonts w:ascii="Times New Roman" w:eastAsia="宋体" w:hAnsi="Times New Roman"/>
          <w:sz w:val="20"/>
          <w:szCs w:val="20"/>
        </w:rPr>
        <w:t>m we have relationships, as well as trademark, copyright, patent, trade secret, and domain name protection laws, to protect our proprietary rights. In the United States and internationally, we have filed various applications for protection of certain aspec</w:t>
      </w:r>
      <w:r>
        <w:rPr>
          <w:rFonts w:ascii="Times New Roman" w:eastAsia="宋体" w:hAnsi="Times New Roman"/>
          <w:sz w:val="20"/>
          <w:szCs w:val="20"/>
        </w:rPr>
        <w:t>ts of our intellectual property, and we currently hold a significant number of registered trademarks and issued patents in multiple jurisdictions and have acquired patents and patent applications from third parties. Third parties may knowingly or unknowing</w:t>
      </w:r>
      <w:r>
        <w:rPr>
          <w:rFonts w:ascii="Times New Roman" w:eastAsia="宋体" w:hAnsi="Times New Roman"/>
          <w:sz w:val="20"/>
          <w:szCs w:val="20"/>
        </w:rPr>
        <w:t>ly infringe our proprietary rights, third parties may challenge proprietary rights held by us, and pending and future trademark and patent applications may not be approved. In addition, effective intellectual property protection may not be available in eve</w:t>
      </w:r>
      <w:r>
        <w:rPr>
          <w:rFonts w:ascii="Times New Roman" w:eastAsia="宋体" w:hAnsi="Times New Roman"/>
          <w:sz w:val="20"/>
          <w:szCs w:val="20"/>
        </w:rPr>
        <w:t>ry country in which we operate or intend to operate our business. In any or all of these cases, we may be required to expend significant time and expense in order to prevent infringement or to enforce our rights. Although we have generally taken measures t</w:t>
      </w:r>
      <w:r>
        <w:rPr>
          <w:rFonts w:ascii="Times New Roman" w:eastAsia="宋体" w:hAnsi="Times New Roman"/>
          <w:sz w:val="20"/>
          <w:szCs w:val="20"/>
        </w:rPr>
        <w:t>o protect our proprietary rights, there can be no assurance that others will not offer products or concepts that are substantially similar to ours and compete with our business. In addition, we regularly contribute software source code under open source li</w:t>
      </w:r>
      <w:r>
        <w:rPr>
          <w:rFonts w:ascii="Times New Roman" w:eastAsia="宋体" w:hAnsi="Times New Roman"/>
          <w:sz w:val="20"/>
          <w:szCs w:val="20"/>
        </w:rPr>
        <w:t>censes and have made other technology we developed available under other open licenses, and we include open source software in our products. For example, we have contributed certain specifications and designs related to our data center equipment to the Ope</w:t>
      </w:r>
      <w:r>
        <w:rPr>
          <w:rFonts w:ascii="Times New Roman" w:eastAsia="宋体" w:hAnsi="Times New Roman"/>
          <w:sz w:val="20"/>
          <w:szCs w:val="20"/>
        </w:rPr>
        <w:t>n Compute Project Foundation, a non-profit entity that shares and develops such information with the technology community, under the Open Web Foundation License. As a result of our open source contributions and the use of open source in our products, we ma</w:t>
      </w:r>
      <w:r>
        <w:rPr>
          <w:rFonts w:ascii="Times New Roman" w:eastAsia="宋体" w:hAnsi="Times New Roman"/>
          <w:sz w:val="20"/>
          <w:szCs w:val="20"/>
        </w:rPr>
        <w:t>y license or be required to license or disclose code and/or innovations that turn out to be material to our business and may also be exposed to increased litigation risk. If the protection of our proprietary rights is inadequate to prevent unauthorized use</w:t>
      </w:r>
      <w:r>
        <w:rPr>
          <w:rFonts w:ascii="Times New Roman" w:eastAsia="宋体" w:hAnsi="Times New Roman"/>
          <w:sz w:val="20"/>
          <w:szCs w:val="20"/>
        </w:rPr>
        <w:t xml:space="preserve"> or appropriation by third parties, the value of our brands and other intangible assets may be diminished and competitors may be able to more effectively mimic our products, services, and methods of operations. Any of these events could have an adverse eff</w:t>
      </w:r>
      <w:r>
        <w:rPr>
          <w:rFonts w:ascii="Times New Roman" w:eastAsia="宋体" w:hAnsi="Times New Roman"/>
          <w:sz w:val="20"/>
          <w:szCs w:val="20"/>
        </w:rPr>
        <w:t>ect on our business and financial results.</w:t>
      </w:r>
    </w:p>
    <w:p w14:paraId="4E56B35C"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are currently, and expect to be in the future, party to patent lawsuits and other intellectual property rights claims that are expensive and time consuming and, if resolved adversely, could have a significant i</w:t>
      </w:r>
      <w:r>
        <w:rPr>
          <w:rFonts w:ascii="Times New Roman" w:eastAsia="宋体" w:hAnsi="Times New Roman"/>
          <w:b/>
          <w:bCs/>
          <w:i/>
          <w:iCs/>
          <w:sz w:val="20"/>
          <w:szCs w:val="20"/>
        </w:rPr>
        <w:t>mpact on our business, financial condition, or results of operations.</w:t>
      </w:r>
    </w:p>
    <w:p w14:paraId="4E56B35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Companies in the Internet, technology, and media industries own large numbers of patents, copyrights, trademarks, and trade secrets, and frequently enter into litigation based on allegat</w:t>
      </w:r>
      <w:r>
        <w:rPr>
          <w:rFonts w:ascii="Times New Roman" w:eastAsia="宋体" w:hAnsi="Times New Roman"/>
          <w:sz w:val="20"/>
          <w:szCs w:val="20"/>
        </w:rPr>
        <w:t>ions of infringement, misappropriation, or other violations of intellectual property or other rights. In addition, various "non-practicing entities" that own patents and other intellectual property rights often attempt to aggressively assert their rights i</w:t>
      </w:r>
      <w:r>
        <w:rPr>
          <w:rFonts w:ascii="Times New Roman" w:eastAsia="宋体" w:hAnsi="Times New Roman"/>
          <w:sz w:val="20"/>
          <w:szCs w:val="20"/>
        </w:rPr>
        <w:t>n order to extract value from technology companies. Furthermore, from time to time we may introduce or acquire new products, including in areas where we historically have not competed, which could increase our exposure to patent and other intellectual prop</w:t>
      </w:r>
      <w:r>
        <w:rPr>
          <w:rFonts w:ascii="Times New Roman" w:eastAsia="宋体" w:hAnsi="Times New Roman"/>
          <w:sz w:val="20"/>
          <w:szCs w:val="20"/>
        </w:rPr>
        <w:t>erty claims from competitors and non-practicing entities.</w:t>
      </w:r>
    </w:p>
    <w:p w14:paraId="4E56B35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notice from patent holders and other parties alleging that certain of our products and services, or user content, infringe their intellectual property rights. We presen</w:t>
      </w:r>
      <w:r>
        <w:rPr>
          <w:rFonts w:ascii="Times New Roman" w:eastAsia="宋体" w:hAnsi="Times New Roman"/>
          <w:sz w:val="20"/>
          <w:szCs w:val="20"/>
        </w:rPr>
        <w:t>tly are involved in a number of intellectual property lawsuits, and as we face increasing competition and gain an increasingly high profile, we expect the number of patent and other intellectual property claims against us to grow. Defending patent and othe</w:t>
      </w:r>
      <w:r>
        <w:rPr>
          <w:rFonts w:ascii="Times New Roman" w:eastAsia="宋体" w:hAnsi="Times New Roman"/>
          <w:sz w:val="20"/>
          <w:szCs w:val="20"/>
        </w:rPr>
        <w:t>r intellectual property litigation is costly and can impose a significant burden on management and employees, and there can be no assurances that favorable final outcomes will be obtained in all cases. In addition, plaintiffs may seek, and we may become su</w:t>
      </w:r>
      <w:r>
        <w:rPr>
          <w:rFonts w:ascii="Times New Roman" w:eastAsia="宋体" w:hAnsi="Times New Roman"/>
          <w:sz w:val="20"/>
          <w:szCs w:val="20"/>
        </w:rPr>
        <w:t>bject to, preliminary or provisional rulings in the course of any such litigation, including potential preliminary injunctions requiring us to cease some or all of our operations. We may decide to settle such lawsuits and disputes on terms that are unfavor</w:t>
      </w:r>
      <w:r>
        <w:rPr>
          <w:rFonts w:ascii="Times New Roman" w:eastAsia="宋体" w:hAnsi="Times New Roman"/>
          <w:sz w:val="20"/>
          <w:szCs w:val="20"/>
        </w:rPr>
        <w:t>able to us. Similarly, if any litigation to which we are a party is resolved adversely, we may be subject to an unfavorable judgment that may not be reversed upon appeal. The terms of such a settlement or judgment may require us to cease some or all of our</w:t>
      </w:r>
      <w:r>
        <w:rPr>
          <w:rFonts w:ascii="Times New Roman" w:eastAsia="宋体" w:hAnsi="Times New Roman"/>
          <w:sz w:val="20"/>
          <w:szCs w:val="20"/>
        </w:rPr>
        <w:t xml:space="preserve"> operations or pay substantial amounts to the other party. In addition, we may have to seek a license to continue practices found to be in violation of a third party's rights, which may not be available on reasonable terms, or at all, and may significantly</w:t>
      </w:r>
      <w:r>
        <w:rPr>
          <w:rFonts w:ascii="Times New Roman" w:eastAsia="宋体" w:hAnsi="Times New Roman"/>
          <w:sz w:val="20"/>
          <w:szCs w:val="20"/>
        </w:rPr>
        <w:t xml:space="preserve"> increase our operating costs and expenses. As a result, we may also be required to develop alternative non-infringing technology or practices or discontinue the practices. The development of alternative non-infringing technology or practices could require</w:t>
      </w:r>
      <w:r>
        <w:rPr>
          <w:rFonts w:ascii="Times New Roman" w:eastAsia="宋体" w:hAnsi="Times New Roman"/>
          <w:sz w:val="20"/>
          <w:szCs w:val="20"/>
        </w:rPr>
        <w:t xml:space="preserve"> significant effort and expense, could result in less effective technology or practices or otherwise negatively affect the user experience, or may not be feasible. We have experienced unfavorable outcomes in such disputes and litigation in the past, and ou</w:t>
      </w:r>
      <w:r>
        <w:rPr>
          <w:rFonts w:ascii="Times New Roman" w:eastAsia="宋体" w:hAnsi="Times New Roman"/>
          <w:sz w:val="20"/>
          <w:szCs w:val="20"/>
        </w:rPr>
        <w:t>r business, financial condition, and results of operations could be adversely affected as a result of an unfavorable resolution of the disputes and litigation referred to above.</w:t>
      </w:r>
    </w:p>
    <w:p w14:paraId="4E56B35F"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are involved in numerous class action lawsuits and other litigation matters</w:t>
      </w:r>
      <w:r>
        <w:rPr>
          <w:rFonts w:ascii="Times New Roman" w:eastAsia="宋体" w:hAnsi="Times New Roman"/>
          <w:b/>
          <w:bCs/>
          <w:i/>
          <w:iCs/>
          <w:sz w:val="20"/>
          <w:szCs w:val="20"/>
        </w:rPr>
        <w:t xml:space="preserve"> that are expensive and time consuming, and, if resolved adversely, could harm our business, financial condition, or results of operations.</w:t>
      </w:r>
    </w:p>
    <w:p w14:paraId="4E56B36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to intellectual property claims, we are also involved in numerous other lawsuits, including stockholder </w:t>
      </w:r>
    </w:p>
    <w:p w14:paraId="4E56B361" w14:textId="77777777" w:rsidR="00DF3E10" w:rsidRDefault="00DF3E10">
      <w:pPr>
        <w:rPr>
          <w:rFonts w:ascii="Times New Roman" w:hAnsi="Times New Roman"/>
          <w:sz w:val="20"/>
          <w:szCs w:val="20"/>
        </w:rPr>
      </w:pPr>
    </w:p>
    <w:p w14:paraId="4E56B36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65</w:t>
      </w:r>
    </w:p>
    <w:p w14:paraId="4E56B363" w14:textId="77777777" w:rsidR="00DF3E10" w:rsidRDefault="006B6C28">
      <w:r>
        <w:rPr>
          <w:rFonts w:ascii="Times New Roman" w:hAnsi="Times New Roman"/>
          <w:sz w:val="20"/>
          <w:szCs w:val="20"/>
        </w:rPr>
        <w:pict w14:anchorId="4E56B79E">
          <v:rect id="_x0000_i1089" style="width:415.3pt;height:1.5pt" o:hralign="center" o:hrstd="t" o:hr="t" fillcolor="#a0a0a0" stroked="f"/>
        </w:pict>
      </w:r>
    </w:p>
    <w:p w14:paraId="4E56B364" w14:textId="77777777" w:rsidR="00DF3E10" w:rsidRDefault="006B6C28">
      <w:pPr>
        <w:spacing w:line="288" w:lineRule="auto"/>
        <w:rPr>
          <w:rFonts w:ascii="Times New Roman" w:hAnsi="Times New Roman"/>
          <w:sz w:val="20"/>
          <w:szCs w:val="20"/>
        </w:rPr>
      </w:pPr>
      <w:hyperlink r:id="rId106" w:anchor="sC1FF62F0D4D85317B5B2C71C7C94F269" w:history="1">
        <w:r>
          <w:rPr>
            <w:rStyle w:val="a5"/>
            <w:rFonts w:ascii="Times New Roman" w:eastAsia="宋体" w:hAnsi="Times New Roman"/>
            <w:sz w:val="20"/>
            <w:szCs w:val="20"/>
          </w:rPr>
          <w:t>Table of Contents</w:t>
        </w:r>
      </w:hyperlink>
    </w:p>
    <w:p w14:paraId="4E56B365" w14:textId="77777777" w:rsidR="00DF3E10" w:rsidRDefault="00DF3E10">
      <w:pPr>
        <w:rPr>
          <w:rFonts w:ascii="Times New Roman" w:hAnsi="Times New Roman"/>
          <w:sz w:val="20"/>
          <w:szCs w:val="20"/>
        </w:rPr>
      </w:pPr>
    </w:p>
    <w:p w14:paraId="4E56B366"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derivative lawsuits and putative class action lawsuits, many of which claim s</w:t>
      </w:r>
      <w:r>
        <w:rPr>
          <w:rFonts w:ascii="Times New Roman" w:eastAsia="宋体" w:hAnsi="Times New Roman"/>
          <w:sz w:val="20"/>
          <w:szCs w:val="20"/>
        </w:rPr>
        <w:t>tatutory damages and/or seek significant changes to our business operations, and we anticipate that we will continue to be a target for numerous lawsuits in the future. Because of the scale of our user base, the plaintiffs in class action cases filed again</w:t>
      </w:r>
      <w:r>
        <w:rPr>
          <w:rFonts w:ascii="Times New Roman" w:eastAsia="宋体" w:hAnsi="Times New Roman"/>
          <w:sz w:val="20"/>
          <w:szCs w:val="20"/>
        </w:rPr>
        <w:t>st us typically claim enormous monetary damages even if the alleged per-user harm is small or non-existent. In addition, we have in the past, and may in the future, be subject to additional class action lawsuits based on claims related to advertising, anti</w:t>
      </w:r>
      <w:r>
        <w:rPr>
          <w:rFonts w:ascii="Times New Roman" w:eastAsia="宋体" w:hAnsi="Times New Roman"/>
          <w:sz w:val="20"/>
          <w:szCs w:val="20"/>
        </w:rPr>
        <w:t>trust, privacy, content, employment, or product performance or other claims related to the use of consumer hardware and software, as well as virtual reality technology and products, which are new and unproven. For example, we are currently the subject of m</w:t>
      </w:r>
      <w:r>
        <w:rPr>
          <w:rFonts w:ascii="Times New Roman" w:eastAsia="宋体" w:hAnsi="Times New Roman"/>
          <w:sz w:val="20"/>
          <w:szCs w:val="20"/>
        </w:rPr>
        <w:t>ultiple putative class action suits in connection with our platform and user data practices and the misuse of certain data by a developer that shared such data with third parties in violation of our terms and policies, as well as the disclosure of our earn</w:t>
      </w:r>
      <w:r>
        <w:rPr>
          <w:rFonts w:ascii="Times New Roman" w:eastAsia="宋体" w:hAnsi="Times New Roman"/>
          <w:sz w:val="20"/>
          <w:szCs w:val="20"/>
        </w:rPr>
        <w:t>ings results for the second quarter of 2018. We also recently agreed to settle certain lawsuits in connection with the "tag suggestions" facial recognition feature on Facebook and a third-party cyber-attack that exploited a vulnerability in Facebook's code</w:t>
      </w:r>
      <w:r>
        <w:rPr>
          <w:rFonts w:ascii="Times New Roman" w:eastAsia="宋体" w:hAnsi="Times New Roman"/>
          <w:sz w:val="20"/>
          <w:szCs w:val="20"/>
        </w:rPr>
        <w:t xml:space="preserve"> to steal user access tokens and access certain profile information from user accounts on Facebook. The results of any such lawsuits and claims cannot be predicted with certainty, and any negative outcome from any such lawsuits could result in payments of </w:t>
      </w:r>
      <w:r>
        <w:rPr>
          <w:rFonts w:ascii="Times New Roman" w:eastAsia="宋体" w:hAnsi="Times New Roman"/>
          <w:sz w:val="20"/>
          <w:szCs w:val="20"/>
        </w:rPr>
        <w:t>substantial monetary damages or fines, or undesirable changes to our products or business practices, and accordingly our business, financial condition, or results of operations could be materially and adversely affected.</w:t>
      </w:r>
    </w:p>
    <w:p w14:paraId="4E56B36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There can be no assurances that a f</w:t>
      </w:r>
      <w:r>
        <w:rPr>
          <w:rFonts w:ascii="Times New Roman" w:eastAsia="宋体" w:hAnsi="Times New Roman"/>
          <w:sz w:val="20"/>
          <w:szCs w:val="20"/>
        </w:rPr>
        <w:t xml:space="preserve">avorable final outcome will be obtained in all our cases, and defending any lawsuit is costly and can impose a significant burden on management and employees. Any litigation to which we are a party may result in an onerous or unfavorable judgment that may </w:t>
      </w:r>
      <w:r>
        <w:rPr>
          <w:rFonts w:ascii="Times New Roman" w:eastAsia="宋体" w:hAnsi="Times New Roman"/>
          <w:sz w:val="20"/>
          <w:szCs w:val="20"/>
        </w:rPr>
        <w:t xml:space="preserve">not be reversed upon appeal or in payments of substantial monetary damages or fines, or we may decide to settle lawsuits on similarly unfavorable terms, which has occurred in the past and which could adversely affect our business, financial conditions, or </w:t>
      </w:r>
      <w:r>
        <w:rPr>
          <w:rFonts w:ascii="Times New Roman" w:eastAsia="宋体" w:hAnsi="Times New Roman"/>
          <w:sz w:val="20"/>
          <w:szCs w:val="20"/>
        </w:rPr>
        <w:t>results of operations.</w:t>
      </w:r>
    </w:p>
    <w:p w14:paraId="4E56B368"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may incur liability as a result of information retrieved from or transmitted over the Internet or published using our products or as a result of claims related to our products, and legislation regulating content on our platform ma</w:t>
      </w:r>
      <w:r>
        <w:rPr>
          <w:rFonts w:ascii="Times New Roman" w:eastAsia="宋体" w:hAnsi="Times New Roman"/>
          <w:b/>
          <w:bCs/>
          <w:i/>
          <w:iCs/>
          <w:sz w:val="20"/>
          <w:szCs w:val="20"/>
        </w:rPr>
        <w:t>y require us to change our products or business practices and may adversely affect our business and financial results.</w:t>
      </w:r>
    </w:p>
    <w:p w14:paraId="4E56B36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faced, currently face, and will continue to face claims relating to information or content that is published or made available on</w:t>
      </w:r>
      <w:r>
        <w:rPr>
          <w:rFonts w:ascii="Times New Roman" w:eastAsia="宋体" w:hAnsi="Times New Roman"/>
          <w:sz w:val="20"/>
          <w:szCs w:val="20"/>
        </w:rPr>
        <w:t xml:space="preserve"> our products, including our policies and enforcement actions with respect to such information or content. In particular, the nature of our business exposes us to claims related to defamation, dissemination of misinformation or news hoaxes, discrimination,</w:t>
      </w:r>
      <w:r>
        <w:rPr>
          <w:rFonts w:ascii="Times New Roman" w:eastAsia="宋体" w:hAnsi="Times New Roman"/>
          <w:sz w:val="20"/>
          <w:szCs w:val="20"/>
        </w:rPr>
        <w:t xml:space="preserve"> harassment, intellectual property rights, rights of publicity and privacy, personal injury torts, laws regulating hate speech or other types of content, and breach of contract, among others. This risk is enhanced in certain jurisdictions outside the Unite</w:t>
      </w:r>
      <w:r>
        <w:rPr>
          <w:rFonts w:ascii="Times New Roman" w:eastAsia="宋体" w:hAnsi="Times New Roman"/>
          <w:sz w:val="20"/>
          <w:szCs w:val="20"/>
        </w:rPr>
        <w:t>d States where our protection from liability for third-party actions may be unclear or where we may be less protected under local laws than we are in the United States. For example, in April 2019, the European Union passed a directive expanding online plat</w:t>
      </w:r>
      <w:r>
        <w:rPr>
          <w:rFonts w:ascii="Times New Roman" w:eastAsia="宋体" w:hAnsi="Times New Roman"/>
          <w:sz w:val="20"/>
          <w:szCs w:val="20"/>
        </w:rPr>
        <w:t>form liability for copyright infringement and regulating certain uses of news content online, which member states must implement by June 2021. In addition, the European Union revised the European Audiovisual Media Service Directive, which must be implement</w:t>
      </w:r>
      <w:r>
        <w:rPr>
          <w:rFonts w:ascii="Times New Roman" w:eastAsia="宋体" w:hAnsi="Times New Roman"/>
          <w:sz w:val="20"/>
          <w:szCs w:val="20"/>
        </w:rPr>
        <w:t>ed by member states by September 2020, to apply to online video-sharing platforms. In the United States, there have been various Congressional and executive efforts to restrict the scope of the protections available to online platforms under Section 230 of</w:t>
      </w:r>
      <w:r>
        <w:rPr>
          <w:rFonts w:ascii="Times New Roman" w:eastAsia="宋体" w:hAnsi="Times New Roman"/>
          <w:sz w:val="20"/>
          <w:szCs w:val="20"/>
        </w:rPr>
        <w:t xml:space="preserve"> the Communications Decency Act, as well as to impose new obligations on online platforms with respect to counterfeit goods and copyright-infringing material, and our current protections from liability for third-party content in the United States could dec</w:t>
      </w:r>
      <w:r>
        <w:rPr>
          <w:rFonts w:ascii="Times New Roman" w:eastAsia="宋体" w:hAnsi="Times New Roman"/>
          <w:sz w:val="20"/>
          <w:szCs w:val="20"/>
        </w:rPr>
        <w:t>rease or change. We could incur significant costs investigating and defending such claims and, if we are found liable, significant damages. We could also face fines, orders restricting or blocking our services in particular geographies, or other government</w:t>
      </w:r>
      <w:r>
        <w:rPr>
          <w:rFonts w:ascii="Times New Roman" w:eastAsia="宋体" w:hAnsi="Times New Roman"/>
          <w:sz w:val="20"/>
          <w:szCs w:val="20"/>
        </w:rPr>
        <w:t xml:space="preserve">-imposed remedies as a result of content hosted on our services. For example, legislation in Germany has in the past, and may in the future, result in the imposition of fines for failure to comply with certain content removal, law enforcement cooperation, </w:t>
      </w:r>
      <w:r>
        <w:rPr>
          <w:rFonts w:ascii="Times New Roman" w:eastAsia="宋体" w:hAnsi="Times New Roman"/>
          <w:sz w:val="20"/>
          <w:szCs w:val="20"/>
        </w:rPr>
        <w:t>and disclosure obligations. Numerous other countries in Europe, Asia-Pacific, and Latin America are considering or have implemented similar legislation imposing penalties for failure to remove certain types of content or follow certain processes. In additi</w:t>
      </w:r>
      <w:r>
        <w:rPr>
          <w:rFonts w:ascii="Times New Roman" w:eastAsia="宋体" w:hAnsi="Times New Roman"/>
          <w:sz w:val="20"/>
          <w:szCs w:val="20"/>
        </w:rPr>
        <w:t>on, Australia recently announced proposed legislation that would, among other matters, require us to pay publishers for certain news content that is shared on Facebook and Instagram. Content-related legislation also has required us in the past, and may req</w:t>
      </w:r>
      <w:r>
        <w:rPr>
          <w:rFonts w:ascii="Times New Roman" w:eastAsia="宋体" w:hAnsi="Times New Roman"/>
          <w:sz w:val="20"/>
          <w:szCs w:val="20"/>
        </w:rPr>
        <w:t>uire us in the future, to change our products or business practices, increase our compliance costs, or otherwise impact our operations or our ability to provide services in certain geographies. For example, the European Copyright Directive requires certain</w:t>
      </w:r>
      <w:r>
        <w:rPr>
          <w:rFonts w:ascii="Times New Roman" w:eastAsia="宋体" w:hAnsi="Times New Roman"/>
          <w:sz w:val="20"/>
          <w:szCs w:val="20"/>
        </w:rPr>
        <w:t xml:space="preserve"> online services to obtain authorizations for copyrighted content or to implement measures to prevent the availability of that content, which may require us to make substantial investments in compliance processes. Any of the foregoing events could adversel</w:t>
      </w:r>
      <w:r>
        <w:rPr>
          <w:rFonts w:ascii="Times New Roman" w:eastAsia="宋体" w:hAnsi="Times New Roman"/>
          <w:sz w:val="20"/>
          <w:szCs w:val="20"/>
        </w:rPr>
        <w:t>y affect our business and financial results.</w:t>
      </w:r>
    </w:p>
    <w:p w14:paraId="4E56B36A"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CEO has control over key decision making as a result of his control of a majority of the voting power of our outstanding capital stock.</w:t>
      </w:r>
    </w:p>
    <w:p w14:paraId="4E56B36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Mark Zuckerberg, our founder, Chairman, and CEO, is able to exercise vo</w:t>
      </w:r>
      <w:r>
        <w:rPr>
          <w:rFonts w:ascii="Times New Roman" w:eastAsia="宋体" w:hAnsi="Times New Roman"/>
          <w:sz w:val="20"/>
          <w:szCs w:val="20"/>
        </w:rPr>
        <w:t xml:space="preserve">ting rights with respect to a majority of the </w:t>
      </w:r>
    </w:p>
    <w:p w14:paraId="4E56B36C" w14:textId="77777777" w:rsidR="00DF3E10" w:rsidRDefault="00DF3E10">
      <w:pPr>
        <w:rPr>
          <w:rFonts w:ascii="Times New Roman" w:hAnsi="Times New Roman"/>
          <w:sz w:val="20"/>
          <w:szCs w:val="20"/>
        </w:rPr>
      </w:pPr>
    </w:p>
    <w:p w14:paraId="4E56B36D"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66</w:t>
      </w:r>
    </w:p>
    <w:p w14:paraId="4E56B36E" w14:textId="77777777" w:rsidR="00DF3E10" w:rsidRDefault="006B6C28">
      <w:r>
        <w:rPr>
          <w:rFonts w:ascii="Times New Roman" w:hAnsi="Times New Roman"/>
          <w:sz w:val="20"/>
          <w:szCs w:val="20"/>
        </w:rPr>
        <w:pict w14:anchorId="4E56B79F">
          <v:rect id="_x0000_i1090" style="width:415.3pt;height:1.5pt" o:hralign="center" o:hrstd="t" o:hr="t" fillcolor="#a0a0a0" stroked="f"/>
        </w:pict>
      </w:r>
    </w:p>
    <w:p w14:paraId="4E56B36F" w14:textId="77777777" w:rsidR="00DF3E10" w:rsidRDefault="006B6C28">
      <w:pPr>
        <w:spacing w:line="288" w:lineRule="auto"/>
        <w:rPr>
          <w:rFonts w:ascii="Times New Roman" w:hAnsi="Times New Roman"/>
          <w:sz w:val="20"/>
          <w:szCs w:val="20"/>
        </w:rPr>
      </w:pPr>
      <w:hyperlink r:id="rId107" w:anchor="sC1FF62F0D4D85317B5B2C71C7C94F269" w:history="1">
        <w:r>
          <w:rPr>
            <w:rStyle w:val="a5"/>
            <w:rFonts w:ascii="Times New Roman" w:eastAsia="宋体" w:hAnsi="Times New Roman"/>
            <w:sz w:val="20"/>
            <w:szCs w:val="20"/>
          </w:rPr>
          <w:t>Table of Contents</w:t>
        </w:r>
      </w:hyperlink>
    </w:p>
    <w:p w14:paraId="4E56B370" w14:textId="77777777" w:rsidR="00DF3E10" w:rsidRDefault="00DF3E10">
      <w:pPr>
        <w:rPr>
          <w:rFonts w:ascii="Times New Roman" w:hAnsi="Times New Roman"/>
          <w:sz w:val="20"/>
          <w:szCs w:val="20"/>
        </w:rPr>
      </w:pPr>
    </w:p>
    <w:p w14:paraId="4E56B371"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voting power of our outstanding capital stock and therefore has the ability to contr</w:t>
      </w:r>
      <w:r>
        <w:rPr>
          <w:rFonts w:ascii="Times New Roman" w:eastAsia="宋体" w:hAnsi="Times New Roman"/>
          <w:sz w:val="20"/>
          <w:szCs w:val="20"/>
        </w:rPr>
        <w:t>ol the outcome of matters submitted to our stockholders for approval, including the election of directors and any merger, consolidation, or sale of all or substantially all of our assets. This concentrated control could delay, defer, or prevent a change of</w:t>
      </w:r>
      <w:r>
        <w:rPr>
          <w:rFonts w:ascii="Times New Roman" w:eastAsia="宋体" w:hAnsi="Times New Roman"/>
          <w:sz w:val="20"/>
          <w:szCs w:val="20"/>
        </w:rPr>
        <w:t xml:space="preserve"> control, merger, consolidation, or sale of all or substantially all of our assets that our other stockholders support, or conversely this concentrated control could result in the consummation of such a transaction that our other stockholders do not suppor</w:t>
      </w:r>
      <w:r>
        <w:rPr>
          <w:rFonts w:ascii="Times New Roman" w:eastAsia="宋体" w:hAnsi="Times New Roman"/>
          <w:sz w:val="20"/>
          <w:szCs w:val="20"/>
        </w:rPr>
        <w:t>t. This concentrated control could also discourage a potential investor from acquiring our Class A common stock, which has limited voting power relative to the Class B common stock, and might harm the trading price of our Class A common stock. In addition,</w:t>
      </w:r>
      <w:r>
        <w:rPr>
          <w:rFonts w:ascii="Times New Roman" w:eastAsia="宋体" w:hAnsi="Times New Roman"/>
          <w:sz w:val="20"/>
          <w:szCs w:val="20"/>
        </w:rPr>
        <w:t xml:space="preserve"> Mr. Zuckerberg has the ability to control the management and major strategic investments of our company as a result of his position as our CEO and his ability to control the election or replacement of our directors. In the event of his death, the shares o</w:t>
      </w:r>
      <w:r>
        <w:rPr>
          <w:rFonts w:ascii="Times New Roman" w:eastAsia="宋体" w:hAnsi="Times New Roman"/>
          <w:sz w:val="20"/>
          <w:szCs w:val="20"/>
        </w:rPr>
        <w:t>f our capital stock that Mr. Zuckerberg owns will be transferred to the persons or entities that he has designated. As a board member and officer, Mr. Zuckerberg owes a fiduciary duty to our stockholders and must act in good faith in a manner he reasonably</w:t>
      </w:r>
      <w:r>
        <w:rPr>
          <w:rFonts w:ascii="Times New Roman" w:eastAsia="宋体" w:hAnsi="Times New Roman"/>
          <w:sz w:val="20"/>
          <w:szCs w:val="20"/>
        </w:rPr>
        <w:t xml:space="preserve"> believes to be in the best interests of our stockholders. As a stockholder, even a controlling stockholder, Mr. Zuckerberg is entitled to vote his shares, and shares over which he has voting control as governed by a voting agreement, in his own interests,</w:t>
      </w:r>
      <w:r>
        <w:rPr>
          <w:rFonts w:ascii="Times New Roman" w:eastAsia="宋体" w:hAnsi="Times New Roman"/>
          <w:sz w:val="20"/>
          <w:szCs w:val="20"/>
        </w:rPr>
        <w:t xml:space="preserve"> which may not always be in the interests of our stockholders generally.</w:t>
      </w:r>
    </w:p>
    <w:p w14:paraId="4E56B372"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plan to continue to make acquisitions, which could harm our financial condition or results of operations and may adversely affect the price of our common stock.</w:t>
      </w:r>
    </w:p>
    <w:p w14:paraId="4E56B37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As part of our busi</w:t>
      </w:r>
      <w:r>
        <w:rPr>
          <w:rFonts w:ascii="Times New Roman" w:eastAsia="宋体" w:hAnsi="Times New Roman"/>
          <w:sz w:val="20"/>
          <w:szCs w:val="20"/>
        </w:rPr>
        <w:t>ness strategy, we have made and intend to continue to make acquisitions to add specialized employees and complementary companies, products, or technologies. We may not be able to find suitable acquisition candidates, and we may not be able to complete acqu</w:t>
      </w:r>
      <w:r>
        <w:rPr>
          <w:rFonts w:ascii="Times New Roman" w:eastAsia="宋体" w:hAnsi="Times New Roman"/>
          <w:sz w:val="20"/>
          <w:szCs w:val="20"/>
        </w:rPr>
        <w:t>isitions on favorable terms, if at all. In some cases, the costs of such acquisitions may be substantial, and there is no assurance that we will receive a favorable return on investment for our acquisitions.</w:t>
      </w:r>
    </w:p>
    <w:p w14:paraId="4E56B37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may pay substantial amounts of cash or incur </w:t>
      </w:r>
      <w:r>
        <w:rPr>
          <w:rFonts w:ascii="Times New Roman" w:eastAsia="宋体" w:hAnsi="Times New Roman"/>
          <w:sz w:val="20"/>
          <w:szCs w:val="20"/>
        </w:rPr>
        <w:t>debt to pay for acquisitions, which could adversely affect our liquidity. The incurrence of indebtedness would also result in increased fixed obligations and increased interest expense, and could also include covenants or other restrictions that would impe</w:t>
      </w:r>
      <w:r>
        <w:rPr>
          <w:rFonts w:ascii="Times New Roman" w:eastAsia="宋体" w:hAnsi="Times New Roman"/>
          <w:sz w:val="20"/>
          <w:szCs w:val="20"/>
        </w:rPr>
        <w:t>de our ability to manage our operations. We may also issue equity securities to pay for acquisitions and we regularly grant RSUs to retain the employees of acquired companies, which could increase our expenses, adversely affect our financial results, and r</w:t>
      </w:r>
      <w:r>
        <w:rPr>
          <w:rFonts w:ascii="Times New Roman" w:eastAsia="宋体" w:hAnsi="Times New Roman"/>
          <w:sz w:val="20"/>
          <w:szCs w:val="20"/>
        </w:rPr>
        <w:t>esult in dilution to our stockholders. In addition, any acquisitions we announce could be viewed negatively by users, marketers, developers, or investors, which may adversely affect our business or the price of our Class A common stock.</w:t>
      </w:r>
    </w:p>
    <w:p w14:paraId="4E56B37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may also discove</w:t>
      </w:r>
      <w:r>
        <w:rPr>
          <w:rFonts w:ascii="Times New Roman" w:eastAsia="宋体" w:hAnsi="Times New Roman"/>
          <w:sz w:val="20"/>
          <w:szCs w:val="20"/>
        </w:rPr>
        <w:t>r liabilities or deficiencies associated with the companies or assets we acquire that were not identified in advance, which may result in significant unanticipated costs. The effectiveness of our due diligence review and our ability to evaluate the results</w:t>
      </w:r>
      <w:r>
        <w:rPr>
          <w:rFonts w:ascii="Times New Roman" w:eastAsia="宋体" w:hAnsi="Times New Roman"/>
          <w:sz w:val="20"/>
          <w:szCs w:val="20"/>
        </w:rPr>
        <w:t xml:space="preserve"> of such due diligence are dependent upon the accuracy and completeness of statements and disclosures made or actions taken by the companies we acquire or their representatives, as well as the limited amount of time in which acquisitions are executed. In a</w:t>
      </w:r>
      <w:r>
        <w:rPr>
          <w:rFonts w:ascii="Times New Roman" w:eastAsia="宋体" w:hAnsi="Times New Roman"/>
          <w:sz w:val="20"/>
          <w:szCs w:val="20"/>
        </w:rPr>
        <w:t>ddition, we may fail to accurately forecast the financial impact of an acquisition transaction, including tax and accounting charges. Acquisitions may also result in our recording of significant additional expenses to our results of operations and recordin</w:t>
      </w:r>
      <w:r>
        <w:rPr>
          <w:rFonts w:ascii="Times New Roman" w:eastAsia="宋体" w:hAnsi="Times New Roman"/>
          <w:sz w:val="20"/>
          <w:szCs w:val="20"/>
        </w:rPr>
        <w:t>g of substantial finite-lived intangible assets on our balance sheet upon closing. Any of these factors may adversely affect our financial condition or results of operations.</w:t>
      </w:r>
    </w:p>
    <w:p w14:paraId="4E56B37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successfully integrate our acquisitions, and we may incur s</w:t>
      </w:r>
      <w:r>
        <w:rPr>
          <w:rFonts w:ascii="Times New Roman" w:eastAsia="宋体" w:hAnsi="Times New Roman"/>
          <w:b/>
          <w:bCs/>
          <w:i/>
          <w:iCs/>
          <w:sz w:val="20"/>
          <w:szCs w:val="20"/>
        </w:rPr>
        <w:t>ignificant costs to integrate and support the companies we acquire.</w:t>
      </w:r>
    </w:p>
    <w:p w14:paraId="4E56B37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integration of acquisitions requires significant time and resources, and we may not manage these processes successfully. Our ability to successfully integrate complex acquisitions is u</w:t>
      </w:r>
      <w:r>
        <w:rPr>
          <w:rFonts w:ascii="Times New Roman" w:eastAsia="宋体" w:hAnsi="Times New Roman"/>
          <w:sz w:val="20"/>
          <w:szCs w:val="20"/>
        </w:rPr>
        <w:t>nproven, particularly with respect to companies that have significant operations or that develop products where we do not have prior experience. For example, the technology and products we acquired from Oculus were relatively new to Facebook at the time of</w:t>
      </w:r>
      <w:r>
        <w:rPr>
          <w:rFonts w:ascii="Times New Roman" w:eastAsia="宋体" w:hAnsi="Times New Roman"/>
          <w:sz w:val="20"/>
          <w:szCs w:val="20"/>
        </w:rPr>
        <w:t xml:space="preserve"> the acquisition, and we did not have significant experience with, or structure in place to support, such technology and products prior to the acquisition. We continue to make substantial investments of resources to support our acquisitions, which will res</w:t>
      </w:r>
      <w:r>
        <w:rPr>
          <w:rFonts w:ascii="Times New Roman" w:eastAsia="宋体" w:hAnsi="Times New Roman"/>
          <w:sz w:val="20"/>
          <w:szCs w:val="20"/>
        </w:rPr>
        <w:t>ult in significant ongoing operating expenses and may divert resources and management attention from other areas of our business. We cannot assure you that these investments will be successful. If we fail to successfully integrate the companies we acquire,</w:t>
      </w:r>
      <w:r>
        <w:rPr>
          <w:rFonts w:ascii="Times New Roman" w:eastAsia="宋体" w:hAnsi="Times New Roman"/>
          <w:sz w:val="20"/>
          <w:szCs w:val="20"/>
        </w:rPr>
        <w:t xml:space="preserve"> we may not realize the benefits expected from the transaction and our business may be harmed.</w:t>
      </w:r>
    </w:p>
    <w:p w14:paraId="4E56B378"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If our goodwill or finite-lived intangible assets become impaired, we may be required to record a significant charge to earnings. </w:t>
      </w:r>
    </w:p>
    <w:p w14:paraId="4E56B37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review our finite-lived int</w:t>
      </w:r>
      <w:r>
        <w:rPr>
          <w:rFonts w:ascii="Times New Roman" w:eastAsia="宋体" w:hAnsi="Times New Roman"/>
          <w:sz w:val="20"/>
          <w:szCs w:val="20"/>
        </w:rPr>
        <w:t xml:space="preserve">angible assets for impairment when events or changes in circumstances indicate the carrying value may not be recoverable, such as a decline in stock price and market capitalization. We test goodwill for impairment at </w:t>
      </w:r>
    </w:p>
    <w:p w14:paraId="4E56B37A" w14:textId="77777777" w:rsidR="00DF3E10" w:rsidRDefault="00DF3E10">
      <w:pPr>
        <w:rPr>
          <w:rFonts w:ascii="Times New Roman" w:hAnsi="Times New Roman"/>
          <w:sz w:val="20"/>
          <w:szCs w:val="20"/>
        </w:rPr>
      </w:pPr>
    </w:p>
    <w:p w14:paraId="4E56B37B"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67</w:t>
      </w:r>
    </w:p>
    <w:p w14:paraId="4E56B37C" w14:textId="77777777" w:rsidR="00DF3E10" w:rsidRDefault="006B6C28">
      <w:r>
        <w:rPr>
          <w:rFonts w:ascii="Times New Roman" w:hAnsi="Times New Roman"/>
          <w:sz w:val="20"/>
          <w:szCs w:val="20"/>
        </w:rPr>
        <w:pict w14:anchorId="4E56B7A0">
          <v:rect id="_x0000_i1091" style="width:415.3pt;height:1.5pt" o:hralign="center" o:hrstd="t" o:hr="t" fillcolor="#a0a0a0" stroked="f"/>
        </w:pict>
      </w:r>
    </w:p>
    <w:p w14:paraId="4E56B37D" w14:textId="77777777" w:rsidR="00DF3E10" w:rsidRDefault="006B6C28">
      <w:pPr>
        <w:spacing w:line="288" w:lineRule="auto"/>
        <w:rPr>
          <w:rFonts w:ascii="Times New Roman" w:hAnsi="Times New Roman"/>
          <w:sz w:val="20"/>
          <w:szCs w:val="20"/>
        </w:rPr>
      </w:pPr>
      <w:hyperlink r:id="rId108" w:anchor="sC1FF62F0D4D85317B5B2C71C7C94F269" w:history="1">
        <w:r>
          <w:rPr>
            <w:rStyle w:val="a5"/>
            <w:rFonts w:ascii="Times New Roman" w:eastAsia="宋体" w:hAnsi="Times New Roman"/>
            <w:sz w:val="20"/>
            <w:szCs w:val="20"/>
          </w:rPr>
          <w:t>Table of Contents</w:t>
        </w:r>
      </w:hyperlink>
    </w:p>
    <w:p w14:paraId="4E56B37E" w14:textId="77777777" w:rsidR="00DF3E10" w:rsidRDefault="00DF3E10">
      <w:pPr>
        <w:rPr>
          <w:rFonts w:ascii="Times New Roman" w:hAnsi="Times New Roman"/>
          <w:sz w:val="20"/>
          <w:szCs w:val="20"/>
        </w:rPr>
      </w:pPr>
    </w:p>
    <w:p w14:paraId="4E56B37F"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least annually. If such goodwill or finite-lived intangible assets are deemed to be impaired, an impairment loss equ</w:t>
      </w:r>
      <w:r>
        <w:rPr>
          <w:rFonts w:ascii="Times New Roman" w:eastAsia="宋体" w:hAnsi="Times New Roman"/>
          <w:sz w:val="20"/>
          <w:szCs w:val="20"/>
        </w:rPr>
        <w:t xml:space="preserve">al to the amount by which the carrying amount exceeds the fair value of the assets would be recognized. We may be required to record a significant charge in our financial statements during the period in which any impairment of our goodwill or finite-lived </w:t>
      </w:r>
      <w:r>
        <w:rPr>
          <w:rFonts w:ascii="Times New Roman" w:eastAsia="宋体" w:hAnsi="Times New Roman"/>
          <w:sz w:val="20"/>
          <w:szCs w:val="20"/>
        </w:rPr>
        <w:t>intangible assets is determined, which would negatively affect our results of operations.</w:t>
      </w:r>
    </w:p>
    <w:p w14:paraId="4E56B380"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dependent on our ability to maintain and scale our technical infrastructure, and any significant disruption in our service, including as a result of t</w:t>
      </w:r>
      <w:r>
        <w:rPr>
          <w:rFonts w:ascii="Times New Roman" w:eastAsia="宋体" w:hAnsi="Times New Roman"/>
          <w:b/>
          <w:bCs/>
          <w:i/>
          <w:iCs/>
          <w:sz w:val="20"/>
          <w:szCs w:val="20"/>
        </w:rPr>
        <w:t>he COVID-19 pandemic, could damage our reputation, result in a potential loss of users and engagement, and adversely affect our financial results.</w:t>
      </w:r>
    </w:p>
    <w:p w14:paraId="4E56B38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reputation and ability to attract, retain, and serve our users is dependent upon the reliable performance</w:t>
      </w:r>
      <w:r>
        <w:rPr>
          <w:rFonts w:ascii="Times New Roman" w:eastAsia="宋体" w:hAnsi="Times New Roman"/>
          <w:sz w:val="20"/>
          <w:szCs w:val="20"/>
        </w:rPr>
        <w:t xml:space="preserve"> of our products and our underlying technical infrastructure. We have in the past experienced, and may in the future experience, interruptions in the availability or performance of our products from time to time. Our systems may not be adequately designed </w:t>
      </w:r>
      <w:r>
        <w:rPr>
          <w:rFonts w:ascii="Times New Roman" w:eastAsia="宋体" w:hAnsi="Times New Roman"/>
          <w:sz w:val="20"/>
          <w:szCs w:val="20"/>
        </w:rPr>
        <w:t>or may not operate with the reliability and redundancy necessary to avoid performance delays or outages that could be harmful to our business. If our products are unavailable when users attempt to access them, or if they do not load as quickly as expected,</w:t>
      </w:r>
      <w:r>
        <w:rPr>
          <w:rFonts w:ascii="Times New Roman" w:eastAsia="宋体" w:hAnsi="Times New Roman"/>
          <w:sz w:val="20"/>
          <w:szCs w:val="20"/>
        </w:rPr>
        <w:t xml:space="preserve"> users may not use our products as often in the future, or at all, and our ability to serve ads may be disrupted, any of which could adversely affect our business and financial performance. As the amount and types of information shared on Facebook and our </w:t>
      </w:r>
      <w:r>
        <w:rPr>
          <w:rFonts w:ascii="Times New Roman" w:eastAsia="宋体" w:hAnsi="Times New Roman"/>
          <w:sz w:val="20"/>
          <w:szCs w:val="20"/>
        </w:rPr>
        <w:t>other products continue to grow and evolve, as the usage patterns of our global community continue to evolve, and as our internal operational demands continue to grow, we will need an increasing amount of technical infrastructure, including network capacit</w:t>
      </w:r>
      <w:r>
        <w:rPr>
          <w:rFonts w:ascii="Times New Roman" w:eastAsia="宋体" w:hAnsi="Times New Roman"/>
          <w:sz w:val="20"/>
          <w:szCs w:val="20"/>
        </w:rPr>
        <w:t>y and computing power, to continue to satisfy our needs. It is possible that we may fail to continue to effectively scale and grow our technical infrastructure to accommodate these increased demands, which may adversely affect our user engagement and adver</w:t>
      </w:r>
      <w:r>
        <w:rPr>
          <w:rFonts w:ascii="Times New Roman" w:eastAsia="宋体" w:hAnsi="Times New Roman"/>
          <w:sz w:val="20"/>
          <w:szCs w:val="20"/>
        </w:rPr>
        <w:t>tising revenue growth. In addition, our business may be subject to interruptions, delays, or failures resulting from earthquakes, adverse weather conditions, other natural disasters, power loss, terrorism, geopolitical conflict, other physical security thr</w:t>
      </w:r>
      <w:r>
        <w:rPr>
          <w:rFonts w:ascii="Times New Roman" w:eastAsia="宋体" w:hAnsi="Times New Roman"/>
          <w:sz w:val="20"/>
          <w:szCs w:val="20"/>
        </w:rPr>
        <w:t xml:space="preserve">eats, cyber-attacks, or other catastrophic events. If such an event were to occur, users may be subject to service disruptions or outages and we may not be able to recover our technical infrastructure and user data in a timely manner to restart or provide </w:t>
      </w:r>
      <w:r>
        <w:rPr>
          <w:rFonts w:ascii="Times New Roman" w:eastAsia="宋体" w:hAnsi="Times New Roman"/>
          <w:sz w:val="20"/>
          <w:szCs w:val="20"/>
        </w:rPr>
        <w:t>our services, which may adversely affect our financial results.</w:t>
      </w:r>
    </w:p>
    <w:p w14:paraId="4E56B38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the significant and rapid increase in the use of our products that we experienced as a result of the COVID-19 pandemic has increased demands on our technical infrastructure. Addit</w:t>
      </w:r>
      <w:r>
        <w:rPr>
          <w:rFonts w:ascii="Times New Roman" w:eastAsia="宋体" w:hAnsi="Times New Roman"/>
          <w:sz w:val="20"/>
          <w:szCs w:val="20"/>
        </w:rPr>
        <w:t>ional product development efforts during this time may put additional pressure on our technical infrastructure. We may not be able to accommodate these demands, including as a result of our reduced data center operations and personnel working remotely duri</w:t>
      </w:r>
      <w:r>
        <w:rPr>
          <w:rFonts w:ascii="Times New Roman" w:eastAsia="宋体" w:hAnsi="Times New Roman"/>
          <w:sz w:val="20"/>
          <w:szCs w:val="20"/>
        </w:rPr>
        <w:t>ng the pandemic.</w:t>
      </w:r>
    </w:p>
    <w:p w14:paraId="4E56B383"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 substantial portion of our network infrastructure is provided by third parties. Any disruption or failure in the services we receive from these providers could harm our ability to handle existing or increased traffic and could significantly harm our busi</w:t>
      </w:r>
      <w:r>
        <w:rPr>
          <w:rFonts w:ascii="Times New Roman" w:eastAsia="宋体" w:hAnsi="Times New Roman"/>
          <w:sz w:val="20"/>
          <w:szCs w:val="20"/>
        </w:rPr>
        <w:t>ness. Any financial or other difficulties these providers face may adversely affect our business, and we exercise little control over these providers, which increases our vulnerability to problems with the services they provide. The effects of the COVID-19</w:t>
      </w:r>
      <w:r>
        <w:rPr>
          <w:rFonts w:ascii="Times New Roman" w:eastAsia="宋体" w:hAnsi="Times New Roman"/>
          <w:sz w:val="20"/>
          <w:szCs w:val="20"/>
        </w:rPr>
        <w:t xml:space="preserve"> pandemic have increased the risk of supply shortages or other disruptions in logistics or the supply chain for our technical infrastructure. As a result, we may not be able to procure sufficient equipment or services from third parties to satisfy our need</w:t>
      </w:r>
      <w:r>
        <w:rPr>
          <w:rFonts w:ascii="Times New Roman" w:eastAsia="宋体" w:hAnsi="Times New Roman"/>
          <w:sz w:val="20"/>
          <w:szCs w:val="20"/>
        </w:rPr>
        <w:t xml:space="preserve">s, or we may be required to procure such services or equipment on unfavorable terms. </w:t>
      </w:r>
    </w:p>
    <w:p w14:paraId="4E56B38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Any of these developments may result in interruptions in the availability or performance of our products, require unfavorable changes to existing products, delay the intr</w:t>
      </w:r>
      <w:r>
        <w:rPr>
          <w:rFonts w:ascii="Times New Roman" w:eastAsia="宋体" w:hAnsi="Times New Roman"/>
          <w:sz w:val="20"/>
          <w:szCs w:val="20"/>
        </w:rPr>
        <w:t xml:space="preserve">oduction of future products, or otherwise adversely affect our business and financial results. </w:t>
      </w:r>
    </w:p>
    <w:p w14:paraId="4E56B385"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could experience unforeseen difficulties in building and operating key portions of our technical infrastructure.</w:t>
      </w:r>
    </w:p>
    <w:p w14:paraId="4E56B386"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designed and built our own data centers and key portions of our technical infrastructure through which we serve our products, and we plan to continue to significantly expand the size of our infrastructure primarily through data centers and other pr</w:t>
      </w:r>
      <w:r>
        <w:rPr>
          <w:rFonts w:ascii="Times New Roman" w:eastAsia="宋体" w:hAnsi="Times New Roman"/>
          <w:sz w:val="20"/>
          <w:szCs w:val="20"/>
        </w:rPr>
        <w:t>ojects. The infrastructure expansion we are undertaking is complex and involves projects in multiple locations, and we have had to suspend certain of these projects as a result of the COVID-19 pandemic. Additional unanticipated delays or disruptions in the</w:t>
      </w:r>
      <w:r>
        <w:rPr>
          <w:rFonts w:ascii="Times New Roman" w:eastAsia="宋体" w:hAnsi="Times New Roman"/>
          <w:sz w:val="20"/>
          <w:szCs w:val="20"/>
        </w:rPr>
        <w:t xml:space="preserve"> completion of these projects, including due to any shortage of labor necessary in building portions of such projects, or availability of components, challenges in obtaining required government or regulatory approvals, or other geopolitical challenges or a</w:t>
      </w:r>
      <w:r>
        <w:rPr>
          <w:rFonts w:ascii="Times New Roman" w:eastAsia="宋体" w:hAnsi="Times New Roman"/>
          <w:sz w:val="20"/>
          <w:szCs w:val="20"/>
        </w:rPr>
        <w:t>ctions by governments, whether as a result of the pandemic or otherwise, may lead to increased project costs, operational inefficiencies, interruptions in the delivery or degradation of the quality or reliability of our products, or impairment of assets on</w:t>
      </w:r>
      <w:r>
        <w:rPr>
          <w:rFonts w:ascii="Times New Roman" w:eastAsia="宋体" w:hAnsi="Times New Roman"/>
          <w:sz w:val="20"/>
          <w:szCs w:val="20"/>
        </w:rPr>
        <w:t xml:space="preserve"> our balance sheet. In addition, there may be issues related to this infrastructure that are not identified during the testing phases of design and implementation, which may only become evident after we have started to fully utilize the underlying equipmen</w:t>
      </w:r>
      <w:r>
        <w:rPr>
          <w:rFonts w:ascii="Times New Roman" w:eastAsia="宋体" w:hAnsi="Times New Roman"/>
          <w:sz w:val="20"/>
          <w:szCs w:val="20"/>
        </w:rPr>
        <w:t xml:space="preserve">t, that could further degrade the user experience or increase our costs. Further, much of our technical infrastructure is located outside the United States, and it is possible that action by a foreign government, or our response to such government action, </w:t>
      </w:r>
    </w:p>
    <w:p w14:paraId="4E56B387" w14:textId="77777777" w:rsidR="00DF3E10" w:rsidRDefault="00DF3E10">
      <w:pPr>
        <w:rPr>
          <w:rFonts w:ascii="Times New Roman" w:hAnsi="Times New Roman"/>
          <w:sz w:val="20"/>
          <w:szCs w:val="20"/>
        </w:rPr>
      </w:pPr>
    </w:p>
    <w:p w14:paraId="4E56B38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68</w:t>
      </w:r>
    </w:p>
    <w:p w14:paraId="4E56B389" w14:textId="77777777" w:rsidR="00DF3E10" w:rsidRDefault="006B6C28">
      <w:r>
        <w:rPr>
          <w:rFonts w:ascii="Times New Roman" w:hAnsi="Times New Roman"/>
          <w:sz w:val="20"/>
          <w:szCs w:val="20"/>
        </w:rPr>
        <w:pict w14:anchorId="4E56B7A1">
          <v:rect id="_x0000_i1092" style="width:415.3pt;height:1.5pt" o:hralign="center" o:hrstd="t" o:hr="t" fillcolor="#a0a0a0" stroked="f"/>
        </w:pict>
      </w:r>
    </w:p>
    <w:p w14:paraId="4E56B38A" w14:textId="77777777" w:rsidR="00DF3E10" w:rsidRDefault="006B6C28">
      <w:pPr>
        <w:spacing w:line="288" w:lineRule="auto"/>
        <w:rPr>
          <w:rFonts w:ascii="Times New Roman" w:hAnsi="Times New Roman"/>
          <w:sz w:val="20"/>
          <w:szCs w:val="20"/>
        </w:rPr>
      </w:pPr>
      <w:hyperlink r:id="rId109" w:anchor="sC1FF62F0D4D85317B5B2C71C7C94F269" w:history="1">
        <w:r>
          <w:rPr>
            <w:rStyle w:val="a5"/>
            <w:rFonts w:ascii="Times New Roman" w:eastAsia="宋体" w:hAnsi="Times New Roman"/>
            <w:sz w:val="20"/>
            <w:szCs w:val="20"/>
          </w:rPr>
          <w:t>Table of Contents</w:t>
        </w:r>
      </w:hyperlink>
    </w:p>
    <w:p w14:paraId="4E56B38B" w14:textId="77777777" w:rsidR="00DF3E10" w:rsidRDefault="00DF3E10">
      <w:pPr>
        <w:rPr>
          <w:rFonts w:ascii="Times New Roman" w:hAnsi="Times New Roman"/>
          <w:sz w:val="20"/>
          <w:szCs w:val="20"/>
        </w:rPr>
      </w:pPr>
    </w:p>
    <w:p w14:paraId="4E56B38C"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could result in the impairment of a portion of our technical infrastructure, </w:t>
      </w:r>
      <w:r>
        <w:rPr>
          <w:rFonts w:ascii="Times New Roman" w:eastAsia="宋体" w:hAnsi="Times New Roman"/>
          <w:sz w:val="20"/>
          <w:szCs w:val="20"/>
        </w:rPr>
        <w:t>which may interrupt the delivery or degrade the quality or reliability of our products and lead to a negative user experience or increase our costs. Any of these events could adversely affect our business, reputation, or financial results.</w:t>
      </w:r>
    </w:p>
    <w:p w14:paraId="4E56B38D"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products and</w:t>
      </w:r>
      <w:r>
        <w:rPr>
          <w:rFonts w:ascii="Times New Roman" w:eastAsia="宋体" w:hAnsi="Times New Roman"/>
          <w:b/>
          <w:bCs/>
          <w:i/>
          <w:iCs/>
          <w:sz w:val="20"/>
          <w:szCs w:val="20"/>
        </w:rPr>
        <w:t xml:space="preserve"> internal systems rely on software and hardware that is highly technical, and any errors, bugs, or vulnerabilities in these systems, or failures to address or mitigate technical limitations in our systems, could adversely affect our business.</w:t>
      </w:r>
    </w:p>
    <w:p w14:paraId="4E56B38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products </w:t>
      </w:r>
      <w:r>
        <w:rPr>
          <w:rFonts w:ascii="Times New Roman" w:eastAsia="宋体" w:hAnsi="Times New Roman"/>
          <w:sz w:val="20"/>
          <w:szCs w:val="20"/>
        </w:rPr>
        <w:t>and internal systems rely on software and hardware, including software and hardware developed or maintained internally and/or by third parties, that is highly technical and complex. In addition, our products and internal systems depend on the ability of su</w:t>
      </w:r>
      <w:r>
        <w:rPr>
          <w:rFonts w:ascii="Times New Roman" w:eastAsia="宋体" w:hAnsi="Times New Roman"/>
          <w:sz w:val="20"/>
          <w:szCs w:val="20"/>
        </w:rPr>
        <w:t>ch software and hardware to store, retrieve, process, and manage immense amounts of data. The software and hardware on which we rely has contained, and will in the future contain, errors, bugs, or vulnerabilities, and our systems are subject to certain tec</w:t>
      </w:r>
      <w:r>
        <w:rPr>
          <w:rFonts w:ascii="Times New Roman" w:eastAsia="宋体" w:hAnsi="Times New Roman"/>
          <w:sz w:val="20"/>
          <w:szCs w:val="20"/>
        </w:rPr>
        <w:t>hnical limitations that may compromise our ability to meet our objectives. Some errors, bugs, or vulnerabilities inherently may be difficult to detect and may only be discovered after the code has been released for external or internal use. For example, in</w:t>
      </w:r>
      <w:r>
        <w:rPr>
          <w:rFonts w:ascii="Times New Roman" w:eastAsia="宋体" w:hAnsi="Times New Roman"/>
          <w:sz w:val="20"/>
          <w:szCs w:val="20"/>
        </w:rPr>
        <w:t xml:space="preserve"> September 2018, we announced our discovery of a third-party cyber-attack that exploited a vulnerability in Facebook's code to steal user access tokens and access certain profile information from user accounts on Facebook. Errors, bugs, vulnerabilities, de</w:t>
      </w:r>
      <w:r>
        <w:rPr>
          <w:rFonts w:ascii="Times New Roman" w:eastAsia="宋体" w:hAnsi="Times New Roman"/>
          <w:sz w:val="20"/>
          <w:szCs w:val="20"/>
        </w:rPr>
        <w:t>sign defects, or technical limitations within the software and hardware on which we rely have in the past led to, and may in the future lead to, outcomes including a negative experience for users and marketers who use our products, compromised ability of o</w:t>
      </w:r>
      <w:r>
        <w:rPr>
          <w:rFonts w:ascii="Times New Roman" w:eastAsia="宋体" w:hAnsi="Times New Roman"/>
          <w:sz w:val="20"/>
          <w:szCs w:val="20"/>
        </w:rPr>
        <w:t>ur products to perform in a manner consistent with our terms, contracts, or policies, delayed product introductions or enhancements, targeting, measurement, or billing errors, compromised ability to protect the data of our users and/or our intellectual pro</w:t>
      </w:r>
      <w:r>
        <w:rPr>
          <w:rFonts w:ascii="Times New Roman" w:eastAsia="宋体" w:hAnsi="Times New Roman"/>
          <w:sz w:val="20"/>
          <w:szCs w:val="20"/>
        </w:rPr>
        <w:t>perty, or reductions in our ability to provide some or all of our services. For example, we make commitments to our users as to how their data will be used within and across our products, and our systems are subject to errors, bugs and technical limitation</w:t>
      </w:r>
      <w:r>
        <w:rPr>
          <w:rFonts w:ascii="Times New Roman" w:eastAsia="宋体" w:hAnsi="Times New Roman"/>
          <w:sz w:val="20"/>
          <w:szCs w:val="20"/>
        </w:rPr>
        <w:t>s that may prevent us from fulfilling these commitments reliably. In addition, any errors, bugs, vulnerabilities, or defects in our systems or the software and hardware on which we rely, failures to properly address or mitigate the technical limitations in</w:t>
      </w:r>
      <w:r>
        <w:rPr>
          <w:rFonts w:ascii="Times New Roman" w:eastAsia="宋体" w:hAnsi="Times New Roman"/>
          <w:sz w:val="20"/>
          <w:szCs w:val="20"/>
        </w:rPr>
        <w:t xml:space="preserve"> our systems, or associated degradations or interruptions of service or failures to fulfill our commitments to our users, have in the past led to, and may in the future lead to, outcomes including damage to our reputation, loss of users, loss of marketers,</w:t>
      </w:r>
      <w:r>
        <w:rPr>
          <w:rFonts w:ascii="Times New Roman" w:eastAsia="宋体" w:hAnsi="Times New Roman"/>
          <w:sz w:val="20"/>
          <w:szCs w:val="20"/>
        </w:rPr>
        <w:t xml:space="preserve"> loss of revenue, regulatory inquiries, litigation, or liability for fines, damages, or other remedies, any of which could adversely affect our business and financial results.</w:t>
      </w:r>
    </w:p>
    <w:p w14:paraId="4E56B38F"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Technologies have been developed that can block the display of our ads, which co</w:t>
      </w:r>
      <w:r>
        <w:rPr>
          <w:rFonts w:ascii="Times New Roman" w:eastAsia="宋体" w:hAnsi="Times New Roman"/>
          <w:b/>
          <w:bCs/>
          <w:i/>
          <w:iCs/>
          <w:sz w:val="20"/>
          <w:szCs w:val="20"/>
        </w:rPr>
        <w:t>uld adversely affect our financial results.</w:t>
      </w:r>
    </w:p>
    <w:p w14:paraId="4E56B390" w14:textId="77777777" w:rsidR="00DF3E10" w:rsidRDefault="00DF3E10">
      <w:pPr>
        <w:spacing w:line="288" w:lineRule="auto"/>
        <w:ind w:firstLine="720"/>
        <w:jc w:val="both"/>
        <w:rPr>
          <w:rFonts w:ascii="Times New Roman" w:hAnsi="Times New Roman"/>
          <w:sz w:val="20"/>
          <w:szCs w:val="20"/>
        </w:rPr>
      </w:pPr>
    </w:p>
    <w:p w14:paraId="4E56B39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Technologies have been developed, and will likely continue to be developed, that can block the display of our ads or block our ad measurement tools, particularly for advertising displayed on personal computers. </w:t>
      </w:r>
      <w:r>
        <w:rPr>
          <w:rFonts w:ascii="Times New Roman" w:eastAsia="宋体" w:hAnsi="Times New Roman"/>
          <w:sz w:val="20"/>
          <w:szCs w:val="20"/>
        </w:rPr>
        <w:t>We generate substantially all of our revenue from advertising, including revenue resulting from the display of ads on personal computers. Revenue generated from the display of ads on personal computers has been impacted by these technologies from time to t</w:t>
      </w:r>
      <w:r>
        <w:rPr>
          <w:rFonts w:ascii="Times New Roman" w:eastAsia="宋体" w:hAnsi="Times New Roman"/>
          <w:sz w:val="20"/>
          <w:szCs w:val="20"/>
        </w:rPr>
        <w:t>ime. As a result, these technologies have had an adverse effect on our financial results and, if such technologies continue to proliferate, in particular with respect to mobile platforms, our future financial results may be harmed.</w:t>
      </w:r>
    </w:p>
    <w:p w14:paraId="4E56B392" w14:textId="77777777" w:rsidR="00DF3E10" w:rsidRDefault="00DF3E10">
      <w:pPr>
        <w:spacing w:line="288" w:lineRule="auto"/>
        <w:jc w:val="both"/>
        <w:rPr>
          <w:rFonts w:ascii="Times New Roman" w:hAnsi="Times New Roman"/>
          <w:sz w:val="20"/>
          <w:szCs w:val="20"/>
        </w:rPr>
      </w:pPr>
    </w:p>
    <w:p w14:paraId="4E56B393"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Real or perceived inacc</w:t>
      </w:r>
      <w:r>
        <w:rPr>
          <w:rFonts w:ascii="Times New Roman" w:eastAsia="宋体" w:hAnsi="Times New Roman"/>
          <w:b/>
          <w:bCs/>
          <w:i/>
          <w:iCs/>
          <w:sz w:val="20"/>
          <w:szCs w:val="20"/>
        </w:rPr>
        <w:t>uracies in our community and other metrics may harm our reputation and negatively affect our business.</w:t>
      </w:r>
    </w:p>
    <w:p w14:paraId="4E56B394" w14:textId="77777777" w:rsidR="00DF3E10" w:rsidRDefault="00DF3E10">
      <w:pPr>
        <w:spacing w:line="288" w:lineRule="auto"/>
        <w:ind w:firstLine="720"/>
        <w:jc w:val="both"/>
        <w:rPr>
          <w:rFonts w:ascii="Times New Roman" w:hAnsi="Times New Roman"/>
          <w:sz w:val="20"/>
          <w:szCs w:val="20"/>
        </w:rPr>
      </w:pPr>
    </w:p>
    <w:p w14:paraId="4E56B39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for our key metrics, which include our Facebook metrics (DAUs, MAUs, and average revenue per user (ARPU)) and Family metrics (DAP, MAP, and </w:t>
      </w:r>
      <w:r>
        <w:rPr>
          <w:rFonts w:ascii="Times New Roman" w:eastAsia="宋体" w:hAnsi="Times New Roman"/>
          <w:sz w:val="20"/>
          <w:szCs w:val="20"/>
        </w:rPr>
        <w:t>average revenue per person (ARPP)), are calculated using internal company data based on the activity of user accounts. While these numbers are based on what we believe to be reasonable estimates of our user base for the applicable period of measurement, th</w:t>
      </w:r>
      <w:r>
        <w:rPr>
          <w:rFonts w:ascii="Times New Roman" w:eastAsia="宋体" w:hAnsi="Times New Roman"/>
          <w:sz w:val="20"/>
          <w:szCs w:val="20"/>
        </w:rPr>
        <w:t>ere are inherent challenges in measuring usage of our products across large online and mobile populations around the world. The methodologies used to measure these metrics require significant judgment and are also susceptible to algorithm or other technica</w:t>
      </w:r>
      <w:r>
        <w:rPr>
          <w:rFonts w:ascii="Times New Roman" w:eastAsia="宋体" w:hAnsi="Times New Roman"/>
          <w:sz w:val="20"/>
          <w:szCs w:val="20"/>
        </w:rPr>
        <w:t xml:space="preserve">l errors. In addition, we are continually seeking to improve our estimates of our user base, and such estimates may change due to improvements or changes in our methodology. We regularly review our processes for calculating these metrics, and from time to </w:t>
      </w:r>
      <w:r>
        <w:rPr>
          <w:rFonts w:ascii="Times New Roman" w:eastAsia="宋体" w:hAnsi="Times New Roman"/>
          <w:sz w:val="20"/>
          <w:szCs w:val="20"/>
        </w:rPr>
        <w:t>time we discover inaccuracies in our metrics or make adjustments to improve their accuracy, which can result in adjustments to our historical metrics. Our ability to recalculate our historical metrics may be impacted by data limitations or other factors th</w:t>
      </w:r>
      <w:r>
        <w:rPr>
          <w:rFonts w:ascii="Times New Roman" w:eastAsia="宋体" w:hAnsi="Times New Roman"/>
          <w:sz w:val="20"/>
          <w:szCs w:val="20"/>
        </w:rPr>
        <w:t>at require us to apply different methodologies for such adjustments. We generally do not intend to update previously disclosed Family metrics for any such inaccuracies or adjustments that are within the error margins disclosed below.</w:t>
      </w:r>
    </w:p>
    <w:p w14:paraId="4E56B396" w14:textId="77777777" w:rsidR="00DF3E10" w:rsidRDefault="00DF3E10">
      <w:pPr>
        <w:spacing w:line="288" w:lineRule="auto"/>
        <w:ind w:firstLine="720"/>
        <w:jc w:val="both"/>
        <w:rPr>
          <w:rFonts w:ascii="Times New Roman" w:hAnsi="Times New Roman"/>
          <w:sz w:val="20"/>
          <w:szCs w:val="20"/>
        </w:rPr>
      </w:pPr>
    </w:p>
    <w:p w14:paraId="4E56B39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Face</w:t>
      </w:r>
      <w:r>
        <w:rPr>
          <w:rFonts w:ascii="Times New Roman" w:eastAsia="宋体" w:hAnsi="Times New Roman"/>
          <w:sz w:val="20"/>
          <w:szCs w:val="20"/>
        </w:rPr>
        <w:t>book metrics and Family metrics estimates will differ from estimates published by third parties due to differences in methodology.</w:t>
      </w:r>
    </w:p>
    <w:p w14:paraId="4E56B398" w14:textId="77777777" w:rsidR="00DF3E10" w:rsidRDefault="00DF3E10">
      <w:pPr>
        <w:rPr>
          <w:rFonts w:ascii="Times New Roman" w:hAnsi="Times New Roman"/>
          <w:sz w:val="20"/>
          <w:szCs w:val="20"/>
        </w:rPr>
      </w:pPr>
    </w:p>
    <w:p w14:paraId="4E56B399"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69</w:t>
      </w:r>
    </w:p>
    <w:p w14:paraId="4E56B39A" w14:textId="77777777" w:rsidR="00DF3E10" w:rsidRDefault="006B6C28">
      <w:r>
        <w:rPr>
          <w:rFonts w:ascii="Times New Roman" w:hAnsi="Times New Roman"/>
          <w:sz w:val="20"/>
          <w:szCs w:val="20"/>
        </w:rPr>
        <w:pict w14:anchorId="4E56B7A2">
          <v:rect id="_x0000_i1093" style="width:415.3pt;height:1.5pt" o:hralign="center" o:hrstd="t" o:hr="t" fillcolor="#a0a0a0" stroked="f"/>
        </w:pict>
      </w:r>
    </w:p>
    <w:p w14:paraId="4E56B39B" w14:textId="77777777" w:rsidR="00DF3E10" w:rsidRDefault="006B6C28">
      <w:pPr>
        <w:spacing w:line="288" w:lineRule="auto"/>
        <w:rPr>
          <w:rFonts w:ascii="Times New Roman" w:hAnsi="Times New Roman"/>
          <w:sz w:val="20"/>
          <w:szCs w:val="20"/>
        </w:rPr>
      </w:pPr>
      <w:hyperlink r:id="rId110" w:anchor="sC1FF62F0D4D85317B5B2C71C7C94F269" w:history="1">
        <w:r>
          <w:rPr>
            <w:rStyle w:val="a5"/>
            <w:rFonts w:ascii="Times New Roman" w:eastAsia="宋体" w:hAnsi="Times New Roman"/>
            <w:sz w:val="20"/>
            <w:szCs w:val="20"/>
          </w:rPr>
          <w:t>Table of Contents</w:t>
        </w:r>
      </w:hyperlink>
    </w:p>
    <w:p w14:paraId="4E56B39C" w14:textId="77777777" w:rsidR="00DF3E10" w:rsidRDefault="00DF3E10">
      <w:pPr>
        <w:rPr>
          <w:rFonts w:ascii="Times New Roman" w:hAnsi="Times New Roman"/>
          <w:sz w:val="20"/>
          <w:szCs w:val="20"/>
        </w:rPr>
      </w:pPr>
    </w:p>
    <w:p w14:paraId="4E56B39D" w14:textId="77777777" w:rsidR="00DF3E10" w:rsidRDefault="00DF3E10">
      <w:pPr>
        <w:spacing w:line="288" w:lineRule="auto"/>
        <w:ind w:firstLine="720"/>
        <w:jc w:val="both"/>
        <w:rPr>
          <w:rFonts w:ascii="Times New Roman" w:hAnsi="Times New Roman"/>
          <w:sz w:val="20"/>
          <w:szCs w:val="20"/>
        </w:rPr>
      </w:pPr>
    </w:p>
    <w:p w14:paraId="4E56B39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to estimate the number of "duplicate" and "false" accounts among our MAUs. A duplicate account is one that a user maintains in addition to his or her principal</w:t>
      </w:r>
      <w:r>
        <w:rPr>
          <w:rFonts w:ascii="Times New Roman" w:eastAsia="宋体" w:hAnsi="Times New Roman"/>
          <w:sz w:val="20"/>
          <w:szCs w:val="20"/>
        </w:rPr>
        <w:t xml:space="preserve"> account. We divide "false" accounts into two categories: (1) user-misclassified accounts, where users have created personal profiles for a business, organization, or non-human entity such as a pet (such entities are permitted on Facebook using a Page rath</w:t>
      </w:r>
      <w:r>
        <w:rPr>
          <w:rFonts w:ascii="Times New Roman" w:eastAsia="宋体" w:hAnsi="Times New Roman"/>
          <w:sz w:val="20"/>
          <w:szCs w:val="20"/>
        </w:rPr>
        <w:t xml:space="preserve">er than a personal profile under our terms of service); and (2) violating accounts, which represent user profiles that we believe are intended to be used for purposes that violate our terms of service, such as bots and spam. The estimates of duplicate and </w:t>
      </w:r>
      <w:r>
        <w:rPr>
          <w:rFonts w:ascii="Times New Roman" w:eastAsia="宋体" w:hAnsi="Times New Roman"/>
          <w:sz w:val="20"/>
          <w:szCs w:val="20"/>
        </w:rPr>
        <w:t xml:space="preserve">false accounts are based on an internal review of a limited sample of accounts, and we apply significant judgment in making this determination. For example, to identify duplicate accounts we use data signals such as identical IP addresses and similar user </w:t>
      </w:r>
      <w:r>
        <w:rPr>
          <w:rFonts w:ascii="Times New Roman" w:eastAsia="宋体" w:hAnsi="Times New Roman"/>
          <w:sz w:val="20"/>
          <w:szCs w:val="20"/>
        </w:rPr>
        <w:t>names, and to identify false accounts we look for names that appear to be fake or other behavior that appears inauthentic to the reviewers. Any loss of access to data signals we use in this process, whether as a result of our own product decisions, actions</w:t>
      </w:r>
      <w:r>
        <w:rPr>
          <w:rFonts w:ascii="Times New Roman" w:eastAsia="宋体" w:hAnsi="Times New Roman"/>
          <w:sz w:val="20"/>
          <w:szCs w:val="20"/>
        </w:rPr>
        <w:t xml:space="preserve"> by third-party browser or mobile platforms, regulatory or legislative requirements, limitations while our personnel work remotely during the COVID-19 pandemic, or other factors, also may impact the stability or accuracy of our estimates of duplicate and f</w:t>
      </w:r>
      <w:r>
        <w:rPr>
          <w:rFonts w:ascii="Times New Roman" w:eastAsia="宋体" w:hAnsi="Times New Roman"/>
          <w:sz w:val="20"/>
          <w:szCs w:val="20"/>
        </w:rPr>
        <w:t>alse accounts. Our estimates also may change as our methodologies evolve, including through the application of new data signals or technologies or product changes that may allow us to identify previously undetected duplicate or false accounts and may impro</w:t>
      </w:r>
      <w:r>
        <w:rPr>
          <w:rFonts w:ascii="Times New Roman" w:eastAsia="宋体" w:hAnsi="Times New Roman"/>
          <w:sz w:val="20"/>
          <w:szCs w:val="20"/>
        </w:rPr>
        <w:t>ve our ability to evaluate a broader population of our users. Duplicate and false accounts are very difficult to measure at our scale, and it is possible that the actual number of duplicate and false accounts may vary significantly from our estimates.</w:t>
      </w:r>
    </w:p>
    <w:p w14:paraId="4E56B39F" w14:textId="77777777" w:rsidR="00DF3E10" w:rsidRDefault="00DF3E10">
      <w:pPr>
        <w:spacing w:line="288" w:lineRule="auto"/>
        <w:ind w:firstLine="720"/>
        <w:jc w:val="both"/>
        <w:rPr>
          <w:rFonts w:ascii="Times New Roman" w:hAnsi="Times New Roman"/>
          <w:sz w:val="20"/>
          <w:szCs w:val="20"/>
        </w:rPr>
      </w:pPr>
    </w:p>
    <w:p w14:paraId="4E56B3A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the fourth quarter of 2019, we estimated that duplicate accounts may have represented approximately 11% of our worldwide MAUs. We believe the percentage of duplicate accounts is meaningfully higher in developing markets such as the Philippines and Vietn</w:t>
      </w:r>
      <w:r>
        <w:rPr>
          <w:rFonts w:ascii="Times New Roman" w:eastAsia="宋体" w:hAnsi="Times New Roman"/>
          <w:sz w:val="20"/>
          <w:szCs w:val="20"/>
        </w:rPr>
        <w:t>am, as compared to more developed markets. In the fourth quarter of 2019, we estimated that false accounts may have represented approximately 5% of our worldwide MAUs. Our estimation of false accounts can vary as a result of episodic spikes in the creation</w:t>
      </w:r>
      <w:r>
        <w:rPr>
          <w:rFonts w:ascii="Times New Roman" w:eastAsia="宋体" w:hAnsi="Times New Roman"/>
          <w:sz w:val="20"/>
          <w:szCs w:val="20"/>
        </w:rPr>
        <w:t xml:space="preserve"> of such accounts, which we have seen originate more frequently in specific countries such as Indonesia and Vietnam. From time to time, we disable certain user accounts, make product changes, or take other actions to reduce the number of duplicate or false</w:t>
      </w:r>
      <w:r>
        <w:rPr>
          <w:rFonts w:ascii="Times New Roman" w:eastAsia="宋体" w:hAnsi="Times New Roman"/>
          <w:sz w:val="20"/>
          <w:szCs w:val="20"/>
        </w:rPr>
        <w:t xml:space="preserve"> accounts among our users, which may also reduce our DAU and MAU estimates in a particular period. We intend to disclose our estimates of the number of duplicate and false accounts among our MAUs on an annual basis.</w:t>
      </w:r>
    </w:p>
    <w:p w14:paraId="4E56B3A1" w14:textId="77777777" w:rsidR="00DF3E10" w:rsidRDefault="00DF3E10">
      <w:pPr>
        <w:spacing w:line="288" w:lineRule="auto"/>
        <w:ind w:firstLine="720"/>
        <w:jc w:val="both"/>
        <w:rPr>
          <w:rFonts w:ascii="Times New Roman" w:hAnsi="Times New Roman"/>
          <w:sz w:val="20"/>
          <w:szCs w:val="20"/>
        </w:rPr>
      </w:pPr>
    </w:p>
    <w:p w14:paraId="4E56B3A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Many people in our community have user </w:t>
      </w:r>
      <w:r>
        <w:rPr>
          <w:rFonts w:ascii="Times New Roman" w:eastAsia="宋体" w:hAnsi="Times New Roman"/>
          <w:sz w:val="20"/>
          <w:szCs w:val="20"/>
        </w:rPr>
        <w:t xml:space="preserve">accounts on more than one of our products, and some people have multiple user accounts within an individual product. Accordingly, for our Family metrics, we do not seek to count the total number of user accounts across our products because we believe that </w:t>
      </w:r>
      <w:r>
        <w:rPr>
          <w:rFonts w:ascii="Times New Roman" w:eastAsia="宋体" w:hAnsi="Times New Roman"/>
          <w:sz w:val="20"/>
          <w:szCs w:val="20"/>
        </w:rPr>
        <w:t>would not reflect the actual size of our community. Rather, our Family metrics represent our estimates of the number of unique people using at least one of Facebook, Instagram, Messenger, and WhatsApp. We do not require people to use a common identifier or</w:t>
      </w:r>
      <w:r>
        <w:rPr>
          <w:rFonts w:ascii="Times New Roman" w:eastAsia="宋体" w:hAnsi="Times New Roman"/>
          <w:sz w:val="20"/>
          <w:szCs w:val="20"/>
        </w:rPr>
        <w:t xml:space="preserve"> link their accounts to use multiple products in our Family, and therefore must seek to attribute multiple user accounts within and across products to individual people. To calculate these metrics, we rely upon complex techniques, algorithms and machine le</w:t>
      </w:r>
      <w:r>
        <w:rPr>
          <w:rFonts w:ascii="Times New Roman" w:eastAsia="宋体" w:hAnsi="Times New Roman"/>
          <w:sz w:val="20"/>
          <w:szCs w:val="20"/>
        </w:rPr>
        <w:t xml:space="preserve">arning models that seek to count the individual people behind user accounts, including by matching multiple user accounts within an individual product and across multiple products when we believe they are attributable to a single person, and counting such </w:t>
      </w:r>
      <w:r>
        <w:rPr>
          <w:rFonts w:ascii="Times New Roman" w:eastAsia="宋体" w:hAnsi="Times New Roman"/>
          <w:sz w:val="20"/>
          <w:szCs w:val="20"/>
        </w:rPr>
        <w:t xml:space="preserve">group of accounts as one person. These techniques and models require significant judgment, are subject to data and other limitations discussed below, and inherently are subject to statistical variances and uncertainties. We estimate the potential error in </w:t>
      </w:r>
      <w:r>
        <w:rPr>
          <w:rFonts w:ascii="Times New Roman" w:eastAsia="宋体" w:hAnsi="Times New Roman"/>
          <w:sz w:val="20"/>
          <w:szCs w:val="20"/>
        </w:rPr>
        <w:t xml:space="preserve">our Family metrics primarily based on user survey data, which itself is subject to error as well. While we expect the error margin for our Family metrics to vary from period to period, we estimate that such margin generally will be approximately 3% of our </w:t>
      </w:r>
      <w:r>
        <w:rPr>
          <w:rFonts w:ascii="Times New Roman" w:eastAsia="宋体" w:hAnsi="Times New Roman"/>
          <w:sz w:val="20"/>
          <w:szCs w:val="20"/>
        </w:rPr>
        <w:t>worldwide MAP. At our scale, it is very difficult to attribute multiple user accounts within and across products to individual people, and it is possible that the actual numbers of unique people using our products may vary significantly from our estimates,</w:t>
      </w:r>
      <w:r>
        <w:rPr>
          <w:rFonts w:ascii="Times New Roman" w:eastAsia="宋体" w:hAnsi="Times New Roman"/>
          <w:sz w:val="20"/>
          <w:szCs w:val="20"/>
        </w:rPr>
        <w:t xml:space="preserve"> potentially beyond our estimated error margins. As a result, it is also possible that our Family metrics may indicate changes or trends in user numbers that do not match actual changes or trends.</w:t>
      </w:r>
    </w:p>
    <w:p w14:paraId="4E56B3A3" w14:textId="77777777" w:rsidR="00DF3E10" w:rsidRDefault="00DF3E10">
      <w:pPr>
        <w:spacing w:line="288" w:lineRule="auto"/>
        <w:ind w:firstLine="720"/>
        <w:jc w:val="both"/>
        <w:rPr>
          <w:rFonts w:ascii="Times New Roman" w:hAnsi="Times New Roman"/>
          <w:sz w:val="20"/>
          <w:szCs w:val="20"/>
        </w:rPr>
      </w:pPr>
    </w:p>
    <w:p w14:paraId="4E56B3A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w:t>
      </w:r>
      <w:r>
        <w:rPr>
          <w:rFonts w:ascii="Times New Roman" w:eastAsia="宋体" w:hAnsi="Times New Roman"/>
          <w:sz w:val="20"/>
          <w:szCs w:val="20"/>
        </w:rPr>
        <w:t xml:space="preserve">ntly use a series of machine learning models that are developed based on internal reviews of limited samples of user accounts and calibrated against user survey data. We apply significant judgment in designing these models and calculating these estimates. </w:t>
      </w:r>
      <w:r>
        <w:rPr>
          <w:rFonts w:ascii="Times New Roman" w:eastAsia="宋体" w:hAnsi="Times New Roman"/>
          <w:sz w:val="20"/>
          <w:szCs w:val="20"/>
        </w:rPr>
        <w:t>For example, to match user accounts within individual products and across multiple products, we use data signals such as similar device information, IP addresses, and user names. We also calibrate our models against data from periodic user surveys of varyi</w:t>
      </w:r>
      <w:r>
        <w:rPr>
          <w:rFonts w:ascii="Times New Roman" w:eastAsia="宋体" w:hAnsi="Times New Roman"/>
          <w:sz w:val="20"/>
          <w:szCs w:val="20"/>
        </w:rPr>
        <w:t xml:space="preserve">ng sizes and frequency across our products, which are inherently subject to error. The timing and results of such user surveys have in the past contributed, and may in the future contribute, to changes in our reported Family metrics from period to period. </w:t>
      </w:r>
      <w:r>
        <w:rPr>
          <w:rFonts w:ascii="Times New Roman" w:eastAsia="宋体" w:hAnsi="Times New Roman"/>
          <w:sz w:val="20"/>
          <w:szCs w:val="20"/>
        </w:rPr>
        <w:t>In addition, our data limitations may affect our understanding of certain details of our business and increase the risk of error for our Family metrics estimates. Our techniques and models rely on a variety of data signals from different products, and we r</w:t>
      </w:r>
      <w:r>
        <w:rPr>
          <w:rFonts w:ascii="Times New Roman" w:eastAsia="宋体" w:hAnsi="Times New Roman"/>
          <w:sz w:val="20"/>
          <w:szCs w:val="20"/>
        </w:rPr>
        <w:t xml:space="preserve">ely on more limited data signals for some products </w:t>
      </w:r>
    </w:p>
    <w:p w14:paraId="4E56B3A5" w14:textId="77777777" w:rsidR="00DF3E10" w:rsidRDefault="00DF3E10">
      <w:pPr>
        <w:rPr>
          <w:rFonts w:ascii="Times New Roman" w:hAnsi="Times New Roman"/>
          <w:sz w:val="20"/>
          <w:szCs w:val="20"/>
        </w:rPr>
      </w:pPr>
    </w:p>
    <w:p w14:paraId="4E56B3A6"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70</w:t>
      </w:r>
    </w:p>
    <w:p w14:paraId="4E56B3A7" w14:textId="77777777" w:rsidR="00DF3E10" w:rsidRDefault="006B6C28">
      <w:r>
        <w:rPr>
          <w:rFonts w:ascii="Times New Roman" w:hAnsi="Times New Roman"/>
          <w:sz w:val="20"/>
          <w:szCs w:val="20"/>
        </w:rPr>
        <w:pict w14:anchorId="4E56B7A3">
          <v:rect id="_x0000_i1094" style="width:415.3pt;height:1.5pt" o:hralign="center" o:hrstd="t" o:hr="t" fillcolor="#a0a0a0" stroked="f"/>
        </w:pict>
      </w:r>
    </w:p>
    <w:p w14:paraId="4E56B3A8" w14:textId="77777777" w:rsidR="00DF3E10" w:rsidRDefault="006B6C28">
      <w:pPr>
        <w:spacing w:line="288" w:lineRule="auto"/>
        <w:rPr>
          <w:rFonts w:ascii="Times New Roman" w:hAnsi="Times New Roman"/>
          <w:sz w:val="20"/>
          <w:szCs w:val="20"/>
        </w:rPr>
      </w:pPr>
      <w:hyperlink r:id="rId111" w:anchor="sC1FF62F0D4D85317B5B2C71C7C94F269" w:history="1">
        <w:r>
          <w:rPr>
            <w:rStyle w:val="a5"/>
            <w:rFonts w:ascii="Times New Roman" w:eastAsia="宋体" w:hAnsi="Times New Roman"/>
            <w:sz w:val="20"/>
            <w:szCs w:val="20"/>
          </w:rPr>
          <w:t>Table of Contents</w:t>
        </w:r>
      </w:hyperlink>
    </w:p>
    <w:p w14:paraId="4E56B3A9" w14:textId="77777777" w:rsidR="00DF3E10" w:rsidRDefault="00DF3E10">
      <w:pPr>
        <w:rPr>
          <w:rFonts w:ascii="Times New Roman" w:hAnsi="Times New Roman"/>
          <w:sz w:val="20"/>
          <w:szCs w:val="20"/>
        </w:rPr>
      </w:pPr>
    </w:p>
    <w:p w14:paraId="4E56B3AA"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compared to others. For ex</w:t>
      </w:r>
      <w:r>
        <w:rPr>
          <w:rFonts w:ascii="Times New Roman" w:eastAsia="宋体" w:hAnsi="Times New Roman"/>
          <w:sz w:val="20"/>
          <w:szCs w:val="20"/>
        </w:rPr>
        <w:t>ample, as a result of limited visibility into encrypted products, we have fewer data signals from WhatsApp user accounts and primarily rely on phone numbers and device information to match WhatsApp user accounts with accounts on our other products. Similar</w:t>
      </w:r>
      <w:r>
        <w:rPr>
          <w:rFonts w:ascii="Times New Roman" w:eastAsia="宋体" w:hAnsi="Times New Roman"/>
          <w:sz w:val="20"/>
          <w:szCs w:val="20"/>
        </w:rPr>
        <w:t>ly, although Messenger Kids users are included in our Family metrics, we do not seek to match their accounts with accounts on our other applications for purposes of calculating DAP and MAP. Any loss of access to data signals we use in our process for calcu</w:t>
      </w:r>
      <w:r>
        <w:rPr>
          <w:rFonts w:ascii="Times New Roman" w:eastAsia="宋体" w:hAnsi="Times New Roman"/>
          <w:sz w:val="20"/>
          <w:szCs w:val="20"/>
        </w:rPr>
        <w:t>lating Family metrics, whether as a result of our own product decisions, actions by third-party browser or mobile platforms, regulatory or legislative requirements, limitations while our personnel work remotely during the COVID-19 pandemic, or other factor</w:t>
      </w:r>
      <w:r>
        <w:rPr>
          <w:rFonts w:ascii="Times New Roman" w:eastAsia="宋体" w:hAnsi="Times New Roman"/>
          <w:sz w:val="20"/>
          <w:szCs w:val="20"/>
        </w:rPr>
        <w:t>s, also may impact the stability or accuracy of our reported Family metrics. Our estimates of Family metrics also may change as our methodologies evolve, including through the application of new data signals or technologies, product changes, or other impro</w:t>
      </w:r>
      <w:r>
        <w:rPr>
          <w:rFonts w:ascii="Times New Roman" w:eastAsia="宋体" w:hAnsi="Times New Roman"/>
          <w:sz w:val="20"/>
          <w:szCs w:val="20"/>
        </w:rPr>
        <w:t>vements in our user surveys, algorithms, or machine learning that may improve our ability to match accounts within and across our products or otherwise evaluate the broad population of our users. In addition, such evolution may allow us to identify previou</w:t>
      </w:r>
      <w:r>
        <w:rPr>
          <w:rFonts w:ascii="Times New Roman" w:eastAsia="宋体" w:hAnsi="Times New Roman"/>
          <w:sz w:val="20"/>
          <w:szCs w:val="20"/>
        </w:rPr>
        <w:t>sly undetected violating accounts (as defined below).</w:t>
      </w:r>
    </w:p>
    <w:p w14:paraId="4E56B3AB" w14:textId="77777777" w:rsidR="00DF3E10" w:rsidRDefault="00DF3E10">
      <w:pPr>
        <w:spacing w:line="288" w:lineRule="auto"/>
        <w:ind w:firstLine="720"/>
        <w:jc w:val="both"/>
        <w:rPr>
          <w:rFonts w:ascii="Times New Roman" w:hAnsi="Times New Roman"/>
          <w:sz w:val="20"/>
          <w:szCs w:val="20"/>
        </w:rPr>
      </w:pPr>
    </w:p>
    <w:p w14:paraId="4E56B3A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regularly evaluate our Family metrics to estimate the percentage of our MAP consisting solely of "violating" accounts. We define "violating" accounts as accounts which we believe are intended to be </w:t>
      </w:r>
      <w:r>
        <w:rPr>
          <w:rFonts w:ascii="Times New Roman" w:eastAsia="宋体" w:hAnsi="Times New Roman"/>
          <w:sz w:val="20"/>
          <w:szCs w:val="20"/>
        </w:rPr>
        <w:t>used for purposes that violate our terms of service, including bots and spam. In the fourth quarter of 2019, we estimated that approximately 3% of our worldwide MAP consisted solely of violating accounts. Such estimation is based on an internal review of a</w:t>
      </w:r>
      <w:r>
        <w:rPr>
          <w:rFonts w:ascii="Times New Roman" w:eastAsia="宋体" w:hAnsi="Times New Roman"/>
          <w:sz w:val="20"/>
          <w:szCs w:val="20"/>
        </w:rPr>
        <w:t xml:space="preserve"> limited sample of accounts, and we apply significant judgment in making this determination. For example, we look for account information and behaviors associated with Facebook and Instagram accounts that appear to be inauthentic to the reviewers, but we h</w:t>
      </w:r>
      <w:r>
        <w:rPr>
          <w:rFonts w:ascii="Times New Roman" w:eastAsia="宋体" w:hAnsi="Times New Roman"/>
          <w:sz w:val="20"/>
          <w:szCs w:val="20"/>
        </w:rPr>
        <w:t>ave limited visibility into WhatsApp user activity due to encryption. In addition, if we believe an individual person has one or more violating accounts, we do not include such person in our violating accounts estimation as long as we believe they have one</w:t>
      </w:r>
      <w:r>
        <w:rPr>
          <w:rFonts w:ascii="Times New Roman" w:eastAsia="宋体" w:hAnsi="Times New Roman"/>
          <w:sz w:val="20"/>
          <w:szCs w:val="20"/>
        </w:rPr>
        <w:t xml:space="preserve"> account that does not constitute a violating account. From time to time, we disable certain user accounts, make product changes, or take other actions to reduce the number of violating accounts among our users, which may also reduce our DAP and MAP estima</w:t>
      </w:r>
      <w:r>
        <w:rPr>
          <w:rFonts w:ascii="Times New Roman" w:eastAsia="宋体" w:hAnsi="Times New Roman"/>
          <w:sz w:val="20"/>
          <w:szCs w:val="20"/>
        </w:rPr>
        <w:t>tes in a particular period. We intend to disclose our estimates of the percentage of our MAP consisting solely of violating accounts on an annual basis. Violating accounts are very difficult to measure at our scale, and it is possible that the actual numbe</w:t>
      </w:r>
      <w:r>
        <w:rPr>
          <w:rFonts w:ascii="Times New Roman" w:eastAsia="宋体" w:hAnsi="Times New Roman"/>
          <w:sz w:val="20"/>
          <w:szCs w:val="20"/>
        </w:rPr>
        <w:t>r of violating accounts may vary significantly from our estimates.</w:t>
      </w:r>
    </w:p>
    <w:p w14:paraId="4E56B3AD" w14:textId="77777777" w:rsidR="00DF3E10" w:rsidRDefault="00DF3E10">
      <w:pPr>
        <w:spacing w:line="288" w:lineRule="auto"/>
        <w:ind w:firstLine="720"/>
        <w:jc w:val="both"/>
        <w:rPr>
          <w:rFonts w:ascii="Times New Roman" w:hAnsi="Times New Roman"/>
          <w:sz w:val="20"/>
          <w:szCs w:val="20"/>
        </w:rPr>
      </w:pPr>
    </w:p>
    <w:p w14:paraId="4E56B3A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Other data limitations also may affect our understanding of certain details of our business. For example, while user-provided data indicates a decline in usage among younger users, this ag</w:t>
      </w:r>
      <w:r>
        <w:rPr>
          <w:rFonts w:ascii="Times New Roman" w:eastAsia="宋体" w:hAnsi="Times New Roman"/>
          <w:sz w:val="20"/>
          <w:szCs w:val="20"/>
        </w:rPr>
        <w:t>e data is unreliable because a disproportionate number of our younger users register with an inaccurate age. Accordingly, our understanding of usage by age group may not be complete.</w:t>
      </w:r>
    </w:p>
    <w:p w14:paraId="4E56B3AF" w14:textId="77777777" w:rsidR="00DF3E10" w:rsidRDefault="00DF3E10">
      <w:pPr>
        <w:spacing w:line="288" w:lineRule="auto"/>
        <w:ind w:firstLine="720"/>
        <w:jc w:val="both"/>
        <w:rPr>
          <w:rFonts w:ascii="Times New Roman" w:hAnsi="Times New Roman"/>
          <w:sz w:val="20"/>
          <w:szCs w:val="20"/>
        </w:rPr>
      </w:pPr>
    </w:p>
    <w:p w14:paraId="4E56B3B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our data regarding the geographic location of our users is </w:t>
      </w:r>
      <w:r>
        <w:rPr>
          <w:rFonts w:ascii="Times New Roman" w:eastAsia="宋体" w:hAnsi="Times New Roman"/>
          <w:sz w:val="20"/>
          <w:szCs w:val="20"/>
        </w:rPr>
        <w:t xml:space="preserve">estimated based on a number of factors, such as the user's IP address and self-disclosed location. These factors may not always accurately reflect the user's actual location. For example, a user may appear to be accessing Facebook from the location of the </w:t>
      </w:r>
      <w:r>
        <w:rPr>
          <w:rFonts w:ascii="Times New Roman" w:eastAsia="宋体" w:hAnsi="Times New Roman"/>
          <w:sz w:val="20"/>
          <w:szCs w:val="20"/>
        </w:rPr>
        <w:t>proxy server that the user connects to rather than from the user's actual location. The methodologies used to measure our metrics are also susceptible to algorithm or other technical errors, and our estimates for revenue by user location and revenue by use</w:t>
      </w:r>
      <w:r>
        <w:rPr>
          <w:rFonts w:ascii="Times New Roman" w:eastAsia="宋体" w:hAnsi="Times New Roman"/>
          <w:sz w:val="20"/>
          <w:szCs w:val="20"/>
        </w:rPr>
        <w:t>r device are also affected by these factors.</w:t>
      </w:r>
    </w:p>
    <w:p w14:paraId="4E56B3B1" w14:textId="77777777" w:rsidR="00DF3E10" w:rsidRDefault="00DF3E10">
      <w:pPr>
        <w:spacing w:line="288" w:lineRule="auto"/>
        <w:ind w:firstLine="720"/>
        <w:jc w:val="both"/>
        <w:rPr>
          <w:rFonts w:ascii="Times New Roman" w:hAnsi="Times New Roman"/>
          <w:sz w:val="20"/>
          <w:szCs w:val="20"/>
        </w:rPr>
      </w:pPr>
    </w:p>
    <w:p w14:paraId="4E56B3B2"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from time to time we provide, or rely on, certain other metrics and estimates, including those relating to the reach and effectiveness of our ads. Many of our metrics involve the use of </w:t>
      </w:r>
      <w:r>
        <w:rPr>
          <w:rFonts w:ascii="Times New Roman" w:eastAsia="宋体" w:hAnsi="Times New Roman"/>
          <w:sz w:val="20"/>
          <w:szCs w:val="20"/>
        </w:rPr>
        <w:t xml:space="preserve">estimations and judgments, and our metrics and estimates are subject to software bugs, inconsistencies in our systems, and human error. Where marketers, developers, or investors do not perceive our metrics or estimates to be accurate, or where we discover </w:t>
      </w:r>
      <w:r>
        <w:rPr>
          <w:rFonts w:ascii="Times New Roman" w:eastAsia="宋体" w:hAnsi="Times New Roman"/>
          <w:sz w:val="20"/>
          <w:szCs w:val="20"/>
        </w:rPr>
        <w:t>material inaccuracies in our metrics or estimates, we may be subject to liability, our reputation may be harmed, and marketers and developers may be less willing to allocate their budgets or resources to Facebook or our other products, which could negative</w:t>
      </w:r>
      <w:r>
        <w:rPr>
          <w:rFonts w:ascii="Times New Roman" w:eastAsia="宋体" w:hAnsi="Times New Roman"/>
          <w:sz w:val="20"/>
          <w:szCs w:val="20"/>
        </w:rPr>
        <w:t>ly affect our business and financial results.</w:t>
      </w:r>
    </w:p>
    <w:p w14:paraId="4E56B3B3" w14:textId="77777777" w:rsidR="00DF3E10" w:rsidRDefault="00DF3E10">
      <w:pPr>
        <w:spacing w:line="288" w:lineRule="auto"/>
        <w:ind w:firstLine="720"/>
        <w:jc w:val="both"/>
        <w:rPr>
          <w:rFonts w:ascii="Times New Roman" w:hAnsi="Times New Roman"/>
          <w:sz w:val="20"/>
          <w:szCs w:val="20"/>
        </w:rPr>
      </w:pPr>
    </w:p>
    <w:p w14:paraId="4E56B3B4" w14:textId="77777777" w:rsidR="00DF3E10" w:rsidRDefault="00DF3E10">
      <w:pPr>
        <w:rPr>
          <w:rFonts w:ascii="Times New Roman" w:hAnsi="Times New Roman"/>
          <w:sz w:val="20"/>
          <w:szCs w:val="20"/>
        </w:rPr>
      </w:pPr>
    </w:p>
    <w:p w14:paraId="4E56B3B5"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71</w:t>
      </w:r>
    </w:p>
    <w:p w14:paraId="4E56B3B6" w14:textId="77777777" w:rsidR="00DF3E10" w:rsidRDefault="006B6C28">
      <w:r>
        <w:rPr>
          <w:rFonts w:ascii="Times New Roman" w:hAnsi="Times New Roman"/>
          <w:sz w:val="20"/>
          <w:szCs w:val="20"/>
        </w:rPr>
        <w:pict w14:anchorId="4E56B7A4">
          <v:rect id="_x0000_i1095" style="width:415.3pt;height:1.5pt" o:hralign="center" o:hrstd="t" o:hr="t" fillcolor="#a0a0a0" stroked="f"/>
        </w:pict>
      </w:r>
    </w:p>
    <w:p w14:paraId="4E56B3B7" w14:textId="77777777" w:rsidR="00DF3E10" w:rsidRDefault="006B6C28">
      <w:pPr>
        <w:spacing w:line="288" w:lineRule="auto"/>
        <w:rPr>
          <w:rFonts w:ascii="Times New Roman" w:hAnsi="Times New Roman"/>
          <w:sz w:val="20"/>
          <w:szCs w:val="20"/>
        </w:rPr>
      </w:pPr>
      <w:hyperlink r:id="rId112" w:anchor="sC1FF62F0D4D85317B5B2C71C7C94F269" w:history="1">
        <w:r>
          <w:rPr>
            <w:rStyle w:val="a5"/>
            <w:rFonts w:ascii="Times New Roman" w:eastAsia="宋体" w:hAnsi="Times New Roman"/>
            <w:sz w:val="20"/>
            <w:szCs w:val="20"/>
          </w:rPr>
          <w:t>Table of Contents</w:t>
        </w:r>
      </w:hyperlink>
    </w:p>
    <w:p w14:paraId="4E56B3B8" w14:textId="77777777" w:rsidR="00DF3E10" w:rsidRDefault="00DF3E10">
      <w:pPr>
        <w:rPr>
          <w:rFonts w:ascii="Times New Roman" w:hAnsi="Times New Roman"/>
          <w:sz w:val="20"/>
          <w:szCs w:val="20"/>
        </w:rPr>
      </w:pPr>
    </w:p>
    <w:p w14:paraId="4E56B3B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cannot assure you that we </w:t>
      </w:r>
      <w:r>
        <w:rPr>
          <w:rFonts w:ascii="Times New Roman" w:eastAsia="宋体" w:hAnsi="Times New Roman"/>
          <w:b/>
          <w:bCs/>
          <w:i/>
          <w:iCs/>
          <w:sz w:val="20"/>
          <w:szCs w:val="20"/>
        </w:rPr>
        <w:t>will effectively manage our growth.</w:t>
      </w:r>
    </w:p>
    <w:p w14:paraId="4E56B3B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employee headcount and the scope and complexity of our business have increased significantly, with the number of employees increasing to 52,534 as of June 30, 2020 from 39,651 as of June 30, 2019, and we expect headc</w:t>
      </w:r>
      <w:r>
        <w:rPr>
          <w:rFonts w:ascii="Times New Roman" w:eastAsia="宋体" w:hAnsi="Times New Roman"/>
          <w:sz w:val="20"/>
          <w:szCs w:val="20"/>
        </w:rPr>
        <w:t>ount growth to continue for the foreseeable future. In addition, we plan to continue to hire a number of employees and contractors in order to address various privacy, safety, security, and content review initiatives. The growth and expansion of our busine</w:t>
      </w:r>
      <w:r>
        <w:rPr>
          <w:rFonts w:ascii="Times New Roman" w:eastAsia="宋体" w:hAnsi="Times New Roman"/>
          <w:sz w:val="20"/>
          <w:szCs w:val="20"/>
        </w:rPr>
        <w:t>ss and products create significant challenges for our management, operational, and financial resources, including managing multiple relationships with users, marketers, developers, and other third parties. Additionally, the vast majority of our personnel a</w:t>
      </w:r>
      <w:r>
        <w:rPr>
          <w:rFonts w:ascii="Times New Roman" w:eastAsia="宋体" w:hAnsi="Times New Roman"/>
          <w:sz w:val="20"/>
          <w:szCs w:val="20"/>
        </w:rPr>
        <w:t xml:space="preserve">re currently working remotely as a result of the COVID-19 pandemic, which limits their ability to perform certain job functions and may negatively impact productivity. As our operations and the number of our third-party relationships continue to grow, our </w:t>
      </w:r>
      <w:r>
        <w:rPr>
          <w:rFonts w:ascii="Times New Roman" w:eastAsia="宋体" w:hAnsi="Times New Roman"/>
          <w:sz w:val="20"/>
          <w:szCs w:val="20"/>
        </w:rPr>
        <w:t xml:space="preserve">information technology systems or our internal controls and procedures may not be adequate to support such growth. In addition, some members of our management do not have significant experience managing a large global business operation, so our management </w:t>
      </w:r>
      <w:r>
        <w:rPr>
          <w:rFonts w:ascii="Times New Roman" w:eastAsia="宋体" w:hAnsi="Times New Roman"/>
          <w:sz w:val="20"/>
          <w:szCs w:val="20"/>
        </w:rPr>
        <w:t>may not be able to manage such growth effectively. To effectively manage our growth, we must adapt to a remote work environment and continue to improve our operational, financial, and management processes and systems and to effectively expand, train, and m</w:t>
      </w:r>
      <w:r>
        <w:rPr>
          <w:rFonts w:ascii="Times New Roman" w:eastAsia="宋体" w:hAnsi="Times New Roman"/>
          <w:sz w:val="20"/>
          <w:szCs w:val="20"/>
        </w:rPr>
        <w:t>anage our personnel. As our organization continues to grow, and we are required to implement more complex organizational management structures, we may find it increasingly difficult to maintain the benefits of our corporate culture, including our ability t</w:t>
      </w:r>
      <w:r>
        <w:rPr>
          <w:rFonts w:ascii="Times New Roman" w:eastAsia="宋体" w:hAnsi="Times New Roman"/>
          <w:sz w:val="20"/>
          <w:szCs w:val="20"/>
        </w:rPr>
        <w:t>o quickly develop and launch new and innovative products. This could negatively affect our business performance.</w:t>
      </w:r>
    </w:p>
    <w:p w14:paraId="4E56B3B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The loss of one or more of our key personnel, or our failure to attract and retain other highly qualified personnel in the future, could harm o</w:t>
      </w:r>
      <w:r>
        <w:rPr>
          <w:rFonts w:ascii="Times New Roman" w:eastAsia="宋体" w:hAnsi="Times New Roman"/>
          <w:b/>
          <w:bCs/>
          <w:i/>
          <w:iCs/>
          <w:sz w:val="20"/>
          <w:szCs w:val="20"/>
        </w:rPr>
        <w:t>ur business.</w:t>
      </w:r>
    </w:p>
    <w:p w14:paraId="4E56B3B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currently depend on the continued services and performance of our key personnel, including Mark Zuckerberg and Sheryl K. Sandberg. Although we have entered into employment agreements with Mr. Zuckerberg and Ms. Sandberg, the agreements have</w:t>
      </w:r>
      <w:r>
        <w:rPr>
          <w:rFonts w:ascii="Times New Roman" w:eastAsia="宋体" w:hAnsi="Times New Roman"/>
          <w:sz w:val="20"/>
          <w:szCs w:val="20"/>
        </w:rPr>
        <w:t xml:space="preserve"> no specific duration and constitute at-will employment. In addition, many of our key technologies and systems are custom-made for our business by our personnel. The loss of key personnel, including members of management as well as key engineering, product</w:t>
      </w:r>
      <w:r>
        <w:rPr>
          <w:rFonts w:ascii="Times New Roman" w:eastAsia="宋体" w:hAnsi="Times New Roman"/>
          <w:sz w:val="20"/>
          <w:szCs w:val="20"/>
        </w:rPr>
        <w:t xml:space="preserve"> development, marketing, and sales personnel, could disrupt our operations and have an adverse effect on our business.</w:t>
      </w:r>
    </w:p>
    <w:p w14:paraId="4E56B3B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As we continue to grow, we cannot guarantee we will continue to attract and retain the personnel we need to maintain our competitive posi</w:t>
      </w:r>
      <w:r>
        <w:rPr>
          <w:rFonts w:ascii="Times New Roman" w:eastAsia="宋体" w:hAnsi="Times New Roman"/>
          <w:sz w:val="20"/>
          <w:szCs w:val="20"/>
        </w:rPr>
        <w:t>tion. In particular, we intend to continue to hire a significant number of technical personnel in the foreseeable future, and we expect to continue to face significant challenges in hiring such personnel, particularly in the San Francisco Bay Area, where o</w:t>
      </w:r>
      <w:r>
        <w:rPr>
          <w:rFonts w:ascii="Times New Roman" w:eastAsia="宋体" w:hAnsi="Times New Roman"/>
          <w:sz w:val="20"/>
          <w:szCs w:val="20"/>
        </w:rPr>
        <w:t>ur headquarters are located, whether as a result of competition with other companies, challenges due to the high cost of living, facilities and infrastructure constraints, or other factors. As we continue to mature, the incentives to attract, retain, and m</w:t>
      </w:r>
      <w:r>
        <w:rPr>
          <w:rFonts w:ascii="Times New Roman" w:eastAsia="宋体" w:hAnsi="Times New Roman"/>
          <w:sz w:val="20"/>
          <w:szCs w:val="20"/>
        </w:rPr>
        <w:t xml:space="preserve">otivate employees provided by our equity awards or by future arrangements may not be as effective as in the past, and if we issue significant equity to attract additional employees or to retain our existing employees, we would incur substantial additional </w:t>
      </w:r>
      <w:r>
        <w:rPr>
          <w:rFonts w:ascii="Times New Roman" w:eastAsia="宋体" w:hAnsi="Times New Roman"/>
          <w:sz w:val="20"/>
          <w:szCs w:val="20"/>
        </w:rPr>
        <w:t xml:space="preserve">share-based compensation expense and the ownership of our existing stockholders would be further diluted. Our ability to attract, retain, and motivate employees may also be adversely affected by stock price volatility. As a result of these factors, it may </w:t>
      </w:r>
      <w:r>
        <w:rPr>
          <w:rFonts w:ascii="Times New Roman" w:eastAsia="宋体" w:hAnsi="Times New Roman"/>
          <w:sz w:val="20"/>
          <w:szCs w:val="20"/>
        </w:rPr>
        <w:t>be difficult for us to continue to retain and motivate our employees. If we do not succeed in attracting, hiring, and integrating excellent personnel, or retaining and motivating existing personnel, we may be unable to grow effectively.</w:t>
      </w:r>
    </w:p>
    <w:p w14:paraId="4E56B3BE"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may not be able </w:t>
      </w:r>
      <w:r>
        <w:rPr>
          <w:rFonts w:ascii="Times New Roman" w:eastAsia="宋体" w:hAnsi="Times New Roman"/>
          <w:b/>
          <w:bCs/>
          <w:i/>
          <w:iCs/>
          <w:sz w:val="20"/>
          <w:szCs w:val="20"/>
        </w:rPr>
        <w:t>to continue to successfully maintain or grow usage of and engagement with mobile and web applications that integrate with Facebook and our other products.</w:t>
      </w:r>
    </w:p>
    <w:p w14:paraId="4E56B3B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made and are continuing to make investments to enable developers to build, grow, and monetize</w:t>
      </w:r>
      <w:r>
        <w:rPr>
          <w:rFonts w:ascii="Times New Roman" w:eastAsia="宋体" w:hAnsi="Times New Roman"/>
          <w:sz w:val="20"/>
          <w:szCs w:val="20"/>
        </w:rPr>
        <w:t xml:space="preserve"> mobile and web applications that integrate with Facebook and our other products. Such existing and prospective developers may not be successful in building, growing, or monetizing mobile and/or web applications that create and maintain user engagement. Ad</w:t>
      </w:r>
      <w:r>
        <w:rPr>
          <w:rFonts w:ascii="Times New Roman" w:eastAsia="宋体" w:hAnsi="Times New Roman"/>
          <w:sz w:val="20"/>
          <w:szCs w:val="20"/>
        </w:rPr>
        <w:t>ditionally, developers may choose to build on other platforms, including mobile platforms controlled by third parties, rather than building products that integrate with Facebook and our other products. We are continuously seeking to balance the distributio</w:t>
      </w:r>
      <w:r>
        <w:rPr>
          <w:rFonts w:ascii="Times New Roman" w:eastAsia="宋体" w:hAnsi="Times New Roman"/>
          <w:sz w:val="20"/>
          <w:szCs w:val="20"/>
        </w:rPr>
        <w:t xml:space="preserve">n objectives of our developers with our desire to provide an optimal user experience, and we may not be successful in achieving a balance that continues to attract and retain such developers. For example, from time to time, we have taken actions to reduce </w:t>
      </w:r>
      <w:r>
        <w:rPr>
          <w:rFonts w:ascii="Times New Roman" w:eastAsia="宋体" w:hAnsi="Times New Roman"/>
          <w:sz w:val="20"/>
          <w:szCs w:val="20"/>
        </w:rPr>
        <w:t>the volume of communications from these developers to users on Facebook and our other products with the objective of enhancing the user experience, and such actions have reduced distribution from, user engagement with, and our monetization opportunities fr</w:t>
      </w:r>
      <w:r>
        <w:rPr>
          <w:rFonts w:ascii="Times New Roman" w:eastAsia="宋体" w:hAnsi="Times New Roman"/>
          <w:sz w:val="20"/>
          <w:szCs w:val="20"/>
        </w:rPr>
        <w:t>om, mobile and web applications integrated with our products. In addition, as part of our efforts related to privacy, safety, and security, we are conducting investigations and audits of a large number of platform applications, and we also have announced s</w:t>
      </w:r>
      <w:r>
        <w:rPr>
          <w:rFonts w:ascii="Times New Roman" w:eastAsia="宋体" w:hAnsi="Times New Roman"/>
          <w:sz w:val="20"/>
          <w:szCs w:val="20"/>
        </w:rPr>
        <w:t>everal product changes that restrict developer access to certain user data. In some instances, these actions, as well as other actions to enforce our policies applicable to developers, have adversely affected, or will adversely affect, our relationships wi</w:t>
      </w:r>
      <w:r>
        <w:rPr>
          <w:rFonts w:ascii="Times New Roman" w:eastAsia="宋体" w:hAnsi="Times New Roman"/>
          <w:sz w:val="20"/>
          <w:szCs w:val="20"/>
        </w:rPr>
        <w:t xml:space="preserve">th </w:t>
      </w:r>
    </w:p>
    <w:p w14:paraId="4E56B3C0" w14:textId="77777777" w:rsidR="00DF3E10" w:rsidRDefault="00DF3E10">
      <w:pPr>
        <w:rPr>
          <w:rFonts w:ascii="Times New Roman" w:hAnsi="Times New Roman"/>
          <w:sz w:val="20"/>
          <w:szCs w:val="20"/>
        </w:rPr>
      </w:pPr>
    </w:p>
    <w:p w14:paraId="4E56B3C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72</w:t>
      </w:r>
    </w:p>
    <w:p w14:paraId="4E56B3C2" w14:textId="77777777" w:rsidR="00DF3E10" w:rsidRDefault="006B6C28">
      <w:r>
        <w:rPr>
          <w:rFonts w:ascii="Times New Roman" w:hAnsi="Times New Roman"/>
          <w:sz w:val="20"/>
          <w:szCs w:val="20"/>
        </w:rPr>
        <w:pict w14:anchorId="4E56B7A5">
          <v:rect id="_x0000_i1096" style="width:415.3pt;height:1.5pt" o:hralign="center" o:hrstd="t" o:hr="t" fillcolor="#a0a0a0" stroked="f"/>
        </w:pict>
      </w:r>
    </w:p>
    <w:p w14:paraId="4E56B3C3" w14:textId="77777777" w:rsidR="00DF3E10" w:rsidRDefault="006B6C28">
      <w:pPr>
        <w:spacing w:line="288" w:lineRule="auto"/>
        <w:rPr>
          <w:rFonts w:ascii="Times New Roman" w:hAnsi="Times New Roman"/>
          <w:sz w:val="20"/>
          <w:szCs w:val="20"/>
        </w:rPr>
      </w:pPr>
      <w:hyperlink r:id="rId113" w:anchor="sC1FF62F0D4D85317B5B2C71C7C94F269" w:history="1">
        <w:r>
          <w:rPr>
            <w:rStyle w:val="a5"/>
            <w:rFonts w:ascii="Times New Roman" w:eastAsia="宋体" w:hAnsi="Times New Roman"/>
            <w:sz w:val="20"/>
            <w:szCs w:val="20"/>
          </w:rPr>
          <w:t>Table of Contents</w:t>
        </w:r>
      </w:hyperlink>
    </w:p>
    <w:p w14:paraId="4E56B3C4" w14:textId="77777777" w:rsidR="00DF3E10" w:rsidRDefault="00DF3E10">
      <w:pPr>
        <w:rPr>
          <w:rFonts w:ascii="Times New Roman" w:hAnsi="Times New Roman"/>
          <w:sz w:val="20"/>
          <w:szCs w:val="20"/>
        </w:rPr>
      </w:pPr>
    </w:p>
    <w:p w14:paraId="4E56B3C5"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developers. If we are not successful in our efforts to maintain or grow th</w:t>
      </w:r>
      <w:r>
        <w:rPr>
          <w:rFonts w:ascii="Times New Roman" w:eastAsia="宋体" w:hAnsi="Times New Roman"/>
          <w:sz w:val="20"/>
          <w:szCs w:val="20"/>
        </w:rPr>
        <w:t>e number of developers that choose to build products that integrate with Facebook and our other products or if we are unable to continue to build and maintain good relations with such developers, our user growth and user engagement and our financial result</w:t>
      </w:r>
      <w:r>
        <w:rPr>
          <w:rFonts w:ascii="Times New Roman" w:eastAsia="宋体" w:hAnsi="Times New Roman"/>
          <w:sz w:val="20"/>
          <w:szCs w:val="20"/>
        </w:rPr>
        <w:t>s may be adversely affected.</w:t>
      </w:r>
    </w:p>
    <w:p w14:paraId="4E56B3C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Payment transactions may subject us to additional regulatory requirements and other risks that could be costly and difficult to comply with or that could harm our business.</w:t>
      </w:r>
    </w:p>
    <w:p w14:paraId="4E56B3C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users can purchase virtual and digital goods from </w:t>
      </w:r>
      <w:r>
        <w:rPr>
          <w:rFonts w:ascii="Times New Roman" w:eastAsia="宋体" w:hAnsi="Times New Roman"/>
          <w:sz w:val="20"/>
          <w:szCs w:val="20"/>
        </w:rPr>
        <w:t>developers that offer applications using our Payments infrastructure on the Facebook website. In addition, certain of our users can use our Payments infrastructure, including on Messenger, for other activities, such as sending money to other users and maki</w:t>
      </w:r>
      <w:r>
        <w:rPr>
          <w:rFonts w:ascii="Times New Roman" w:eastAsia="宋体" w:hAnsi="Times New Roman"/>
          <w:sz w:val="20"/>
          <w:szCs w:val="20"/>
        </w:rPr>
        <w:t>ng donations to certain charitable organizations. We are subject to a variety of laws and regulations in the United States, Europe, and elsewhere, including those governing anti-money laundering and counter-terrorist financing, money transmission, gift car</w:t>
      </w:r>
      <w:r>
        <w:rPr>
          <w:rFonts w:ascii="Times New Roman" w:eastAsia="宋体" w:hAnsi="Times New Roman"/>
          <w:sz w:val="20"/>
          <w:szCs w:val="20"/>
        </w:rPr>
        <w:t>ds and other prepaid access instruments, electronic funds transfer, charitable fundraising, and import and export restrictions. Depending on how our Payments product evolves, we may also be subject to other laws and regulations including those governing ga</w:t>
      </w:r>
      <w:r>
        <w:rPr>
          <w:rFonts w:ascii="Times New Roman" w:eastAsia="宋体" w:hAnsi="Times New Roman"/>
          <w:sz w:val="20"/>
          <w:szCs w:val="20"/>
        </w:rPr>
        <w:t>mbling, banking, and lending. In some jurisdictions, the application or interpretation of these laws and regulations is not clear. To increase flexibility in how our use of Payments may evolve and to mitigate regulatory uncertainty, we have received certai</w:t>
      </w:r>
      <w:r>
        <w:rPr>
          <w:rFonts w:ascii="Times New Roman" w:eastAsia="宋体" w:hAnsi="Times New Roman"/>
          <w:sz w:val="20"/>
          <w:szCs w:val="20"/>
        </w:rPr>
        <w:t xml:space="preserve">n money transmitter licenses in the United States and an Electronic Money (E-Money) license that allows us to conduct certain regulated payment activities in the participating member countries of the European Economic Area, which will generally require us </w:t>
      </w:r>
      <w:r>
        <w:rPr>
          <w:rFonts w:ascii="Times New Roman" w:eastAsia="宋体" w:hAnsi="Times New Roman"/>
          <w:sz w:val="20"/>
          <w:szCs w:val="20"/>
        </w:rPr>
        <w:t>to demonstrate compliance with many domestic and foreign laws in these areas. Our efforts to comply with these laws and regulations could be costly and result in diversion of management time and effort and may still not guarantee compliance. In the event t</w:t>
      </w:r>
      <w:r>
        <w:rPr>
          <w:rFonts w:ascii="Times New Roman" w:eastAsia="宋体" w:hAnsi="Times New Roman"/>
          <w:sz w:val="20"/>
          <w:szCs w:val="20"/>
        </w:rPr>
        <w:t>hat we are found to be in violation of any such legal or regulatory requirements, we may be subject to monetary fines or other penalties such as a cease and desist order, or we may be required to make product changes, any of which could have an adverse eff</w:t>
      </w:r>
      <w:r>
        <w:rPr>
          <w:rFonts w:ascii="Times New Roman" w:eastAsia="宋体" w:hAnsi="Times New Roman"/>
          <w:sz w:val="20"/>
          <w:szCs w:val="20"/>
        </w:rPr>
        <w:t>ect on our business and financial results.</w:t>
      </w:r>
    </w:p>
    <w:p w14:paraId="4E56B3C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we may be subject to a variety of additional risks as a result of Payments transactions, including: increased costs and diversion of management time and effort and other resources to deal with bad tra</w:t>
      </w:r>
      <w:r>
        <w:rPr>
          <w:rFonts w:ascii="Times New Roman" w:eastAsia="宋体" w:hAnsi="Times New Roman"/>
          <w:sz w:val="20"/>
          <w:szCs w:val="20"/>
        </w:rPr>
        <w:t>nsactions or customer disputes; potential fraudulent or otherwise illegal activity by users, developers, employees, or third parties; restrictions on the investment of consumer funds used to transact Payments; and additional disclosure and reporting requir</w:t>
      </w:r>
      <w:r>
        <w:rPr>
          <w:rFonts w:ascii="Times New Roman" w:eastAsia="宋体" w:hAnsi="Times New Roman"/>
          <w:sz w:val="20"/>
          <w:szCs w:val="20"/>
        </w:rPr>
        <w:t>ements. We have also launched certain payments functionality on WhatsApp and have announced plans to develop digital payments products and services, which may subject us to many of the foregoing risks and additional licensing requirements.</w:t>
      </w:r>
    </w:p>
    <w:p w14:paraId="4E56B3C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participatio</w:t>
      </w:r>
      <w:r>
        <w:rPr>
          <w:rFonts w:ascii="Times New Roman" w:eastAsia="宋体" w:hAnsi="Times New Roman"/>
          <w:b/>
          <w:bCs/>
          <w:i/>
          <w:iCs/>
          <w:sz w:val="20"/>
          <w:szCs w:val="20"/>
        </w:rPr>
        <w:t>n in the Libra Association will subject us to significant regulatory scrutiny and other risks that could adversely affect our business, reputation, or financial results.</w:t>
      </w:r>
    </w:p>
    <w:p w14:paraId="4E56B3C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June 2019, we announced our participation in the Libra Association, which will over</w:t>
      </w:r>
      <w:r>
        <w:rPr>
          <w:rFonts w:ascii="Times New Roman" w:eastAsia="宋体" w:hAnsi="Times New Roman"/>
          <w:sz w:val="20"/>
          <w:szCs w:val="20"/>
        </w:rPr>
        <w:t xml:space="preserve">see a proposed digital payments system powered by blockchain technology, and our plans for Novi, a digital wallet for Libra which we expect to launch as a standalone application and subsequently in Messenger and WhatsApp. </w:t>
      </w:r>
    </w:p>
    <w:p w14:paraId="4E56B3C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Libra is based on relatively new </w:t>
      </w:r>
      <w:r>
        <w:rPr>
          <w:rFonts w:ascii="Times New Roman" w:eastAsia="宋体" w:hAnsi="Times New Roman"/>
          <w:sz w:val="20"/>
          <w:szCs w:val="20"/>
        </w:rPr>
        <w:t xml:space="preserve">and unproven technology, and the laws and regulations surrounding blockchain-based payments are uncertain and evolving. Libra has drawn significant scrutiny from governments and regulators in multiple jurisdictions and we expect that scrutiny to continue. </w:t>
      </w:r>
      <w:r>
        <w:rPr>
          <w:rFonts w:ascii="Times New Roman" w:eastAsia="宋体" w:hAnsi="Times New Roman"/>
          <w:sz w:val="20"/>
          <w:szCs w:val="20"/>
        </w:rPr>
        <w:t>As a sponsor of the initiative and a proposed digital wallet service provider, we are participating in responses to inquiries from governments and regulators, and adverse government or regulatory actions or negative publicity resulting from such participat</w:t>
      </w:r>
      <w:r>
        <w:rPr>
          <w:rFonts w:ascii="Times New Roman" w:eastAsia="宋体" w:hAnsi="Times New Roman"/>
          <w:sz w:val="20"/>
          <w:szCs w:val="20"/>
        </w:rPr>
        <w:t>ion may adversely affect our reputation and harm our business.</w:t>
      </w:r>
    </w:p>
    <w:p w14:paraId="4E56B3C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this initiative evolves, we may be subject to a variety of laws and regulations in the United States and international jurisdictions, including those governing payments, financial services, </w:t>
      </w:r>
      <w:r>
        <w:rPr>
          <w:rFonts w:ascii="Times New Roman" w:eastAsia="宋体" w:hAnsi="Times New Roman"/>
          <w:sz w:val="20"/>
          <w:szCs w:val="20"/>
        </w:rPr>
        <w:t>anti-money laundering, counter-terrorism financing, economic sanctions, data protection, tax, and competition. In many jurisdictions, the application or interpretation of these laws and regulations is not clear, particularly with respect to evolving laws a</w:t>
      </w:r>
      <w:r>
        <w:rPr>
          <w:rFonts w:ascii="Times New Roman" w:eastAsia="宋体" w:hAnsi="Times New Roman"/>
          <w:sz w:val="20"/>
          <w:szCs w:val="20"/>
        </w:rPr>
        <w:t>nd regulations that are applied to blockchain and digital payments. These laws and regulations, as well as any associated inquiries or investigations, may delay or impede the launch of the Libra digital payments system as well as the development of our pro</w:t>
      </w:r>
      <w:r>
        <w:rPr>
          <w:rFonts w:ascii="Times New Roman" w:eastAsia="宋体" w:hAnsi="Times New Roman"/>
          <w:sz w:val="20"/>
          <w:szCs w:val="20"/>
        </w:rPr>
        <w:t>ducts and services, increase our operating costs, require significant management time and attention, or otherwise harm our business.</w:t>
      </w:r>
    </w:p>
    <w:p w14:paraId="4E56B3C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market acceptance of such a digital payments system is subject to significant uncertainty. As such, there can </w:t>
      </w:r>
      <w:r>
        <w:rPr>
          <w:rFonts w:ascii="Times New Roman" w:eastAsia="宋体" w:hAnsi="Times New Roman"/>
          <w:sz w:val="20"/>
          <w:szCs w:val="20"/>
        </w:rPr>
        <w:t>be no assurance that Libra or our associated products and services will be made available in a timely manner, or at all. We do not have significant prior experience with blockchain-based payments technology, which may adversely affect our ability to succes</w:t>
      </w:r>
      <w:r>
        <w:rPr>
          <w:rFonts w:ascii="Times New Roman" w:eastAsia="宋体" w:hAnsi="Times New Roman"/>
          <w:sz w:val="20"/>
          <w:szCs w:val="20"/>
        </w:rPr>
        <w:t>sfully develop and market these products and services. We will also incur increased costs in connection with our participation in the Libra Association and the development and marketing of associated products and services, and our investments may not be su</w:t>
      </w:r>
      <w:r>
        <w:rPr>
          <w:rFonts w:ascii="Times New Roman" w:eastAsia="宋体" w:hAnsi="Times New Roman"/>
          <w:sz w:val="20"/>
          <w:szCs w:val="20"/>
        </w:rPr>
        <w:t>ccessful. Any of these events could adversely affect our business, reputation, or financial results.</w:t>
      </w:r>
    </w:p>
    <w:p w14:paraId="4E56B3CE" w14:textId="77777777" w:rsidR="00DF3E10" w:rsidRDefault="00DF3E10">
      <w:pPr>
        <w:rPr>
          <w:rFonts w:ascii="Times New Roman" w:hAnsi="Times New Roman"/>
          <w:sz w:val="20"/>
          <w:szCs w:val="20"/>
        </w:rPr>
      </w:pPr>
    </w:p>
    <w:p w14:paraId="4E56B3CF"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73</w:t>
      </w:r>
    </w:p>
    <w:p w14:paraId="4E56B3D0" w14:textId="77777777" w:rsidR="00DF3E10" w:rsidRDefault="006B6C28">
      <w:r>
        <w:rPr>
          <w:rFonts w:ascii="Times New Roman" w:hAnsi="Times New Roman"/>
          <w:sz w:val="20"/>
          <w:szCs w:val="20"/>
        </w:rPr>
        <w:pict w14:anchorId="4E56B7A6">
          <v:rect id="_x0000_i1097" style="width:415.3pt;height:1.5pt" o:hralign="center" o:hrstd="t" o:hr="t" fillcolor="#a0a0a0" stroked="f"/>
        </w:pict>
      </w:r>
    </w:p>
    <w:p w14:paraId="4E56B3D1" w14:textId="77777777" w:rsidR="00DF3E10" w:rsidRDefault="006B6C28">
      <w:pPr>
        <w:spacing w:line="288" w:lineRule="auto"/>
        <w:rPr>
          <w:rFonts w:ascii="Times New Roman" w:hAnsi="Times New Roman"/>
          <w:sz w:val="20"/>
          <w:szCs w:val="20"/>
        </w:rPr>
      </w:pPr>
      <w:hyperlink r:id="rId114" w:anchor="sC1FF62F0D4D85317B5B2C71C7C94F269" w:history="1">
        <w:r>
          <w:rPr>
            <w:rStyle w:val="a5"/>
            <w:rFonts w:ascii="Times New Roman" w:eastAsia="宋体" w:hAnsi="Times New Roman"/>
            <w:sz w:val="20"/>
            <w:szCs w:val="20"/>
          </w:rPr>
          <w:t>Table of Contents</w:t>
        </w:r>
      </w:hyperlink>
    </w:p>
    <w:p w14:paraId="4E56B3D2" w14:textId="77777777" w:rsidR="00DF3E10" w:rsidRDefault="00DF3E10">
      <w:pPr>
        <w:rPr>
          <w:rFonts w:ascii="Times New Roman" w:hAnsi="Times New Roman"/>
          <w:sz w:val="20"/>
          <w:szCs w:val="20"/>
        </w:rPr>
      </w:pPr>
    </w:p>
    <w:p w14:paraId="4E56B3D3"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have significant international operations and plan to continue expanding our oper</w:t>
      </w:r>
      <w:r>
        <w:rPr>
          <w:rFonts w:ascii="Times New Roman" w:eastAsia="宋体" w:hAnsi="Times New Roman"/>
          <w:b/>
          <w:bCs/>
          <w:i/>
          <w:iCs/>
          <w:sz w:val="20"/>
          <w:szCs w:val="20"/>
        </w:rPr>
        <w:t>ations abroad where we have more limited operating experience, and this may subject us to increased business and economic risks that could affect our financial results.</w:t>
      </w:r>
    </w:p>
    <w:p w14:paraId="4E56B3D4"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significant international operations and plan to continue the international exp</w:t>
      </w:r>
      <w:r>
        <w:rPr>
          <w:rFonts w:ascii="Times New Roman" w:eastAsia="宋体" w:hAnsi="Times New Roman"/>
          <w:sz w:val="20"/>
          <w:szCs w:val="20"/>
        </w:rPr>
        <w:t>ansion of our business operations and the translation of our products. We currently make Facebook available in more than 100 different languages, and we have offices or data centers in more than 30 different countries. We may enter new international market</w:t>
      </w:r>
      <w:r>
        <w:rPr>
          <w:rFonts w:ascii="Times New Roman" w:eastAsia="宋体" w:hAnsi="Times New Roman"/>
          <w:sz w:val="20"/>
          <w:szCs w:val="20"/>
        </w:rPr>
        <w:t xml:space="preserve">s where we have limited or no experience in marketing, selling, and deploying our products. Our products are generally available globally, but some or all of our products or functionality may not be available in certain markets due to legal and regulatory </w:t>
      </w:r>
      <w:r>
        <w:rPr>
          <w:rFonts w:ascii="Times New Roman" w:eastAsia="宋体" w:hAnsi="Times New Roman"/>
          <w:sz w:val="20"/>
          <w:szCs w:val="20"/>
        </w:rPr>
        <w:t>complexities. For example, Facebook and certain of our other products are not generally available in China. We also outsource certain operational functions to third-party vendors globally. If we fail to deploy, manage, or oversee our international operatio</w:t>
      </w:r>
      <w:r>
        <w:rPr>
          <w:rFonts w:ascii="Times New Roman" w:eastAsia="宋体" w:hAnsi="Times New Roman"/>
          <w:sz w:val="20"/>
          <w:szCs w:val="20"/>
        </w:rPr>
        <w:t>ns successfully, our business may suffer. In addition, we are subject to a variety of risks inherent in doing business internationally,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3222"/>
      </w:tblGrid>
      <w:tr w:rsidR="00DF3E10" w14:paraId="4E56B3D7" w14:textId="77777777">
        <w:trPr>
          <w:tblCellSpacing w:w="0" w:type="dxa"/>
        </w:trPr>
        <w:tc>
          <w:tcPr>
            <w:tcW w:w="1440" w:type="dxa"/>
            <w:shd w:val="clear" w:color="auto" w:fill="auto"/>
            <w:vAlign w:val="center"/>
          </w:tcPr>
          <w:p w14:paraId="4E56B3D5" w14:textId="77777777" w:rsidR="00DF3E10" w:rsidRDefault="00DF3E10">
            <w:pPr>
              <w:rPr>
                <w:rFonts w:ascii="Times New Roman" w:hAnsi="Times New Roman"/>
                <w:sz w:val="20"/>
                <w:szCs w:val="20"/>
              </w:rPr>
            </w:pPr>
          </w:p>
        </w:tc>
        <w:tc>
          <w:tcPr>
            <w:tcW w:w="0" w:type="auto"/>
            <w:shd w:val="clear" w:color="auto" w:fill="auto"/>
            <w:vAlign w:val="center"/>
          </w:tcPr>
          <w:p w14:paraId="4E56B3D6" w14:textId="77777777" w:rsidR="00DF3E10" w:rsidRDefault="00DF3E10">
            <w:pPr>
              <w:rPr>
                <w:rFonts w:ascii="Times New Roman" w:hAnsi="Times New Roman"/>
                <w:sz w:val="20"/>
                <w:szCs w:val="20"/>
              </w:rPr>
            </w:pPr>
          </w:p>
        </w:tc>
      </w:tr>
      <w:tr w:rsidR="00DF3E10" w14:paraId="4E56B3DA" w14:textId="77777777">
        <w:trPr>
          <w:tblCellSpacing w:w="0" w:type="dxa"/>
        </w:trPr>
        <w:tc>
          <w:tcPr>
            <w:tcW w:w="0" w:type="auto"/>
            <w:shd w:val="clear" w:color="auto" w:fill="auto"/>
          </w:tcPr>
          <w:p w14:paraId="4E56B3D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D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political, social, or economic instability;</w:t>
            </w:r>
          </w:p>
        </w:tc>
      </w:tr>
    </w:tbl>
    <w:p w14:paraId="4E56B3D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DE" w14:textId="77777777">
        <w:trPr>
          <w:tblCellSpacing w:w="0" w:type="dxa"/>
        </w:trPr>
        <w:tc>
          <w:tcPr>
            <w:tcW w:w="1440" w:type="dxa"/>
            <w:shd w:val="clear" w:color="auto" w:fill="auto"/>
            <w:vAlign w:val="center"/>
          </w:tcPr>
          <w:p w14:paraId="4E56B3DC" w14:textId="77777777" w:rsidR="00DF3E10" w:rsidRDefault="00DF3E10">
            <w:pPr>
              <w:rPr>
                <w:rFonts w:ascii="Times New Roman" w:hAnsi="Times New Roman"/>
                <w:sz w:val="20"/>
                <w:szCs w:val="20"/>
              </w:rPr>
            </w:pPr>
          </w:p>
        </w:tc>
        <w:tc>
          <w:tcPr>
            <w:tcW w:w="0" w:type="auto"/>
            <w:shd w:val="clear" w:color="auto" w:fill="auto"/>
            <w:vAlign w:val="center"/>
          </w:tcPr>
          <w:p w14:paraId="4E56B3DD" w14:textId="77777777" w:rsidR="00DF3E10" w:rsidRDefault="00DF3E10">
            <w:pPr>
              <w:rPr>
                <w:rFonts w:ascii="Times New Roman" w:hAnsi="Times New Roman"/>
                <w:sz w:val="20"/>
                <w:szCs w:val="20"/>
              </w:rPr>
            </w:pPr>
          </w:p>
        </w:tc>
      </w:tr>
      <w:tr w:rsidR="00DF3E10" w14:paraId="4E56B3E1" w14:textId="77777777">
        <w:trPr>
          <w:tblCellSpacing w:w="0" w:type="dxa"/>
        </w:trPr>
        <w:tc>
          <w:tcPr>
            <w:tcW w:w="0" w:type="auto"/>
            <w:shd w:val="clear" w:color="auto" w:fill="auto"/>
          </w:tcPr>
          <w:p w14:paraId="4E56B3D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E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risks related to legal, regulatory, and other </w:t>
            </w:r>
            <w:r>
              <w:rPr>
                <w:rFonts w:ascii="Times New Roman" w:eastAsia="宋体" w:hAnsi="Times New Roman"/>
                <w:sz w:val="20"/>
                <w:szCs w:val="20"/>
              </w:rPr>
              <w:t>government scrutiny applicable to U.S. companies with sales and operations in foreign jurisdictions, including with respect to privacy, tax, law enforcement, content, trade compliance, competition, consumer protection, intellectual property, and terrestria</w:t>
            </w:r>
            <w:r>
              <w:rPr>
                <w:rFonts w:ascii="Times New Roman" w:eastAsia="宋体" w:hAnsi="Times New Roman"/>
                <w:sz w:val="20"/>
                <w:szCs w:val="20"/>
              </w:rPr>
              <w:t>l infrastructure matters;</w:t>
            </w:r>
          </w:p>
        </w:tc>
      </w:tr>
    </w:tbl>
    <w:p w14:paraId="4E56B3E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E5" w14:textId="77777777">
        <w:trPr>
          <w:tblCellSpacing w:w="0" w:type="dxa"/>
        </w:trPr>
        <w:tc>
          <w:tcPr>
            <w:tcW w:w="1440" w:type="dxa"/>
            <w:shd w:val="clear" w:color="auto" w:fill="auto"/>
            <w:vAlign w:val="center"/>
          </w:tcPr>
          <w:p w14:paraId="4E56B3E3" w14:textId="77777777" w:rsidR="00DF3E10" w:rsidRDefault="00DF3E10">
            <w:pPr>
              <w:rPr>
                <w:rFonts w:ascii="Times New Roman" w:hAnsi="Times New Roman"/>
                <w:sz w:val="20"/>
                <w:szCs w:val="20"/>
              </w:rPr>
            </w:pPr>
          </w:p>
        </w:tc>
        <w:tc>
          <w:tcPr>
            <w:tcW w:w="0" w:type="auto"/>
            <w:shd w:val="clear" w:color="auto" w:fill="auto"/>
            <w:vAlign w:val="center"/>
          </w:tcPr>
          <w:p w14:paraId="4E56B3E4" w14:textId="77777777" w:rsidR="00DF3E10" w:rsidRDefault="00DF3E10">
            <w:pPr>
              <w:rPr>
                <w:rFonts w:ascii="Times New Roman" w:hAnsi="Times New Roman"/>
                <w:sz w:val="20"/>
                <w:szCs w:val="20"/>
              </w:rPr>
            </w:pPr>
          </w:p>
        </w:tc>
      </w:tr>
      <w:tr w:rsidR="00DF3E10" w14:paraId="4E56B3E8" w14:textId="77777777">
        <w:trPr>
          <w:tblCellSpacing w:w="0" w:type="dxa"/>
        </w:trPr>
        <w:tc>
          <w:tcPr>
            <w:tcW w:w="0" w:type="auto"/>
            <w:shd w:val="clear" w:color="auto" w:fill="auto"/>
          </w:tcPr>
          <w:p w14:paraId="4E56B3E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E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potential damage to our brand and reputation due to compliance with local laws, including potential censorship or requirements to provide user information to local authorities;</w:t>
            </w:r>
          </w:p>
        </w:tc>
      </w:tr>
    </w:tbl>
    <w:p w14:paraId="4E56B3E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EC" w14:textId="77777777">
        <w:trPr>
          <w:tblCellSpacing w:w="0" w:type="dxa"/>
        </w:trPr>
        <w:tc>
          <w:tcPr>
            <w:tcW w:w="1440" w:type="dxa"/>
            <w:shd w:val="clear" w:color="auto" w:fill="auto"/>
            <w:vAlign w:val="center"/>
          </w:tcPr>
          <w:p w14:paraId="4E56B3EA" w14:textId="77777777" w:rsidR="00DF3E10" w:rsidRDefault="00DF3E10">
            <w:pPr>
              <w:rPr>
                <w:rFonts w:ascii="Times New Roman" w:hAnsi="Times New Roman"/>
                <w:sz w:val="20"/>
                <w:szCs w:val="20"/>
              </w:rPr>
            </w:pPr>
          </w:p>
        </w:tc>
        <w:tc>
          <w:tcPr>
            <w:tcW w:w="0" w:type="auto"/>
            <w:shd w:val="clear" w:color="auto" w:fill="auto"/>
            <w:vAlign w:val="center"/>
          </w:tcPr>
          <w:p w14:paraId="4E56B3EB" w14:textId="77777777" w:rsidR="00DF3E10" w:rsidRDefault="00DF3E10">
            <w:pPr>
              <w:rPr>
                <w:rFonts w:ascii="Times New Roman" w:hAnsi="Times New Roman"/>
                <w:sz w:val="20"/>
                <w:szCs w:val="20"/>
              </w:rPr>
            </w:pPr>
          </w:p>
        </w:tc>
      </w:tr>
      <w:tr w:rsidR="00DF3E10" w14:paraId="4E56B3EF" w14:textId="77777777">
        <w:trPr>
          <w:tblCellSpacing w:w="0" w:type="dxa"/>
        </w:trPr>
        <w:tc>
          <w:tcPr>
            <w:tcW w:w="0" w:type="auto"/>
            <w:shd w:val="clear" w:color="auto" w:fill="auto"/>
          </w:tcPr>
          <w:p w14:paraId="4E56B3E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E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enhanced difficulty in </w:t>
            </w:r>
            <w:r>
              <w:rPr>
                <w:rFonts w:ascii="Times New Roman" w:eastAsia="宋体" w:hAnsi="Times New Roman"/>
                <w:sz w:val="20"/>
                <w:szCs w:val="20"/>
              </w:rPr>
              <w:t>reviewing content on our platform and enforcing our community standards across different languages and countries;</w:t>
            </w:r>
          </w:p>
        </w:tc>
      </w:tr>
    </w:tbl>
    <w:p w14:paraId="4E56B3F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348"/>
      </w:tblGrid>
      <w:tr w:rsidR="00DF3E10" w14:paraId="4E56B3F3" w14:textId="77777777">
        <w:trPr>
          <w:tblCellSpacing w:w="0" w:type="dxa"/>
        </w:trPr>
        <w:tc>
          <w:tcPr>
            <w:tcW w:w="1440" w:type="dxa"/>
            <w:shd w:val="clear" w:color="auto" w:fill="auto"/>
            <w:vAlign w:val="center"/>
          </w:tcPr>
          <w:p w14:paraId="4E56B3F1" w14:textId="77777777" w:rsidR="00DF3E10" w:rsidRDefault="00DF3E10">
            <w:pPr>
              <w:rPr>
                <w:rFonts w:ascii="Times New Roman" w:hAnsi="Times New Roman"/>
                <w:sz w:val="20"/>
                <w:szCs w:val="20"/>
              </w:rPr>
            </w:pPr>
          </w:p>
        </w:tc>
        <w:tc>
          <w:tcPr>
            <w:tcW w:w="0" w:type="auto"/>
            <w:shd w:val="clear" w:color="auto" w:fill="auto"/>
            <w:vAlign w:val="center"/>
          </w:tcPr>
          <w:p w14:paraId="4E56B3F2" w14:textId="77777777" w:rsidR="00DF3E10" w:rsidRDefault="00DF3E10">
            <w:pPr>
              <w:rPr>
                <w:rFonts w:ascii="Times New Roman" w:hAnsi="Times New Roman"/>
                <w:sz w:val="20"/>
                <w:szCs w:val="20"/>
              </w:rPr>
            </w:pPr>
          </w:p>
        </w:tc>
      </w:tr>
      <w:tr w:rsidR="00DF3E10" w14:paraId="4E56B3F6" w14:textId="77777777">
        <w:trPr>
          <w:tblCellSpacing w:w="0" w:type="dxa"/>
        </w:trPr>
        <w:tc>
          <w:tcPr>
            <w:tcW w:w="0" w:type="auto"/>
            <w:shd w:val="clear" w:color="auto" w:fill="auto"/>
          </w:tcPr>
          <w:p w14:paraId="4E56B3F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F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compliance with currency controls;</w:t>
            </w:r>
          </w:p>
        </w:tc>
      </w:tr>
    </w:tbl>
    <w:p w14:paraId="4E56B3F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3FA" w14:textId="77777777">
        <w:trPr>
          <w:tblCellSpacing w:w="0" w:type="dxa"/>
        </w:trPr>
        <w:tc>
          <w:tcPr>
            <w:tcW w:w="1440" w:type="dxa"/>
            <w:shd w:val="clear" w:color="auto" w:fill="auto"/>
            <w:vAlign w:val="center"/>
          </w:tcPr>
          <w:p w14:paraId="4E56B3F8" w14:textId="77777777" w:rsidR="00DF3E10" w:rsidRDefault="00DF3E10">
            <w:pPr>
              <w:rPr>
                <w:rFonts w:ascii="Times New Roman" w:hAnsi="Times New Roman"/>
                <w:sz w:val="20"/>
                <w:szCs w:val="20"/>
              </w:rPr>
            </w:pPr>
          </w:p>
        </w:tc>
        <w:tc>
          <w:tcPr>
            <w:tcW w:w="0" w:type="auto"/>
            <w:shd w:val="clear" w:color="auto" w:fill="auto"/>
            <w:vAlign w:val="center"/>
          </w:tcPr>
          <w:p w14:paraId="4E56B3F9" w14:textId="77777777" w:rsidR="00DF3E10" w:rsidRDefault="00DF3E10">
            <w:pPr>
              <w:rPr>
                <w:rFonts w:ascii="Times New Roman" w:hAnsi="Times New Roman"/>
                <w:sz w:val="20"/>
                <w:szCs w:val="20"/>
              </w:rPr>
            </w:pPr>
          </w:p>
        </w:tc>
      </w:tr>
      <w:tr w:rsidR="00DF3E10" w14:paraId="4E56B3FD" w14:textId="77777777">
        <w:trPr>
          <w:tblCellSpacing w:w="0" w:type="dxa"/>
        </w:trPr>
        <w:tc>
          <w:tcPr>
            <w:tcW w:w="0" w:type="auto"/>
            <w:shd w:val="clear" w:color="auto" w:fill="auto"/>
          </w:tcPr>
          <w:p w14:paraId="4E56B3F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3F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foreign exchange controls and tax and other </w:t>
            </w:r>
            <w:r>
              <w:rPr>
                <w:rFonts w:ascii="Times New Roman" w:eastAsia="宋体" w:hAnsi="Times New Roman"/>
                <w:sz w:val="20"/>
                <w:szCs w:val="20"/>
              </w:rPr>
              <w:t>regulations and orders that might prevent us from repatriating cash earned in countries outside the United States or otherwise limit our ability to move cash freely, and impede our ability to invest such cash efficiently;</w:t>
            </w:r>
          </w:p>
        </w:tc>
      </w:tr>
    </w:tbl>
    <w:p w14:paraId="4E56B3F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705"/>
      </w:tblGrid>
      <w:tr w:rsidR="00DF3E10" w14:paraId="4E56B401" w14:textId="77777777">
        <w:trPr>
          <w:tblCellSpacing w:w="0" w:type="dxa"/>
        </w:trPr>
        <w:tc>
          <w:tcPr>
            <w:tcW w:w="1440" w:type="dxa"/>
            <w:shd w:val="clear" w:color="auto" w:fill="auto"/>
            <w:vAlign w:val="center"/>
          </w:tcPr>
          <w:p w14:paraId="4E56B3FF" w14:textId="77777777" w:rsidR="00DF3E10" w:rsidRDefault="00DF3E10">
            <w:pPr>
              <w:rPr>
                <w:rFonts w:ascii="Times New Roman" w:hAnsi="Times New Roman"/>
                <w:sz w:val="20"/>
                <w:szCs w:val="20"/>
              </w:rPr>
            </w:pPr>
          </w:p>
        </w:tc>
        <w:tc>
          <w:tcPr>
            <w:tcW w:w="0" w:type="auto"/>
            <w:shd w:val="clear" w:color="auto" w:fill="auto"/>
            <w:vAlign w:val="center"/>
          </w:tcPr>
          <w:p w14:paraId="4E56B400" w14:textId="77777777" w:rsidR="00DF3E10" w:rsidRDefault="00DF3E10">
            <w:pPr>
              <w:rPr>
                <w:rFonts w:ascii="Times New Roman" w:hAnsi="Times New Roman"/>
                <w:sz w:val="20"/>
                <w:szCs w:val="20"/>
              </w:rPr>
            </w:pPr>
          </w:p>
        </w:tc>
      </w:tr>
      <w:tr w:rsidR="00DF3E10" w14:paraId="4E56B404" w14:textId="77777777">
        <w:trPr>
          <w:tblCellSpacing w:w="0" w:type="dxa"/>
        </w:trPr>
        <w:tc>
          <w:tcPr>
            <w:tcW w:w="0" w:type="auto"/>
            <w:shd w:val="clear" w:color="auto" w:fill="auto"/>
          </w:tcPr>
          <w:p w14:paraId="4E56B40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0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higher levels of </w:t>
            </w:r>
            <w:r>
              <w:rPr>
                <w:rFonts w:ascii="Times New Roman" w:eastAsia="宋体" w:hAnsi="Times New Roman"/>
                <w:sz w:val="20"/>
                <w:szCs w:val="20"/>
              </w:rPr>
              <w:t>credit risk and payment fraud;</w:t>
            </w:r>
          </w:p>
        </w:tc>
      </w:tr>
    </w:tbl>
    <w:p w14:paraId="4E56B40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32"/>
      </w:tblGrid>
      <w:tr w:rsidR="00DF3E10" w14:paraId="4E56B408" w14:textId="77777777">
        <w:trPr>
          <w:tblCellSpacing w:w="0" w:type="dxa"/>
        </w:trPr>
        <w:tc>
          <w:tcPr>
            <w:tcW w:w="1440" w:type="dxa"/>
            <w:shd w:val="clear" w:color="auto" w:fill="auto"/>
            <w:vAlign w:val="center"/>
          </w:tcPr>
          <w:p w14:paraId="4E56B406" w14:textId="77777777" w:rsidR="00DF3E10" w:rsidRDefault="00DF3E10">
            <w:pPr>
              <w:rPr>
                <w:rFonts w:ascii="Times New Roman" w:hAnsi="Times New Roman"/>
                <w:sz w:val="20"/>
                <w:szCs w:val="20"/>
              </w:rPr>
            </w:pPr>
          </w:p>
        </w:tc>
        <w:tc>
          <w:tcPr>
            <w:tcW w:w="0" w:type="auto"/>
            <w:shd w:val="clear" w:color="auto" w:fill="auto"/>
            <w:vAlign w:val="center"/>
          </w:tcPr>
          <w:p w14:paraId="4E56B407" w14:textId="77777777" w:rsidR="00DF3E10" w:rsidRDefault="00DF3E10">
            <w:pPr>
              <w:rPr>
                <w:rFonts w:ascii="Times New Roman" w:hAnsi="Times New Roman"/>
                <w:sz w:val="20"/>
                <w:szCs w:val="20"/>
              </w:rPr>
            </w:pPr>
          </w:p>
        </w:tc>
      </w:tr>
      <w:tr w:rsidR="00DF3E10" w14:paraId="4E56B40B" w14:textId="77777777">
        <w:trPr>
          <w:tblCellSpacing w:w="0" w:type="dxa"/>
        </w:trPr>
        <w:tc>
          <w:tcPr>
            <w:tcW w:w="0" w:type="auto"/>
            <w:shd w:val="clear" w:color="auto" w:fill="auto"/>
          </w:tcPr>
          <w:p w14:paraId="4E56B40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0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difficulties of integrating any foreign acquisitions;</w:t>
            </w:r>
          </w:p>
        </w:tc>
      </w:tr>
    </w:tbl>
    <w:p w14:paraId="4E56B40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0F" w14:textId="77777777">
        <w:trPr>
          <w:tblCellSpacing w:w="0" w:type="dxa"/>
        </w:trPr>
        <w:tc>
          <w:tcPr>
            <w:tcW w:w="1440" w:type="dxa"/>
            <w:shd w:val="clear" w:color="auto" w:fill="auto"/>
            <w:vAlign w:val="center"/>
          </w:tcPr>
          <w:p w14:paraId="4E56B40D" w14:textId="77777777" w:rsidR="00DF3E10" w:rsidRDefault="00DF3E10">
            <w:pPr>
              <w:rPr>
                <w:rFonts w:ascii="Times New Roman" w:hAnsi="Times New Roman"/>
                <w:sz w:val="20"/>
                <w:szCs w:val="20"/>
              </w:rPr>
            </w:pPr>
          </w:p>
        </w:tc>
        <w:tc>
          <w:tcPr>
            <w:tcW w:w="0" w:type="auto"/>
            <w:shd w:val="clear" w:color="auto" w:fill="auto"/>
            <w:vAlign w:val="center"/>
          </w:tcPr>
          <w:p w14:paraId="4E56B40E" w14:textId="77777777" w:rsidR="00DF3E10" w:rsidRDefault="00DF3E10">
            <w:pPr>
              <w:rPr>
                <w:rFonts w:ascii="Times New Roman" w:hAnsi="Times New Roman"/>
                <w:sz w:val="20"/>
                <w:szCs w:val="20"/>
              </w:rPr>
            </w:pPr>
          </w:p>
        </w:tc>
      </w:tr>
      <w:tr w:rsidR="00DF3E10" w14:paraId="4E56B412" w14:textId="77777777">
        <w:trPr>
          <w:tblCellSpacing w:w="0" w:type="dxa"/>
        </w:trPr>
        <w:tc>
          <w:tcPr>
            <w:tcW w:w="0" w:type="auto"/>
            <w:shd w:val="clear" w:color="auto" w:fill="auto"/>
          </w:tcPr>
          <w:p w14:paraId="4E56B41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1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burdens of complying with a variety of foreign laws, including laws related to taxation, content removal, data localization, and </w:t>
            </w:r>
            <w:r>
              <w:rPr>
                <w:rFonts w:ascii="Times New Roman" w:eastAsia="宋体" w:hAnsi="Times New Roman"/>
                <w:sz w:val="20"/>
                <w:szCs w:val="20"/>
              </w:rPr>
              <w:t>regulatory oversight;</w:t>
            </w:r>
          </w:p>
        </w:tc>
      </w:tr>
    </w:tbl>
    <w:p w14:paraId="4E56B41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65"/>
      </w:tblGrid>
      <w:tr w:rsidR="00DF3E10" w14:paraId="4E56B416" w14:textId="77777777">
        <w:trPr>
          <w:tblCellSpacing w:w="0" w:type="dxa"/>
        </w:trPr>
        <w:tc>
          <w:tcPr>
            <w:tcW w:w="1440" w:type="dxa"/>
            <w:shd w:val="clear" w:color="auto" w:fill="auto"/>
            <w:vAlign w:val="center"/>
          </w:tcPr>
          <w:p w14:paraId="4E56B414" w14:textId="77777777" w:rsidR="00DF3E10" w:rsidRDefault="00DF3E10">
            <w:pPr>
              <w:rPr>
                <w:rFonts w:ascii="Times New Roman" w:hAnsi="Times New Roman"/>
                <w:sz w:val="20"/>
                <w:szCs w:val="20"/>
              </w:rPr>
            </w:pPr>
          </w:p>
        </w:tc>
        <w:tc>
          <w:tcPr>
            <w:tcW w:w="0" w:type="auto"/>
            <w:shd w:val="clear" w:color="auto" w:fill="auto"/>
            <w:vAlign w:val="center"/>
          </w:tcPr>
          <w:p w14:paraId="4E56B415" w14:textId="77777777" w:rsidR="00DF3E10" w:rsidRDefault="00DF3E10">
            <w:pPr>
              <w:rPr>
                <w:rFonts w:ascii="Times New Roman" w:hAnsi="Times New Roman"/>
                <w:sz w:val="20"/>
                <w:szCs w:val="20"/>
              </w:rPr>
            </w:pPr>
          </w:p>
        </w:tc>
      </w:tr>
      <w:tr w:rsidR="00DF3E10" w14:paraId="4E56B419" w14:textId="77777777">
        <w:trPr>
          <w:tblCellSpacing w:w="0" w:type="dxa"/>
        </w:trPr>
        <w:tc>
          <w:tcPr>
            <w:tcW w:w="0" w:type="auto"/>
            <w:shd w:val="clear" w:color="auto" w:fill="auto"/>
          </w:tcPr>
          <w:p w14:paraId="4E56B41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1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reduced protection for intellectual property rights in some countries;</w:t>
            </w:r>
          </w:p>
        </w:tc>
      </w:tr>
    </w:tbl>
    <w:p w14:paraId="4E56B41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1D" w14:textId="77777777">
        <w:trPr>
          <w:tblCellSpacing w:w="0" w:type="dxa"/>
        </w:trPr>
        <w:tc>
          <w:tcPr>
            <w:tcW w:w="1440" w:type="dxa"/>
            <w:shd w:val="clear" w:color="auto" w:fill="auto"/>
            <w:vAlign w:val="center"/>
          </w:tcPr>
          <w:p w14:paraId="4E56B41B" w14:textId="77777777" w:rsidR="00DF3E10" w:rsidRDefault="00DF3E10">
            <w:pPr>
              <w:rPr>
                <w:rFonts w:ascii="Times New Roman" w:hAnsi="Times New Roman"/>
                <w:sz w:val="20"/>
                <w:szCs w:val="20"/>
              </w:rPr>
            </w:pPr>
          </w:p>
        </w:tc>
        <w:tc>
          <w:tcPr>
            <w:tcW w:w="0" w:type="auto"/>
            <w:shd w:val="clear" w:color="auto" w:fill="auto"/>
            <w:vAlign w:val="center"/>
          </w:tcPr>
          <w:p w14:paraId="4E56B41C" w14:textId="77777777" w:rsidR="00DF3E10" w:rsidRDefault="00DF3E10">
            <w:pPr>
              <w:rPr>
                <w:rFonts w:ascii="Times New Roman" w:hAnsi="Times New Roman"/>
                <w:sz w:val="20"/>
                <w:szCs w:val="20"/>
              </w:rPr>
            </w:pPr>
          </w:p>
        </w:tc>
      </w:tr>
      <w:tr w:rsidR="00DF3E10" w14:paraId="4E56B420" w14:textId="77777777">
        <w:trPr>
          <w:tblCellSpacing w:w="0" w:type="dxa"/>
        </w:trPr>
        <w:tc>
          <w:tcPr>
            <w:tcW w:w="0" w:type="auto"/>
            <w:shd w:val="clear" w:color="auto" w:fill="auto"/>
          </w:tcPr>
          <w:p w14:paraId="4E56B41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1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difficulties in staffing, managing, and overseeing global operations and the increased travel, infrastructure, and legal compliance costs </w:t>
            </w:r>
            <w:r>
              <w:rPr>
                <w:rFonts w:ascii="Times New Roman" w:eastAsia="宋体" w:hAnsi="Times New Roman"/>
                <w:sz w:val="20"/>
                <w:szCs w:val="20"/>
              </w:rPr>
              <w:t>associated with multiple international locations;</w:t>
            </w:r>
          </w:p>
        </w:tc>
      </w:tr>
    </w:tbl>
    <w:p w14:paraId="4E56B42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24" w14:textId="77777777">
        <w:trPr>
          <w:tblCellSpacing w:w="0" w:type="dxa"/>
        </w:trPr>
        <w:tc>
          <w:tcPr>
            <w:tcW w:w="1440" w:type="dxa"/>
            <w:shd w:val="clear" w:color="auto" w:fill="auto"/>
            <w:vAlign w:val="center"/>
          </w:tcPr>
          <w:p w14:paraId="4E56B422" w14:textId="77777777" w:rsidR="00DF3E10" w:rsidRDefault="00DF3E10">
            <w:pPr>
              <w:rPr>
                <w:rFonts w:ascii="Times New Roman" w:hAnsi="Times New Roman"/>
                <w:sz w:val="20"/>
                <w:szCs w:val="20"/>
              </w:rPr>
            </w:pPr>
          </w:p>
        </w:tc>
        <w:tc>
          <w:tcPr>
            <w:tcW w:w="0" w:type="auto"/>
            <w:shd w:val="clear" w:color="auto" w:fill="auto"/>
            <w:vAlign w:val="center"/>
          </w:tcPr>
          <w:p w14:paraId="4E56B423" w14:textId="77777777" w:rsidR="00DF3E10" w:rsidRDefault="00DF3E10">
            <w:pPr>
              <w:rPr>
                <w:rFonts w:ascii="Times New Roman" w:hAnsi="Times New Roman"/>
                <w:sz w:val="20"/>
                <w:szCs w:val="20"/>
              </w:rPr>
            </w:pPr>
          </w:p>
        </w:tc>
      </w:tr>
      <w:tr w:rsidR="00DF3E10" w14:paraId="4E56B427" w14:textId="77777777">
        <w:trPr>
          <w:tblCellSpacing w:w="0" w:type="dxa"/>
        </w:trPr>
        <w:tc>
          <w:tcPr>
            <w:tcW w:w="0" w:type="auto"/>
            <w:shd w:val="clear" w:color="auto" w:fill="auto"/>
          </w:tcPr>
          <w:p w14:paraId="4E56B42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2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compliance with statutory equity requirements and management of tax consequences; and</w:t>
            </w:r>
          </w:p>
        </w:tc>
      </w:tr>
    </w:tbl>
    <w:p w14:paraId="4E56B42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2B" w14:textId="77777777">
        <w:trPr>
          <w:tblCellSpacing w:w="0" w:type="dxa"/>
        </w:trPr>
        <w:tc>
          <w:tcPr>
            <w:tcW w:w="1440" w:type="dxa"/>
            <w:shd w:val="clear" w:color="auto" w:fill="auto"/>
            <w:vAlign w:val="center"/>
          </w:tcPr>
          <w:p w14:paraId="4E56B429" w14:textId="77777777" w:rsidR="00DF3E10" w:rsidRDefault="00DF3E10">
            <w:pPr>
              <w:rPr>
                <w:rFonts w:ascii="Times New Roman" w:hAnsi="Times New Roman"/>
                <w:sz w:val="20"/>
                <w:szCs w:val="20"/>
              </w:rPr>
            </w:pPr>
          </w:p>
        </w:tc>
        <w:tc>
          <w:tcPr>
            <w:tcW w:w="0" w:type="auto"/>
            <w:shd w:val="clear" w:color="auto" w:fill="auto"/>
            <w:vAlign w:val="center"/>
          </w:tcPr>
          <w:p w14:paraId="4E56B42A" w14:textId="77777777" w:rsidR="00DF3E10" w:rsidRDefault="00DF3E10">
            <w:pPr>
              <w:rPr>
                <w:rFonts w:ascii="Times New Roman" w:hAnsi="Times New Roman"/>
                <w:sz w:val="20"/>
                <w:szCs w:val="20"/>
              </w:rPr>
            </w:pPr>
          </w:p>
        </w:tc>
      </w:tr>
      <w:tr w:rsidR="00DF3E10" w14:paraId="4E56B42E" w14:textId="77777777">
        <w:trPr>
          <w:tblCellSpacing w:w="0" w:type="dxa"/>
        </w:trPr>
        <w:tc>
          <w:tcPr>
            <w:tcW w:w="0" w:type="auto"/>
            <w:shd w:val="clear" w:color="auto" w:fill="auto"/>
          </w:tcPr>
          <w:p w14:paraId="4E56B42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2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geopolitical events affecting us, our marketers or our industry, including trade disputes and </w:t>
            </w:r>
            <w:r>
              <w:rPr>
                <w:rFonts w:ascii="Times New Roman" w:eastAsia="宋体" w:hAnsi="Times New Roman"/>
                <w:sz w:val="20"/>
                <w:szCs w:val="20"/>
              </w:rPr>
              <w:t>pandemics.</w:t>
            </w:r>
          </w:p>
        </w:tc>
      </w:tr>
    </w:tbl>
    <w:p w14:paraId="4E56B42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we must manage the potential conflicts between locally accepted business practices in any given jurisdiction and our obligations to comply with laws and regulations, including anti-corruption laws or regulations </w:t>
      </w:r>
      <w:r>
        <w:rPr>
          <w:rFonts w:ascii="Times New Roman" w:eastAsia="宋体" w:hAnsi="Times New Roman"/>
          <w:sz w:val="20"/>
          <w:szCs w:val="20"/>
        </w:rPr>
        <w:t>applicable to us, such as the U.S. Foreign Corrupt Practices Act, regulations established by the U.S. Office of Foreign Assets Control and the U.K. Bribery Act 2010. Government agencies and authorities have a broad range of civil and criminal penalties the</w:t>
      </w:r>
      <w:r>
        <w:rPr>
          <w:rFonts w:ascii="Times New Roman" w:eastAsia="宋体" w:hAnsi="Times New Roman"/>
          <w:sz w:val="20"/>
          <w:szCs w:val="20"/>
        </w:rPr>
        <w:t>y may seek to impose against companies for violations of export controls, anti-corruption laws or regulations, and other laws, rules, sanctions, embargoes, and regulations.</w:t>
      </w:r>
    </w:p>
    <w:p w14:paraId="4E56B430"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If we are unable to expand internationally and manage the complexity of our global </w:t>
      </w:r>
      <w:r>
        <w:rPr>
          <w:rFonts w:ascii="Times New Roman" w:eastAsia="宋体" w:hAnsi="Times New Roman"/>
          <w:sz w:val="20"/>
          <w:szCs w:val="20"/>
        </w:rPr>
        <w:t>operations successfully, our financial results could be adversely affected.</w:t>
      </w:r>
    </w:p>
    <w:p w14:paraId="4E56B431" w14:textId="77777777" w:rsidR="00DF3E10" w:rsidRDefault="00DF3E10">
      <w:pPr>
        <w:rPr>
          <w:rFonts w:ascii="Times New Roman" w:hAnsi="Times New Roman"/>
          <w:sz w:val="20"/>
          <w:szCs w:val="20"/>
        </w:rPr>
      </w:pPr>
    </w:p>
    <w:p w14:paraId="4E56B43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74</w:t>
      </w:r>
    </w:p>
    <w:p w14:paraId="4E56B433" w14:textId="77777777" w:rsidR="00DF3E10" w:rsidRDefault="006B6C28">
      <w:r>
        <w:rPr>
          <w:rFonts w:ascii="Times New Roman" w:hAnsi="Times New Roman"/>
          <w:sz w:val="20"/>
          <w:szCs w:val="20"/>
        </w:rPr>
        <w:pict w14:anchorId="4E56B7A7">
          <v:rect id="_x0000_i1098" style="width:415.3pt;height:1.5pt" o:hralign="center" o:hrstd="t" o:hr="t" fillcolor="#a0a0a0" stroked="f"/>
        </w:pict>
      </w:r>
    </w:p>
    <w:p w14:paraId="4E56B434" w14:textId="77777777" w:rsidR="00DF3E10" w:rsidRDefault="006B6C28">
      <w:pPr>
        <w:spacing w:line="288" w:lineRule="auto"/>
        <w:rPr>
          <w:rFonts w:ascii="Times New Roman" w:hAnsi="Times New Roman"/>
          <w:sz w:val="20"/>
          <w:szCs w:val="20"/>
        </w:rPr>
      </w:pPr>
      <w:hyperlink r:id="rId115" w:anchor="sC1FF62F0D4D85317B5B2C71C7C94F269" w:history="1">
        <w:r>
          <w:rPr>
            <w:rStyle w:val="a5"/>
            <w:rFonts w:ascii="Times New Roman" w:eastAsia="宋体" w:hAnsi="Times New Roman"/>
            <w:sz w:val="20"/>
            <w:szCs w:val="20"/>
          </w:rPr>
          <w:t>Table of Contents</w:t>
        </w:r>
      </w:hyperlink>
    </w:p>
    <w:p w14:paraId="4E56B435" w14:textId="77777777" w:rsidR="00DF3E10" w:rsidRDefault="00DF3E10">
      <w:pPr>
        <w:rPr>
          <w:rFonts w:ascii="Times New Roman" w:hAnsi="Times New Roman"/>
          <w:sz w:val="20"/>
          <w:szCs w:val="20"/>
        </w:rPr>
      </w:pPr>
    </w:p>
    <w:p w14:paraId="4E56B43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w:t>
      </w:r>
      <w:r>
        <w:rPr>
          <w:rFonts w:ascii="Times New Roman" w:eastAsia="宋体" w:hAnsi="Times New Roman"/>
          <w:b/>
          <w:bCs/>
          <w:i/>
          <w:iCs/>
          <w:sz w:val="20"/>
          <w:szCs w:val="20"/>
        </w:rPr>
        <w:t xml:space="preserve"> face design, manufacturing, and supply chain risks that, if not properly managed, could adversely impact our financial results.</w:t>
      </w:r>
    </w:p>
    <w:p w14:paraId="4E56B43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face a number of risks related to design, manufacturing, and supply chain management with respect to our consumer hardware p</w:t>
      </w:r>
      <w:r>
        <w:rPr>
          <w:rFonts w:ascii="Times New Roman" w:eastAsia="宋体" w:hAnsi="Times New Roman"/>
          <w:sz w:val="20"/>
          <w:szCs w:val="20"/>
        </w:rPr>
        <w:t>roducts. For example, the consumer hardware products we sell may have quality issues resulting from the design or manufacture of the products, or from the software used in the products. Sometimes, these issues may be caused by components we purchase from o</w:t>
      </w:r>
      <w:r>
        <w:rPr>
          <w:rFonts w:ascii="Times New Roman" w:eastAsia="宋体" w:hAnsi="Times New Roman"/>
          <w:sz w:val="20"/>
          <w:szCs w:val="20"/>
        </w:rPr>
        <w:t>ther manufacturers or suppliers. If the quality of our consumer hardware products does not meet our customers' expectations or such products are found to be defective, then our brand and financial results could be adversely affected.</w:t>
      </w:r>
    </w:p>
    <w:p w14:paraId="4E56B43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rely on third parti</w:t>
      </w:r>
      <w:r>
        <w:rPr>
          <w:rFonts w:ascii="Times New Roman" w:eastAsia="宋体" w:hAnsi="Times New Roman"/>
          <w:sz w:val="20"/>
          <w:szCs w:val="20"/>
        </w:rPr>
        <w:t xml:space="preserve">es to manufacture and manage the logistics of transporting and distributing our consumer hardware products, which subjects us to a number of risks that have been exacerbated as a result of the COVID-19 pandemic. We may experience supply shortages or other </w:t>
      </w:r>
      <w:r>
        <w:rPr>
          <w:rFonts w:ascii="Times New Roman" w:eastAsia="宋体" w:hAnsi="Times New Roman"/>
          <w:sz w:val="20"/>
          <w:szCs w:val="20"/>
        </w:rPr>
        <w:t>disruptions in logistics or the supply chain that could result in shipping delays and negatively impact our operations, product development, and sales. We could be negatively affected if we are not able to engage third parties with the necessary capabiliti</w:t>
      </w:r>
      <w:r>
        <w:rPr>
          <w:rFonts w:ascii="Times New Roman" w:eastAsia="宋体" w:hAnsi="Times New Roman"/>
          <w:sz w:val="20"/>
          <w:szCs w:val="20"/>
        </w:rPr>
        <w:t>es or capacity on reasonable terms, or if those we engage with fail to meet their obligations (whether due to financial difficulties, manufacturing constraints, or other reasons), or make adverse changes in the pricing or other material terms of such arran</w:t>
      </w:r>
      <w:r>
        <w:rPr>
          <w:rFonts w:ascii="Times New Roman" w:eastAsia="宋体" w:hAnsi="Times New Roman"/>
          <w:sz w:val="20"/>
          <w:szCs w:val="20"/>
        </w:rPr>
        <w:t>gements with them. The manufacturing, distribution, and sale of our consumer hardware products also may be negatively impacted by macroeconomic conditions, geopolitical challenges, trade disputes, or other actions by governments that subject us to supply s</w:t>
      </w:r>
      <w:r>
        <w:rPr>
          <w:rFonts w:ascii="Times New Roman" w:eastAsia="宋体" w:hAnsi="Times New Roman"/>
          <w:sz w:val="20"/>
          <w:szCs w:val="20"/>
        </w:rPr>
        <w:t>hortages, increased costs, or supply chain disruptions.</w:t>
      </w:r>
    </w:p>
    <w:p w14:paraId="4E56B43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also require the suppliers and business partners of our consumer hardware products to comply with laws and certain company policies regarding sourcing practices and standards on labor, health and s</w:t>
      </w:r>
      <w:r>
        <w:rPr>
          <w:rFonts w:ascii="Times New Roman" w:eastAsia="宋体" w:hAnsi="Times New Roman"/>
          <w:sz w:val="20"/>
          <w:szCs w:val="20"/>
        </w:rPr>
        <w:t>afety, the environment, and business ethics, but we do not control them or their practices and standards. If any of them violates laws, fails to implement changes in accordance with newly enacted laws, or implements practices or standards regarded as uneth</w:t>
      </w:r>
      <w:r>
        <w:rPr>
          <w:rFonts w:ascii="Times New Roman" w:eastAsia="宋体" w:hAnsi="Times New Roman"/>
          <w:sz w:val="20"/>
          <w:szCs w:val="20"/>
        </w:rPr>
        <w:t>ical, corrupt, or non-compliant, we could experience supply chain disruptions, government action or fines, canceled orders, or damage to our reputation.</w:t>
      </w:r>
    </w:p>
    <w:p w14:paraId="4E56B43A" w14:textId="77777777" w:rsidR="00DF3E10" w:rsidRDefault="006B6C28">
      <w:pPr>
        <w:spacing w:line="288" w:lineRule="auto"/>
        <w:rPr>
          <w:rFonts w:ascii="Times New Roman" w:hAnsi="Times New Roman"/>
          <w:sz w:val="20"/>
          <w:szCs w:val="20"/>
        </w:rPr>
      </w:pPr>
      <w:r>
        <w:rPr>
          <w:rFonts w:ascii="Times New Roman" w:eastAsia="宋体" w:hAnsi="Times New Roman"/>
          <w:b/>
          <w:bCs/>
          <w:i/>
          <w:iCs/>
          <w:sz w:val="20"/>
          <w:szCs w:val="20"/>
        </w:rPr>
        <w:t>We face inventory risk with respect to our consumer hardware products.</w:t>
      </w:r>
    </w:p>
    <w:p w14:paraId="4E56B43B"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inventory risk</w:t>
      </w:r>
      <w:r>
        <w:rPr>
          <w:rFonts w:ascii="Times New Roman" w:eastAsia="宋体" w:hAnsi="Times New Roman"/>
          <w:sz w:val="20"/>
          <w:szCs w:val="20"/>
        </w:rPr>
        <w:t>s with respect to our consumer hardware products as a result of rapid changes in product cycles and pricing, unsafe or defective merchandise, changes in consumer demand and consumer spending patterns, changes in consumer tastes with respect to our consumer</w:t>
      </w:r>
      <w:r>
        <w:rPr>
          <w:rFonts w:ascii="Times New Roman" w:eastAsia="宋体" w:hAnsi="Times New Roman"/>
          <w:sz w:val="20"/>
          <w:szCs w:val="20"/>
        </w:rPr>
        <w:t xml:space="preserve"> hardware products, and other factors. The demand for our products can also change significantly between the time inventory or components are ordered and the date of sale. While we endeavor to accurately predict these trends and avoid overstocking or under</w:t>
      </w:r>
      <w:r>
        <w:rPr>
          <w:rFonts w:ascii="Times New Roman" w:eastAsia="宋体" w:hAnsi="Times New Roman"/>
          <w:sz w:val="20"/>
          <w:szCs w:val="20"/>
        </w:rPr>
        <w:t>stocking consumer hardware products we may sell, from time to time we have experienced difficulties in accurately predicting and meeting the consumer demand for our products. In addition, when we begin selling or manufacturing a new consumer hardware produ</w:t>
      </w:r>
      <w:r>
        <w:rPr>
          <w:rFonts w:ascii="Times New Roman" w:eastAsia="宋体" w:hAnsi="Times New Roman"/>
          <w:sz w:val="20"/>
          <w:szCs w:val="20"/>
        </w:rPr>
        <w:t>ct or enter new international markets, it may be difficult to establish vendor relationships, determine appropriate product or component selection, and accurately forecast demand. The acquisition of certain types of inventory or components may require sign</w:t>
      </w:r>
      <w:r>
        <w:rPr>
          <w:rFonts w:ascii="Times New Roman" w:eastAsia="宋体" w:hAnsi="Times New Roman"/>
          <w:sz w:val="20"/>
          <w:szCs w:val="20"/>
        </w:rPr>
        <w:t>ificant lead-time and prepayment and they may not be returnable. Any one of the foregoing factors may adversely affect our operating results.</w:t>
      </w:r>
    </w:p>
    <w:p w14:paraId="4E56B43C"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may have exposure to greater than anticipated tax liabilities.</w:t>
      </w:r>
    </w:p>
    <w:p w14:paraId="4E56B43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tax obligations, including income and non-in</w:t>
      </w:r>
      <w:r>
        <w:rPr>
          <w:rFonts w:ascii="Times New Roman" w:eastAsia="宋体" w:hAnsi="Times New Roman"/>
          <w:sz w:val="20"/>
          <w:szCs w:val="20"/>
        </w:rPr>
        <w:t>come taxes, are based in part on our corporate operating structure and intercompany arrangements, including the manner in which we operate our business, develop, value, manage, protect, and use our intellectual property, and the valuations of our intercomp</w:t>
      </w:r>
      <w:r>
        <w:rPr>
          <w:rFonts w:ascii="Times New Roman" w:eastAsia="宋体" w:hAnsi="Times New Roman"/>
          <w:sz w:val="20"/>
          <w:szCs w:val="20"/>
        </w:rPr>
        <w:t>any transactions. The tax laws applicable to our business, including the laws of the United States and other jurisdictions, are subject to interpretation and certain jurisdictions are aggressively interpreting their laws in new ways in an effort to raise a</w:t>
      </w:r>
      <w:r>
        <w:rPr>
          <w:rFonts w:ascii="Times New Roman" w:eastAsia="宋体" w:hAnsi="Times New Roman"/>
          <w:sz w:val="20"/>
          <w:szCs w:val="20"/>
        </w:rPr>
        <w:t>dditional tax revenue from companies such as Facebook. We are subject to regular review and audit by U.S. federal, state, and foreign tax authorities. Tax authorities may disagree with certain positions we have taken, including our methodologies for valuin</w:t>
      </w:r>
      <w:r>
        <w:rPr>
          <w:rFonts w:ascii="Times New Roman" w:eastAsia="宋体" w:hAnsi="Times New Roman"/>
          <w:sz w:val="20"/>
          <w:szCs w:val="20"/>
        </w:rPr>
        <w:t>g developed technology or intercompany arrangements, and any adverse outcome of such a review or audit could increase our worldwide effective tax rate, increase the amount of non-income taxes imposed on our business, and harm our financial position, result</w:t>
      </w:r>
      <w:r>
        <w:rPr>
          <w:rFonts w:ascii="Times New Roman" w:eastAsia="宋体" w:hAnsi="Times New Roman"/>
          <w:sz w:val="20"/>
          <w:szCs w:val="20"/>
        </w:rPr>
        <w:t>s of operations, and cash flows. For example, in 2016 and 2018, the IRS issued formal assessments relating to transfer pricing with our foreign subsidiaries in conjunction with the examination of the 2010 through 2013 tax years. Although we disagree with t</w:t>
      </w:r>
      <w:r>
        <w:rPr>
          <w:rFonts w:ascii="Times New Roman" w:eastAsia="宋体" w:hAnsi="Times New Roman"/>
          <w:sz w:val="20"/>
          <w:szCs w:val="20"/>
        </w:rPr>
        <w:t>he IRS's position and are litigating this issue, the ultimate resolution is uncertain and, if resolved in a manner unfavorable to us, may adversely affect our financial results.</w:t>
      </w:r>
    </w:p>
    <w:p w14:paraId="4E56B43E"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determination of our worldwide provision for income taxes and other tax li</w:t>
      </w:r>
      <w:r>
        <w:rPr>
          <w:rFonts w:ascii="Times New Roman" w:eastAsia="宋体" w:hAnsi="Times New Roman"/>
          <w:sz w:val="20"/>
          <w:szCs w:val="20"/>
        </w:rPr>
        <w:t>abilities requires significant judgment by management, and there are many transactions where the ultimate tax determination is uncertain. Our provision for income taxes is determined by the manner in which we operate our business, and any changes to such o</w:t>
      </w:r>
      <w:r>
        <w:rPr>
          <w:rFonts w:ascii="Times New Roman" w:eastAsia="宋体" w:hAnsi="Times New Roman"/>
          <w:sz w:val="20"/>
          <w:szCs w:val="20"/>
        </w:rPr>
        <w:t>perations or laws applicable to such operations may affect our effective tax rate. Although we believe that our provision for income taxes and estimates of our non-</w:t>
      </w:r>
    </w:p>
    <w:p w14:paraId="4E56B43F" w14:textId="77777777" w:rsidR="00DF3E10" w:rsidRDefault="00DF3E10">
      <w:pPr>
        <w:rPr>
          <w:rFonts w:ascii="Times New Roman" w:hAnsi="Times New Roman"/>
          <w:sz w:val="20"/>
          <w:szCs w:val="20"/>
        </w:rPr>
      </w:pPr>
    </w:p>
    <w:p w14:paraId="4E56B440"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75</w:t>
      </w:r>
    </w:p>
    <w:p w14:paraId="4E56B441" w14:textId="77777777" w:rsidR="00DF3E10" w:rsidRDefault="006B6C28">
      <w:r>
        <w:rPr>
          <w:rFonts w:ascii="Times New Roman" w:hAnsi="Times New Roman"/>
          <w:sz w:val="20"/>
          <w:szCs w:val="20"/>
        </w:rPr>
        <w:pict w14:anchorId="4E56B7A8">
          <v:rect id="_x0000_i1099" style="width:415.3pt;height:1.5pt" o:hralign="center" o:hrstd="t" o:hr="t" fillcolor="#a0a0a0" stroked="f"/>
        </w:pict>
      </w:r>
    </w:p>
    <w:p w14:paraId="4E56B442" w14:textId="77777777" w:rsidR="00DF3E10" w:rsidRDefault="006B6C28">
      <w:pPr>
        <w:spacing w:line="288" w:lineRule="auto"/>
        <w:rPr>
          <w:rFonts w:ascii="Times New Roman" w:hAnsi="Times New Roman"/>
          <w:sz w:val="20"/>
          <w:szCs w:val="20"/>
        </w:rPr>
      </w:pPr>
      <w:hyperlink r:id="rId116" w:anchor="sC1FF62F0D4D85317B5B2C71C7C94F269" w:history="1">
        <w:r>
          <w:rPr>
            <w:rStyle w:val="a5"/>
            <w:rFonts w:ascii="Times New Roman" w:eastAsia="宋体" w:hAnsi="Times New Roman"/>
            <w:sz w:val="20"/>
            <w:szCs w:val="20"/>
          </w:rPr>
          <w:t>Table of Contents</w:t>
        </w:r>
      </w:hyperlink>
    </w:p>
    <w:p w14:paraId="4E56B443" w14:textId="77777777" w:rsidR="00DF3E10" w:rsidRDefault="00DF3E10">
      <w:pPr>
        <w:rPr>
          <w:rFonts w:ascii="Times New Roman" w:hAnsi="Times New Roman"/>
          <w:sz w:val="20"/>
          <w:szCs w:val="20"/>
        </w:rPr>
      </w:pPr>
    </w:p>
    <w:p w14:paraId="4E56B444"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income tax liabilities are reasonable, the ultimate settlement may differ from the amounts recorded in our financial statements and may materially affect our financial r</w:t>
      </w:r>
      <w:r>
        <w:rPr>
          <w:rFonts w:ascii="Times New Roman" w:eastAsia="宋体" w:hAnsi="Times New Roman"/>
          <w:sz w:val="20"/>
          <w:szCs w:val="20"/>
        </w:rPr>
        <w:t>esults in the period or periods for which such determination is made. </w:t>
      </w:r>
    </w:p>
    <w:p w14:paraId="4E56B445"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future income tax rates could be volatile and difficult to predict due to changes in jurisdictional profit split, changes in the amount and recognition of deferred tax assets and </w:t>
      </w:r>
      <w:r>
        <w:rPr>
          <w:rFonts w:ascii="Times New Roman" w:eastAsia="宋体" w:hAnsi="Times New Roman"/>
          <w:sz w:val="20"/>
          <w:szCs w:val="20"/>
        </w:rPr>
        <w:t>liabilities, or by changes in tax laws, regulations, or accounting principles.</w:t>
      </w:r>
    </w:p>
    <w:p w14:paraId="4E56B446"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Changes in tax laws or tax rulings could materially affect our financial position, results of operations, and cash flows.</w:t>
      </w:r>
    </w:p>
    <w:p w14:paraId="4E56B447"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tax regimes we are subject to or operate under, inc</w:t>
      </w:r>
      <w:r>
        <w:rPr>
          <w:rFonts w:ascii="Times New Roman" w:eastAsia="宋体" w:hAnsi="Times New Roman"/>
          <w:sz w:val="20"/>
          <w:szCs w:val="20"/>
        </w:rPr>
        <w:t xml:space="preserve">luding income and non-income taxes, are unsettled and may be subject to significant change. Changes in tax laws or tax rulings, or changes in interpretations of existing laws, could materially affect our financial position, results of operations, and cash </w:t>
      </w:r>
      <w:r>
        <w:rPr>
          <w:rFonts w:ascii="Times New Roman" w:eastAsia="宋体" w:hAnsi="Times New Roman"/>
          <w:sz w:val="20"/>
          <w:szCs w:val="20"/>
        </w:rPr>
        <w:t>flows. For example, the 2017 Tax Cuts and Jobs Act (Tax Act) enacted in December 2017 had a significant impact on our tax obligations and effective tax rate for the fourth quarter of 2017, and the issuance of additional regulatory or accounting guidance re</w:t>
      </w:r>
      <w:r>
        <w:rPr>
          <w:rFonts w:ascii="Times New Roman" w:eastAsia="宋体" w:hAnsi="Times New Roman"/>
          <w:sz w:val="20"/>
          <w:szCs w:val="20"/>
        </w:rPr>
        <w:t xml:space="preserve">lated to the Tax Act could materially affect our tax obligations and effective tax rate in the period issued. In addition, many countries in Europe, as well as a number of other countries and organizations, have recently proposed or recommended changes to </w:t>
      </w:r>
      <w:r>
        <w:rPr>
          <w:rFonts w:ascii="Times New Roman" w:eastAsia="宋体" w:hAnsi="Times New Roman"/>
          <w:sz w:val="20"/>
          <w:szCs w:val="20"/>
        </w:rPr>
        <w:t>existing tax laws or have enacted new laws that could significantly increase our tax obligations in many countries where we do business or require us to change the manner in which we operate our business.</w:t>
      </w:r>
    </w:p>
    <w:p w14:paraId="4E56B44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Organization for Economic </w:t>
      </w:r>
      <w:r>
        <w:rPr>
          <w:rFonts w:ascii="Times New Roman" w:eastAsia="宋体" w:hAnsi="Times New Roman"/>
          <w:sz w:val="20"/>
          <w:szCs w:val="20"/>
        </w:rPr>
        <w:t>Cooperation and Development has been working on a Base Erosion and Profit Shifting Project, and issued a report in 2015, an interim report in 2018, and is expected to continue to issue guidelines and proposals that may change various aspects of the existin</w:t>
      </w:r>
      <w:r>
        <w:rPr>
          <w:rFonts w:ascii="Times New Roman" w:eastAsia="宋体" w:hAnsi="Times New Roman"/>
          <w:sz w:val="20"/>
          <w:szCs w:val="20"/>
        </w:rPr>
        <w:t>g framework under which our tax obligations are determined in many of the countries in which we do business. Similarly, the European Commission and several countries have issued proposals that would change various aspects of the current tax framework under</w:t>
      </w:r>
      <w:r>
        <w:rPr>
          <w:rFonts w:ascii="Times New Roman" w:eastAsia="宋体" w:hAnsi="Times New Roman"/>
          <w:sz w:val="20"/>
          <w:szCs w:val="20"/>
        </w:rPr>
        <w:t xml:space="preserve"> which we are taxed. These proposals include changes to the existing framework to calculate income tax, as well as proposals to change or impose new types of non-income taxes, including taxes based on a percentage of revenue. For example, several countries</w:t>
      </w:r>
      <w:r>
        <w:rPr>
          <w:rFonts w:ascii="Times New Roman" w:eastAsia="宋体" w:hAnsi="Times New Roman"/>
          <w:sz w:val="20"/>
          <w:szCs w:val="20"/>
        </w:rPr>
        <w:t xml:space="preserve"> have proposed or enacted taxes applicable to digital services, which includes business activities on social media platforms and online marketplaces, and would likely apply to our business.</w:t>
      </w:r>
    </w:p>
    <w:p w14:paraId="4E56B449"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European Commission has conducted investigations in multiple c</w:t>
      </w:r>
      <w:r>
        <w:rPr>
          <w:rFonts w:ascii="Times New Roman" w:eastAsia="宋体" w:hAnsi="Times New Roman"/>
          <w:sz w:val="20"/>
          <w:szCs w:val="20"/>
        </w:rPr>
        <w:t>ountries focusing on whether local country tax rulings or tax legislation provides preferential tax treatment that violates European Union state aid rules and concluded that certain countries, including Ireland, have provided illegal state aid in certain c</w:t>
      </w:r>
      <w:r>
        <w:rPr>
          <w:rFonts w:ascii="Times New Roman" w:eastAsia="宋体" w:hAnsi="Times New Roman"/>
          <w:sz w:val="20"/>
          <w:szCs w:val="20"/>
        </w:rPr>
        <w:t xml:space="preserve">ases. These investigations may result in changes to the tax treatment of our foreign operations. </w:t>
      </w:r>
    </w:p>
    <w:p w14:paraId="4E56B44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Due to the large and expanding scale of our international business activities, many of these types of changes to the taxation of our activities described abov</w:t>
      </w:r>
      <w:r>
        <w:rPr>
          <w:rFonts w:ascii="Times New Roman" w:eastAsia="宋体" w:hAnsi="Times New Roman"/>
          <w:sz w:val="20"/>
          <w:szCs w:val="20"/>
        </w:rPr>
        <w:t>e could increase our worldwide effective tax rate, increase the amount of non-income taxes imposed on our business, and harm our financial position, results of operations, and cash flows. Such changes may also apply retroactively to our historical operatio</w:t>
      </w:r>
      <w:r>
        <w:rPr>
          <w:rFonts w:ascii="Times New Roman" w:eastAsia="宋体" w:hAnsi="Times New Roman"/>
          <w:sz w:val="20"/>
          <w:szCs w:val="20"/>
        </w:rPr>
        <w:t>ns and result in taxes greater than the amounts estimated and recorded in our financial statements.</w:t>
      </w:r>
    </w:p>
    <w:p w14:paraId="4E56B44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cannot guarantee that our share repurchase program will be fully consummated or that it will enhance long-term stockholder value. Share repurchases could</w:t>
      </w:r>
      <w:r>
        <w:rPr>
          <w:rFonts w:ascii="Times New Roman" w:eastAsia="宋体" w:hAnsi="Times New Roman"/>
          <w:b/>
          <w:bCs/>
          <w:i/>
          <w:iCs/>
          <w:sz w:val="20"/>
          <w:szCs w:val="20"/>
        </w:rPr>
        <w:t xml:space="preserve"> also increase the volatility of the trading price of our stock and will diminish our cash reserves.</w:t>
      </w:r>
    </w:p>
    <w:p w14:paraId="4E56B44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Although our board of directors has authorized a share repurchase program that does not have an expiration date, the program does not obligate us to repurc</w:t>
      </w:r>
      <w:r>
        <w:rPr>
          <w:rFonts w:ascii="Times New Roman" w:eastAsia="宋体" w:hAnsi="Times New Roman"/>
          <w:sz w:val="20"/>
          <w:szCs w:val="20"/>
        </w:rPr>
        <w:t>hase any specific dollar amount or to acquire any specific number of shares of our Class A common stock. We cannot guarantee that the program will be fully consummated or that it will enhance long-term stockholder value. The program could affect the tradin</w:t>
      </w:r>
      <w:r>
        <w:rPr>
          <w:rFonts w:ascii="Times New Roman" w:eastAsia="宋体" w:hAnsi="Times New Roman"/>
          <w:sz w:val="20"/>
          <w:szCs w:val="20"/>
        </w:rPr>
        <w:t>g price of our stock and increase volatility, and any announcement of a termination of this program may result in a decrease in the trading price of our stock. In addition, this program will diminish our cash reserves.</w:t>
      </w:r>
    </w:p>
    <w:p w14:paraId="4E56B44D"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sz w:val="20"/>
          <w:szCs w:val="20"/>
        </w:rPr>
        <w:t>Risks Related to Ownership of Our Cla</w:t>
      </w:r>
      <w:r>
        <w:rPr>
          <w:rFonts w:ascii="Times New Roman" w:eastAsia="宋体" w:hAnsi="Times New Roman"/>
          <w:b/>
          <w:bCs/>
          <w:sz w:val="20"/>
          <w:szCs w:val="20"/>
        </w:rPr>
        <w:t>ss A Common Stock</w:t>
      </w:r>
    </w:p>
    <w:p w14:paraId="4E56B44E"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The trading price of our Class A common stock has been and will likely continue to be volatile.</w:t>
      </w:r>
    </w:p>
    <w:p w14:paraId="4E56B44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The trading price of our Class A common stock has been, and is likely to continue to be, volatile. Since shares of our Class A common stock we</w:t>
      </w:r>
      <w:r>
        <w:rPr>
          <w:rFonts w:ascii="Times New Roman" w:eastAsia="宋体" w:hAnsi="Times New Roman"/>
          <w:sz w:val="20"/>
          <w:szCs w:val="20"/>
        </w:rPr>
        <w:t>re sold in our initial public offering in May 2012 at a price of $38.00 per share, our stock price has ranged from $17.55 to $245.19 through June 30, 2020. In addition to the factors discussed in this Quarterly Report on Form 10-Q, the trading price of our</w:t>
      </w:r>
      <w:r>
        <w:rPr>
          <w:rFonts w:ascii="Times New Roman" w:eastAsia="宋体" w:hAnsi="Times New Roman"/>
          <w:sz w:val="20"/>
          <w:szCs w:val="20"/>
        </w:rPr>
        <w:t xml:space="preserve"> Class A common stock may fluctuate significantly in response to numerous factors, many of which are beyond our control, including:</w:t>
      </w:r>
    </w:p>
    <w:p w14:paraId="4E56B450" w14:textId="77777777" w:rsidR="00DF3E10" w:rsidRDefault="00DF3E10">
      <w:pPr>
        <w:rPr>
          <w:rFonts w:ascii="Times New Roman" w:hAnsi="Times New Roman"/>
          <w:sz w:val="20"/>
          <w:szCs w:val="20"/>
        </w:rPr>
      </w:pPr>
    </w:p>
    <w:p w14:paraId="4E56B45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76</w:t>
      </w:r>
    </w:p>
    <w:p w14:paraId="4E56B452" w14:textId="77777777" w:rsidR="00DF3E10" w:rsidRDefault="006B6C28">
      <w:r>
        <w:rPr>
          <w:rFonts w:ascii="Times New Roman" w:hAnsi="Times New Roman"/>
          <w:sz w:val="20"/>
          <w:szCs w:val="20"/>
        </w:rPr>
        <w:pict w14:anchorId="4E56B7A9">
          <v:rect id="_x0000_i1100" style="width:415.3pt;height:1.5pt" o:hralign="center" o:hrstd="t" o:hr="t" fillcolor="#a0a0a0" stroked="f"/>
        </w:pict>
      </w:r>
    </w:p>
    <w:p w14:paraId="4E56B453" w14:textId="77777777" w:rsidR="00DF3E10" w:rsidRDefault="006B6C28">
      <w:pPr>
        <w:spacing w:line="288" w:lineRule="auto"/>
        <w:rPr>
          <w:rFonts w:ascii="Times New Roman" w:hAnsi="Times New Roman"/>
          <w:sz w:val="20"/>
          <w:szCs w:val="20"/>
        </w:rPr>
      </w:pPr>
      <w:hyperlink r:id="rId117" w:anchor="sC1FF62F0D4D85317B5B2C71C7C94F269" w:history="1">
        <w:r>
          <w:rPr>
            <w:rStyle w:val="a5"/>
            <w:rFonts w:ascii="Times New Roman" w:eastAsia="宋体" w:hAnsi="Times New Roman"/>
            <w:sz w:val="20"/>
            <w:szCs w:val="20"/>
          </w:rPr>
          <w:t>Table of Contents</w:t>
        </w:r>
      </w:hyperlink>
    </w:p>
    <w:p w14:paraId="4E56B454"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054"/>
      </w:tblGrid>
      <w:tr w:rsidR="00DF3E10" w14:paraId="4E56B457" w14:textId="77777777">
        <w:trPr>
          <w:tblCellSpacing w:w="0" w:type="dxa"/>
        </w:trPr>
        <w:tc>
          <w:tcPr>
            <w:tcW w:w="1440" w:type="dxa"/>
            <w:shd w:val="clear" w:color="auto" w:fill="auto"/>
            <w:vAlign w:val="center"/>
          </w:tcPr>
          <w:p w14:paraId="4E56B455" w14:textId="77777777" w:rsidR="00DF3E10" w:rsidRDefault="00DF3E10">
            <w:pPr>
              <w:rPr>
                <w:rFonts w:ascii="Times New Roman" w:hAnsi="Times New Roman"/>
                <w:sz w:val="20"/>
                <w:szCs w:val="20"/>
              </w:rPr>
            </w:pPr>
          </w:p>
        </w:tc>
        <w:tc>
          <w:tcPr>
            <w:tcW w:w="0" w:type="auto"/>
            <w:shd w:val="clear" w:color="auto" w:fill="auto"/>
            <w:vAlign w:val="center"/>
          </w:tcPr>
          <w:p w14:paraId="4E56B456" w14:textId="77777777" w:rsidR="00DF3E10" w:rsidRDefault="00DF3E10">
            <w:pPr>
              <w:rPr>
                <w:rFonts w:ascii="Times New Roman" w:hAnsi="Times New Roman"/>
                <w:sz w:val="20"/>
                <w:szCs w:val="20"/>
              </w:rPr>
            </w:pPr>
          </w:p>
        </w:tc>
      </w:tr>
      <w:tr w:rsidR="00DF3E10" w14:paraId="4E56B45A" w14:textId="77777777">
        <w:trPr>
          <w:tblCellSpacing w:w="0" w:type="dxa"/>
        </w:trPr>
        <w:tc>
          <w:tcPr>
            <w:tcW w:w="0" w:type="auto"/>
            <w:shd w:val="clear" w:color="auto" w:fill="auto"/>
          </w:tcPr>
          <w:p w14:paraId="4E56B45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59"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actual or anticipated fluctuations in our revenue and other operating results;</w:t>
            </w:r>
          </w:p>
        </w:tc>
      </w:tr>
    </w:tbl>
    <w:p w14:paraId="4E56B45B"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5E" w14:textId="77777777">
        <w:trPr>
          <w:tblCellSpacing w:w="0" w:type="dxa"/>
        </w:trPr>
        <w:tc>
          <w:tcPr>
            <w:tcW w:w="1440" w:type="dxa"/>
            <w:shd w:val="clear" w:color="auto" w:fill="auto"/>
            <w:vAlign w:val="center"/>
          </w:tcPr>
          <w:p w14:paraId="4E56B45C" w14:textId="77777777" w:rsidR="00DF3E10" w:rsidRDefault="00DF3E10">
            <w:pPr>
              <w:rPr>
                <w:rFonts w:ascii="Times New Roman" w:hAnsi="Times New Roman"/>
                <w:sz w:val="20"/>
                <w:szCs w:val="20"/>
              </w:rPr>
            </w:pPr>
          </w:p>
        </w:tc>
        <w:tc>
          <w:tcPr>
            <w:tcW w:w="0" w:type="auto"/>
            <w:shd w:val="clear" w:color="auto" w:fill="auto"/>
            <w:vAlign w:val="center"/>
          </w:tcPr>
          <w:p w14:paraId="4E56B45D" w14:textId="77777777" w:rsidR="00DF3E10" w:rsidRDefault="00DF3E10">
            <w:pPr>
              <w:rPr>
                <w:rFonts w:ascii="Times New Roman" w:hAnsi="Times New Roman"/>
                <w:sz w:val="20"/>
                <w:szCs w:val="20"/>
              </w:rPr>
            </w:pPr>
          </w:p>
        </w:tc>
      </w:tr>
      <w:tr w:rsidR="00DF3E10" w14:paraId="4E56B461" w14:textId="77777777">
        <w:trPr>
          <w:tblCellSpacing w:w="0" w:type="dxa"/>
        </w:trPr>
        <w:tc>
          <w:tcPr>
            <w:tcW w:w="0" w:type="auto"/>
            <w:shd w:val="clear" w:color="auto" w:fill="auto"/>
          </w:tcPr>
          <w:p w14:paraId="4E56B45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60"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financial projections we may provide to the public, any changes in these projections or our failure to </w:t>
            </w:r>
            <w:r>
              <w:rPr>
                <w:rFonts w:ascii="Times New Roman" w:eastAsia="宋体" w:hAnsi="Times New Roman"/>
                <w:sz w:val="20"/>
                <w:szCs w:val="20"/>
              </w:rPr>
              <w:t>meet these projections;</w:t>
            </w:r>
          </w:p>
        </w:tc>
      </w:tr>
    </w:tbl>
    <w:p w14:paraId="4E56B462"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65" w14:textId="77777777">
        <w:trPr>
          <w:tblCellSpacing w:w="0" w:type="dxa"/>
        </w:trPr>
        <w:tc>
          <w:tcPr>
            <w:tcW w:w="1440" w:type="dxa"/>
            <w:shd w:val="clear" w:color="auto" w:fill="auto"/>
            <w:vAlign w:val="center"/>
          </w:tcPr>
          <w:p w14:paraId="4E56B463" w14:textId="77777777" w:rsidR="00DF3E10" w:rsidRDefault="00DF3E10">
            <w:pPr>
              <w:rPr>
                <w:rFonts w:ascii="Times New Roman" w:hAnsi="Times New Roman"/>
                <w:sz w:val="20"/>
                <w:szCs w:val="20"/>
              </w:rPr>
            </w:pPr>
          </w:p>
        </w:tc>
        <w:tc>
          <w:tcPr>
            <w:tcW w:w="0" w:type="auto"/>
            <w:shd w:val="clear" w:color="auto" w:fill="auto"/>
            <w:vAlign w:val="center"/>
          </w:tcPr>
          <w:p w14:paraId="4E56B464" w14:textId="77777777" w:rsidR="00DF3E10" w:rsidRDefault="00DF3E10">
            <w:pPr>
              <w:rPr>
                <w:rFonts w:ascii="Times New Roman" w:hAnsi="Times New Roman"/>
                <w:sz w:val="20"/>
                <w:szCs w:val="20"/>
              </w:rPr>
            </w:pPr>
          </w:p>
        </w:tc>
      </w:tr>
      <w:tr w:rsidR="00DF3E10" w14:paraId="4E56B468" w14:textId="77777777">
        <w:trPr>
          <w:tblCellSpacing w:w="0" w:type="dxa"/>
        </w:trPr>
        <w:tc>
          <w:tcPr>
            <w:tcW w:w="0" w:type="auto"/>
            <w:shd w:val="clear" w:color="auto" w:fill="auto"/>
          </w:tcPr>
          <w:p w14:paraId="4E56B466"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67"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actions of securities analysts who initiate or maintain coverage of us, changes in financial estimates by any securities analysts who follow our company, or our failure to meet these estimates or the expectations of </w:t>
            </w:r>
            <w:r>
              <w:rPr>
                <w:rFonts w:ascii="Times New Roman" w:eastAsia="宋体" w:hAnsi="Times New Roman"/>
                <w:sz w:val="20"/>
                <w:szCs w:val="20"/>
              </w:rPr>
              <w:t>investors;</w:t>
            </w:r>
          </w:p>
        </w:tc>
      </w:tr>
    </w:tbl>
    <w:p w14:paraId="4E56B469"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6C" w14:textId="77777777">
        <w:trPr>
          <w:tblCellSpacing w:w="0" w:type="dxa"/>
        </w:trPr>
        <w:tc>
          <w:tcPr>
            <w:tcW w:w="1440" w:type="dxa"/>
            <w:shd w:val="clear" w:color="auto" w:fill="auto"/>
            <w:vAlign w:val="center"/>
          </w:tcPr>
          <w:p w14:paraId="4E56B46A" w14:textId="77777777" w:rsidR="00DF3E10" w:rsidRDefault="00DF3E10">
            <w:pPr>
              <w:rPr>
                <w:rFonts w:ascii="Times New Roman" w:hAnsi="Times New Roman"/>
                <w:sz w:val="20"/>
                <w:szCs w:val="20"/>
              </w:rPr>
            </w:pPr>
          </w:p>
        </w:tc>
        <w:tc>
          <w:tcPr>
            <w:tcW w:w="0" w:type="auto"/>
            <w:shd w:val="clear" w:color="auto" w:fill="auto"/>
            <w:vAlign w:val="center"/>
          </w:tcPr>
          <w:p w14:paraId="4E56B46B" w14:textId="77777777" w:rsidR="00DF3E10" w:rsidRDefault="00DF3E10">
            <w:pPr>
              <w:rPr>
                <w:rFonts w:ascii="Times New Roman" w:hAnsi="Times New Roman"/>
                <w:sz w:val="20"/>
                <w:szCs w:val="20"/>
              </w:rPr>
            </w:pPr>
          </w:p>
        </w:tc>
      </w:tr>
      <w:tr w:rsidR="00DF3E10" w14:paraId="4E56B46F" w14:textId="77777777">
        <w:trPr>
          <w:tblCellSpacing w:w="0" w:type="dxa"/>
        </w:trPr>
        <w:tc>
          <w:tcPr>
            <w:tcW w:w="0" w:type="auto"/>
            <w:shd w:val="clear" w:color="auto" w:fill="auto"/>
          </w:tcPr>
          <w:p w14:paraId="4E56B46D"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6E"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additional shares of our stock being sold into the market by us, our existing stockholders, or in connection with acquisitions, or the anticipation of such sales;</w:t>
            </w:r>
          </w:p>
        </w:tc>
      </w:tr>
    </w:tbl>
    <w:p w14:paraId="4E56B470"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73" w14:textId="77777777">
        <w:trPr>
          <w:tblCellSpacing w:w="0" w:type="dxa"/>
        </w:trPr>
        <w:tc>
          <w:tcPr>
            <w:tcW w:w="1440" w:type="dxa"/>
            <w:shd w:val="clear" w:color="auto" w:fill="auto"/>
            <w:vAlign w:val="center"/>
          </w:tcPr>
          <w:p w14:paraId="4E56B471" w14:textId="77777777" w:rsidR="00DF3E10" w:rsidRDefault="00DF3E10">
            <w:pPr>
              <w:rPr>
                <w:rFonts w:ascii="Times New Roman" w:hAnsi="Times New Roman"/>
                <w:sz w:val="20"/>
                <w:szCs w:val="20"/>
              </w:rPr>
            </w:pPr>
          </w:p>
        </w:tc>
        <w:tc>
          <w:tcPr>
            <w:tcW w:w="0" w:type="auto"/>
            <w:shd w:val="clear" w:color="auto" w:fill="auto"/>
            <w:vAlign w:val="center"/>
          </w:tcPr>
          <w:p w14:paraId="4E56B472" w14:textId="77777777" w:rsidR="00DF3E10" w:rsidRDefault="00DF3E10">
            <w:pPr>
              <w:rPr>
                <w:rFonts w:ascii="Times New Roman" w:hAnsi="Times New Roman"/>
                <w:sz w:val="20"/>
                <w:szCs w:val="20"/>
              </w:rPr>
            </w:pPr>
          </w:p>
        </w:tc>
      </w:tr>
      <w:tr w:rsidR="00DF3E10" w14:paraId="4E56B476" w14:textId="77777777">
        <w:trPr>
          <w:tblCellSpacing w:w="0" w:type="dxa"/>
        </w:trPr>
        <w:tc>
          <w:tcPr>
            <w:tcW w:w="0" w:type="auto"/>
            <w:shd w:val="clear" w:color="auto" w:fill="auto"/>
          </w:tcPr>
          <w:p w14:paraId="4E56B474"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75"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investor sentiment with respect to our competitors, our </w:t>
            </w:r>
            <w:r>
              <w:rPr>
                <w:rFonts w:ascii="Times New Roman" w:eastAsia="宋体" w:hAnsi="Times New Roman"/>
                <w:sz w:val="20"/>
                <w:szCs w:val="20"/>
              </w:rPr>
              <w:t>business partners, and our industry in general;</w:t>
            </w:r>
          </w:p>
        </w:tc>
      </w:tr>
    </w:tbl>
    <w:p w14:paraId="4E56B477"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7A" w14:textId="77777777">
        <w:trPr>
          <w:tblCellSpacing w:w="0" w:type="dxa"/>
        </w:trPr>
        <w:tc>
          <w:tcPr>
            <w:tcW w:w="1440" w:type="dxa"/>
            <w:shd w:val="clear" w:color="auto" w:fill="auto"/>
            <w:vAlign w:val="center"/>
          </w:tcPr>
          <w:p w14:paraId="4E56B478" w14:textId="77777777" w:rsidR="00DF3E10" w:rsidRDefault="00DF3E10">
            <w:pPr>
              <w:rPr>
                <w:rFonts w:ascii="Times New Roman" w:hAnsi="Times New Roman"/>
                <w:sz w:val="20"/>
                <w:szCs w:val="20"/>
              </w:rPr>
            </w:pPr>
          </w:p>
        </w:tc>
        <w:tc>
          <w:tcPr>
            <w:tcW w:w="0" w:type="auto"/>
            <w:shd w:val="clear" w:color="auto" w:fill="auto"/>
            <w:vAlign w:val="center"/>
          </w:tcPr>
          <w:p w14:paraId="4E56B479" w14:textId="77777777" w:rsidR="00DF3E10" w:rsidRDefault="00DF3E10">
            <w:pPr>
              <w:rPr>
                <w:rFonts w:ascii="Times New Roman" w:hAnsi="Times New Roman"/>
                <w:sz w:val="20"/>
                <w:szCs w:val="20"/>
              </w:rPr>
            </w:pPr>
          </w:p>
        </w:tc>
      </w:tr>
      <w:tr w:rsidR="00DF3E10" w14:paraId="4E56B47D" w14:textId="77777777">
        <w:trPr>
          <w:tblCellSpacing w:w="0" w:type="dxa"/>
        </w:trPr>
        <w:tc>
          <w:tcPr>
            <w:tcW w:w="0" w:type="auto"/>
            <w:shd w:val="clear" w:color="auto" w:fill="auto"/>
          </w:tcPr>
          <w:p w14:paraId="4E56B47B"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7C"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announcements by us or our competitors of significant products or features, technical innovations, acquisitions, strategic partnerships, joint ventures, or capital commitments;</w:t>
            </w:r>
          </w:p>
        </w:tc>
      </w:tr>
    </w:tbl>
    <w:p w14:paraId="4E56B47E"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81" w14:textId="77777777">
        <w:trPr>
          <w:tblCellSpacing w:w="0" w:type="dxa"/>
        </w:trPr>
        <w:tc>
          <w:tcPr>
            <w:tcW w:w="1440" w:type="dxa"/>
            <w:shd w:val="clear" w:color="auto" w:fill="auto"/>
            <w:vAlign w:val="center"/>
          </w:tcPr>
          <w:p w14:paraId="4E56B47F" w14:textId="77777777" w:rsidR="00DF3E10" w:rsidRDefault="00DF3E10">
            <w:pPr>
              <w:rPr>
                <w:rFonts w:ascii="Times New Roman" w:hAnsi="Times New Roman"/>
                <w:sz w:val="20"/>
                <w:szCs w:val="20"/>
              </w:rPr>
            </w:pPr>
          </w:p>
        </w:tc>
        <w:tc>
          <w:tcPr>
            <w:tcW w:w="0" w:type="auto"/>
            <w:shd w:val="clear" w:color="auto" w:fill="auto"/>
            <w:vAlign w:val="center"/>
          </w:tcPr>
          <w:p w14:paraId="4E56B480" w14:textId="77777777" w:rsidR="00DF3E10" w:rsidRDefault="00DF3E10">
            <w:pPr>
              <w:rPr>
                <w:rFonts w:ascii="Times New Roman" w:hAnsi="Times New Roman"/>
                <w:sz w:val="20"/>
                <w:szCs w:val="20"/>
              </w:rPr>
            </w:pPr>
          </w:p>
        </w:tc>
      </w:tr>
      <w:tr w:rsidR="00DF3E10" w14:paraId="4E56B484" w14:textId="77777777">
        <w:trPr>
          <w:tblCellSpacing w:w="0" w:type="dxa"/>
        </w:trPr>
        <w:tc>
          <w:tcPr>
            <w:tcW w:w="0" w:type="auto"/>
            <w:shd w:val="clear" w:color="auto" w:fill="auto"/>
          </w:tcPr>
          <w:p w14:paraId="4E56B482"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83"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announcements by us or estimates by third parties of actual or anticipated changes in the size of our user base, the level of user engagement, or the effectiveness of our ad products;</w:t>
            </w:r>
          </w:p>
        </w:tc>
      </w:tr>
    </w:tbl>
    <w:p w14:paraId="4E56B485"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88" w14:textId="77777777">
        <w:trPr>
          <w:tblCellSpacing w:w="0" w:type="dxa"/>
        </w:trPr>
        <w:tc>
          <w:tcPr>
            <w:tcW w:w="1440" w:type="dxa"/>
            <w:shd w:val="clear" w:color="auto" w:fill="auto"/>
            <w:vAlign w:val="center"/>
          </w:tcPr>
          <w:p w14:paraId="4E56B486" w14:textId="77777777" w:rsidR="00DF3E10" w:rsidRDefault="00DF3E10">
            <w:pPr>
              <w:rPr>
                <w:rFonts w:ascii="Times New Roman" w:hAnsi="Times New Roman"/>
                <w:sz w:val="20"/>
                <w:szCs w:val="20"/>
              </w:rPr>
            </w:pPr>
          </w:p>
        </w:tc>
        <w:tc>
          <w:tcPr>
            <w:tcW w:w="0" w:type="auto"/>
            <w:shd w:val="clear" w:color="auto" w:fill="auto"/>
            <w:vAlign w:val="center"/>
          </w:tcPr>
          <w:p w14:paraId="4E56B487" w14:textId="77777777" w:rsidR="00DF3E10" w:rsidRDefault="00DF3E10">
            <w:pPr>
              <w:rPr>
                <w:rFonts w:ascii="Times New Roman" w:hAnsi="Times New Roman"/>
                <w:sz w:val="20"/>
                <w:szCs w:val="20"/>
              </w:rPr>
            </w:pPr>
          </w:p>
        </w:tc>
      </w:tr>
      <w:tr w:rsidR="00DF3E10" w14:paraId="4E56B48B" w14:textId="77777777">
        <w:trPr>
          <w:tblCellSpacing w:w="0" w:type="dxa"/>
        </w:trPr>
        <w:tc>
          <w:tcPr>
            <w:tcW w:w="0" w:type="auto"/>
            <w:shd w:val="clear" w:color="auto" w:fill="auto"/>
          </w:tcPr>
          <w:p w14:paraId="4E56B48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8A"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operating performance and stock market </w:t>
            </w:r>
            <w:r>
              <w:rPr>
                <w:rFonts w:ascii="Times New Roman" w:eastAsia="宋体" w:hAnsi="Times New Roman"/>
                <w:sz w:val="20"/>
                <w:szCs w:val="20"/>
              </w:rPr>
              <w:t>valuations of technology companies in our industry, including our developers and competitors;</w:t>
            </w:r>
          </w:p>
        </w:tc>
      </w:tr>
    </w:tbl>
    <w:p w14:paraId="4E56B48C"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8F" w14:textId="77777777">
        <w:trPr>
          <w:tblCellSpacing w:w="0" w:type="dxa"/>
        </w:trPr>
        <w:tc>
          <w:tcPr>
            <w:tcW w:w="1440" w:type="dxa"/>
            <w:shd w:val="clear" w:color="auto" w:fill="auto"/>
            <w:vAlign w:val="center"/>
          </w:tcPr>
          <w:p w14:paraId="4E56B48D" w14:textId="77777777" w:rsidR="00DF3E10" w:rsidRDefault="00DF3E10">
            <w:pPr>
              <w:rPr>
                <w:rFonts w:ascii="Times New Roman" w:hAnsi="Times New Roman"/>
                <w:sz w:val="20"/>
                <w:szCs w:val="20"/>
              </w:rPr>
            </w:pPr>
          </w:p>
        </w:tc>
        <w:tc>
          <w:tcPr>
            <w:tcW w:w="0" w:type="auto"/>
            <w:shd w:val="clear" w:color="auto" w:fill="auto"/>
            <w:vAlign w:val="center"/>
          </w:tcPr>
          <w:p w14:paraId="4E56B48E" w14:textId="77777777" w:rsidR="00DF3E10" w:rsidRDefault="00DF3E10">
            <w:pPr>
              <w:rPr>
                <w:rFonts w:ascii="Times New Roman" w:hAnsi="Times New Roman"/>
                <w:sz w:val="20"/>
                <w:szCs w:val="20"/>
              </w:rPr>
            </w:pPr>
          </w:p>
        </w:tc>
      </w:tr>
      <w:tr w:rsidR="00DF3E10" w14:paraId="4E56B492" w14:textId="77777777">
        <w:trPr>
          <w:tblCellSpacing w:w="0" w:type="dxa"/>
        </w:trPr>
        <w:tc>
          <w:tcPr>
            <w:tcW w:w="0" w:type="auto"/>
            <w:shd w:val="clear" w:color="auto" w:fill="auto"/>
          </w:tcPr>
          <w:p w14:paraId="4E56B49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9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price and volume fluctuations in the overall stock market, including as a result of trends in the economy as a whole;</w:t>
            </w:r>
          </w:p>
        </w:tc>
      </w:tr>
    </w:tbl>
    <w:p w14:paraId="4E56B49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96" w14:textId="77777777">
        <w:trPr>
          <w:tblCellSpacing w:w="0" w:type="dxa"/>
        </w:trPr>
        <w:tc>
          <w:tcPr>
            <w:tcW w:w="1440" w:type="dxa"/>
            <w:shd w:val="clear" w:color="auto" w:fill="auto"/>
            <w:vAlign w:val="center"/>
          </w:tcPr>
          <w:p w14:paraId="4E56B494" w14:textId="77777777" w:rsidR="00DF3E10" w:rsidRDefault="00DF3E10">
            <w:pPr>
              <w:rPr>
                <w:rFonts w:ascii="Times New Roman" w:hAnsi="Times New Roman"/>
                <w:sz w:val="20"/>
                <w:szCs w:val="20"/>
              </w:rPr>
            </w:pPr>
          </w:p>
        </w:tc>
        <w:tc>
          <w:tcPr>
            <w:tcW w:w="0" w:type="auto"/>
            <w:shd w:val="clear" w:color="auto" w:fill="auto"/>
            <w:vAlign w:val="center"/>
          </w:tcPr>
          <w:p w14:paraId="4E56B495" w14:textId="77777777" w:rsidR="00DF3E10" w:rsidRDefault="00DF3E10">
            <w:pPr>
              <w:rPr>
                <w:rFonts w:ascii="Times New Roman" w:hAnsi="Times New Roman"/>
                <w:sz w:val="20"/>
                <w:szCs w:val="20"/>
              </w:rPr>
            </w:pPr>
          </w:p>
        </w:tc>
      </w:tr>
      <w:tr w:rsidR="00DF3E10" w14:paraId="4E56B499" w14:textId="77777777">
        <w:trPr>
          <w:tblCellSpacing w:w="0" w:type="dxa"/>
        </w:trPr>
        <w:tc>
          <w:tcPr>
            <w:tcW w:w="0" w:type="auto"/>
            <w:shd w:val="clear" w:color="auto" w:fill="auto"/>
          </w:tcPr>
          <w:p w14:paraId="4E56B49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9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inclusion, </w:t>
            </w:r>
            <w:r>
              <w:rPr>
                <w:rFonts w:ascii="Times New Roman" w:eastAsia="宋体" w:hAnsi="Times New Roman"/>
                <w:sz w:val="20"/>
                <w:szCs w:val="20"/>
              </w:rPr>
              <w:t>exclusion, or deletion of our stock from any trading indices, such as the S&amp;P 500 Index;</w:t>
            </w:r>
          </w:p>
        </w:tc>
      </w:tr>
    </w:tbl>
    <w:p w14:paraId="4E56B49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726"/>
      </w:tblGrid>
      <w:tr w:rsidR="00DF3E10" w14:paraId="4E56B49D" w14:textId="77777777">
        <w:trPr>
          <w:tblCellSpacing w:w="0" w:type="dxa"/>
        </w:trPr>
        <w:tc>
          <w:tcPr>
            <w:tcW w:w="1440" w:type="dxa"/>
            <w:shd w:val="clear" w:color="auto" w:fill="auto"/>
            <w:vAlign w:val="center"/>
          </w:tcPr>
          <w:p w14:paraId="4E56B49B" w14:textId="77777777" w:rsidR="00DF3E10" w:rsidRDefault="00DF3E10">
            <w:pPr>
              <w:rPr>
                <w:rFonts w:ascii="Times New Roman" w:hAnsi="Times New Roman"/>
                <w:sz w:val="20"/>
                <w:szCs w:val="20"/>
              </w:rPr>
            </w:pPr>
          </w:p>
        </w:tc>
        <w:tc>
          <w:tcPr>
            <w:tcW w:w="0" w:type="auto"/>
            <w:shd w:val="clear" w:color="auto" w:fill="auto"/>
            <w:vAlign w:val="center"/>
          </w:tcPr>
          <w:p w14:paraId="4E56B49C" w14:textId="77777777" w:rsidR="00DF3E10" w:rsidRDefault="00DF3E10">
            <w:pPr>
              <w:rPr>
                <w:rFonts w:ascii="Times New Roman" w:hAnsi="Times New Roman"/>
                <w:sz w:val="20"/>
                <w:szCs w:val="20"/>
              </w:rPr>
            </w:pPr>
          </w:p>
        </w:tc>
      </w:tr>
      <w:tr w:rsidR="00DF3E10" w14:paraId="4E56B4A0" w14:textId="77777777">
        <w:trPr>
          <w:tblCellSpacing w:w="0" w:type="dxa"/>
        </w:trPr>
        <w:tc>
          <w:tcPr>
            <w:tcW w:w="0" w:type="auto"/>
            <w:shd w:val="clear" w:color="auto" w:fill="auto"/>
          </w:tcPr>
          <w:p w14:paraId="4E56B49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9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media coverage of our business and financial performance;</w:t>
            </w:r>
          </w:p>
        </w:tc>
      </w:tr>
    </w:tbl>
    <w:p w14:paraId="4E56B4A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105"/>
      </w:tblGrid>
      <w:tr w:rsidR="00DF3E10" w14:paraId="4E56B4A4" w14:textId="77777777">
        <w:trPr>
          <w:tblCellSpacing w:w="0" w:type="dxa"/>
        </w:trPr>
        <w:tc>
          <w:tcPr>
            <w:tcW w:w="1440" w:type="dxa"/>
            <w:shd w:val="clear" w:color="auto" w:fill="auto"/>
            <w:vAlign w:val="center"/>
          </w:tcPr>
          <w:p w14:paraId="4E56B4A2" w14:textId="77777777" w:rsidR="00DF3E10" w:rsidRDefault="00DF3E10">
            <w:pPr>
              <w:rPr>
                <w:rFonts w:ascii="Times New Roman" w:hAnsi="Times New Roman"/>
                <w:sz w:val="20"/>
                <w:szCs w:val="20"/>
              </w:rPr>
            </w:pPr>
          </w:p>
        </w:tc>
        <w:tc>
          <w:tcPr>
            <w:tcW w:w="0" w:type="auto"/>
            <w:shd w:val="clear" w:color="auto" w:fill="auto"/>
            <w:vAlign w:val="center"/>
          </w:tcPr>
          <w:p w14:paraId="4E56B4A3" w14:textId="77777777" w:rsidR="00DF3E10" w:rsidRDefault="00DF3E10">
            <w:pPr>
              <w:rPr>
                <w:rFonts w:ascii="Times New Roman" w:hAnsi="Times New Roman"/>
                <w:sz w:val="20"/>
                <w:szCs w:val="20"/>
              </w:rPr>
            </w:pPr>
          </w:p>
        </w:tc>
      </w:tr>
      <w:tr w:rsidR="00DF3E10" w14:paraId="4E56B4A7" w14:textId="77777777">
        <w:trPr>
          <w:tblCellSpacing w:w="0" w:type="dxa"/>
        </w:trPr>
        <w:tc>
          <w:tcPr>
            <w:tcW w:w="0" w:type="auto"/>
            <w:shd w:val="clear" w:color="auto" w:fill="auto"/>
          </w:tcPr>
          <w:p w14:paraId="4E56B4A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A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lawsuits threatened or filed against us, or developments in pending lawsuits;</w:t>
            </w:r>
          </w:p>
        </w:tc>
      </w:tr>
    </w:tbl>
    <w:p w14:paraId="4E56B4A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AB" w14:textId="77777777">
        <w:trPr>
          <w:tblCellSpacing w:w="0" w:type="dxa"/>
        </w:trPr>
        <w:tc>
          <w:tcPr>
            <w:tcW w:w="1440" w:type="dxa"/>
            <w:shd w:val="clear" w:color="auto" w:fill="auto"/>
            <w:vAlign w:val="center"/>
          </w:tcPr>
          <w:p w14:paraId="4E56B4A9" w14:textId="77777777" w:rsidR="00DF3E10" w:rsidRDefault="00DF3E10">
            <w:pPr>
              <w:rPr>
                <w:rFonts w:ascii="Times New Roman" w:hAnsi="Times New Roman"/>
                <w:sz w:val="20"/>
                <w:szCs w:val="20"/>
              </w:rPr>
            </w:pPr>
          </w:p>
        </w:tc>
        <w:tc>
          <w:tcPr>
            <w:tcW w:w="0" w:type="auto"/>
            <w:shd w:val="clear" w:color="auto" w:fill="auto"/>
            <w:vAlign w:val="center"/>
          </w:tcPr>
          <w:p w14:paraId="4E56B4AA" w14:textId="77777777" w:rsidR="00DF3E10" w:rsidRDefault="00DF3E10">
            <w:pPr>
              <w:rPr>
                <w:rFonts w:ascii="Times New Roman" w:hAnsi="Times New Roman"/>
                <w:sz w:val="20"/>
                <w:szCs w:val="20"/>
              </w:rPr>
            </w:pPr>
          </w:p>
        </w:tc>
      </w:tr>
      <w:tr w:rsidR="00DF3E10" w14:paraId="4E56B4AE" w14:textId="77777777">
        <w:trPr>
          <w:tblCellSpacing w:w="0" w:type="dxa"/>
        </w:trPr>
        <w:tc>
          <w:tcPr>
            <w:tcW w:w="0" w:type="auto"/>
            <w:shd w:val="clear" w:color="auto" w:fill="auto"/>
          </w:tcPr>
          <w:p w14:paraId="4E56B4A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A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developments in anticipated or new legislation or regulatory actions, including interim or final rulings by tax, judicial, or regulatory bodies;</w:t>
            </w:r>
          </w:p>
        </w:tc>
      </w:tr>
    </w:tbl>
    <w:p w14:paraId="4E56B4A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249"/>
      </w:tblGrid>
      <w:tr w:rsidR="00DF3E10" w14:paraId="4E56B4B2" w14:textId="77777777">
        <w:trPr>
          <w:tblCellSpacing w:w="0" w:type="dxa"/>
        </w:trPr>
        <w:tc>
          <w:tcPr>
            <w:tcW w:w="1440" w:type="dxa"/>
            <w:shd w:val="clear" w:color="auto" w:fill="auto"/>
            <w:vAlign w:val="center"/>
          </w:tcPr>
          <w:p w14:paraId="4E56B4B0" w14:textId="77777777" w:rsidR="00DF3E10" w:rsidRDefault="00DF3E10">
            <w:pPr>
              <w:rPr>
                <w:rFonts w:ascii="Times New Roman" w:hAnsi="Times New Roman"/>
                <w:sz w:val="20"/>
                <w:szCs w:val="20"/>
              </w:rPr>
            </w:pPr>
          </w:p>
        </w:tc>
        <w:tc>
          <w:tcPr>
            <w:tcW w:w="0" w:type="auto"/>
            <w:shd w:val="clear" w:color="auto" w:fill="auto"/>
            <w:vAlign w:val="center"/>
          </w:tcPr>
          <w:p w14:paraId="4E56B4B1" w14:textId="77777777" w:rsidR="00DF3E10" w:rsidRDefault="00DF3E10">
            <w:pPr>
              <w:rPr>
                <w:rFonts w:ascii="Times New Roman" w:hAnsi="Times New Roman"/>
                <w:sz w:val="20"/>
                <w:szCs w:val="20"/>
              </w:rPr>
            </w:pPr>
          </w:p>
        </w:tc>
      </w:tr>
      <w:tr w:rsidR="00DF3E10" w14:paraId="4E56B4B5" w14:textId="77777777">
        <w:trPr>
          <w:tblCellSpacing w:w="0" w:type="dxa"/>
        </w:trPr>
        <w:tc>
          <w:tcPr>
            <w:tcW w:w="0" w:type="auto"/>
            <w:shd w:val="clear" w:color="auto" w:fill="auto"/>
          </w:tcPr>
          <w:p w14:paraId="4E56B4B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B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 and</w:t>
            </w:r>
          </w:p>
        </w:tc>
      </w:tr>
    </w:tbl>
    <w:p w14:paraId="4E56B4B6"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B9" w14:textId="77777777">
        <w:trPr>
          <w:tblCellSpacing w:w="0" w:type="dxa"/>
        </w:trPr>
        <w:tc>
          <w:tcPr>
            <w:tcW w:w="1440" w:type="dxa"/>
            <w:shd w:val="clear" w:color="auto" w:fill="auto"/>
            <w:vAlign w:val="center"/>
          </w:tcPr>
          <w:p w14:paraId="4E56B4B7" w14:textId="77777777" w:rsidR="00DF3E10" w:rsidRDefault="00DF3E10">
            <w:pPr>
              <w:rPr>
                <w:rFonts w:ascii="Times New Roman" w:hAnsi="Times New Roman"/>
                <w:sz w:val="20"/>
                <w:szCs w:val="20"/>
              </w:rPr>
            </w:pPr>
          </w:p>
        </w:tc>
        <w:tc>
          <w:tcPr>
            <w:tcW w:w="0" w:type="auto"/>
            <w:shd w:val="clear" w:color="auto" w:fill="auto"/>
            <w:vAlign w:val="center"/>
          </w:tcPr>
          <w:p w14:paraId="4E56B4B8" w14:textId="77777777" w:rsidR="00DF3E10" w:rsidRDefault="00DF3E10">
            <w:pPr>
              <w:rPr>
                <w:rFonts w:ascii="Times New Roman" w:hAnsi="Times New Roman"/>
                <w:sz w:val="20"/>
                <w:szCs w:val="20"/>
              </w:rPr>
            </w:pPr>
          </w:p>
        </w:tc>
      </w:tr>
      <w:tr w:rsidR="00DF3E10" w14:paraId="4E56B4BC" w14:textId="77777777">
        <w:trPr>
          <w:tblCellSpacing w:w="0" w:type="dxa"/>
        </w:trPr>
        <w:tc>
          <w:tcPr>
            <w:tcW w:w="0" w:type="auto"/>
            <w:shd w:val="clear" w:color="auto" w:fill="auto"/>
          </w:tcPr>
          <w:p w14:paraId="4E56B4BA"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BB"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other events or factors, including </w:t>
            </w:r>
            <w:r>
              <w:rPr>
                <w:rFonts w:ascii="Times New Roman" w:eastAsia="宋体" w:hAnsi="Times New Roman"/>
                <w:sz w:val="20"/>
                <w:szCs w:val="20"/>
              </w:rPr>
              <w:t>those resulting from war, incidents of terrorism, pandemics, and other disruptive external events, or responses to these events.</w:t>
            </w:r>
          </w:p>
        </w:tc>
      </w:tr>
    </w:tbl>
    <w:p w14:paraId="4E56B4BD"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the stock markets have experienced extreme price and volume fluctuations that have affected and continue to affec</w:t>
      </w:r>
      <w:r>
        <w:rPr>
          <w:rFonts w:ascii="Times New Roman" w:eastAsia="宋体" w:hAnsi="Times New Roman"/>
          <w:sz w:val="20"/>
          <w:szCs w:val="20"/>
        </w:rPr>
        <w:t>t the market prices of equity securities of many technology companies. Stock prices of many technology companies have fluctuated in a manner unrelated or disproportionate to the operating performance of those companies. We are currently subject to securiti</w:t>
      </w:r>
      <w:r>
        <w:rPr>
          <w:rFonts w:ascii="Times New Roman" w:eastAsia="宋体" w:hAnsi="Times New Roman"/>
          <w:sz w:val="20"/>
          <w:szCs w:val="20"/>
        </w:rPr>
        <w:t>es litigation in connection with our platform and user data practices and the misuse of certain data by a developer that shared such data with third parties in violation of our terms and policies, as well as the disclosure of our earnings results for the s</w:t>
      </w:r>
      <w:r>
        <w:rPr>
          <w:rFonts w:ascii="Times New Roman" w:eastAsia="宋体" w:hAnsi="Times New Roman"/>
          <w:sz w:val="20"/>
          <w:szCs w:val="20"/>
        </w:rPr>
        <w:t xml:space="preserve">econd quarter of 2018. We may experience more such litigation following future periods of volatility. Any securities litigation could subject us to substantial costs, divert resources and the attention of management from our business, and adversely affect </w:t>
      </w:r>
      <w:r>
        <w:rPr>
          <w:rFonts w:ascii="Times New Roman" w:eastAsia="宋体" w:hAnsi="Times New Roman"/>
          <w:sz w:val="20"/>
          <w:szCs w:val="20"/>
        </w:rPr>
        <w:t>our business.</w:t>
      </w:r>
    </w:p>
    <w:p w14:paraId="4E56B4BE"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We do not intend to pay cash dividends for the foreseeable future.</w:t>
      </w:r>
    </w:p>
    <w:p w14:paraId="4E56B4BF"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We have never declared or paid cash dividends on our capital stock. We currently intend to retain any future earnings to finance the operation and expansion of our business an</w:t>
      </w:r>
      <w:r>
        <w:rPr>
          <w:rFonts w:ascii="Times New Roman" w:eastAsia="宋体" w:hAnsi="Times New Roman"/>
          <w:sz w:val="20"/>
          <w:szCs w:val="20"/>
        </w:rPr>
        <w:t>d fund our share repurchase program, and we do not expect to declare or pay any cash dividends in the foreseeable future. As a result, you may only receive a return on your investment in our Class A common stock if the trading price of your shares increase</w:t>
      </w:r>
      <w:r>
        <w:rPr>
          <w:rFonts w:ascii="Times New Roman" w:eastAsia="宋体" w:hAnsi="Times New Roman"/>
          <w:sz w:val="20"/>
          <w:szCs w:val="20"/>
        </w:rPr>
        <w:t>s.</w:t>
      </w:r>
    </w:p>
    <w:p w14:paraId="4E56B4C0"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The dual class structure of our common stock and a voting agreement between certain stockholders have the effect of concentrating voting control with our CEO and certain other holders of our Class B common stock; this will limit or preclude your ability</w:t>
      </w:r>
      <w:r>
        <w:rPr>
          <w:rFonts w:ascii="Times New Roman" w:eastAsia="宋体" w:hAnsi="Times New Roman"/>
          <w:b/>
          <w:bCs/>
          <w:i/>
          <w:iCs/>
          <w:sz w:val="20"/>
          <w:szCs w:val="20"/>
        </w:rPr>
        <w:t xml:space="preserve"> to influence corporate matters.</w:t>
      </w:r>
    </w:p>
    <w:p w14:paraId="4E56B4C1"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Class B common stock has ten votes per share and our Class A common stock has one vote per share. Stockholders who hold shares of Class B common stock, including certain of our executive officers, employees, and directo</w:t>
      </w:r>
      <w:r>
        <w:rPr>
          <w:rFonts w:ascii="Times New Roman" w:eastAsia="宋体" w:hAnsi="Times New Roman"/>
          <w:sz w:val="20"/>
          <w:szCs w:val="20"/>
        </w:rPr>
        <w:t xml:space="preserve">rs and their </w:t>
      </w:r>
    </w:p>
    <w:p w14:paraId="4E56B4C2" w14:textId="77777777" w:rsidR="00DF3E10" w:rsidRDefault="00DF3E10">
      <w:pPr>
        <w:rPr>
          <w:rFonts w:ascii="Times New Roman" w:hAnsi="Times New Roman"/>
          <w:sz w:val="20"/>
          <w:szCs w:val="20"/>
        </w:rPr>
      </w:pPr>
    </w:p>
    <w:p w14:paraId="4E56B4C3"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77</w:t>
      </w:r>
    </w:p>
    <w:p w14:paraId="4E56B4C4" w14:textId="77777777" w:rsidR="00DF3E10" w:rsidRDefault="006B6C28">
      <w:r>
        <w:rPr>
          <w:rFonts w:ascii="Times New Roman" w:hAnsi="Times New Roman"/>
          <w:sz w:val="20"/>
          <w:szCs w:val="20"/>
        </w:rPr>
        <w:pict w14:anchorId="4E56B7AA">
          <v:rect id="_x0000_i1101" style="width:415.3pt;height:1.5pt" o:hralign="center" o:hrstd="t" o:hr="t" fillcolor="#a0a0a0" stroked="f"/>
        </w:pict>
      </w:r>
    </w:p>
    <w:p w14:paraId="4E56B4C5" w14:textId="77777777" w:rsidR="00DF3E10" w:rsidRDefault="006B6C28">
      <w:pPr>
        <w:spacing w:line="288" w:lineRule="auto"/>
        <w:rPr>
          <w:rFonts w:ascii="Times New Roman" w:hAnsi="Times New Roman"/>
          <w:sz w:val="20"/>
          <w:szCs w:val="20"/>
        </w:rPr>
      </w:pPr>
      <w:hyperlink r:id="rId118" w:anchor="sC1FF62F0D4D85317B5B2C71C7C94F269" w:history="1">
        <w:r>
          <w:rPr>
            <w:rStyle w:val="a5"/>
            <w:rFonts w:ascii="Times New Roman" w:eastAsia="宋体" w:hAnsi="Times New Roman"/>
            <w:sz w:val="20"/>
            <w:szCs w:val="20"/>
          </w:rPr>
          <w:t>Table of Contents</w:t>
        </w:r>
      </w:hyperlink>
    </w:p>
    <w:p w14:paraId="4E56B4C6" w14:textId="77777777" w:rsidR="00DF3E10" w:rsidRDefault="00DF3E10">
      <w:pPr>
        <w:rPr>
          <w:rFonts w:ascii="Times New Roman" w:hAnsi="Times New Roman"/>
          <w:sz w:val="20"/>
          <w:szCs w:val="20"/>
        </w:rPr>
      </w:pPr>
    </w:p>
    <w:p w14:paraId="4E56B4C7"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affiliates, together hold a substantial majority of the voting power of our outstand</w:t>
      </w:r>
      <w:r>
        <w:rPr>
          <w:rFonts w:ascii="Times New Roman" w:eastAsia="宋体" w:hAnsi="Times New Roman"/>
          <w:sz w:val="20"/>
          <w:szCs w:val="20"/>
        </w:rPr>
        <w:t>ing capital stock. Because of the ten-to-one voting ratio between our Class B and Class A common stock, the holders of our Class B common stock collectively control a majority of the combined voting power of our common stock and therefore are able to contr</w:t>
      </w:r>
      <w:r>
        <w:rPr>
          <w:rFonts w:ascii="Times New Roman" w:eastAsia="宋体" w:hAnsi="Times New Roman"/>
          <w:sz w:val="20"/>
          <w:szCs w:val="20"/>
        </w:rPr>
        <w:t>ol all matters submitted to our stockholders for approval so long as the shares of Class B common stock represent at least 9.1% of all outstanding shares of our Class A and Class B common stock. This concentrated control will limit or preclude your ability</w:t>
      </w:r>
      <w:r>
        <w:rPr>
          <w:rFonts w:ascii="Times New Roman" w:eastAsia="宋体" w:hAnsi="Times New Roman"/>
          <w:sz w:val="20"/>
          <w:szCs w:val="20"/>
        </w:rPr>
        <w:t xml:space="preserve"> to influence corporate matters for the foreseeable future.</w:t>
      </w:r>
    </w:p>
    <w:p w14:paraId="4E56B4C8"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Transfers by holders of Class B common stock will generally result in those shares converting to Class A common stock, subject to limited exceptions, such as certain transfers effected for estate </w:t>
      </w:r>
      <w:r>
        <w:rPr>
          <w:rFonts w:ascii="Times New Roman" w:eastAsia="宋体" w:hAnsi="Times New Roman"/>
          <w:sz w:val="20"/>
          <w:szCs w:val="20"/>
        </w:rPr>
        <w:t xml:space="preserve">planning or charitable purposes. The conversion of Class B common stock to Class A common stock will have the effect, over time, of increasing the relative voting power of those holders of Class B common stock who retain their shares in the long term. If, </w:t>
      </w:r>
      <w:r>
        <w:rPr>
          <w:rFonts w:ascii="Times New Roman" w:eastAsia="宋体" w:hAnsi="Times New Roman"/>
          <w:sz w:val="20"/>
          <w:szCs w:val="20"/>
        </w:rPr>
        <w:t>for example, Mr. Zuckerberg retains a significant portion of his holdings of Class B common stock for an extended period of time, he could, in the future, continue to control a majority of the combined voting power of our outstanding capital stock.</w:t>
      </w:r>
    </w:p>
    <w:p w14:paraId="4E56B4C9"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Our sta</w:t>
      </w:r>
      <w:r>
        <w:rPr>
          <w:rFonts w:ascii="Times New Roman" w:eastAsia="宋体" w:hAnsi="Times New Roman"/>
          <w:b/>
          <w:bCs/>
          <w:i/>
          <w:iCs/>
          <w:sz w:val="20"/>
          <w:szCs w:val="20"/>
        </w:rPr>
        <w:t>tus as a "controlled company" could make our Class A common stock less attractive to some investors or otherwise harm our stock price.</w:t>
      </w:r>
    </w:p>
    <w:p w14:paraId="4E56B4CA"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Because we qualify as a "controlled company" under the corporate governance rules for Nasdaq-listed companies, we are not</w:t>
      </w:r>
      <w:r>
        <w:rPr>
          <w:rFonts w:ascii="Times New Roman" w:eastAsia="宋体" w:hAnsi="Times New Roman"/>
          <w:sz w:val="20"/>
          <w:szCs w:val="20"/>
        </w:rPr>
        <w:t xml:space="preserve"> required to have a majority of our board of directors be independent, nor are we required to have a compensation committee or an independent nominating function. In the future we could elect not to have a majority of our board of directors be independent </w:t>
      </w:r>
      <w:r>
        <w:rPr>
          <w:rFonts w:ascii="Times New Roman" w:eastAsia="宋体" w:hAnsi="Times New Roman"/>
          <w:sz w:val="20"/>
          <w:szCs w:val="20"/>
        </w:rPr>
        <w:t>or not to have a compensation committee or an independent nominating function. Accordingly, should the interests of our controlling stockholder differ from those of other stockholders, the other stockholders may not have the same protections afforded to st</w:t>
      </w:r>
      <w:r>
        <w:rPr>
          <w:rFonts w:ascii="Times New Roman" w:eastAsia="宋体" w:hAnsi="Times New Roman"/>
          <w:sz w:val="20"/>
          <w:szCs w:val="20"/>
        </w:rPr>
        <w:t>ockholders of companies that are subject to all of the corporate governance rules for Nasdaq-listed companies. Our status as a controlled company could make our Class A common stock less attractive to some investors or otherwise harm our stock price.</w:t>
      </w:r>
    </w:p>
    <w:p w14:paraId="4E56B4CB" w14:textId="77777777" w:rsidR="00DF3E10" w:rsidRDefault="006B6C28">
      <w:pPr>
        <w:spacing w:line="288" w:lineRule="auto"/>
        <w:jc w:val="both"/>
        <w:rPr>
          <w:rFonts w:ascii="Times New Roman" w:hAnsi="Times New Roman"/>
          <w:sz w:val="20"/>
          <w:szCs w:val="20"/>
        </w:rPr>
      </w:pPr>
      <w:r>
        <w:rPr>
          <w:rFonts w:ascii="Times New Roman" w:eastAsia="宋体" w:hAnsi="Times New Roman"/>
          <w:b/>
          <w:bCs/>
          <w:i/>
          <w:iCs/>
          <w:sz w:val="20"/>
          <w:szCs w:val="20"/>
        </w:rPr>
        <w:t>Delaw</w:t>
      </w:r>
      <w:r>
        <w:rPr>
          <w:rFonts w:ascii="Times New Roman" w:eastAsia="宋体" w:hAnsi="Times New Roman"/>
          <w:b/>
          <w:bCs/>
          <w:i/>
          <w:iCs/>
          <w:sz w:val="20"/>
          <w:szCs w:val="20"/>
        </w:rPr>
        <w:t>are law and provisions in our restated certificate of incorporation and bylaws could make a merger, tender offer, or proxy contest difficult, thereby depressing the trading price of our Class A common stock.</w:t>
      </w:r>
    </w:p>
    <w:p w14:paraId="4E56B4CC" w14:textId="77777777" w:rsidR="00DF3E10" w:rsidRDefault="006B6C28">
      <w:pPr>
        <w:spacing w:line="288" w:lineRule="auto"/>
        <w:ind w:firstLine="720"/>
        <w:jc w:val="both"/>
        <w:rPr>
          <w:rFonts w:ascii="Times New Roman" w:hAnsi="Times New Roman"/>
          <w:sz w:val="20"/>
          <w:szCs w:val="20"/>
        </w:rPr>
      </w:pPr>
      <w:r>
        <w:rPr>
          <w:rFonts w:ascii="Times New Roman" w:eastAsia="宋体" w:hAnsi="Times New Roman"/>
          <w:sz w:val="20"/>
          <w:szCs w:val="20"/>
        </w:rPr>
        <w:t>Our status as a Delaware corporation and the ant</w:t>
      </w:r>
      <w:r>
        <w:rPr>
          <w:rFonts w:ascii="Times New Roman" w:eastAsia="宋体" w:hAnsi="Times New Roman"/>
          <w:sz w:val="20"/>
          <w:szCs w:val="20"/>
        </w:rPr>
        <w:t>i-takeover provisions of the Delaware General Corporation Law may discourage, delay, or prevent a change in control by prohibiting us from engaging in a business combination with an interested stockholder for a period of three years after the person become</w:t>
      </w:r>
      <w:r>
        <w:rPr>
          <w:rFonts w:ascii="Times New Roman" w:eastAsia="宋体" w:hAnsi="Times New Roman"/>
          <w:sz w:val="20"/>
          <w:szCs w:val="20"/>
        </w:rPr>
        <w:t>s an interested stockholder, even if a change of control would be beneficial to our existing stockholders. In addition, our current restated certificate of incorporation and bylaws contain provisions that may make the acquisition of our company more diffic</w:t>
      </w:r>
      <w:r>
        <w:rPr>
          <w:rFonts w:ascii="Times New Roman" w:eastAsia="宋体" w:hAnsi="Times New Roman"/>
          <w:sz w:val="20"/>
          <w:szCs w:val="20"/>
        </w:rPr>
        <w:t>ult, including the following: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CF" w14:textId="77777777">
        <w:trPr>
          <w:tblCellSpacing w:w="0" w:type="dxa"/>
        </w:trPr>
        <w:tc>
          <w:tcPr>
            <w:tcW w:w="1440" w:type="dxa"/>
            <w:shd w:val="clear" w:color="auto" w:fill="auto"/>
            <w:vAlign w:val="center"/>
          </w:tcPr>
          <w:p w14:paraId="4E56B4CD" w14:textId="77777777" w:rsidR="00DF3E10" w:rsidRDefault="00DF3E10">
            <w:pPr>
              <w:rPr>
                <w:rFonts w:ascii="Times New Roman" w:hAnsi="Times New Roman"/>
                <w:sz w:val="20"/>
                <w:szCs w:val="20"/>
              </w:rPr>
            </w:pPr>
          </w:p>
        </w:tc>
        <w:tc>
          <w:tcPr>
            <w:tcW w:w="0" w:type="auto"/>
            <w:shd w:val="clear" w:color="auto" w:fill="auto"/>
            <w:vAlign w:val="center"/>
          </w:tcPr>
          <w:p w14:paraId="4E56B4CE" w14:textId="77777777" w:rsidR="00DF3E10" w:rsidRDefault="00DF3E10">
            <w:pPr>
              <w:rPr>
                <w:rFonts w:ascii="Times New Roman" w:hAnsi="Times New Roman"/>
                <w:sz w:val="20"/>
                <w:szCs w:val="20"/>
              </w:rPr>
            </w:pPr>
          </w:p>
        </w:tc>
      </w:tr>
      <w:tr w:rsidR="00DF3E10" w14:paraId="4E56B4D2" w14:textId="77777777">
        <w:trPr>
          <w:tblCellSpacing w:w="0" w:type="dxa"/>
        </w:trPr>
        <w:tc>
          <w:tcPr>
            <w:tcW w:w="0" w:type="auto"/>
            <w:shd w:val="clear" w:color="auto" w:fill="auto"/>
          </w:tcPr>
          <w:p w14:paraId="4E56B4D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D1"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until the first date on which the outstanding shares of our Class B common stock represent less than 35% of the combined voting power of our common stock, any transaction that would result in a change in control of our </w:t>
            </w:r>
            <w:r>
              <w:rPr>
                <w:rFonts w:ascii="Times New Roman" w:eastAsia="宋体" w:hAnsi="Times New Roman"/>
                <w:sz w:val="20"/>
                <w:szCs w:val="20"/>
              </w:rPr>
              <w:t>company requires the approval of a majority of our outstanding Class B common stock voting as a separate class;</w:t>
            </w:r>
          </w:p>
        </w:tc>
      </w:tr>
    </w:tbl>
    <w:p w14:paraId="4E56B4D3"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D6" w14:textId="77777777">
        <w:trPr>
          <w:tblCellSpacing w:w="0" w:type="dxa"/>
        </w:trPr>
        <w:tc>
          <w:tcPr>
            <w:tcW w:w="1440" w:type="dxa"/>
            <w:shd w:val="clear" w:color="auto" w:fill="auto"/>
            <w:vAlign w:val="center"/>
          </w:tcPr>
          <w:p w14:paraId="4E56B4D4" w14:textId="77777777" w:rsidR="00DF3E10" w:rsidRDefault="00DF3E10">
            <w:pPr>
              <w:rPr>
                <w:rFonts w:ascii="Times New Roman" w:hAnsi="Times New Roman"/>
                <w:sz w:val="20"/>
                <w:szCs w:val="20"/>
              </w:rPr>
            </w:pPr>
          </w:p>
        </w:tc>
        <w:tc>
          <w:tcPr>
            <w:tcW w:w="0" w:type="auto"/>
            <w:shd w:val="clear" w:color="auto" w:fill="auto"/>
            <w:vAlign w:val="center"/>
          </w:tcPr>
          <w:p w14:paraId="4E56B4D5" w14:textId="77777777" w:rsidR="00DF3E10" w:rsidRDefault="00DF3E10">
            <w:pPr>
              <w:rPr>
                <w:rFonts w:ascii="Times New Roman" w:hAnsi="Times New Roman"/>
                <w:sz w:val="20"/>
                <w:szCs w:val="20"/>
              </w:rPr>
            </w:pPr>
          </w:p>
        </w:tc>
      </w:tr>
      <w:tr w:rsidR="00DF3E10" w14:paraId="4E56B4D9" w14:textId="77777777">
        <w:trPr>
          <w:tblCellSpacing w:w="0" w:type="dxa"/>
        </w:trPr>
        <w:tc>
          <w:tcPr>
            <w:tcW w:w="0" w:type="auto"/>
            <w:shd w:val="clear" w:color="auto" w:fill="auto"/>
          </w:tcPr>
          <w:p w14:paraId="4E56B4D7"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D8"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we currently have a dual class common stock structure, which provides Mr. Zuckerberg with the ability to control the outcome of matters r</w:t>
            </w:r>
            <w:r>
              <w:rPr>
                <w:rFonts w:ascii="Times New Roman" w:eastAsia="宋体" w:hAnsi="Times New Roman"/>
                <w:sz w:val="20"/>
                <w:szCs w:val="20"/>
              </w:rPr>
              <w:t>equiring stockholder approval, even if he owns significantly less than a majority of the shares of our outstanding Class A and Class B common stock;</w:t>
            </w:r>
          </w:p>
        </w:tc>
      </w:tr>
    </w:tbl>
    <w:p w14:paraId="4E56B4DA"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DD" w14:textId="77777777">
        <w:trPr>
          <w:tblCellSpacing w:w="0" w:type="dxa"/>
        </w:trPr>
        <w:tc>
          <w:tcPr>
            <w:tcW w:w="1440" w:type="dxa"/>
            <w:shd w:val="clear" w:color="auto" w:fill="auto"/>
            <w:vAlign w:val="center"/>
          </w:tcPr>
          <w:p w14:paraId="4E56B4DB" w14:textId="77777777" w:rsidR="00DF3E10" w:rsidRDefault="00DF3E10">
            <w:pPr>
              <w:rPr>
                <w:rFonts w:ascii="Times New Roman" w:hAnsi="Times New Roman"/>
                <w:sz w:val="20"/>
                <w:szCs w:val="20"/>
              </w:rPr>
            </w:pPr>
          </w:p>
        </w:tc>
        <w:tc>
          <w:tcPr>
            <w:tcW w:w="0" w:type="auto"/>
            <w:shd w:val="clear" w:color="auto" w:fill="auto"/>
            <w:vAlign w:val="center"/>
          </w:tcPr>
          <w:p w14:paraId="4E56B4DC" w14:textId="77777777" w:rsidR="00DF3E10" w:rsidRDefault="00DF3E10">
            <w:pPr>
              <w:rPr>
                <w:rFonts w:ascii="Times New Roman" w:hAnsi="Times New Roman"/>
                <w:sz w:val="20"/>
                <w:szCs w:val="20"/>
              </w:rPr>
            </w:pPr>
          </w:p>
        </w:tc>
      </w:tr>
      <w:tr w:rsidR="00DF3E10" w14:paraId="4E56B4E0" w14:textId="77777777">
        <w:trPr>
          <w:tblCellSpacing w:w="0" w:type="dxa"/>
        </w:trPr>
        <w:tc>
          <w:tcPr>
            <w:tcW w:w="0" w:type="auto"/>
            <w:shd w:val="clear" w:color="auto" w:fill="auto"/>
          </w:tcPr>
          <w:p w14:paraId="4E56B4D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D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w:t>
            </w:r>
            <w:r>
              <w:rPr>
                <w:rFonts w:ascii="Times New Roman" w:eastAsia="宋体" w:hAnsi="Times New Roman"/>
                <w:sz w:val="20"/>
                <w:szCs w:val="20"/>
              </w:rPr>
              <w:t>combined voting power of common stock, certain amendments to our restated certificate of incorporation or bylaws will require the approval of two-thirds of the combined vote of our then-outstanding shares of Class A and Class B common stock;</w:t>
            </w:r>
          </w:p>
        </w:tc>
      </w:tr>
    </w:tbl>
    <w:p w14:paraId="4E56B4E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E4" w14:textId="77777777">
        <w:trPr>
          <w:tblCellSpacing w:w="0" w:type="dxa"/>
        </w:trPr>
        <w:tc>
          <w:tcPr>
            <w:tcW w:w="1440" w:type="dxa"/>
            <w:shd w:val="clear" w:color="auto" w:fill="auto"/>
            <w:vAlign w:val="center"/>
          </w:tcPr>
          <w:p w14:paraId="4E56B4E2" w14:textId="77777777" w:rsidR="00DF3E10" w:rsidRDefault="00DF3E10">
            <w:pPr>
              <w:rPr>
                <w:rFonts w:ascii="Times New Roman" w:hAnsi="Times New Roman"/>
                <w:sz w:val="20"/>
                <w:szCs w:val="20"/>
              </w:rPr>
            </w:pPr>
          </w:p>
        </w:tc>
        <w:tc>
          <w:tcPr>
            <w:tcW w:w="0" w:type="auto"/>
            <w:shd w:val="clear" w:color="auto" w:fill="auto"/>
            <w:vAlign w:val="center"/>
          </w:tcPr>
          <w:p w14:paraId="4E56B4E3" w14:textId="77777777" w:rsidR="00DF3E10" w:rsidRDefault="00DF3E10">
            <w:pPr>
              <w:rPr>
                <w:rFonts w:ascii="Times New Roman" w:hAnsi="Times New Roman"/>
                <w:sz w:val="20"/>
                <w:szCs w:val="20"/>
              </w:rPr>
            </w:pPr>
          </w:p>
        </w:tc>
      </w:tr>
      <w:tr w:rsidR="00DF3E10" w14:paraId="4E56B4E7" w14:textId="77777777">
        <w:trPr>
          <w:tblCellSpacing w:w="0" w:type="dxa"/>
        </w:trPr>
        <w:tc>
          <w:tcPr>
            <w:tcW w:w="0" w:type="auto"/>
            <w:shd w:val="clear" w:color="auto" w:fill="auto"/>
          </w:tcPr>
          <w:p w14:paraId="4E56B4E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E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p>
        </w:tc>
      </w:tr>
    </w:tbl>
    <w:p w14:paraId="4E56B4E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EB" w14:textId="77777777">
        <w:trPr>
          <w:tblCellSpacing w:w="0" w:type="dxa"/>
        </w:trPr>
        <w:tc>
          <w:tcPr>
            <w:tcW w:w="1440" w:type="dxa"/>
            <w:shd w:val="clear" w:color="auto" w:fill="auto"/>
            <w:vAlign w:val="center"/>
          </w:tcPr>
          <w:p w14:paraId="4E56B4E9" w14:textId="77777777" w:rsidR="00DF3E10" w:rsidRDefault="00DF3E10">
            <w:pPr>
              <w:rPr>
                <w:rFonts w:ascii="Times New Roman" w:hAnsi="Times New Roman"/>
                <w:sz w:val="20"/>
                <w:szCs w:val="20"/>
              </w:rPr>
            </w:pPr>
          </w:p>
        </w:tc>
        <w:tc>
          <w:tcPr>
            <w:tcW w:w="0" w:type="auto"/>
            <w:shd w:val="clear" w:color="auto" w:fill="auto"/>
            <w:vAlign w:val="center"/>
          </w:tcPr>
          <w:p w14:paraId="4E56B4EA" w14:textId="77777777" w:rsidR="00DF3E10" w:rsidRDefault="00DF3E10">
            <w:pPr>
              <w:rPr>
                <w:rFonts w:ascii="Times New Roman" w:hAnsi="Times New Roman"/>
                <w:sz w:val="20"/>
                <w:szCs w:val="20"/>
              </w:rPr>
            </w:pPr>
          </w:p>
        </w:tc>
      </w:tr>
      <w:tr w:rsidR="00DF3E10" w14:paraId="4E56B4EE" w14:textId="77777777">
        <w:trPr>
          <w:tblCellSpacing w:w="0" w:type="dxa"/>
        </w:trPr>
        <w:tc>
          <w:tcPr>
            <w:tcW w:w="0" w:type="auto"/>
            <w:shd w:val="clear" w:color="auto" w:fill="auto"/>
          </w:tcPr>
          <w:p w14:paraId="4E56B4E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E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when the outstanding shares of our Class B common stock represent less than a majority of the combined voting power of our common stock, our board of directors will be classified into three classes of directors with staggered three-year terms and dir</w:t>
            </w:r>
            <w:r>
              <w:rPr>
                <w:rFonts w:ascii="Times New Roman" w:eastAsia="宋体" w:hAnsi="Times New Roman"/>
                <w:sz w:val="20"/>
                <w:szCs w:val="20"/>
              </w:rPr>
              <w:t>ectors will only be able to be removed from office for cause;</w:t>
            </w:r>
          </w:p>
        </w:tc>
      </w:tr>
    </w:tbl>
    <w:p w14:paraId="4E56B4E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F2" w14:textId="77777777">
        <w:trPr>
          <w:tblCellSpacing w:w="0" w:type="dxa"/>
        </w:trPr>
        <w:tc>
          <w:tcPr>
            <w:tcW w:w="1440" w:type="dxa"/>
            <w:shd w:val="clear" w:color="auto" w:fill="auto"/>
            <w:vAlign w:val="center"/>
          </w:tcPr>
          <w:p w14:paraId="4E56B4F0" w14:textId="77777777" w:rsidR="00DF3E10" w:rsidRDefault="00DF3E10">
            <w:pPr>
              <w:rPr>
                <w:rFonts w:ascii="Times New Roman" w:hAnsi="Times New Roman"/>
                <w:sz w:val="20"/>
                <w:szCs w:val="20"/>
              </w:rPr>
            </w:pPr>
          </w:p>
        </w:tc>
        <w:tc>
          <w:tcPr>
            <w:tcW w:w="0" w:type="auto"/>
            <w:shd w:val="clear" w:color="auto" w:fill="auto"/>
            <w:vAlign w:val="center"/>
          </w:tcPr>
          <w:p w14:paraId="4E56B4F1" w14:textId="77777777" w:rsidR="00DF3E10" w:rsidRDefault="00DF3E10">
            <w:pPr>
              <w:rPr>
                <w:rFonts w:ascii="Times New Roman" w:hAnsi="Times New Roman"/>
                <w:sz w:val="20"/>
                <w:szCs w:val="20"/>
              </w:rPr>
            </w:pPr>
          </w:p>
        </w:tc>
      </w:tr>
      <w:tr w:rsidR="00DF3E10" w14:paraId="4E56B4F5" w14:textId="77777777">
        <w:trPr>
          <w:tblCellSpacing w:w="0" w:type="dxa"/>
        </w:trPr>
        <w:tc>
          <w:tcPr>
            <w:tcW w:w="0" w:type="auto"/>
            <w:shd w:val="clear" w:color="auto" w:fill="auto"/>
          </w:tcPr>
          <w:p w14:paraId="4E56B4F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F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power of our common stock, our stockholders will only be able to take </w:t>
            </w:r>
            <w:r>
              <w:rPr>
                <w:rFonts w:ascii="Times New Roman" w:eastAsia="宋体" w:hAnsi="Times New Roman"/>
                <w:sz w:val="20"/>
                <w:szCs w:val="20"/>
              </w:rPr>
              <w:t>action at a meeting of stockholders and not by written consent;</w:t>
            </w:r>
          </w:p>
        </w:tc>
      </w:tr>
    </w:tbl>
    <w:p w14:paraId="4E56B4F6" w14:textId="77777777" w:rsidR="00DF3E10" w:rsidRDefault="00DF3E10">
      <w:pPr>
        <w:rPr>
          <w:rFonts w:ascii="Times New Roman" w:hAnsi="Times New Roman"/>
          <w:sz w:val="20"/>
          <w:szCs w:val="20"/>
        </w:rPr>
      </w:pPr>
    </w:p>
    <w:p w14:paraId="4E56B4F7"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78</w:t>
      </w:r>
    </w:p>
    <w:p w14:paraId="4E56B4F8" w14:textId="77777777" w:rsidR="00DF3E10" w:rsidRDefault="006B6C28">
      <w:r>
        <w:rPr>
          <w:rFonts w:ascii="Times New Roman" w:hAnsi="Times New Roman"/>
          <w:sz w:val="20"/>
          <w:szCs w:val="20"/>
        </w:rPr>
        <w:pict w14:anchorId="4E56B7AB">
          <v:rect id="_x0000_i1102" style="width:415.3pt;height:1.5pt" o:hralign="center" o:hrstd="t" o:hr="t" fillcolor="#a0a0a0" stroked="f"/>
        </w:pict>
      </w:r>
    </w:p>
    <w:p w14:paraId="4E56B4F9" w14:textId="77777777" w:rsidR="00DF3E10" w:rsidRDefault="006B6C28">
      <w:pPr>
        <w:spacing w:line="288" w:lineRule="auto"/>
        <w:rPr>
          <w:rFonts w:ascii="Times New Roman" w:hAnsi="Times New Roman"/>
          <w:sz w:val="20"/>
          <w:szCs w:val="20"/>
        </w:rPr>
      </w:pPr>
      <w:hyperlink r:id="rId119" w:anchor="sC1FF62F0D4D85317B5B2C71C7C94F269" w:history="1">
        <w:r>
          <w:rPr>
            <w:rStyle w:val="a5"/>
            <w:rFonts w:ascii="Times New Roman" w:eastAsia="宋体" w:hAnsi="Times New Roman"/>
            <w:sz w:val="20"/>
            <w:szCs w:val="20"/>
          </w:rPr>
          <w:t>Table of Contents</w:t>
        </w:r>
      </w:hyperlink>
    </w:p>
    <w:p w14:paraId="4E56B4FA"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4FD" w14:textId="77777777">
        <w:trPr>
          <w:tblCellSpacing w:w="0" w:type="dxa"/>
        </w:trPr>
        <w:tc>
          <w:tcPr>
            <w:tcW w:w="1440" w:type="dxa"/>
            <w:shd w:val="clear" w:color="auto" w:fill="auto"/>
            <w:vAlign w:val="center"/>
          </w:tcPr>
          <w:p w14:paraId="4E56B4FB" w14:textId="77777777" w:rsidR="00DF3E10" w:rsidRDefault="00DF3E10">
            <w:pPr>
              <w:rPr>
                <w:rFonts w:ascii="Times New Roman" w:hAnsi="Times New Roman"/>
                <w:sz w:val="20"/>
                <w:szCs w:val="20"/>
              </w:rPr>
            </w:pPr>
          </w:p>
        </w:tc>
        <w:tc>
          <w:tcPr>
            <w:tcW w:w="0" w:type="auto"/>
            <w:shd w:val="clear" w:color="auto" w:fill="auto"/>
            <w:vAlign w:val="center"/>
          </w:tcPr>
          <w:p w14:paraId="4E56B4FC" w14:textId="77777777" w:rsidR="00DF3E10" w:rsidRDefault="00DF3E10">
            <w:pPr>
              <w:rPr>
                <w:rFonts w:ascii="Times New Roman" w:hAnsi="Times New Roman"/>
                <w:sz w:val="20"/>
                <w:szCs w:val="20"/>
              </w:rPr>
            </w:pPr>
          </w:p>
        </w:tc>
      </w:tr>
      <w:tr w:rsidR="00DF3E10" w14:paraId="4E56B500" w14:textId="77777777">
        <w:trPr>
          <w:tblCellSpacing w:w="0" w:type="dxa"/>
        </w:trPr>
        <w:tc>
          <w:tcPr>
            <w:tcW w:w="0" w:type="auto"/>
            <w:shd w:val="clear" w:color="auto" w:fill="auto"/>
          </w:tcPr>
          <w:p w14:paraId="4E56B4FE"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4FF"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only our chairman, our chief executive officer, our president, or a majority of</w:t>
            </w:r>
            <w:r>
              <w:rPr>
                <w:rFonts w:ascii="Times New Roman" w:eastAsia="宋体" w:hAnsi="Times New Roman"/>
                <w:sz w:val="20"/>
                <w:szCs w:val="20"/>
              </w:rPr>
              <w:t xml:space="preserve"> our board of directors are authorized to call a special meeting of stockholders;</w:t>
            </w:r>
          </w:p>
        </w:tc>
      </w:tr>
    </w:tbl>
    <w:p w14:paraId="4E56B501"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504" w14:textId="77777777">
        <w:trPr>
          <w:tblCellSpacing w:w="0" w:type="dxa"/>
        </w:trPr>
        <w:tc>
          <w:tcPr>
            <w:tcW w:w="1440" w:type="dxa"/>
            <w:shd w:val="clear" w:color="auto" w:fill="auto"/>
            <w:vAlign w:val="center"/>
          </w:tcPr>
          <w:p w14:paraId="4E56B502" w14:textId="77777777" w:rsidR="00DF3E10" w:rsidRDefault="00DF3E10">
            <w:pPr>
              <w:rPr>
                <w:rFonts w:ascii="Times New Roman" w:hAnsi="Times New Roman"/>
                <w:sz w:val="20"/>
                <w:szCs w:val="20"/>
              </w:rPr>
            </w:pPr>
          </w:p>
        </w:tc>
        <w:tc>
          <w:tcPr>
            <w:tcW w:w="0" w:type="auto"/>
            <w:shd w:val="clear" w:color="auto" w:fill="auto"/>
            <w:vAlign w:val="center"/>
          </w:tcPr>
          <w:p w14:paraId="4E56B503" w14:textId="77777777" w:rsidR="00DF3E10" w:rsidRDefault="00DF3E10">
            <w:pPr>
              <w:rPr>
                <w:rFonts w:ascii="Times New Roman" w:hAnsi="Times New Roman"/>
                <w:sz w:val="20"/>
                <w:szCs w:val="20"/>
              </w:rPr>
            </w:pPr>
          </w:p>
        </w:tc>
      </w:tr>
      <w:tr w:rsidR="00DF3E10" w14:paraId="4E56B507" w14:textId="77777777">
        <w:trPr>
          <w:tblCellSpacing w:w="0" w:type="dxa"/>
        </w:trPr>
        <w:tc>
          <w:tcPr>
            <w:tcW w:w="0" w:type="auto"/>
            <w:shd w:val="clear" w:color="auto" w:fill="auto"/>
          </w:tcPr>
          <w:p w14:paraId="4E56B505"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506"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advance notice procedures apply for stockholders to nominate candidates for election as directors or to bring matters before an annual meeting of </w:t>
            </w:r>
            <w:r>
              <w:rPr>
                <w:rFonts w:ascii="Times New Roman" w:eastAsia="宋体" w:hAnsi="Times New Roman"/>
                <w:sz w:val="20"/>
                <w:szCs w:val="20"/>
              </w:rPr>
              <w:t>stockholders;</w:t>
            </w:r>
          </w:p>
        </w:tc>
      </w:tr>
    </w:tbl>
    <w:p w14:paraId="4E56B508"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DF3E10" w14:paraId="4E56B50B" w14:textId="77777777">
        <w:trPr>
          <w:tblCellSpacing w:w="0" w:type="dxa"/>
        </w:trPr>
        <w:tc>
          <w:tcPr>
            <w:tcW w:w="1440" w:type="dxa"/>
            <w:shd w:val="clear" w:color="auto" w:fill="auto"/>
            <w:vAlign w:val="center"/>
          </w:tcPr>
          <w:p w14:paraId="4E56B509" w14:textId="77777777" w:rsidR="00DF3E10" w:rsidRDefault="00DF3E10">
            <w:pPr>
              <w:rPr>
                <w:rFonts w:ascii="Times New Roman" w:hAnsi="Times New Roman"/>
                <w:sz w:val="20"/>
                <w:szCs w:val="20"/>
              </w:rPr>
            </w:pPr>
          </w:p>
        </w:tc>
        <w:tc>
          <w:tcPr>
            <w:tcW w:w="0" w:type="auto"/>
            <w:shd w:val="clear" w:color="auto" w:fill="auto"/>
            <w:vAlign w:val="center"/>
          </w:tcPr>
          <w:p w14:paraId="4E56B50A" w14:textId="77777777" w:rsidR="00DF3E10" w:rsidRDefault="00DF3E10">
            <w:pPr>
              <w:rPr>
                <w:rFonts w:ascii="Times New Roman" w:hAnsi="Times New Roman"/>
                <w:sz w:val="20"/>
                <w:szCs w:val="20"/>
              </w:rPr>
            </w:pPr>
          </w:p>
        </w:tc>
      </w:tr>
      <w:tr w:rsidR="00DF3E10" w14:paraId="4E56B50E" w14:textId="77777777">
        <w:trPr>
          <w:tblCellSpacing w:w="0" w:type="dxa"/>
        </w:trPr>
        <w:tc>
          <w:tcPr>
            <w:tcW w:w="0" w:type="auto"/>
            <w:shd w:val="clear" w:color="auto" w:fill="auto"/>
          </w:tcPr>
          <w:p w14:paraId="4E56B50C"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50D"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our restated certificate of incorporation authorizes undesignated preferred stock, the terms of which may be established, and shares of which may be issued, without stockholder approval; and</w:t>
            </w:r>
          </w:p>
        </w:tc>
      </w:tr>
    </w:tbl>
    <w:p w14:paraId="4E56B50F" w14:textId="77777777" w:rsidR="00DF3E10" w:rsidRDefault="00DF3E10">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77"/>
      </w:tblGrid>
      <w:tr w:rsidR="00DF3E10" w14:paraId="4E56B512" w14:textId="77777777">
        <w:trPr>
          <w:tblCellSpacing w:w="0" w:type="dxa"/>
        </w:trPr>
        <w:tc>
          <w:tcPr>
            <w:tcW w:w="1440" w:type="dxa"/>
            <w:shd w:val="clear" w:color="auto" w:fill="auto"/>
            <w:vAlign w:val="center"/>
          </w:tcPr>
          <w:p w14:paraId="4E56B510" w14:textId="77777777" w:rsidR="00DF3E10" w:rsidRDefault="00DF3E10">
            <w:pPr>
              <w:rPr>
                <w:rFonts w:ascii="Times New Roman" w:hAnsi="Times New Roman"/>
                <w:sz w:val="20"/>
                <w:szCs w:val="20"/>
              </w:rPr>
            </w:pPr>
          </w:p>
        </w:tc>
        <w:tc>
          <w:tcPr>
            <w:tcW w:w="0" w:type="auto"/>
            <w:shd w:val="clear" w:color="auto" w:fill="auto"/>
            <w:vAlign w:val="center"/>
          </w:tcPr>
          <w:p w14:paraId="4E56B511" w14:textId="77777777" w:rsidR="00DF3E10" w:rsidRDefault="00DF3E10">
            <w:pPr>
              <w:rPr>
                <w:rFonts w:ascii="Times New Roman" w:hAnsi="Times New Roman"/>
                <w:sz w:val="20"/>
                <w:szCs w:val="20"/>
              </w:rPr>
            </w:pPr>
          </w:p>
        </w:tc>
      </w:tr>
      <w:tr w:rsidR="00DF3E10" w14:paraId="4E56B515" w14:textId="77777777">
        <w:trPr>
          <w:tblCellSpacing w:w="0" w:type="dxa"/>
        </w:trPr>
        <w:tc>
          <w:tcPr>
            <w:tcW w:w="0" w:type="auto"/>
            <w:shd w:val="clear" w:color="auto" w:fill="auto"/>
          </w:tcPr>
          <w:p w14:paraId="4E56B513"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E56B514" w14:textId="77777777" w:rsidR="00DF3E10" w:rsidRDefault="006B6C28">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certain litigation against us can </w:t>
            </w:r>
            <w:r>
              <w:rPr>
                <w:rFonts w:ascii="Times New Roman" w:eastAsia="宋体" w:hAnsi="Times New Roman"/>
                <w:sz w:val="20"/>
                <w:szCs w:val="20"/>
              </w:rPr>
              <w:t>only be brought in Delaware.</w:t>
            </w:r>
          </w:p>
        </w:tc>
      </w:tr>
    </w:tbl>
    <w:p w14:paraId="4E56B516" w14:textId="77777777" w:rsidR="00DF3E10" w:rsidRDefault="00DF3E10">
      <w:pPr>
        <w:spacing w:line="288" w:lineRule="auto"/>
        <w:ind w:firstLine="720"/>
        <w:jc w:val="both"/>
        <w:rPr>
          <w:rFonts w:ascii="Times New Roman" w:hAnsi="Times New Roman"/>
          <w:sz w:val="20"/>
          <w:szCs w:val="20"/>
        </w:rPr>
      </w:pPr>
    </w:p>
    <w:p w14:paraId="4E56B517" w14:textId="77777777" w:rsidR="00DF3E10" w:rsidRDefault="00DF3E10">
      <w:pPr>
        <w:rPr>
          <w:rFonts w:ascii="Times New Roman" w:hAnsi="Times New Roman"/>
          <w:sz w:val="20"/>
          <w:szCs w:val="20"/>
        </w:rPr>
      </w:pPr>
    </w:p>
    <w:p w14:paraId="4E56B518"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79</w:t>
      </w:r>
    </w:p>
    <w:p w14:paraId="4E56B519" w14:textId="77777777" w:rsidR="00DF3E10" w:rsidRDefault="006B6C28">
      <w:r>
        <w:rPr>
          <w:rFonts w:ascii="Times New Roman" w:hAnsi="Times New Roman"/>
          <w:sz w:val="20"/>
          <w:szCs w:val="20"/>
        </w:rPr>
        <w:pict w14:anchorId="4E56B7AC">
          <v:rect id="_x0000_i1103" style="width:415.3pt;height:1.5pt" o:hralign="center" o:hrstd="t" o:hr="t" fillcolor="#a0a0a0" stroked="f"/>
        </w:pict>
      </w:r>
    </w:p>
    <w:p w14:paraId="4E56B51A" w14:textId="77777777" w:rsidR="00DF3E10" w:rsidRDefault="006B6C28">
      <w:pPr>
        <w:spacing w:line="288" w:lineRule="auto"/>
        <w:rPr>
          <w:rFonts w:ascii="Times New Roman" w:hAnsi="Times New Roman"/>
          <w:sz w:val="20"/>
          <w:szCs w:val="20"/>
        </w:rPr>
      </w:pPr>
      <w:hyperlink r:id="rId120" w:anchor="sC1FF62F0D4D85317B5B2C71C7C94F269" w:history="1">
        <w:r>
          <w:rPr>
            <w:rStyle w:val="a5"/>
            <w:rFonts w:ascii="Times New Roman" w:eastAsia="宋体" w:hAnsi="Times New Roman"/>
            <w:sz w:val="20"/>
            <w:szCs w:val="20"/>
          </w:rPr>
          <w:t>Table of Contents</w:t>
        </w:r>
      </w:hyperlink>
    </w:p>
    <w:p w14:paraId="4E56B51B" w14:textId="77777777" w:rsidR="00DF3E10" w:rsidRDefault="00DF3E10">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080"/>
        <w:gridCol w:w="5089"/>
      </w:tblGrid>
      <w:tr w:rsidR="00DF3E10" w14:paraId="4E56B51E" w14:textId="77777777">
        <w:trPr>
          <w:tblCellSpacing w:w="0" w:type="dxa"/>
        </w:trPr>
        <w:tc>
          <w:tcPr>
            <w:tcW w:w="1080" w:type="dxa"/>
            <w:shd w:val="clear" w:color="auto" w:fill="auto"/>
            <w:vAlign w:val="center"/>
          </w:tcPr>
          <w:p w14:paraId="4E56B51C" w14:textId="77777777" w:rsidR="00DF3E10" w:rsidRDefault="00DF3E10">
            <w:pPr>
              <w:rPr>
                <w:rFonts w:ascii="Times New Roman" w:hAnsi="Times New Roman"/>
                <w:sz w:val="20"/>
                <w:szCs w:val="20"/>
              </w:rPr>
            </w:pPr>
          </w:p>
        </w:tc>
        <w:tc>
          <w:tcPr>
            <w:tcW w:w="0" w:type="auto"/>
            <w:shd w:val="clear" w:color="auto" w:fill="auto"/>
            <w:vAlign w:val="center"/>
          </w:tcPr>
          <w:p w14:paraId="4E56B51D" w14:textId="77777777" w:rsidR="00DF3E10" w:rsidRDefault="00DF3E10">
            <w:pPr>
              <w:rPr>
                <w:rFonts w:ascii="Times New Roman" w:hAnsi="Times New Roman"/>
                <w:sz w:val="20"/>
                <w:szCs w:val="20"/>
              </w:rPr>
            </w:pPr>
          </w:p>
        </w:tc>
      </w:tr>
      <w:tr w:rsidR="00DF3E10" w14:paraId="4E56B521" w14:textId="77777777">
        <w:trPr>
          <w:tblCellSpacing w:w="0" w:type="dxa"/>
        </w:trPr>
        <w:tc>
          <w:tcPr>
            <w:tcW w:w="0" w:type="auto"/>
            <w:shd w:val="clear" w:color="auto" w:fill="auto"/>
          </w:tcPr>
          <w:p w14:paraId="4E56B51F"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4E56B520"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Unregistered Sales of Equity Securities and Use of Proceeds </w:t>
            </w:r>
          </w:p>
        </w:tc>
      </w:tr>
    </w:tbl>
    <w:p w14:paraId="4E56B522"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b/>
          <w:bCs/>
          <w:i/>
          <w:iCs/>
          <w:sz w:val="20"/>
          <w:szCs w:val="20"/>
        </w:rPr>
        <w:t>a) Sales of</w:t>
      </w:r>
      <w:r>
        <w:rPr>
          <w:rFonts w:ascii="Times New Roman" w:eastAsia="宋体" w:hAnsi="Times New Roman"/>
          <w:b/>
          <w:bCs/>
          <w:i/>
          <w:iCs/>
          <w:sz w:val="20"/>
          <w:szCs w:val="20"/>
        </w:rPr>
        <w:t xml:space="preserve"> Unregistered Securities </w:t>
      </w:r>
    </w:p>
    <w:p w14:paraId="4E56B523"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4E56B524"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b/>
          <w:bCs/>
          <w:i/>
          <w:iCs/>
          <w:sz w:val="20"/>
          <w:szCs w:val="20"/>
        </w:rPr>
        <w:t>c) Issuer Purchases of Equity Securities</w:t>
      </w:r>
    </w:p>
    <w:p w14:paraId="4E56B525" w14:textId="77777777" w:rsidR="00DF3E10" w:rsidRDefault="006B6C28">
      <w:pPr>
        <w:spacing w:line="288" w:lineRule="auto"/>
        <w:ind w:firstLine="720"/>
        <w:rPr>
          <w:rFonts w:ascii="Times New Roman" w:hAnsi="Times New Roman"/>
          <w:sz w:val="20"/>
          <w:szCs w:val="20"/>
        </w:rPr>
      </w:pPr>
      <w:r>
        <w:rPr>
          <w:rFonts w:ascii="Times New Roman" w:eastAsia="宋体" w:hAnsi="Times New Roman"/>
          <w:sz w:val="20"/>
          <w:szCs w:val="20"/>
        </w:rPr>
        <w:t>The following table summarizes the share repurchase activity for the three months ended June 30, 2020:</w:t>
      </w:r>
    </w:p>
    <w:tbl>
      <w:tblPr>
        <w:tblW w:w="5000" w:type="pct"/>
        <w:tblCellMar>
          <w:left w:w="0" w:type="dxa"/>
          <w:right w:w="0" w:type="dxa"/>
        </w:tblCellMar>
        <w:tblLook w:val="04A0" w:firstRow="1" w:lastRow="0" w:firstColumn="1" w:lastColumn="0" w:noHBand="0" w:noVBand="1"/>
      </w:tblPr>
      <w:tblGrid>
        <w:gridCol w:w="2711"/>
        <w:gridCol w:w="1216"/>
        <w:gridCol w:w="57"/>
        <w:gridCol w:w="130"/>
        <w:gridCol w:w="140"/>
        <w:gridCol w:w="1130"/>
        <w:gridCol w:w="54"/>
        <w:gridCol w:w="130"/>
        <w:gridCol w:w="1217"/>
        <w:gridCol w:w="54"/>
        <w:gridCol w:w="130"/>
        <w:gridCol w:w="141"/>
        <w:gridCol w:w="1135"/>
        <w:gridCol w:w="61"/>
      </w:tblGrid>
      <w:tr w:rsidR="00DF3E10" w14:paraId="4E56B527" w14:textId="77777777">
        <w:tc>
          <w:tcPr>
            <w:tcW w:w="0" w:type="auto"/>
            <w:gridSpan w:val="14"/>
            <w:shd w:val="clear" w:color="auto" w:fill="auto"/>
            <w:vAlign w:val="center"/>
          </w:tcPr>
          <w:p w14:paraId="4E56B526" w14:textId="77777777" w:rsidR="00DF3E10" w:rsidRDefault="00DF3E10">
            <w:pPr>
              <w:rPr>
                <w:rFonts w:ascii="Times New Roman" w:hAnsi="Times New Roman"/>
                <w:sz w:val="20"/>
                <w:szCs w:val="20"/>
              </w:rPr>
            </w:pPr>
          </w:p>
        </w:tc>
      </w:tr>
      <w:tr w:rsidR="00DF3E10" w14:paraId="4E56B536" w14:textId="77777777">
        <w:tc>
          <w:tcPr>
            <w:tcW w:w="1650" w:type="pct"/>
            <w:shd w:val="clear" w:color="auto" w:fill="auto"/>
            <w:vAlign w:val="center"/>
          </w:tcPr>
          <w:p w14:paraId="4E56B528" w14:textId="77777777" w:rsidR="00DF3E10" w:rsidRDefault="00DF3E10">
            <w:pPr>
              <w:rPr>
                <w:rFonts w:ascii="Times New Roman" w:hAnsi="Times New Roman"/>
                <w:sz w:val="20"/>
                <w:szCs w:val="20"/>
              </w:rPr>
            </w:pPr>
          </w:p>
        </w:tc>
        <w:tc>
          <w:tcPr>
            <w:tcW w:w="750" w:type="pct"/>
            <w:shd w:val="clear" w:color="auto" w:fill="auto"/>
            <w:vAlign w:val="center"/>
          </w:tcPr>
          <w:p w14:paraId="4E56B529" w14:textId="77777777" w:rsidR="00DF3E10" w:rsidRDefault="00DF3E10">
            <w:pPr>
              <w:rPr>
                <w:rFonts w:ascii="Times New Roman" w:hAnsi="Times New Roman"/>
                <w:sz w:val="20"/>
                <w:szCs w:val="20"/>
              </w:rPr>
            </w:pPr>
          </w:p>
        </w:tc>
        <w:tc>
          <w:tcPr>
            <w:tcW w:w="50" w:type="pct"/>
            <w:shd w:val="clear" w:color="auto" w:fill="auto"/>
            <w:vAlign w:val="center"/>
          </w:tcPr>
          <w:p w14:paraId="4E56B52A" w14:textId="77777777" w:rsidR="00DF3E10" w:rsidRDefault="00DF3E10">
            <w:pPr>
              <w:rPr>
                <w:rFonts w:ascii="Times New Roman" w:hAnsi="Times New Roman"/>
                <w:sz w:val="20"/>
                <w:szCs w:val="20"/>
              </w:rPr>
            </w:pPr>
          </w:p>
        </w:tc>
        <w:tc>
          <w:tcPr>
            <w:tcW w:w="50" w:type="pct"/>
            <w:shd w:val="clear" w:color="auto" w:fill="auto"/>
            <w:vAlign w:val="center"/>
          </w:tcPr>
          <w:p w14:paraId="4E56B52B" w14:textId="77777777" w:rsidR="00DF3E10" w:rsidRDefault="00DF3E10">
            <w:pPr>
              <w:rPr>
                <w:rFonts w:ascii="Times New Roman" w:hAnsi="Times New Roman"/>
                <w:sz w:val="20"/>
                <w:szCs w:val="20"/>
              </w:rPr>
            </w:pPr>
          </w:p>
        </w:tc>
        <w:tc>
          <w:tcPr>
            <w:tcW w:w="50" w:type="pct"/>
            <w:shd w:val="clear" w:color="auto" w:fill="auto"/>
            <w:vAlign w:val="center"/>
          </w:tcPr>
          <w:p w14:paraId="4E56B52C" w14:textId="77777777" w:rsidR="00DF3E10" w:rsidRDefault="00DF3E10">
            <w:pPr>
              <w:rPr>
                <w:rFonts w:ascii="Times New Roman" w:hAnsi="Times New Roman"/>
                <w:sz w:val="20"/>
                <w:szCs w:val="20"/>
              </w:rPr>
            </w:pPr>
          </w:p>
        </w:tc>
        <w:tc>
          <w:tcPr>
            <w:tcW w:w="700" w:type="pct"/>
            <w:shd w:val="clear" w:color="auto" w:fill="auto"/>
            <w:vAlign w:val="center"/>
          </w:tcPr>
          <w:p w14:paraId="4E56B52D" w14:textId="77777777" w:rsidR="00DF3E10" w:rsidRDefault="00DF3E10">
            <w:pPr>
              <w:rPr>
                <w:rFonts w:ascii="Times New Roman" w:hAnsi="Times New Roman"/>
                <w:sz w:val="20"/>
                <w:szCs w:val="20"/>
              </w:rPr>
            </w:pPr>
          </w:p>
        </w:tc>
        <w:tc>
          <w:tcPr>
            <w:tcW w:w="50" w:type="pct"/>
            <w:shd w:val="clear" w:color="auto" w:fill="auto"/>
            <w:vAlign w:val="center"/>
          </w:tcPr>
          <w:p w14:paraId="4E56B52E" w14:textId="77777777" w:rsidR="00DF3E10" w:rsidRDefault="00DF3E10">
            <w:pPr>
              <w:rPr>
                <w:rFonts w:ascii="Times New Roman" w:hAnsi="Times New Roman"/>
                <w:sz w:val="20"/>
                <w:szCs w:val="20"/>
              </w:rPr>
            </w:pPr>
          </w:p>
        </w:tc>
        <w:tc>
          <w:tcPr>
            <w:tcW w:w="50" w:type="pct"/>
            <w:shd w:val="clear" w:color="auto" w:fill="auto"/>
            <w:vAlign w:val="center"/>
          </w:tcPr>
          <w:p w14:paraId="4E56B52F" w14:textId="77777777" w:rsidR="00DF3E10" w:rsidRDefault="00DF3E10">
            <w:pPr>
              <w:rPr>
                <w:rFonts w:ascii="Times New Roman" w:hAnsi="Times New Roman"/>
                <w:sz w:val="20"/>
                <w:szCs w:val="20"/>
              </w:rPr>
            </w:pPr>
          </w:p>
        </w:tc>
        <w:tc>
          <w:tcPr>
            <w:tcW w:w="750" w:type="pct"/>
            <w:shd w:val="clear" w:color="auto" w:fill="auto"/>
            <w:vAlign w:val="center"/>
          </w:tcPr>
          <w:p w14:paraId="4E56B530" w14:textId="77777777" w:rsidR="00DF3E10" w:rsidRDefault="00DF3E10">
            <w:pPr>
              <w:rPr>
                <w:rFonts w:ascii="Times New Roman" w:hAnsi="Times New Roman"/>
                <w:sz w:val="20"/>
                <w:szCs w:val="20"/>
              </w:rPr>
            </w:pPr>
          </w:p>
        </w:tc>
        <w:tc>
          <w:tcPr>
            <w:tcW w:w="50" w:type="pct"/>
            <w:shd w:val="clear" w:color="auto" w:fill="auto"/>
            <w:vAlign w:val="center"/>
          </w:tcPr>
          <w:p w14:paraId="4E56B531" w14:textId="77777777" w:rsidR="00DF3E10" w:rsidRDefault="00DF3E10">
            <w:pPr>
              <w:rPr>
                <w:rFonts w:ascii="Times New Roman" w:hAnsi="Times New Roman"/>
                <w:sz w:val="20"/>
                <w:szCs w:val="20"/>
              </w:rPr>
            </w:pPr>
          </w:p>
        </w:tc>
        <w:tc>
          <w:tcPr>
            <w:tcW w:w="50" w:type="pct"/>
            <w:shd w:val="clear" w:color="auto" w:fill="auto"/>
            <w:vAlign w:val="center"/>
          </w:tcPr>
          <w:p w14:paraId="4E56B532" w14:textId="77777777" w:rsidR="00DF3E10" w:rsidRDefault="00DF3E10">
            <w:pPr>
              <w:rPr>
                <w:rFonts w:ascii="Times New Roman" w:hAnsi="Times New Roman"/>
                <w:sz w:val="20"/>
                <w:szCs w:val="20"/>
              </w:rPr>
            </w:pPr>
          </w:p>
        </w:tc>
        <w:tc>
          <w:tcPr>
            <w:tcW w:w="50" w:type="pct"/>
            <w:shd w:val="clear" w:color="auto" w:fill="auto"/>
            <w:vAlign w:val="center"/>
          </w:tcPr>
          <w:p w14:paraId="4E56B533" w14:textId="77777777" w:rsidR="00DF3E10" w:rsidRDefault="00DF3E10">
            <w:pPr>
              <w:rPr>
                <w:rFonts w:ascii="Times New Roman" w:hAnsi="Times New Roman"/>
                <w:sz w:val="20"/>
                <w:szCs w:val="20"/>
              </w:rPr>
            </w:pPr>
          </w:p>
        </w:tc>
        <w:tc>
          <w:tcPr>
            <w:tcW w:w="700" w:type="pct"/>
            <w:shd w:val="clear" w:color="auto" w:fill="auto"/>
            <w:vAlign w:val="center"/>
          </w:tcPr>
          <w:p w14:paraId="4E56B534" w14:textId="77777777" w:rsidR="00DF3E10" w:rsidRDefault="00DF3E10">
            <w:pPr>
              <w:rPr>
                <w:rFonts w:ascii="Times New Roman" w:hAnsi="Times New Roman"/>
                <w:sz w:val="20"/>
                <w:szCs w:val="20"/>
              </w:rPr>
            </w:pPr>
          </w:p>
        </w:tc>
        <w:tc>
          <w:tcPr>
            <w:tcW w:w="50" w:type="pct"/>
            <w:shd w:val="clear" w:color="auto" w:fill="auto"/>
            <w:vAlign w:val="center"/>
          </w:tcPr>
          <w:p w14:paraId="4E56B535" w14:textId="77777777" w:rsidR="00DF3E10" w:rsidRDefault="00DF3E10">
            <w:pPr>
              <w:rPr>
                <w:rFonts w:ascii="Times New Roman" w:hAnsi="Times New Roman"/>
                <w:sz w:val="20"/>
                <w:szCs w:val="20"/>
              </w:rPr>
            </w:pPr>
          </w:p>
        </w:tc>
      </w:tr>
      <w:tr w:rsidR="00DF3E10" w14:paraId="4E56B53F" w14:textId="77777777">
        <w:tc>
          <w:tcPr>
            <w:tcW w:w="0" w:type="auto"/>
            <w:shd w:val="clear" w:color="auto" w:fill="auto"/>
            <w:tcMar>
              <w:top w:w="40" w:type="dxa"/>
              <w:left w:w="40" w:type="dxa"/>
              <w:bottom w:w="40" w:type="dxa"/>
              <w:right w:w="40" w:type="dxa"/>
            </w:tcMar>
            <w:vAlign w:val="bottom"/>
          </w:tcPr>
          <w:p w14:paraId="4E56B53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B53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4E56B5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B53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Average Price Paid </w:t>
            </w:r>
            <w:r>
              <w:rPr>
                <w:rFonts w:ascii="Times New Roman" w:eastAsia="宋体" w:hAnsi="Times New Roman"/>
                <w:b/>
                <w:bCs/>
                <w:sz w:val="16"/>
                <w:szCs w:val="16"/>
              </w:rPr>
              <w:t>Per Share</w:t>
            </w:r>
            <w:r>
              <w:rPr>
                <w:rFonts w:ascii="Times New Roman" w:eastAsia="宋体" w:hAnsi="Times New Roman"/>
                <w:b/>
                <w:bCs/>
                <w:sz w:val="10"/>
                <w:szCs w:val="10"/>
              </w:rPr>
              <w:t>(2)</w:t>
            </w:r>
          </w:p>
        </w:tc>
        <w:tc>
          <w:tcPr>
            <w:tcW w:w="0" w:type="auto"/>
            <w:shd w:val="clear" w:color="auto" w:fill="auto"/>
            <w:tcMar>
              <w:top w:w="40" w:type="dxa"/>
              <w:left w:w="40" w:type="dxa"/>
              <w:bottom w:w="40" w:type="dxa"/>
              <w:right w:w="40" w:type="dxa"/>
            </w:tcMar>
            <w:vAlign w:val="bottom"/>
          </w:tcPr>
          <w:p w14:paraId="4E56B5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B53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 as Part of Publicly Announced Programs</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4E56B5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E56B53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Approximate Dollar Value of Shares that May Yet Be Purchased Under the Plans or Programs </w:t>
            </w:r>
            <w:r>
              <w:rPr>
                <w:rFonts w:ascii="Times New Roman" w:eastAsia="宋体" w:hAnsi="Times New Roman"/>
                <w:b/>
                <w:bCs/>
                <w:sz w:val="10"/>
                <w:szCs w:val="10"/>
              </w:rPr>
              <w:t>(1)</w:t>
            </w:r>
          </w:p>
        </w:tc>
      </w:tr>
      <w:tr w:rsidR="00DF3E10" w14:paraId="4E56B548" w14:textId="77777777">
        <w:tc>
          <w:tcPr>
            <w:tcW w:w="0" w:type="auto"/>
            <w:shd w:val="clear" w:color="auto" w:fill="auto"/>
            <w:tcMar>
              <w:top w:w="40" w:type="dxa"/>
              <w:left w:w="40" w:type="dxa"/>
              <w:bottom w:w="40" w:type="dxa"/>
              <w:right w:w="40" w:type="dxa"/>
            </w:tcMar>
            <w:vAlign w:val="bottom"/>
          </w:tcPr>
          <w:p w14:paraId="4E56B54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4E56B541" w14:textId="77777777" w:rsidR="00DF3E10" w:rsidRDefault="006B6C28">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4E56B5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54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4E56B545" w14:textId="77777777" w:rsidR="00DF3E10" w:rsidRDefault="006B6C28">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4E56B54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4E56B547" w14:textId="77777777" w:rsidR="00DF3E10" w:rsidRDefault="006B6C28">
            <w:pPr>
              <w:jc w:val="center"/>
              <w:textAlignment w:val="top"/>
              <w:rPr>
                <w:rFonts w:ascii="Times New Roman" w:hAnsi="Times New Roman"/>
                <w:sz w:val="16"/>
                <w:szCs w:val="16"/>
              </w:rPr>
            </w:pPr>
            <w:r>
              <w:rPr>
                <w:rFonts w:ascii="Times New Roman" w:eastAsia="宋体" w:hAnsi="Times New Roman"/>
                <w:b/>
                <w:bCs/>
                <w:sz w:val="16"/>
                <w:szCs w:val="16"/>
              </w:rPr>
              <w:t>(in millions)</w:t>
            </w:r>
          </w:p>
        </w:tc>
      </w:tr>
      <w:tr w:rsidR="00DF3E10" w14:paraId="4E56B557" w14:textId="77777777">
        <w:tc>
          <w:tcPr>
            <w:tcW w:w="0" w:type="auto"/>
            <w:shd w:val="clear" w:color="auto" w:fill="CCEEFF"/>
            <w:tcMar>
              <w:top w:w="40" w:type="dxa"/>
              <w:left w:w="40" w:type="dxa"/>
              <w:bottom w:w="40" w:type="dxa"/>
              <w:right w:w="40" w:type="dxa"/>
            </w:tcMar>
            <w:vAlign w:val="bottom"/>
          </w:tcPr>
          <w:p w14:paraId="4E56B5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April 1 - 30, 2020</w:t>
            </w:r>
          </w:p>
        </w:tc>
        <w:tc>
          <w:tcPr>
            <w:tcW w:w="0" w:type="auto"/>
            <w:shd w:val="clear" w:color="auto" w:fill="CCEEFF"/>
            <w:tcMar>
              <w:top w:w="40" w:type="dxa"/>
              <w:left w:w="40" w:type="dxa"/>
              <w:bottom w:w="40" w:type="dxa"/>
            </w:tcMar>
            <w:vAlign w:val="bottom"/>
          </w:tcPr>
          <w:p w14:paraId="4E56B54A"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CCEEFF"/>
            <w:vAlign w:val="bottom"/>
          </w:tcPr>
          <w:p w14:paraId="4E56B54B"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B54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B54E"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176.65</w:t>
            </w:r>
          </w:p>
        </w:tc>
        <w:tc>
          <w:tcPr>
            <w:tcW w:w="0" w:type="auto"/>
            <w:shd w:val="clear" w:color="auto" w:fill="CCEEFF"/>
            <w:vAlign w:val="bottom"/>
          </w:tcPr>
          <w:p w14:paraId="4E56B54F"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B551"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CCEEFF"/>
            <w:vAlign w:val="bottom"/>
          </w:tcPr>
          <w:p w14:paraId="4E56B552"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B5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B555"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13,269</w:t>
            </w:r>
          </w:p>
        </w:tc>
        <w:tc>
          <w:tcPr>
            <w:tcW w:w="0" w:type="auto"/>
            <w:shd w:val="clear" w:color="auto" w:fill="CCEEFF"/>
            <w:vAlign w:val="bottom"/>
          </w:tcPr>
          <w:p w14:paraId="4E56B556" w14:textId="77777777" w:rsidR="00DF3E10" w:rsidRDefault="00DF3E10">
            <w:pPr>
              <w:textAlignment w:val="bottom"/>
              <w:rPr>
                <w:rFonts w:ascii="Times New Roman" w:hAnsi="Times New Roman"/>
                <w:sz w:val="20"/>
                <w:szCs w:val="20"/>
              </w:rPr>
            </w:pPr>
          </w:p>
        </w:tc>
      </w:tr>
      <w:tr w:rsidR="00DF3E10" w14:paraId="4E56B566" w14:textId="77777777">
        <w:tc>
          <w:tcPr>
            <w:tcW w:w="0" w:type="auto"/>
            <w:shd w:val="clear" w:color="auto" w:fill="auto"/>
            <w:tcMar>
              <w:top w:w="40" w:type="dxa"/>
              <w:left w:w="40" w:type="dxa"/>
              <w:bottom w:w="40" w:type="dxa"/>
              <w:right w:w="40" w:type="dxa"/>
            </w:tcMar>
            <w:vAlign w:val="bottom"/>
          </w:tcPr>
          <w:p w14:paraId="4E56B5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May 1 - 31, 2020</w:t>
            </w:r>
          </w:p>
        </w:tc>
        <w:tc>
          <w:tcPr>
            <w:tcW w:w="0" w:type="auto"/>
            <w:shd w:val="clear" w:color="auto" w:fill="auto"/>
            <w:tcMar>
              <w:top w:w="40" w:type="dxa"/>
              <w:left w:w="40" w:type="dxa"/>
              <w:bottom w:w="40" w:type="dxa"/>
            </w:tcMar>
            <w:vAlign w:val="bottom"/>
          </w:tcPr>
          <w:p w14:paraId="4E56B559"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shd w:val="clear" w:color="auto" w:fill="auto"/>
            <w:vAlign w:val="bottom"/>
          </w:tcPr>
          <w:p w14:paraId="4E56B55A"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B55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B55D"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216.74</w:t>
            </w:r>
          </w:p>
        </w:tc>
        <w:tc>
          <w:tcPr>
            <w:tcW w:w="0" w:type="auto"/>
            <w:shd w:val="clear" w:color="auto" w:fill="auto"/>
            <w:vAlign w:val="bottom"/>
          </w:tcPr>
          <w:p w14:paraId="4E56B55E"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5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B560"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shd w:val="clear" w:color="auto" w:fill="auto"/>
            <w:vAlign w:val="bottom"/>
          </w:tcPr>
          <w:p w14:paraId="4E56B561"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6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4E56B5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4E56B564"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12,814</w:t>
            </w:r>
          </w:p>
        </w:tc>
        <w:tc>
          <w:tcPr>
            <w:tcW w:w="0" w:type="auto"/>
            <w:shd w:val="clear" w:color="auto" w:fill="auto"/>
            <w:vAlign w:val="bottom"/>
          </w:tcPr>
          <w:p w14:paraId="4E56B565" w14:textId="77777777" w:rsidR="00DF3E10" w:rsidRDefault="00DF3E10">
            <w:pPr>
              <w:textAlignment w:val="bottom"/>
              <w:rPr>
                <w:rFonts w:ascii="Times New Roman" w:hAnsi="Times New Roman"/>
                <w:sz w:val="20"/>
                <w:szCs w:val="20"/>
              </w:rPr>
            </w:pPr>
          </w:p>
        </w:tc>
      </w:tr>
      <w:tr w:rsidR="00DF3E10" w14:paraId="4E56B575" w14:textId="77777777">
        <w:tc>
          <w:tcPr>
            <w:tcW w:w="0" w:type="auto"/>
            <w:shd w:val="clear" w:color="auto" w:fill="CCEEFF"/>
            <w:tcMar>
              <w:top w:w="40" w:type="dxa"/>
              <w:left w:w="40" w:type="dxa"/>
              <w:bottom w:w="40" w:type="dxa"/>
              <w:right w:w="40" w:type="dxa"/>
            </w:tcMar>
            <w:vAlign w:val="bottom"/>
          </w:tcPr>
          <w:p w14:paraId="4E56B5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June 1 - 30, 2020</w:t>
            </w:r>
          </w:p>
        </w:tc>
        <w:tc>
          <w:tcPr>
            <w:tcW w:w="0" w:type="auto"/>
            <w:tcBorders>
              <w:bottom w:val="single" w:sz="8" w:space="0" w:color="000000"/>
            </w:tcBorders>
            <w:shd w:val="clear" w:color="auto" w:fill="CCEEFF"/>
            <w:tcMar>
              <w:top w:w="40" w:type="dxa"/>
              <w:left w:w="40" w:type="dxa"/>
              <w:bottom w:w="40" w:type="dxa"/>
            </w:tcMar>
            <w:vAlign w:val="bottom"/>
          </w:tcPr>
          <w:p w14:paraId="4E56B568"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tcBorders>
              <w:bottom w:val="single" w:sz="8" w:space="0" w:color="000000"/>
            </w:tcBorders>
            <w:shd w:val="clear" w:color="auto" w:fill="CCEEFF"/>
            <w:vAlign w:val="bottom"/>
          </w:tcPr>
          <w:p w14:paraId="4E56B569"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6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E56B5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4E56B56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231.65</w:t>
            </w:r>
          </w:p>
        </w:tc>
        <w:tc>
          <w:tcPr>
            <w:tcW w:w="0" w:type="auto"/>
            <w:shd w:val="clear" w:color="auto" w:fill="CCEEFF"/>
            <w:vAlign w:val="bottom"/>
          </w:tcPr>
          <w:p w14:paraId="4E56B56D"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4E56B56F"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tcBorders>
              <w:bottom w:val="single" w:sz="8" w:space="0" w:color="000000"/>
            </w:tcBorders>
            <w:shd w:val="clear" w:color="auto" w:fill="CCEEFF"/>
            <w:vAlign w:val="bottom"/>
          </w:tcPr>
          <w:p w14:paraId="4E56B570" w14:textId="77777777" w:rsidR="00DF3E10" w:rsidRDefault="00DF3E1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E56B5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E56B57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4E56B573"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12,279</w:t>
            </w:r>
          </w:p>
        </w:tc>
        <w:tc>
          <w:tcPr>
            <w:tcW w:w="0" w:type="auto"/>
            <w:shd w:val="clear" w:color="auto" w:fill="CCEEFF"/>
            <w:vAlign w:val="bottom"/>
          </w:tcPr>
          <w:p w14:paraId="4E56B574" w14:textId="77777777" w:rsidR="00DF3E10" w:rsidRDefault="00DF3E10">
            <w:pPr>
              <w:textAlignment w:val="bottom"/>
              <w:rPr>
                <w:rFonts w:ascii="Times New Roman" w:hAnsi="Times New Roman"/>
                <w:sz w:val="20"/>
                <w:szCs w:val="20"/>
              </w:rPr>
            </w:pPr>
          </w:p>
        </w:tc>
      </w:tr>
      <w:tr w:rsidR="00DF3E10" w14:paraId="4E56B580" w14:textId="77777777">
        <w:tc>
          <w:tcPr>
            <w:tcW w:w="0" w:type="auto"/>
            <w:shd w:val="clear" w:color="auto" w:fill="auto"/>
            <w:tcMar>
              <w:top w:w="40" w:type="dxa"/>
              <w:left w:w="40" w:type="dxa"/>
              <w:bottom w:w="40" w:type="dxa"/>
              <w:right w:w="40" w:type="dxa"/>
            </w:tcMar>
            <w:vAlign w:val="bottom"/>
          </w:tcPr>
          <w:p w14:paraId="4E56B57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B577"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6,615</w:t>
            </w:r>
          </w:p>
        </w:tc>
        <w:tc>
          <w:tcPr>
            <w:tcW w:w="0" w:type="auto"/>
            <w:tcBorders>
              <w:top w:val="single" w:sz="8" w:space="0" w:color="000000"/>
              <w:bottom w:val="double" w:sz="6" w:space="0" w:color="000000"/>
            </w:tcBorders>
            <w:shd w:val="clear" w:color="auto" w:fill="auto"/>
            <w:vAlign w:val="bottom"/>
          </w:tcPr>
          <w:p w14:paraId="4E56B578"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7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57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E56B57C" w14:textId="77777777" w:rsidR="00DF3E10" w:rsidRDefault="006B6C28">
            <w:pPr>
              <w:jc w:val="right"/>
              <w:textAlignment w:val="bottom"/>
              <w:rPr>
                <w:rFonts w:ascii="Times New Roman" w:hAnsi="Times New Roman"/>
                <w:sz w:val="20"/>
                <w:szCs w:val="20"/>
              </w:rPr>
            </w:pPr>
            <w:r>
              <w:rPr>
                <w:rFonts w:ascii="Times New Roman" w:eastAsia="宋体" w:hAnsi="Times New Roman"/>
                <w:sz w:val="20"/>
                <w:szCs w:val="20"/>
              </w:rPr>
              <w:t>6,615</w:t>
            </w:r>
          </w:p>
        </w:tc>
        <w:tc>
          <w:tcPr>
            <w:tcW w:w="0" w:type="auto"/>
            <w:tcBorders>
              <w:top w:val="single" w:sz="8" w:space="0" w:color="000000"/>
              <w:bottom w:val="double" w:sz="6" w:space="0" w:color="000000"/>
            </w:tcBorders>
            <w:shd w:val="clear" w:color="auto" w:fill="auto"/>
            <w:vAlign w:val="bottom"/>
          </w:tcPr>
          <w:p w14:paraId="4E56B57D"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7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57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bl>
    <w:p w14:paraId="4E56B581" w14:textId="77777777" w:rsidR="00DF3E10" w:rsidRDefault="006B6C28">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DF3E10" w14:paraId="4E56B584" w14:textId="77777777">
        <w:trPr>
          <w:tblCellSpacing w:w="0" w:type="dxa"/>
        </w:trPr>
        <w:tc>
          <w:tcPr>
            <w:tcW w:w="480" w:type="dxa"/>
            <w:shd w:val="clear" w:color="auto" w:fill="auto"/>
            <w:vAlign w:val="center"/>
          </w:tcPr>
          <w:p w14:paraId="4E56B582" w14:textId="77777777" w:rsidR="00DF3E10" w:rsidRDefault="00DF3E10">
            <w:pPr>
              <w:rPr>
                <w:rFonts w:ascii="Times New Roman" w:hAnsi="Times New Roman"/>
                <w:sz w:val="20"/>
                <w:szCs w:val="20"/>
              </w:rPr>
            </w:pPr>
          </w:p>
        </w:tc>
        <w:tc>
          <w:tcPr>
            <w:tcW w:w="0" w:type="auto"/>
            <w:shd w:val="clear" w:color="auto" w:fill="auto"/>
            <w:vAlign w:val="center"/>
          </w:tcPr>
          <w:p w14:paraId="4E56B583" w14:textId="77777777" w:rsidR="00DF3E10" w:rsidRDefault="00DF3E10">
            <w:pPr>
              <w:rPr>
                <w:rFonts w:ascii="Times New Roman" w:hAnsi="Times New Roman"/>
                <w:sz w:val="20"/>
                <w:szCs w:val="20"/>
              </w:rPr>
            </w:pPr>
          </w:p>
        </w:tc>
      </w:tr>
      <w:tr w:rsidR="00DF3E10" w14:paraId="4E56B587" w14:textId="77777777">
        <w:trPr>
          <w:tblCellSpacing w:w="0" w:type="dxa"/>
        </w:trPr>
        <w:tc>
          <w:tcPr>
            <w:tcW w:w="0" w:type="auto"/>
            <w:shd w:val="clear" w:color="auto" w:fill="auto"/>
          </w:tcPr>
          <w:p w14:paraId="4E56B585"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4E56B586"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Our board of directors has authorized a share repurchase program of our Class A common stock, which </w:t>
            </w:r>
            <w:r>
              <w:rPr>
                <w:rFonts w:ascii="Times New Roman" w:eastAsia="宋体" w:hAnsi="Times New Roman"/>
                <w:sz w:val="18"/>
                <w:szCs w:val="18"/>
              </w:rPr>
              <w:t>does not have an expiration date. As of December 31, 2019, $4.90 billion remained available for repurchases under this program. In January 2020, an additional $10.0 billion of repurchases was authorized under this program. The timing and actual number of s</w:t>
            </w:r>
            <w:r>
              <w:rPr>
                <w:rFonts w:ascii="Times New Roman" w:eastAsia="宋体" w:hAnsi="Times New Roman"/>
                <w:sz w:val="18"/>
                <w:szCs w:val="18"/>
              </w:rPr>
              <w:t>hares repurchased depend on a variety of factors, including price, general business and market conditions, and other investment opportunities, and shares may be repurchased through open market purchases or privately negotiated transactions, including throu</w:t>
            </w:r>
            <w:r>
              <w:rPr>
                <w:rFonts w:ascii="Times New Roman" w:eastAsia="宋体" w:hAnsi="Times New Roman"/>
                <w:sz w:val="18"/>
                <w:szCs w:val="18"/>
              </w:rPr>
              <w:t>gh the use of trading plans intended to qualify under Rule 10b5-1 under the Exchange Act.</w:t>
            </w:r>
          </w:p>
        </w:tc>
      </w:tr>
    </w:tbl>
    <w:p w14:paraId="4E56B588" w14:textId="77777777" w:rsidR="00DF3E10" w:rsidRDefault="00DF3E10">
      <w:pPr>
        <w:spacing w:line="288" w:lineRule="auto"/>
        <w:jc w:val="both"/>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480"/>
        <w:gridCol w:w="5473"/>
      </w:tblGrid>
      <w:tr w:rsidR="00DF3E10" w14:paraId="4E56B58B" w14:textId="77777777">
        <w:trPr>
          <w:tblCellSpacing w:w="0" w:type="dxa"/>
        </w:trPr>
        <w:tc>
          <w:tcPr>
            <w:tcW w:w="480" w:type="dxa"/>
            <w:shd w:val="clear" w:color="auto" w:fill="auto"/>
            <w:vAlign w:val="center"/>
          </w:tcPr>
          <w:p w14:paraId="4E56B589" w14:textId="77777777" w:rsidR="00DF3E10" w:rsidRDefault="00DF3E10">
            <w:pPr>
              <w:rPr>
                <w:rFonts w:ascii="Times New Roman" w:hAnsi="Times New Roman"/>
                <w:sz w:val="20"/>
                <w:szCs w:val="20"/>
              </w:rPr>
            </w:pPr>
          </w:p>
        </w:tc>
        <w:tc>
          <w:tcPr>
            <w:tcW w:w="0" w:type="auto"/>
            <w:shd w:val="clear" w:color="auto" w:fill="auto"/>
            <w:vAlign w:val="center"/>
          </w:tcPr>
          <w:p w14:paraId="4E56B58A" w14:textId="77777777" w:rsidR="00DF3E10" w:rsidRDefault="00DF3E10">
            <w:pPr>
              <w:rPr>
                <w:rFonts w:ascii="Times New Roman" w:hAnsi="Times New Roman"/>
                <w:sz w:val="20"/>
                <w:szCs w:val="20"/>
              </w:rPr>
            </w:pPr>
          </w:p>
        </w:tc>
      </w:tr>
      <w:tr w:rsidR="00DF3E10" w14:paraId="4E56B58E" w14:textId="77777777">
        <w:trPr>
          <w:tblCellSpacing w:w="0" w:type="dxa"/>
        </w:trPr>
        <w:tc>
          <w:tcPr>
            <w:tcW w:w="0" w:type="auto"/>
            <w:shd w:val="clear" w:color="auto" w:fill="auto"/>
          </w:tcPr>
          <w:p w14:paraId="4E56B58C" w14:textId="77777777" w:rsidR="00DF3E10" w:rsidRDefault="006B6C28">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4E56B58D" w14:textId="77777777" w:rsidR="00DF3E10" w:rsidRDefault="006B6C28">
            <w:pPr>
              <w:spacing w:line="288" w:lineRule="auto"/>
              <w:jc w:val="both"/>
              <w:textAlignment w:val="top"/>
              <w:rPr>
                <w:rFonts w:ascii="Times New Roman" w:hAnsi="Times New Roman"/>
                <w:sz w:val="18"/>
                <w:szCs w:val="18"/>
              </w:rPr>
            </w:pPr>
            <w:r>
              <w:rPr>
                <w:rFonts w:ascii="Times New Roman" w:eastAsia="宋体" w:hAnsi="Times New Roman"/>
                <w:sz w:val="18"/>
                <w:szCs w:val="18"/>
              </w:rPr>
              <w:t>Average price paid per share includes costs associated with the repurchases.</w:t>
            </w:r>
          </w:p>
        </w:tc>
      </w:tr>
    </w:tbl>
    <w:p w14:paraId="4E56B58F" w14:textId="77777777" w:rsidR="00DF3E10" w:rsidRDefault="00DF3E10">
      <w:pPr>
        <w:spacing w:line="288" w:lineRule="auto"/>
        <w:rPr>
          <w:rFonts w:ascii="Times New Roman" w:hAnsi="Times New Roman"/>
          <w:sz w:val="18"/>
          <w:szCs w:val="18"/>
        </w:rPr>
      </w:pPr>
    </w:p>
    <w:p w14:paraId="4E56B590" w14:textId="77777777" w:rsidR="00DF3E10" w:rsidRDefault="00DF3E10">
      <w:pPr>
        <w:rPr>
          <w:rFonts w:ascii="Times New Roman" w:hAnsi="Times New Roman"/>
          <w:sz w:val="20"/>
          <w:szCs w:val="20"/>
        </w:rPr>
      </w:pPr>
    </w:p>
    <w:p w14:paraId="4E56B591"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80</w:t>
      </w:r>
    </w:p>
    <w:p w14:paraId="4E56B592" w14:textId="77777777" w:rsidR="00DF3E10" w:rsidRDefault="006B6C28">
      <w:r>
        <w:rPr>
          <w:rFonts w:ascii="Times New Roman" w:hAnsi="Times New Roman"/>
          <w:sz w:val="20"/>
          <w:szCs w:val="20"/>
        </w:rPr>
        <w:pict w14:anchorId="4E56B7AD">
          <v:rect id="_x0000_i1104" style="width:415.3pt;height:1.5pt" o:hralign="center" o:hrstd="t" o:hr="t" fillcolor="#a0a0a0" stroked="f"/>
        </w:pict>
      </w:r>
    </w:p>
    <w:p w14:paraId="4E56B593" w14:textId="77777777" w:rsidR="00DF3E10" w:rsidRDefault="006B6C28">
      <w:pPr>
        <w:spacing w:line="288" w:lineRule="auto"/>
        <w:rPr>
          <w:rFonts w:ascii="Times New Roman" w:hAnsi="Times New Roman"/>
          <w:sz w:val="20"/>
          <w:szCs w:val="20"/>
        </w:rPr>
      </w:pPr>
      <w:hyperlink r:id="rId121" w:anchor="sC1FF62F0D4D85317B5B2C71C7C94F269" w:history="1">
        <w:r>
          <w:rPr>
            <w:rStyle w:val="a5"/>
            <w:rFonts w:ascii="Times New Roman" w:eastAsia="宋体" w:hAnsi="Times New Roman"/>
            <w:sz w:val="20"/>
            <w:szCs w:val="20"/>
          </w:rPr>
          <w:t>Table of Contents</w:t>
        </w:r>
      </w:hyperlink>
    </w:p>
    <w:p w14:paraId="4E56B594" w14:textId="77777777" w:rsidR="00DF3E10" w:rsidRDefault="00DF3E10">
      <w:pPr>
        <w:rPr>
          <w:rFonts w:ascii="Times New Roman" w:hAnsi="Times New Roman"/>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60"/>
        <w:gridCol w:w="712"/>
      </w:tblGrid>
      <w:tr w:rsidR="00DF3E10" w14:paraId="4E56B597" w14:textId="77777777">
        <w:trPr>
          <w:tblCellSpacing w:w="0" w:type="dxa"/>
        </w:trPr>
        <w:tc>
          <w:tcPr>
            <w:tcW w:w="960" w:type="dxa"/>
            <w:shd w:val="clear" w:color="auto" w:fill="auto"/>
            <w:vAlign w:val="center"/>
          </w:tcPr>
          <w:p w14:paraId="4E56B595" w14:textId="77777777" w:rsidR="00DF3E10" w:rsidRDefault="00DF3E10">
            <w:pPr>
              <w:rPr>
                <w:rFonts w:ascii="Times New Roman" w:hAnsi="Times New Roman"/>
                <w:sz w:val="20"/>
                <w:szCs w:val="20"/>
              </w:rPr>
            </w:pPr>
          </w:p>
        </w:tc>
        <w:tc>
          <w:tcPr>
            <w:tcW w:w="0" w:type="auto"/>
            <w:shd w:val="clear" w:color="auto" w:fill="auto"/>
            <w:vAlign w:val="center"/>
          </w:tcPr>
          <w:p w14:paraId="4E56B596" w14:textId="77777777" w:rsidR="00DF3E10" w:rsidRDefault="00DF3E10">
            <w:pPr>
              <w:rPr>
                <w:rFonts w:ascii="Times New Roman" w:hAnsi="Times New Roman"/>
                <w:sz w:val="20"/>
                <w:szCs w:val="20"/>
              </w:rPr>
            </w:pPr>
          </w:p>
        </w:tc>
      </w:tr>
      <w:tr w:rsidR="00DF3E10" w14:paraId="4E56B59A" w14:textId="77777777">
        <w:trPr>
          <w:tblCellSpacing w:w="0" w:type="dxa"/>
        </w:trPr>
        <w:tc>
          <w:tcPr>
            <w:tcW w:w="0" w:type="auto"/>
            <w:shd w:val="clear" w:color="auto" w:fill="auto"/>
          </w:tcPr>
          <w:p w14:paraId="4E56B598"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Pr>
          <w:p w14:paraId="4E56B599" w14:textId="77777777" w:rsidR="00DF3E10" w:rsidRDefault="006B6C28">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Exhibits </w:t>
            </w:r>
          </w:p>
        </w:tc>
      </w:tr>
    </w:tbl>
    <w:p w14:paraId="4E56B59B" w14:textId="77777777" w:rsidR="00DF3E10" w:rsidRDefault="00DF3E10">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830"/>
        <w:gridCol w:w="160"/>
        <w:gridCol w:w="2888"/>
        <w:gridCol w:w="160"/>
        <w:gridCol w:w="492"/>
        <w:gridCol w:w="160"/>
        <w:gridCol w:w="947"/>
        <w:gridCol w:w="160"/>
        <w:gridCol w:w="576"/>
        <w:gridCol w:w="53"/>
        <w:gridCol w:w="160"/>
        <w:gridCol w:w="840"/>
        <w:gridCol w:w="160"/>
        <w:gridCol w:w="720"/>
      </w:tblGrid>
      <w:tr w:rsidR="00DF3E10" w14:paraId="4E56B59D" w14:textId="77777777">
        <w:tc>
          <w:tcPr>
            <w:tcW w:w="0" w:type="auto"/>
            <w:gridSpan w:val="14"/>
            <w:shd w:val="clear" w:color="auto" w:fill="auto"/>
            <w:vAlign w:val="center"/>
          </w:tcPr>
          <w:p w14:paraId="4E56B59C" w14:textId="77777777" w:rsidR="00DF3E10" w:rsidRDefault="00DF3E10">
            <w:pPr>
              <w:rPr>
                <w:rFonts w:ascii="Times New Roman" w:hAnsi="Times New Roman"/>
                <w:sz w:val="20"/>
                <w:szCs w:val="20"/>
              </w:rPr>
            </w:pPr>
          </w:p>
        </w:tc>
      </w:tr>
      <w:tr w:rsidR="00DF3E10" w14:paraId="4E56B5AC" w14:textId="77777777">
        <w:tc>
          <w:tcPr>
            <w:tcW w:w="400" w:type="pct"/>
            <w:shd w:val="clear" w:color="auto" w:fill="auto"/>
            <w:vAlign w:val="center"/>
          </w:tcPr>
          <w:p w14:paraId="4E56B59E" w14:textId="77777777" w:rsidR="00DF3E10" w:rsidRDefault="00DF3E10">
            <w:pPr>
              <w:rPr>
                <w:rFonts w:ascii="Times New Roman" w:hAnsi="Times New Roman"/>
                <w:sz w:val="20"/>
                <w:szCs w:val="20"/>
              </w:rPr>
            </w:pPr>
          </w:p>
        </w:tc>
        <w:tc>
          <w:tcPr>
            <w:tcW w:w="50" w:type="pct"/>
            <w:shd w:val="clear" w:color="auto" w:fill="auto"/>
            <w:vAlign w:val="center"/>
          </w:tcPr>
          <w:p w14:paraId="4E56B59F" w14:textId="77777777" w:rsidR="00DF3E10" w:rsidRDefault="00DF3E10">
            <w:pPr>
              <w:rPr>
                <w:rFonts w:ascii="Times New Roman" w:hAnsi="Times New Roman"/>
                <w:sz w:val="20"/>
                <w:szCs w:val="20"/>
              </w:rPr>
            </w:pPr>
          </w:p>
        </w:tc>
        <w:tc>
          <w:tcPr>
            <w:tcW w:w="1850" w:type="pct"/>
            <w:shd w:val="clear" w:color="auto" w:fill="auto"/>
            <w:vAlign w:val="center"/>
          </w:tcPr>
          <w:p w14:paraId="4E56B5A0" w14:textId="77777777" w:rsidR="00DF3E10" w:rsidRDefault="00DF3E10">
            <w:pPr>
              <w:rPr>
                <w:rFonts w:ascii="Times New Roman" w:hAnsi="Times New Roman"/>
                <w:sz w:val="20"/>
                <w:szCs w:val="20"/>
              </w:rPr>
            </w:pPr>
          </w:p>
        </w:tc>
        <w:tc>
          <w:tcPr>
            <w:tcW w:w="50" w:type="pct"/>
            <w:shd w:val="clear" w:color="auto" w:fill="auto"/>
            <w:vAlign w:val="center"/>
          </w:tcPr>
          <w:p w14:paraId="4E56B5A1" w14:textId="77777777" w:rsidR="00DF3E10" w:rsidRDefault="00DF3E10">
            <w:pPr>
              <w:rPr>
                <w:rFonts w:ascii="Times New Roman" w:hAnsi="Times New Roman"/>
                <w:sz w:val="20"/>
                <w:szCs w:val="20"/>
              </w:rPr>
            </w:pPr>
          </w:p>
        </w:tc>
        <w:tc>
          <w:tcPr>
            <w:tcW w:w="350" w:type="pct"/>
            <w:shd w:val="clear" w:color="auto" w:fill="auto"/>
            <w:vAlign w:val="center"/>
          </w:tcPr>
          <w:p w14:paraId="4E56B5A2" w14:textId="77777777" w:rsidR="00DF3E10" w:rsidRDefault="00DF3E10">
            <w:pPr>
              <w:rPr>
                <w:rFonts w:ascii="Times New Roman" w:hAnsi="Times New Roman"/>
                <w:sz w:val="20"/>
                <w:szCs w:val="20"/>
              </w:rPr>
            </w:pPr>
          </w:p>
        </w:tc>
        <w:tc>
          <w:tcPr>
            <w:tcW w:w="50" w:type="pct"/>
            <w:shd w:val="clear" w:color="auto" w:fill="auto"/>
            <w:vAlign w:val="center"/>
          </w:tcPr>
          <w:p w14:paraId="4E56B5A3" w14:textId="77777777" w:rsidR="00DF3E10" w:rsidRDefault="00DF3E10">
            <w:pPr>
              <w:rPr>
                <w:rFonts w:ascii="Times New Roman" w:hAnsi="Times New Roman"/>
                <w:sz w:val="20"/>
                <w:szCs w:val="20"/>
              </w:rPr>
            </w:pPr>
          </w:p>
        </w:tc>
        <w:tc>
          <w:tcPr>
            <w:tcW w:w="500" w:type="pct"/>
            <w:shd w:val="clear" w:color="auto" w:fill="auto"/>
            <w:vAlign w:val="center"/>
          </w:tcPr>
          <w:p w14:paraId="4E56B5A4" w14:textId="77777777" w:rsidR="00DF3E10" w:rsidRDefault="00DF3E10">
            <w:pPr>
              <w:rPr>
                <w:rFonts w:ascii="Times New Roman" w:hAnsi="Times New Roman"/>
                <w:sz w:val="20"/>
                <w:szCs w:val="20"/>
              </w:rPr>
            </w:pPr>
          </w:p>
        </w:tc>
        <w:tc>
          <w:tcPr>
            <w:tcW w:w="50" w:type="pct"/>
            <w:shd w:val="clear" w:color="auto" w:fill="auto"/>
            <w:vAlign w:val="center"/>
          </w:tcPr>
          <w:p w14:paraId="4E56B5A5" w14:textId="77777777" w:rsidR="00DF3E10" w:rsidRDefault="00DF3E10">
            <w:pPr>
              <w:rPr>
                <w:rFonts w:ascii="Times New Roman" w:hAnsi="Times New Roman"/>
                <w:sz w:val="20"/>
                <w:szCs w:val="20"/>
              </w:rPr>
            </w:pPr>
          </w:p>
        </w:tc>
        <w:tc>
          <w:tcPr>
            <w:tcW w:w="500" w:type="pct"/>
            <w:shd w:val="clear" w:color="auto" w:fill="auto"/>
            <w:vAlign w:val="center"/>
          </w:tcPr>
          <w:p w14:paraId="4E56B5A6" w14:textId="77777777" w:rsidR="00DF3E10" w:rsidRDefault="00DF3E10">
            <w:pPr>
              <w:rPr>
                <w:rFonts w:ascii="Times New Roman" w:hAnsi="Times New Roman"/>
                <w:sz w:val="20"/>
                <w:szCs w:val="20"/>
              </w:rPr>
            </w:pPr>
          </w:p>
        </w:tc>
        <w:tc>
          <w:tcPr>
            <w:tcW w:w="50" w:type="pct"/>
            <w:shd w:val="clear" w:color="auto" w:fill="auto"/>
            <w:vAlign w:val="center"/>
          </w:tcPr>
          <w:p w14:paraId="4E56B5A7" w14:textId="77777777" w:rsidR="00DF3E10" w:rsidRDefault="00DF3E10">
            <w:pPr>
              <w:rPr>
                <w:rFonts w:ascii="Times New Roman" w:hAnsi="Times New Roman"/>
                <w:sz w:val="20"/>
                <w:szCs w:val="20"/>
              </w:rPr>
            </w:pPr>
          </w:p>
        </w:tc>
        <w:tc>
          <w:tcPr>
            <w:tcW w:w="50" w:type="pct"/>
            <w:shd w:val="clear" w:color="auto" w:fill="auto"/>
            <w:vAlign w:val="center"/>
          </w:tcPr>
          <w:p w14:paraId="4E56B5A8" w14:textId="77777777" w:rsidR="00DF3E10" w:rsidRDefault="00DF3E10">
            <w:pPr>
              <w:rPr>
                <w:rFonts w:ascii="Times New Roman" w:hAnsi="Times New Roman"/>
                <w:sz w:val="20"/>
                <w:szCs w:val="20"/>
              </w:rPr>
            </w:pPr>
          </w:p>
        </w:tc>
        <w:tc>
          <w:tcPr>
            <w:tcW w:w="650" w:type="pct"/>
            <w:shd w:val="clear" w:color="auto" w:fill="auto"/>
            <w:vAlign w:val="center"/>
          </w:tcPr>
          <w:p w14:paraId="4E56B5A9" w14:textId="77777777" w:rsidR="00DF3E10" w:rsidRDefault="00DF3E10">
            <w:pPr>
              <w:rPr>
                <w:rFonts w:ascii="Times New Roman" w:hAnsi="Times New Roman"/>
                <w:sz w:val="20"/>
                <w:szCs w:val="20"/>
              </w:rPr>
            </w:pPr>
          </w:p>
        </w:tc>
        <w:tc>
          <w:tcPr>
            <w:tcW w:w="50" w:type="pct"/>
            <w:shd w:val="clear" w:color="auto" w:fill="auto"/>
            <w:vAlign w:val="center"/>
          </w:tcPr>
          <w:p w14:paraId="4E56B5AA" w14:textId="77777777" w:rsidR="00DF3E10" w:rsidRDefault="00DF3E10">
            <w:pPr>
              <w:rPr>
                <w:rFonts w:ascii="Times New Roman" w:hAnsi="Times New Roman"/>
                <w:sz w:val="20"/>
                <w:szCs w:val="20"/>
              </w:rPr>
            </w:pPr>
          </w:p>
        </w:tc>
        <w:tc>
          <w:tcPr>
            <w:tcW w:w="400" w:type="pct"/>
            <w:shd w:val="clear" w:color="auto" w:fill="auto"/>
            <w:vAlign w:val="center"/>
          </w:tcPr>
          <w:p w14:paraId="4E56B5AB" w14:textId="77777777" w:rsidR="00DF3E10" w:rsidRDefault="00DF3E10">
            <w:pPr>
              <w:rPr>
                <w:rFonts w:ascii="Times New Roman" w:hAnsi="Times New Roman"/>
                <w:sz w:val="20"/>
                <w:szCs w:val="20"/>
              </w:rPr>
            </w:pPr>
          </w:p>
        </w:tc>
      </w:tr>
      <w:tr w:rsidR="00DF3E10" w14:paraId="4E56B5B5" w14:textId="77777777">
        <w:tc>
          <w:tcPr>
            <w:tcW w:w="0" w:type="auto"/>
            <w:shd w:val="clear" w:color="auto" w:fill="auto"/>
            <w:tcMar>
              <w:top w:w="40" w:type="dxa"/>
              <w:left w:w="40" w:type="dxa"/>
              <w:bottom w:w="40" w:type="dxa"/>
              <w:right w:w="40" w:type="dxa"/>
            </w:tcMar>
            <w:vAlign w:val="bottom"/>
          </w:tcPr>
          <w:p w14:paraId="4E56B5AD"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4E56B5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right w:w="40" w:type="dxa"/>
            </w:tcMar>
            <w:vAlign w:val="bottom"/>
          </w:tcPr>
          <w:p w14:paraId="4E56B5B1"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 xml:space="preserve">Incorporated by </w:t>
            </w:r>
            <w:r>
              <w:rPr>
                <w:rFonts w:ascii="Times New Roman" w:eastAsia="宋体" w:hAnsi="Times New Roman"/>
                <w:b/>
                <w:bCs/>
                <w:sz w:val="16"/>
                <w:szCs w:val="16"/>
              </w:rPr>
              <w:t>Reference</w:t>
            </w:r>
          </w:p>
        </w:tc>
        <w:tc>
          <w:tcPr>
            <w:tcW w:w="0" w:type="auto"/>
            <w:shd w:val="clear" w:color="auto" w:fill="auto"/>
            <w:tcMar>
              <w:top w:w="40" w:type="dxa"/>
              <w:left w:w="40" w:type="dxa"/>
              <w:bottom w:w="40" w:type="dxa"/>
              <w:right w:w="40" w:type="dxa"/>
            </w:tcMar>
            <w:vAlign w:val="bottom"/>
          </w:tcPr>
          <w:p w14:paraId="4E56B5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4E56B5B3"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Filed</w:t>
            </w:r>
          </w:p>
          <w:p w14:paraId="4E56B5B4"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DF3E10" w14:paraId="4E56B5C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E56B5B6"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4E56B5B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5B8"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4E56B5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5BA"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4E56B5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5BC"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4E56B5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E56B5BE"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4E56B5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5C0" w14:textId="77777777" w:rsidR="00DF3E10" w:rsidRDefault="006B6C28">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4E56B5C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4E56B5C2" w14:textId="77777777" w:rsidR="00DF3E10" w:rsidRDefault="00DF3E10">
            <w:pPr>
              <w:rPr>
                <w:rFonts w:ascii="Times New Roman" w:hAnsi="Times New Roman"/>
                <w:sz w:val="20"/>
                <w:szCs w:val="20"/>
              </w:rPr>
            </w:pPr>
          </w:p>
        </w:tc>
      </w:tr>
      <w:tr w:rsidR="00DF3E10" w14:paraId="4E56B5CB" w14:textId="77777777">
        <w:tc>
          <w:tcPr>
            <w:tcW w:w="0" w:type="auto"/>
            <w:shd w:val="clear" w:color="auto" w:fill="auto"/>
            <w:tcMar>
              <w:top w:w="40" w:type="dxa"/>
              <w:left w:w="40" w:type="dxa"/>
              <w:bottom w:w="40" w:type="dxa"/>
              <w:right w:w="40" w:type="dxa"/>
            </w:tcMar>
            <w:vAlign w:val="bottom"/>
          </w:tcPr>
          <w:p w14:paraId="4E56B5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5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5DA" w14:textId="77777777">
        <w:tc>
          <w:tcPr>
            <w:tcW w:w="0" w:type="auto"/>
            <w:shd w:val="clear" w:color="auto" w:fill="auto"/>
            <w:tcMar>
              <w:top w:w="40" w:type="dxa"/>
              <w:left w:w="40" w:type="dxa"/>
              <w:bottom w:w="40" w:type="dxa"/>
              <w:right w:w="40" w:type="dxa"/>
            </w:tcMar>
          </w:tcPr>
          <w:p w14:paraId="4E56B5CC"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tcMar>
              <w:top w:w="40" w:type="dxa"/>
              <w:left w:w="40" w:type="dxa"/>
              <w:bottom w:w="40" w:type="dxa"/>
              <w:right w:w="40" w:type="dxa"/>
            </w:tcMar>
            <w:vAlign w:val="bottom"/>
          </w:tcPr>
          <w:p w14:paraId="4E56B5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CE" w14:textId="77777777" w:rsidR="00DF3E10" w:rsidRDefault="006B6C28">
            <w:pPr>
              <w:textAlignment w:val="top"/>
              <w:rPr>
                <w:rFonts w:ascii="Times New Roman" w:hAnsi="Times New Roman"/>
                <w:sz w:val="20"/>
                <w:szCs w:val="20"/>
              </w:rPr>
            </w:pPr>
            <w:hyperlink r:id="rId122" w:history="1">
              <w:r>
                <w:rPr>
                  <w:rStyle w:val="a5"/>
                  <w:rFonts w:ascii="Times New Roman" w:eastAsia="宋体" w:hAnsi="Times New Roman"/>
                  <w:sz w:val="20"/>
                  <w:szCs w:val="20"/>
                </w:rPr>
                <w:t>Form of Executive Offer Letter.</w:t>
              </w:r>
            </w:hyperlink>
          </w:p>
        </w:tc>
        <w:tc>
          <w:tcPr>
            <w:tcW w:w="0" w:type="auto"/>
            <w:shd w:val="clear" w:color="auto" w:fill="auto"/>
            <w:tcMar>
              <w:top w:w="40" w:type="dxa"/>
              <w:left w:w="40" w:type="dxa"/>
              <w:bottom w:w="40" w:type="dxa"/>
              <w:right w:w="40" w:type="dxa"/>
            </w:tcMar>
            <w:vAlign w:val="bottom"/>
          </w:tcPr>
          <w:p w14:paraId="4E56B5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D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10-Q</w:t>
            </w:r>
          </w:p>
        </w:tc>
        <w:tc>
          <w:tcPr>
            <w:tcW w:w="0" w:type="auto"/>
            <w:shd w:val="clear" w:color="auto" w:fill="auto"/>
            <w:tcMar>
              <w:top w:w="40" w:type="dxa"/>
              <w:left w:w="40" w:type="dxa"/>
              <w:bottom w:w="40" w:type="dxa"/>
              <w:right w:w="40" w:type="dxa"/>
            </w:tcMar>
            <w:vAlign w:val="bottom"/>
          </w:tcPr>
          <w:p w14:paraId="4E56B5D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D2"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001-35551</w:t>
            </w:r>
          </w:p>
        </w:tc>
        <w:tc>
          <w:tcPr>
            <w:tcW w:w="0" w:type="auto"/>
            <w:shd w:val="clear" w:color="auto" w:fill="auto"/>
            <w:tcMar>
              <w:top w:w="40" w:type="dxa"/>
              <w:left w:w="40" w:type="dxa"/>
              <w:bottom w:w="40" w:type="dxa"/>
              <w:right w:w="40" w:type="dxa"/>
            </w:tcMar>
            <w:vAlign w:val="bottom"/>
          </w:tcPr>
          <w:p w14:paraId="4E56B5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4E56B5D4"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vAlign w:val="bottom"/>
          </w:tcPr>
          <w:p w14:paraId="4E56B5D5" w14:textId="77777777" w:rsidR="00DF3E10" w:rsidRDefault="00DF3E1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E56B5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D7" w14:textId="77777777" w:rsidR="00DF3E10" w:rsidRDefault="006B6C28">
            <w:pPr>
              <w:jc w:val="right"/>
              <w:textAlignment w:val="top"/>
              <w:rPr>
                <w:rFonts w:ascii="Times New Roman" w:hAnsi="Times New Roman"/>
                <w:sz w:val="20"/>
                <w:szCs w:val="20"/>
              </w:rPr>
            </w:pPr>
            <w:r>
              <w:rPr>
                <w:rFonts w:ascii="Times New Roman" w:eastAsia="宋体" w:hAnsi="Times New Roman"/>
                <w:sz w:val="20"/>
                <w:szCs w:val="20"/>
              </w:rPr>
              <w:t>July 25, 2019</w:t>
            </w:r>
          </w:p>
        </w:tc>
        <w:tc>
          <w:tcPr>
            <w:tcW w:w="0" w:type="auto"/>
            <w:shd w:val="clear" w:color="auto" w:fill="auto"/>
            <w:tcMar>
              <w:top w:w="40" w:type="dxa"/>
              <w:left w:w="40" w:type="dxa"/>
              <w:bottom w:w="40" w:type="dxa"/>
              <w:right w:w="40" w:type="dxa"/>
            </w:tcMar>
            <w:vAlign w:val="bottom"/>
          </w:tcPr>
          <w:p w14:paraId="4E56B5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5E8" w14:textId="77777777">
        <w:tc>
          <w:tcPr>
            <w:tcW w:w="0" w:type="auto"/>
            <w:shd w:val="clear" w:color="auto" w:fill="auto"/>
            <w:tcMar>
              <w:top w:w="40" w:type="dxa"/>
              <w:left w:w="40" w:type="dxa"/>
              <w:bottom w:w="40" w:type="dxa"/>
              <w:right w:w="40" w:type="dxa"/>
            </w:tcMar>
          </w:tcPr>
          <w:p w14:paraId="4E56B5D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tcMar>
              <w:top w:w="40" w:type="dxa"/>
              <w:left w:w="40" w:type="dxa"/>
              <w:bottom w:w="40" w:type="dxa"/>
              <w:right w:w="40" w:type="dxa"/>
            </w:tcMar>
            <w:vAlign w:val="bottom"/>
          </w:tcPr>
          <w:p w14:paraId="4E56B5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DD" w14:textId="77777777" w:rsidR="00DF3E10" w:rsidRDefault="006B6C28">
            <w:pPr>
              <w:textAlignment w:val="top"/>
              <w:rPr>
                <w:rFonts w:ascii="Times New Roman" w:hAnsi="Times New Roman"/>
                <w:sz w:val="20"/>
                <w:szCs w:val="20"/>
              </w:rPr>
            </w:pPr>
            <w:hyperlink r:id="rId123" w:history="1">
              <w:r>
                <w:rPr>
                  <w:rStyle w:val="a5"/>
                  <w:rFonts w:ascii="Times New Roman" w:eastAsia="宋体" w:hAnsi="Times New Roman"/>
                  <w:sz w:val="20"/>
                  <w:szCs w:val="20"/>
                </w:rPr>
                <w:t>Director Compensation Policy.</w:t>
              </w:r>
            </w:hyperlink>
          </w:p>
        </w:tc>
        <w:tc>
          <w:tcPr>
            <w:tcW w:w="0" w:type="auto"/>
            <w:shd w:val="clear" w:color="auto" w:fill="auto"/>
            <w:tcMar>
              <w:top w:w="40" w:type="dxa"/>
              <w:left w:w="40" w:type="dxa"/>
              <w:bottom w:w="40" w:type="dxa"/>
              <w:right w:w="40" w:type="dxa"/>
            </w:tcMar>
            <w:vAlign w:val="bottom"/>
          </w:tcPr>
          <w:p w14:paraId="4E56B5D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D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E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5E7"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5F6" w14:textId="77777777">
        <w:tc>
          <w:tcPr>
            <w:tcW w:w="0" w:type="auto"/>
            <w:shd w:val="clear" w:color="auto" w:fill="auto"/>
            <w:tcMar>
              <w:top w:w="40" w:type="dxa"/>
              <w:left w:w="40" w:type="dxa"/>
              <w:bottom w:w="40" w:type="dxa"/>
              <w:right w:w="40" w:type="dxa"/>
            </w:tcMar>
          </w:tcPr>
          <w:p w14:paraId="4E56B5E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tcMar>
              <w:top w:w="40" w:type="dxa"/>
              <w:left w:w="40" w:type="dxa"/>
              <w:bottom w:w="40" w:type="dxa"/>
              <w:right w:w="40" w:type="dxa"/>
            </w:tcMar>
            <w:vAlign w:val="bottom"/>
          </w:tcPr>
          <w:p w14:paraId="4E56B5E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5EB" w14:textId="77777777" w:rsidR="00DF3E10" w:rsidRDefault="006B6C28">
            <w:pPr>
              <w:textAlignment w:val="top"/>
              <w:rPr>
                <w:rFonts w:ascii="Times New Roman" w:hAnsi="Times New Roman"/>
                <w:sz w:val="20"/>
                <w:szCs w:val="20"/>
              </w:rPr>
            </w:pPr>
            <w:hyperlink r:id="rId124" w:history="1">
              <w:r>
                <w:rPr>
                  <w:rStyle w:val="a5"/>
                  <w:rFonts w:ascii="Times New Roman" w:eastAsia="宋体" w:hAnsi="Times New Roman"/>
                  <w:sz w:val="20"/>
                  <w:szCs w:val="20"/>
                </w:rPr>
                <w:t>Certification of Mark Zuckerberg, Chief Executive Officer, pursuant to Rule 13a-14(a)/15d-14(a), as adopted pursuant to Section 302 of the Sarbanes-Oxl</w:t>
              </w:r>
              <w:r>
                <w:rPr>
                  <w:rStyle w:val="a5"/>
                  <w:rFonts w:ascii="Times New Roman" w:eastAsia="宋体" w:hAnsi="Times New Roman"/>
                  <w:sz w:val="20"/>
                  <w:szCs w:val="20"/>
                </w:rPr>
                <w:t>ey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B5E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5E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E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5E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F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5F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F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5F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5F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5F5"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5FE" w14:textId="77777777">
        <w:tc>
          <w:tcPr>
            <w:tcW w:w="0" w:type="auto"/>
            <w:shd w:val="clear" w:color="auto" w:fill="auto"/>
            <w:tcMar>
              <w:top w:w="40" w:type="dxa"/>
              <w:left w:w="40" w:type="dxa"/>
              <w:bottom w:w="40" w:type="dxa"/>
              <w:right w:w="40" w:type="dxa"/>
            </w:tcMar>
            <w:vAlign w:val="bottom"/>
          </w:tcPr>
          <w:p w14:paraId="4E56B5F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F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F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5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F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5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0C" w14:textId="77777777">
        <w:tc>
          <w:tcPr>
            <w:tcW w:w="0" w:type="auto"/>
            <w:shd w:val="clear" w:color="auto" w:fill="auto"/>
            <w:tcMar>
              <w:top w:w="40" w:type="dxa"/>
              <w:left w:w="40" w:type="dxa"/>
              <w:bottom w:w="40" w:type="dxa"/>
              <w:right w:w="40" w:type="dxa"/>
            </w:tcMar>
          </w:tcPr>
          <w:p w14:paraId="4E56B5F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tcMar>
              <w:top w:w="40" w:type="dxa"/>
              <w:left w:w="40" w:type="dxa"/>
              <w:bottom w:w="40" w:type="dxa"/>
              <w:right w:w="40" w:type="dxa"/>
            </w:tcMar>
            <w:vAlign w:val="bottom"/>
          </w:tcPr>
          <w:p w14:paraId="4E56B60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01" w14:textId="77777777" w:rsidR="00DF3E10" w:rsidRDefault="006B6C28">
            <w:pPr>
              <w:textAlignment w:val="top"/>
              <w:rPr>
                <w:rFonts w:ascii="Times New Roman" w:hAnsi="Times New Roman"/>
                <w:sz w:val="20"/>
                <w:szCs w:val="20"/>
              </w:rPr>
            </w:pPr>
            <w:hyperlink r:id="rId125" w:history="1">
              <w:r>
                <w:rPr>
                  <w:rStyle w:val="a5"/>
                  <w:rFonts w:ascii="Times New Roman" w:eastAsia="宋体" w:hAnsi="Times New Roman"/>
                  <w:sz w:val="20"/>
                  <w:szCs w:val="20"/>
                </w:rPr>
                <w:t>Certification of David M. Wehner, Chief Financial Officer, pursuant to Rule 13a-14(a)/15d-14(a), as adopted pursuant to Section 302 of the Sarbanes-Oxl</w:t>
              </w:r>
              <w:r>
                <w:rPr>
                  <w:rStyle w:val="a5"/>
                  <w:rFonts w:ascii="Times New Roman" w:eastAsia="宋体" w:hAnsi="Times New Roman"/>
                  <w:sz w:val="20"/>
                  <w:szCs w:val="20"/>
                </w:rPr>
                <w:t>ey Act of 2002.</w:t>
              </w:r>
            </w:hyperlink>
          </w:p>
        </w:tc>
        <w:tc>
          <w:tcPr>
            <w:tcW w:w="0" w:type="auto"/>
            <w:shd w:val="clear" w:color="auto" w:fill="auto"/>
            <w:tcMar>
              <w:top w:w="40" w:type="dxa"/>
              <w:left w:w="40" w:type="dxa"/>
              <w:bottom w:w="40" w:type="dxa"/>
              <w:right w:w="40" w:type="dxa"/>
            </w:tcMar>
            <w:vAlign w:val="bottom"/>
          </w:tcPr>
          <w:p w14:paraId="4E56B60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0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0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0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0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0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0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0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0B"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14" w14:textId="77777777">
        <w:tc>
          <w:tcPr>
            <w:tcW w:w="0" w:type="auto"/>
            <w:shd w:val="clear" w:color="auto" w:fill="auto"/>
            <w:tcMar>
              <w:top w:w="40" w:type="dxa"/>
              <w:left w:w="40" w:type="dxa"/>
              <w:bottom w:w="40" w:type="dxa"/>
              <w:right w:w="40" w:type="dxa"/>
            </w:tcMar>
            <w:vAlign w:val="bottom"/>
          </w:tcPr>
          <w:p w14:paraId="4E56B60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0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0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1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1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1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1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22" w14:textId="77777777">
        <w:tc>
          <w:tcPr>
            <w:tcW w:w="0" w:type="auto"/>
            <w:shd w:val="clear" w:color="auto" w:fill="auto"/>
            <w:tcMar>
              <w:top w:w="40" w:type="dxa"/>
              <w:left w:w="40" w:type="dxa"/>
              <w:bottom w:w="40" w:type="dxa"/>
              <w:right w:w="40" w:type="dxa"/>
            </w:tcMar>
          </w:tcPr>
          <w:p w14:paraId="4E56B61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tcMar>
              <w:top w:w="40" w:type="dxa"/>
              <w:left w:w="40" w:type="dxa"/>
              <w:bottom w:w="40" w:type="dxa"/>
              <w:right w:w="40" w:type="dxa"/>
            </w:tcMar>
            <w:vAlign w:val="bottom"/>
          </w:tcPr>
          <w:p w14:paraId="4E56B61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17" w14:textId="77777777" w:rsidR="00DF3E10" w:rsidRDefault="006B6C28">
            <w:pPr>
              <w:textAlignment w:val="top"/>
              <w:rPr>
                <w:rFonts w:ascii="Times New Roman" w:hAnsi="Times New Roman"/>
                <w:sz w:val="20"/>
                <w:szCs w:val="20"/>
              </w:rPr>
            </w:pPr>
            <w:hyperlink r:id="rId126"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4E56B61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1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1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1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1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1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1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1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2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21"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2A" w14:textId="77777777">
        <w:tc>
          <w:tcPr>
            <w:tcW w:w="0" w:type="auto"/>
            <w:shd w:val="clear" w:color="auto" w:fill="auto"/>
            <w:tcMar>
              <w:top w:w="40" w:type="dxa"/>
              <w:left w:w="40" w:type="dxa"/>
              <w:bottom w:w="40" w:type="dxa"/>
              <w:right w:w="40" w:type="dxa"/>
            </w:tcMar>
            <w:vAlign w:val="bottom"/>
          </w:tcPr>
          <w:p w14:paraId="4E56B62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2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2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2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2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2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2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38" w14:textId="77777777">
        <w:tc>
          <w:tcPr>
            <w:tcW w:w="0" w:type="auto"/>
            <w:shd w:val="clear" w:color="auto" w:fill="auto"/>
            <w:tcMar>
              <w:top w:w="40" w:type="dxa"/>
              <w:left w:w="40" w:type="dxa"/>
              <w:bottom w:w="40" w:type="dxa"/>
              <w:right w:w="40" w:type="dxa"/>
            </w:tcMar>
          </w:tcPr>
          <w:p w14:paraId="4E56B62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tcMar>
              <w:top w:w="40" w:type="dxa"/>
              <w:left w:w="40" w:type="dxa"/>
              <w:bottom w:w="40" w:type="dxa"/>
              <w:right w:w="40" w:type="dxa"/>
            </w:tcMar>
            <w:vAlign w:val="bottom"/>
          </w:tcPr>
          <w:p w14:paraId="4E56B62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2D" w14:textId="77777777" w:rsidR="00DF3E10" w:rsidRDefault="006B6C28">
            <w:pPr>
              <w:textAlignment w:val="top"/>
              <w:rPr>
                <w:rFonts w:ascii="Times New Roman" w:hAnsi="Times New Roman"/>
                <w:sz w:val="20"/>
                <w:szCs w:val="20"/>
              </w:rPr>
            </w:pPr>
            <w:hyperlink r:id="rId127" w:history="1">
              <w:r>
                <w:rPr>
                  <w:rStyle w:val="a5"/>
                  <w:rFonts w:ascii="Times New Roman" w:eastAsia="宋体" w:hAnsi="Times New Roman"/>
                  <w:sz w:val="20"/>
                  <w:szCs w:val="20"/>
                </w:rPr>
                <w:t>Certification of David M. Wehner, Chief Financial Officer, pursuant to 18 U.S.C. Section 1350, as adopted pursuant to Section 906 of the Sarbanes-Oxley</w:t>
              </w:r>
              <w:r>
                <w:rPr>
                  <w:rStyle w:val="a5"/>
                  <w:rFonts w:ascii="Times New Roman" w:eastAsia="宋体" w:hAnsi="Times New Roman"/>
                  <w:sz w:val="20"/>
                  <w:szCs w:val="20"/>
                </w:rPr>
                <w:t xml:space="preserve"> Act of 2002.</w:t>
              </w:r>
            </w:hyperlink>
          </w:p>
        </w:tc>
        <w:tc>
          <w:tcPr>
            <w:tcW w:w="0" w:type="auto"/>
            <w:shd w:val="clear" w:color="auto" w:fill="auto"/>
            <w:tcMar>
              <w:top w:w="40" w:type="dxa"/>
              <w:left w:w="40" w:type="dxa"/>
              <w:bottom w:w="40" w:type="dxa"/>
              <w:right w:w="40" w:type="dxa"/>
            </w:tcMar>
            <w:vAlign w:val="bottom"/>
          </w:tcPr>
          <w:p w14:paraId="4E56B62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2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3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3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3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3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3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3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3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37"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40" w14:textId="77777777">
        <w:tc>
          <w:tcPr>
            <w:tcW w:w="0" w:type="auto"/>
            <w:shd w:val="clear" w:color="auto" w:fill="auto"/>
            <w:tcMar>
              <w:top w:w="40" w:type="dxa"/>
              <w:left w:w="40" w:type="dxa"/>
              <w:bottom w:w="40" w:type="dxa"/>
              <w:right w:w="40" w:type="dxa"/>
            </w:tcMar>
            <w:vAlign w:val="bottom"/>
          </w:tcPr>
          <w:p w14:paraId="4E56B63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3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3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3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3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3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3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4E" w14:textId="77777777">
        <w:tc>
          <w:tcPr>
            <w:tcW w:w="0" w:type="auto"/>
            <w:shd w:val="clear" w:color="auto" w:fill="auto"/>
            <w:tcMar>
              <w:top w:w="40" w:type="dxa"/>
              <w:left w:w="40" w:type="dxa"/>
              <w:bottom w:w="40" w:type="dxa"/>
              <w:right w:w="40" w:type="dxa"/>
            </w:tcMar>
          </w:tcPr>
          <w:p w14:paraId="4E56B64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4E56B64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64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Inline XBRL Instance Document (the instance document does not appear in the 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4E56B64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4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4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64D"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5C" w14:textId="77777777">
        <w:tc>
          <w:tcPr>
            <w:tcW w:w="0" w:type="auto"/>
            <w:shd w:val="clear" w:color="auto" w:fill="auto"/>
            <w:tcMar>
              <w:top w:w="40" w:type="dxa"/>
              <w:left w:w="40" w:type="dxa"/>
              <w:bottom w:w="40" w:type="dxa"/>
              <w:right w:w="40" w:type="dxa"/>
            </w:tcMar>
            <w:vAlign w:val="bottom"/>
          </w:tcPr>
          <w:p w14:paraId="4E56B64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5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5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6A" w14:textId="77777777">
        <w:tc>
          <w:tcPr>
            <w:tcW w:w="0" w:type="auto"/>
            <w:shd w:val="clear" w:color="auto" w:fill="auto"/>
            <w:tcMar>
              <w:top w:w="40" w:type="dxa"/>
              <w:left w:w="40" w:type="dxa"/>
              <w:bottom w:w="40" w:type="dxa"/>
              <w:right w:w="40" w:type="dxa"/>
            </w:tcMar>
          </w:tcPr>
          <w:p w14:paraId="4E56B65D"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tcMar>
              <w:top w:w="40" w:type="dxa"/>
              <w:left w:w="40" w:type="dxa"/>
              <w:bottom w:w="40" w:type="dxa"/>
              <w:right w:w="40" w:type="dxa"/>
            </w:tcMar>
            <w:vAlign w:val="bottom"/>
          </w:tcPr>
          <w:p w14:paraId="4E56B65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5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c>
          <w:tcPr>
            <w:tcW w:w="0" w:type="auto"/>
            <w:shd w:val="clear" w:color="auto" w:fill="auto"/>
            <w:tcMar>
              <w:top w:w="40" w:type="dxa"/>
              <w:left w:w="40" w:type="dxa"/>
              <w:bottom w:w="40" w:type="dxa"/>
              <w:right w:w="40" w:type="dxa"/>
            </w:tcMar>
            <w:vAlign w:val="bottom"/>
          </w:tcPr>
          <w:p w14:paraId="4E56B66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6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6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6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6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6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6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6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6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69"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72" w14:textId="77777777">
        <w:tc>
          <w:tcPr>
            <w:tcW w:w="0" w:type="auto"/>
            <w:shd w:val="clear" w:color="auto" w:fill="auto"/>
            <w:tcMar>
              <w:top w:w="40" w:type="dxa"/>
              <w:left w:w="40" w:type="dxa"/>
              <w:bottom w:w="40" w:type="dxa"/>
              <w:right w:w="40" w:type="dxa"/>
            </w:tcMar>
            <w:vAlign w:val="bottom"/>
          </w:tcPr>
          <w:p w14:paraId="4E56B66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6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6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6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6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7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7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80" w14:textId="77777777">
        <w:tc>
          <w:tcPr>
            <w:tcW w:w="0" w:type="auto"/>
            <w:shd w:val="clear" w:color="auto" w:fill="auto"/>
            <w:tcMar>
              <w:top w:w="40" w:type="dxa"/>
              <w:left w:w="40" w:type="dxa"/>
              <w:bottom w:w="40" w:type="dxa"/>
              <w:right w:w="40" w:type="dxa"/>
            </w:tcMar>
          </w:tcPr>
          <w:p w14:paraId="4E56B673"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4E56B67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7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c>
          <w:tcPr>
            <w:tcW w:w="0" w:type="auto"/>
            <w:shd w:val="clear" w:color="auto" w:fill="auto"/>
            <w:tcMar>
              <w:top w:w="40" w:type="dxa"/>
              <w:left w:w="40" w:type="dxa"/>
              <w:bottom w:w="40" w:type="dxa"/>
              <w:right w:w="40" w:type="dxa"/>
            </w:tcMar>
            <w:vAlign w:val="bottom"/>
          </w:tcPr>
          <w:p w14:paraId="4E56B67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7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7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7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7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7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7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7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7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7F"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88" w14:textId="77777777">
        <w:tc>
          <w:tcPr>
            <w:tcW w:w="0" w:type="auto"/>
            <w:shd w:val="clear" w:color="auto" w:fill="auto"/>
            <w:tcMar>
              <w:top w:w="40" w:type="dxa"/>
              <w:left w:w="40" w:type="dxa"/>
              <w:bottom w:w="40" w:type="dxa"/>
              <w:right w:w="40" w:type="dxa"/>
            </w:tcMar>
            <w:vAlign w:val="bottom"/>
          </w:tcPr>
          <w:p w14:paraId="4E56B68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8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8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8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8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8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8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96" w14:textId="77777777">
        <w:tc>
          <w:tcPr>
            <w:tcW w:w="0" w:type="auto"/>
            <w:shd w:val="clear" w:color="auto" w:fill="auto"/>
            <w:tcMar>
              <w:top w:w="40" w:type="dxa"/>
              <w:left w:w="40" w:type="dxa"/>
              <w:bottom w:w="40" w:type="dxa"/>
              <w:right w:w="40" w:type="dxa"/>
            </w:tcMar>
          </w:tcPr>
          <w:p w14:paraId="4E56B689"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4E56B68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8B"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c>
          <w:tcPr>
            <w:tcW w:w="0" w:type="auto"/>
            <w:shd w:val="clear" w:color="auto" w:fill="auto"/>
            <w:tcMar>
              <w:top w:w="40" w:type="dxa"/>
              <w:left w:w="40" w:type="dxa"/>
              <w:bottom w:w="40" w:type="dxa"/>
              <w:right w:w="40" w:type="dxa"/>
            </w:tcMar>
            <w:vAlign w:val="bottom"/>
          </w:tcPr>
          <w:p w14:paraId="4E56B68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8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8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8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9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9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9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9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9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95"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9E" w14:textId="77777777">
        <w:tc>
          <w:tcPr>
            <w:tcW w:w="0" w:type="auto"/>
            <w:shd w:val="clear" w:color="auto" w:fill="auto"/>
            <w:tcMar>
              <w:top w:w="40" w:type="dxa"/>
              <w:left w:w="40" w:type="dxa"/>
              <w:bottom w:w="40" w:type="dxa"/>
              <w:right w:w="40" w:type="dxa"/>
            </w:tcMar>
            <w:vAlign w:val="bottom"/>
          </w:tcPr>
          <w:p w14:paraId="4E56B69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9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9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9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9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9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9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AC" w14:textId="77777777">
        <w:tc>
          <w:tcPr>
            <w:tcW w:w="0" w:type="auto"/>
            <w:shd w:val="clear" w:color="auto" w:fill="auto"/>
            <w:tcMar>
              <w:top w:w="40" w:type="dxa"/>
              <w:left w:w="40" w:type="dxa"/>
              <w:bottom w:w="40" w:type="dxa"/>
              <w:right w:w="40" w:type="dxa"/>
            </w:tcMar>
          </w:tcPr>
          <w:p w14:paraId="4E56B69F"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4E56B6A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A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Inline XBRL Taxonomy Extension Labels Linkbase Document.</w:t>
            </w:r>
          </w:p>
        </w:tc>
        <w:tc>
          <w:tcPr>
            <w:tcW w:w="0" w:type="auto"/>
            <w:shd w:val="clear" w:color="auto" w:fill="auto"/>
            <w:tcMar>
              <w:top w:w="40" w:type="dxa"/>
              <w:left w:w="40" w:type="dxa"/>
              <w:bottom w:w="40" w:type="dxa"/>
              <w:right w:w="40" w:type="dxa"/>
            </w:tcMar>
            <w:vAlign w:val="bottom"/>
          </w:tcPr>
          <w:p w14:paraId="4E56B6A2"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A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A4"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A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A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A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A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A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A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AB"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B4" w14:textId="77777777">
        <w:tc>
          <w:tcPr>
            <w:tcW w:w="0" w:type="auto"/>
            <w:shd w:val="clear" w:color="auto" w:fill="auto"/>
            <w:tcMar>
              <w:top w:w="40" w:type="dxa"/>
              <w:left w:w="40" w:type="dxa"/>
              <w:bottom w:w="40" w:type="dxa"/>
              <w:right w:w="40" w:type="dxa"/>
            </w:tcMar>
            <w:vAlign w:val="bottom"/>
          </w:tcPr>
          <w:p w14:paraId="4E56B6A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A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A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B0"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E56B6B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B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B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C2" w14:textId="77777777">
        <w:tc>
          <w:tcPr>
            <w:tcW w:w="0" w:type="auto"/>
            <w:shd w:val="clear" w:color="auto" w:fill="auto"/>
            <w:tcMar>
              <w:top w:w="40" w:type="dxa"/>
              <w:left w:w="40" w:type="dxa"/>
              <w:bottom w:w="40" w:type="dxa"/>
              <w:right w:w="40" w:type="dxa"/>
            </w:tcMar>
          </w:tcPr>
          <w:p w14:paraId="4E56B6B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4E56B6B6"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B7"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 xml:space="preserve">Inline XBRL Taxonomy </w:t>
            </w:r>
            <w:r>
              <w:rPr>
                <w:rFonts w:ascii="Times New Roman" w:eastAsia="宋体" w:hAnsi="Times New Roman"/>
                <w:sz w:val="20"/>
                <w:szCs w:val="20"/>
              </w:rPr>
              <w:t>Extension Presentation Linkbase Document.</w:t>
            </w:r>
          </w:p>
        </w:tc>
        <w:tc>
          <w:tcPr>
            <w:tcW w:w="0" w:type="auto"/>
            <w:shd w:val="clear" w:color="auto" w:fill="auto"/>
            <w:tcMar>
              <w:top w:w="40" w:type="dxa"/>
              <w:left w:w="40" w:type="dxa"/>
              <w:bottom w:w="40" w:type="dxa"/>
              <w:right w:w="40" w:type="dxa"/>
            </w:tcMar>
            <w:vAlign w:val="bottom"/>
          </w:tcPr>
          <w:p w14:paraId="4E56B6B8"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B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BA"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B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BC"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right w:w="40" w:type="dxa"/>
            </w:tcMar>
            <w:vAlign w:val="bottom"/>
          </w:tcPr>
          <w:p w14:paraId="4E56B6B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B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B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0"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E56B6C1"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r w:rsidR="00DF3E10" w14:paraId="4E56B6D0" w14:textId="77777777">
        <w:tc>
          <w:tcPr>
            <w:tcW w:w="0" w:type="auto"/>
            <w:shd w:val="clear" w:color="auto" w:fill="auto"/>
            <w:tcMar>
              <w:top w:w="40" w:type="dxa"/>
              <w:left w:w="40" w:type="dxa"/>
              <w:bottom w:w="40" w:type="dxa"/>
              <w:right w:w="40" w:type="dxa"/>
            </w:tcMar>
            <w:vAlign w:val="bottom"/>
          </w:tcPr>
          <w:p w14:paraId="4E56B6C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C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C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DE" w14:textId="77777777">
        <w:tc>
          <w:tcPr>
            <w:tcW w:w="0" w:type="auto"/>
            <w:shd w:val="clear" w:color="auto" w:fill="auto"/>
            <w:tcMar>
              <w:top w:w="40" w:type="dxa"/>
              <w:left w:w="40" w:type="dxa"/>
              <w:bottom w:w="40" w:type="dxa"/>
              <w:right w:w="40" w:type="dxa"/>
            </w:tcMar>
          </w:tcPr>
          <w:p w14:paraId="4E56B6D1"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4E56B6D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xml:space="preserve">Cover Page Interactive Data File (formatted as inline XBRL and contained in Exhibit 101). </w:t>
            </w:r>
          </w:p>
        </w:tc>
        <w:tc>
          <w:tcPr>
            <w:tcW w:w="0" w:type="auto"/>
            <w:shd w:val="clear" w:color="auto" w:fill="auto"/>
            <w:tcMar>
              <w:top w:w="40" w:type="dxa"/>
              <w:left w:w="40" w:type="dxa"/>
              <w:bottom w:w="40" w:type="dxa"/>
              <w:right w:w="40" w:type="dxa"/>
            </w:tcMar>
            <w:vAlign w:val="bottom"/>
          </w:tcPr>
          <w:p w14:paraId="4E56B6D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7"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8"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D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DC"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E56B6DD" w14:textId="77777777" w:rsidR="00DF3E10" w:rsidRDefault="006B6C28">
            <w:pPr>
              <w:jc w:val="center"/>
              <w:textAlignment w:val="top"/>
              <w:rPr>
                <w:rFonts w:ascii="Times New Roman" w:hAnsi="Times New Roman"/>
                <w:sz w:val="20"/>
                <w:szCs w:val="20"/>
              </w:rPr>
            </w:pPr>
            <w:r>
              <w:rPr>
                <w:rFonts w:ascii="Times New Roman" w:eastAsia="宋体" w:hAnsi="Times New Roman"/>
                <w:sz w:val="20"/>
                <w:szCs w:val="20"/>
              </w:rPr>
              <w:t>X</w:t>
            </w:r>
          </w:p>
        </w:tc>
      </w:tr>
    </w:tbl>
    <w:p w14:paraId="4E56B6DF" w14:textId="77777777" w:rsidR="00DF3E10" w:rsidRDefault="00DF3E10">
      <w:pPr>
        <w:spacing w:line="288" w:lineRule="auto"/>
        <w:rPr>
          <w:rFonts w:ascii="Times New Roman" w:hAnsi="Times New Roman"/>
          <w:sz w:val="20"/>
          <w:szCs w:val="20"/>
        </w:rPr>
      </w:pPr>
    </w:p>
    <w:p w14:paraId="4E56B6E0"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 xml:space="preserve"># This certification is deemed not filed for purposes of Section 18 of the Securities Exchange Act of 1934, as amended (Exchange Act), or </w:t>
      </w:r>
      <w:r>
        <w:rPr>
          <w:rFonts w:ascii="Times New Roman" w:eastAsia="宋体" w:hAnsi="Times New Roman"/>
          <w:sz w:val="20"/>
          <w:szCs w:val="20"/>
        </w:rPr>
        <w:t>otherwise subject to the liability of that section, nor shall it be deemed incorporated by reference into any filing under the Securities Act of 1933, as amended, or the Exchange Act.</w:t>
      </w:r>
    </w:p>
    <w:p w14:paraId="4E56B6E1" w14:textId="77777777" w:rsidR="00DF3E10" w:rsidRDefault="00DF3E10">
      <w:pPr>
        <w:rPr>
          <w:rFonts w:ascii="Times New Roman" w:hAnsi="Times New Roman"/>
          <w:sz w:val="20"/>
          <w:szCs w:val="20"/>
        </w:rPr>
      </w:pPr>
    </w:p>
    <w:p w14:paraId="4E56B6E2"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81</w:t>
      </w:r>
    </w:p>
    <w:p w14:paraId="4E56B6E3" w14:textId="77777777" w:rsidR="00DF3E10" w:rsidRDefault="006B6C28">
      <w:r>
        <w:rPr>
          <w:rFonts w:ascii="Times New Roman" w:hAnsi="Times New Roman"/>
          <w:sz w:val="20"/>
          <w:szCs w:val="20"/>
        </w:rPr>
        <w:pict w14:anchorId="4E56B7AE">
          <v:rect id="_x0000_i1105" style="width:415.3pt;height:1.5pt" o:hralign="center" o:hrstd="t" o:hr="t" fillcolor="#a0a0a0" stroked="f"/>
        </w:pict>
      </w:r>
    </w:p>
    <w:p w14:paraId="4E56B6E4" w14:textId="77777777" w:rsidR="00DF3E10" w:rsidRDefault="006B6C28">
      <w:pPr>
        <w:spacing w:line="288" w:lineRule="auto"/>
        <w:rPr>
          <w:rFonts w:ascii="Times New Roman" w:hAnsi="Times New Roman"/>
          <w:sz w:val="20"/>
          <w:szCs w:val="20"/>
        </w:rPr>
      </w:pPr>
      <w:hyperlink r:id="rId128" w:anchor="sC1FF62F0D4D85317B5B2C71C7C94F269" w:history="1">
        <w:r>
          <w:rPr>
            <w:rStyle w:val="a5"/>
            <w:rFonts w:ascii="Times New Roman" w:eastAsia="宋体" w:hAnsi="Times New Roman"/>
            <w:sz w:val="20"/>
            <w:szCs w:val="20"/>
          </w:rPr>
          <w:t>Table of Contents</w:t>
        </w:r>
      </w:hyperlink>
    </w:p>
    <w:p w14:paraId="4E56B6E5" w14:textId="77777777" w:rsidR="00DF3E10" w:rsidRDefault="00DF3E10">
      <w:pPr>
        <w:rPr>
          <w:rFonts w:ascii="Times New Roman" w:hAnsi="Times New Roman"/>
          <w:sz w:val="20"/>
          <w:szCs w:val="20"/>
        </w:rPr>
      </w:pPr>
    </w:p>
    <w:p w14:paraId="4E56B6E6" w14:textId="77777777" w:rsidR="00DF3E10" w:rsidRDefault="006B6C28">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4E56B6E7" w14:textId="77777777" w:rsidR="00DF3E10" w:rsidRDefault="006B6C28">
      <w:pPr>
        <w:spacing w:line="288" w:lineRule="auto"/>
        <w:jc w:val="both"/>
        <w:rPr>
          <w:rFonts w:ascii="Times New Roman" w:hAnsi="Times New Roman"/>
          <w:sz w:val="20"/>
          <w:szCs w:val="20"/>
        </w:rPr>
      </w:pPr>
      <w:r>
        <w:rPr>
          <w:rFonts w:ascii="Times New Roman" w:eastAsia="宋体" w:hAnsi="Times New Roman"/>
          <w:sz w:val="20"/>
          <w:szCs w:val="20"/>
        </w:rPr>
        <w:t>Pursuant to the requirements of the Securities Exchange Act of 1934, the Registrant has duly caused this Quarterly Report on Form 10-Q to b</w:t>
      </w:r>
      <w:r>
        <w:rPr>
          <w:rFonts w:ascii="Times New Roman" w:eastAsia="宋体" w:hAnsi="Times New Roman"/>
          <w:sz w:val="20"/>
          <w:szCs w:val="20"/>
        </w:rPr>
        <w:t>e signed on its behalf by the undersigned, thereunto duly authorized, in the City of Menlo Park, State of California, on this 31st day of July 2020.</w:t>
      </w:r>
      <w:r>
        <w:rPr>
          <w:rFonts w:ascii="Times New Roman" w:eastAsia="宋体" w:hAnsi="Times New Roman"/>
          <w:sz w:val="18"/>
          <w:szCs w:val="18"/>
        </w:rPr>
        <w:t> </w:t>
      </w:r>
    </w:p>
    <w:tbl>
      <w:tblPr>
        <w:tblW w:w="4802" w:type="pct"/>
        <w:tblCellMar>
          <w:left w:w="0" w:type="dxa"/>
          <w:right w:w="0" w:type="dxa"/>
        </w:tblCellMar>
        <w:tblLook w:val="04A0" w:firstRow="1" w:lastRow="0" w:firstColumn="1" w:lastColumn="0" w:noHBand="0" w:noVBand="1"/>
      </w:tblPr>
      <w:tblGrid>
        <w:gridCol w:w="3883"/>
        <w:gridCol w:w="130"/>
        <w:gridCol w:w="3964"/>
      </w:tblGrid>
      <w:tr w:rsidR="00DF3E10" w14:paraId="4E56B6E9" w14:textId="77777777">
        <w:tc>
          <w:tcPr>
            <w:tcW w:w="0" w:type="auto"/>
            <w:gridSpan w:val="3"/>
            <w:shd w:val="clear" w:color="auto" w:fill="auto"/>
            <w:vAlign w:val="center"/>
          </w:tcPr>
          <w:p w14:paraId="4E56B6E8" w14:textId="77777777" w:rsidR="00DF3E10" w:rsidRDefault="00DF3E10">
            <w:pPr>
              <w:rPr>
                <w:rFonts w:ascii="Times New Roman" w:hAnsi="Times New Roman"/>
                <w:sz w:val="20"/>
                <w:szCs w:val="20"/>
              </w:rPr>
            </w:pPr>
          </w:p>
        </w:tc>
      </w:tr>
      <w:tr w:rsidR="00DF3E10" w14:paraId="4E56B6ED" w14:textId="77777777">
        <w:tc>
          <w:tcPr>
            <w:tcW w:w="2450" w:type="pct"/>
            <w:shd w:val="clear" w:color="auto" w:fill="auto"/>
            <w:vAlign w:val="center"/>
          </w:tcPr>
          <w:p w14:paraId="4E56B6EA" w14:textId="77777777" w:rsidR="00DF3E10" w:rsidRDefault="00DF3E10">
            <w:pPr>
              <w:rPr>
                <w:rFonts w:ascii="Times New Roman" w:hAnsi="Times New Roman"/>
                <w:sz w:val="20"/>
                <w:szCs w:val="20"/>
              </w:rPr>
            </w:pPr>
          </w:p>
        </w:tc>
        <w:tc>
          <w:tcPr>
            <w:tcW w:w="50" w:type="pct"/>
            <w:shd w:val="clear" w:color="auto" w:fill="auto"/>
            <w:vAlign w:val="center"/>
          </w:tcPr>
          <w:p w14:paraId="4E56B6EB" w14:textId="77777777" w:rsidR="00DF3E10" w:rsidRDefault="00DF3E10">
            <w:pPr>
              <w:rPr>
                <w:rFonts w:ascii="Times New Roman" w:hAnsi="Times New Roman"/>
                <w:sz w:val="20"/>
                <w:szCs w:val="20"/>
              </w:rPr>
            </w:pPr>
          </w:p>
        </w:tc>
        <w:tc>
          <w:tcPr>
            <w:tcW w:w="2500" w:type="pct"/>
            <w:shd w:val="clear" w:color="auto" w:fill="auto"/>
            <w:vAlign w:val="center"/>
          </w:tcPr>
          <w:p w14:paraId="4E56B6EC" w14:textId="77777777" w:rsidR="00DF3E10" w:rsidRDefault="00DF3E10">
            <w:pPr>
              <w:rPr>
                <w:rFonts w:ascii="Times New Roman" w:hAnsi="Times New Roman"/>
                <w:sz w:val="20"/>
                <w:szCs w:val="20"/>
              </w:rPr>
            </w:pPr>
          </w:p>
        </w:tc>
      </w:tr>
      <w:tr w:rsidR="00DF3E10" w14:paraId="4E56B6F1" w14:textId="77777777">
        <w:tc>
          <w:tcPr>
            <w:tcW w:w="0" w:type="auto"/>
            <w:shd w:val="clear" w:color="auto" w:fill="auto"/>
            <w:tcMar>
              <w:top w:w="40" w:type="dxa"/>
              <w:left w:w="40" w:type="dxa"/>
              <w:bottom w:w="40" w:type="dxa"/>
              <w:right w:w="40" w:type="dxa"/>
            </w:tcMar>
            <w:vAlign w:val="bottom"/>
          </w:tcPr>
          <w:p w14:paraId="4E56B6EE" w14:textId="77777777" w:rsidR="00DF3E10" w:rsidRDefault="006B6C28">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E56B6EF"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F0" w14:textId="77777777" w:rsidR="00DF3E10" w:rsidRDefault="006B6C28">
            <w:pPr>
              <w:textAlignment w:val="bottom"/>
              <w:rPr>
                <w:rFonts w:ascii="Times New Roman" w:hAnsi="Times New Roman"/>
                <w:sz w:val="20"/>
                <w:szCs w:val="20"/>
              </w:rPr>
            </w:pPr>
            <w:r>
              <w:rPr>
                <w:rFonts w:ascii="Times New Roman" w:eastAsia="宋体" w:hAnsi="Times New Roman"/>
                <w:b/>
                <w:bCs/>
                <w:sz w:val="20"/>
                <w:szCs w:val="20"/>
              </w:rPr>
              <w:t>FACEBOOK, INC.</w:t>
            </w:r>
          </w:p>
        </w:tc>
      </w:tr>
      <w:tr w:rsidR="00DF3E10" w14:paraId="4E56B6F4" w14:textId="77777777">
        <w:tc>
          <w:tcPr>
            <w:tcW w:w="0" w:type="auto"/>
            <w:shd w:val="clear" w:color="auto" w:fill="auto"/>
            <w:tcMar>
              <w:top w:w="40" w:type="dxa"/>
              <w:left w:w="40" w:type="dxa"/>
              <w:bottom w:w="40" w:type="dxa"/>
              <w:right w:w="40" w:type="dxa"/>
            </w:tcMar>
            <w:vAlign w:val="bottom"/>
          </w:tcPr>
          <w:p w14:paraId="4E56B6F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F3"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6F8" w14:textId="77777777">
        <w:tc>
          <w:tcPr>
            <w:tcW w:w="0" w:type="auto"/>
            <w:shd w:val="clear" w:color="auto" w:fill="auto"/>
            <w:tcMar>
              <w:top w:w="40" w:type="dxa"/>
              <w:left w:w="40" w:type="dxa"/>
              <w:bottom w:w="40" w:type="dxa"/>
              <w:right w:w="40" w:type="dxa"/>
            </w:tcMar>
          </w:tcPr>
          <w:p w14:paraId="4E56B6F5"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Date: July 31, 2020</w:t>
            </w:r>
          </w:p>
        </w:tc>
        <w:tc>
          <w:tcPr>
            <w:tcW w:w="0" w:type="auto"/>
            <w:shd w:val="clear" w:color="auto" w:fill="auto"/>
            <w:tcMar>
              <w:top w:w="40" w:type="dxa"/>
              <w:left w:w="40" w:type="dxa"/>
              <w:bottom w:w="40" w:type="dxa"/>
              <w:right w:w="40" w:type="dxa"/>
            </w:tcMar>
            <w:vAlign w:val="bottom"/>
          </w:tcPr>
          <w:p w14:paraId="4E56B6F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6F7" w14:textId="77777777" w:rsidR="00DF3E10" w:rsidRDefault="006B6C28">
            <w:pPr>
              <w:jc w:val="both"/>
              <w:textAlignment w:val="bottom"/>
              <w:rPr>
                <w:rFonts w:ascii="Times New Roman" w:hAnsi="Times New Roman"/>
                <w:sz w:val="20"/>
                <w:szCs w:val="20"/>
              </w:rPr>
            </w:pPr>
            <w:r>
              <w:rPr>
                <w:rFonts w:ascii="Times New Roman" w:eastAsia="宋体" w:hAnsi="Times New Roman"/>
                <w:sz w:val="20"/>
                <w:szCs w:val="20"/>
              </w:rPr>
              <w:t>/s/ DAVID M. WEHNER</w:t>
            </w:r>
          </w:p>
        </w:tc>
      </w:tr>
      <w:tr w:rsidR="00DF3E10" w14:paraId="4E56B6FC" w14:textId="77777777">
        <w:tc>
          <w:tcPr>
            <w:tcW w:w="0" w:type="auto"/>
            <w:shd w:val="clear" w:color="auto" w:fill="auto"/>
            <w:tcMar>
              <w:top w:w="40" w:type="dxa"/>
              <w:left w:w="40" w:type="dxa"/>
              <w:bottom w:w="40" w:type="dxa"/>
              <w:right w:w="40" w:type="dxa"/>
            </w:tcMar>
            <w:vAlign w:val="bottom"/>
          </w:tcPr>
          <w:p w14:paraId="4E56B6F9"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6FA"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4E56B6FB"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David M. Wehner</w:t>
            </w:r>
            <w:r>
              <w:rPr>
                <w:rFonts w:ascii="Times New Roman" w:eastAsia="宋体" w:hAnsi="Times New Roman"/>
                <w:sz w:val="20"/>
                <w:szCs w:val="20"/>
              </w:rPr>
              <w:br/>
              <w:t xml:space="preserve">Chief </w:t>
            </w:r>
            <w:r>
              <w:rPr>
                <w:rFonts w:ascii="Times New Roman" w:eastAsia="宋体" w:hAnsi="Times New Roman"/>
                <w:sz w:val="20"/>
                <w:szCs w:val="20"/>
              </w:rPr>
              <w:t>Financial Officer</w:t>
            </w:r>
            <w:r>
              <w:rPr>
                <w:rFonts w:ascii="Times New Roman" w:eastAsia="宋体" w:hAnsi="Times New Roman"/>
                <w:sz w:val="20"/>
                <w:szCs w:val="20"/>
              </w:rPr>
              <w:br/>
            </w:r>
            <w:r>
              <w:rPr>
                <w:rFonts w:ascii="Times New Roman" w:eastAsia="宋体" w:hAnsi="Times New Roman"/>
                <w:i/>
                <w:iCs/>
                <w:sz w:val="20"/>
                <w:szCs w:val="20"/>
              </w:rPr>
              <w:t>(Principal Financial Officer)</w:t>
            </w:r>
          </w:p>
        </w:tc>
      </w:tr>
      <w:tr w:rsidR="00DF3E10" w14:paraId="4E56B6FF" w14:textId="77777777">
        <w:tc>
          <w:tcPr>
            <w:tcW w:w="0" w:type="auto"/>
            <w:shd w:val="clear" w:color="auto" w:fill="auto"/>
            <w:tcMar>
              <w:top w:w="40" w:type="dxa"/>
              <w:left w:w="40" w:type="dxa"/>
              <w:bottom w:w="40" w:type="dxa"/>
              <w:right w:w="40" w:type="dxa"/>
            </w:tcMar>
            <w:vAlign w:val="bottom"/>
          </w:tcPr>
          <w:p w14:paraId="4E56B6FD"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E56B6FE"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r>
      <w:tr w:rsidR="00DF3E10" w14:paraId="4E56B703" w14:textId="77777777">
        <w:tc>
          <w:tcPr>
            <w:tcW w:w="0" w:type="auto"/>
            <w:shd w:val="clear" w:color="auto" w:fill="auto"/>
            <w:tcMar>
              <w:top w:w="40" w:type="dxa"/>
              <w:left w:w="40" w:type="dxa"/>
              <w:bottom w:w="40" w:type="dxa"/>
              <w:right w:w="40" w:type="dxa"/>
            </w:tcMar>
          </w:tcPr>
          <w:p w14:paraId="4E56B700" w14:textId="77777777" w:rsidR="00DF3E10" w:rsidRDefault="006B6C28">
            <w:pPr>
              <w:textAlignment w:val="top"/>
              <w:rPr>
                <w:rFonts w:ascii="Times New Roman" w:hAnsi="Times New Roman"/>
                <w:sz w:val="20"/>
                <w:szCs w:val="20"/>
              </w:rPr>
            </w:pPr>
            <w:r>
              <w:rPr>
                <w:rFonts w:ascii="Times New Roman" w:eastAsia="宋体" w:hAnsi="Times New Roman"/>
                <w:sz w:val="20"/>
                <w:szCs w:val="20"/>
              </w:rPr>
              <w:t>Date: July 31, 2020</w:t>
            </w:r>
          </w:p>
        </w:tc>
        <w:tc>
          <w:tcPr>
            <w:tcW w:w="0" w:type="auto"/>
            <w:shd w:val="clear" w:color="auto" w:fill="auto"/>
            <w:tcMar>
              <w:top w:w="40" w:type="dxa"/>
              <w:left w:w="40" w:type="dxa"/>
              <w:bottom w:w="40" w:type="dxa"/>
              <w:right w:w="40" w:type="dxa"/>
            </w:tcMar>
            <w:vAlign w:val="bottom"/>
          </w:tcPr>
          <w:p w14:paraId="4E56B701"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E56B702"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/s/ SUSAN J.S. TAYLOR</w:t>
            </w:r>
          </w:p>
        </w:tc>
      </w:tr>
      <w:tr w:rsidR="00DF3E10" w14:paraId="4E56B707" w14:textId="77777777">
        <w:tc>
          <w:tcPr>
            <w:tcW w:w="0" w:type="auto"/>
            <w:shd w:val="clear" w:color="auto" w:fill="auto"/>
            <w:tcMar>
              <w:top w:w="40" w:type="dxa"/>
              <w:left w:w="40" w:type="dxa"/>
              <w:bottom w:w="40" w:type="dxa"/>
              <w:right w:w="40" w:type="dxa"/>
            </w:tcMar>
            <w:vAlign w:val="bottom"/>
          </w:tcPr>
          <w:p w14:paraId="4E56B704"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705"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E56B706" w14:textId="77777777" w:rsidR="00DF3E10" w:rsidRDefault="006B6C28">
            <w:pPr>
              <w:textAlignment w:val="bottom"/>
              <w:rPr>
                <w:rFonts w:ascii="Times New Roman" w:hAnsi="Times New Roman"/>
                <w:sz w:val="20"/>
                <w:szCs w:val="20"/>
              </w:rPr>
            </w:pPr>
            <w:r>
              <w:rPr>
                <w:rFonts w:ascii="Times New Roman" w:eastAsia="宋体" w:hAnsi="Times New Roman"/>
                <w:sz w:val="20"/>
                <w:szCs w:val="20"/>
              </w:rPr>
              <w:t>Susan J.S. Taylor</w:t>
            </w:r>
            <w:r>
              <w:rPr>
                <w:rFonts w:ascii="Times New Roman" w:eastAsia="宋体" w:hAnsi="Times New Roman"/>
                <w:sz w:val="20"/>
                <w:szCs w:val="20"/>
              </w:rPr>
              <w:br/>
              <w:t>Chief Accounting Officer</w:t>
            </w:r>
            <w:r>
              <w:rPr>
                <w:rFonts w:ascii="Times New Roman" w:eastAsia="宋体" w:hAnsi="Times New Roman"/>
                <w:sz w:val="20"/>
                <w:szCs w:val="20"/>
              </w:rPr>
              <w:br/>
            </w:r>
            <w:r>
              <w:rPr>
                <w:rFonts w:ascii="Times New Roman" w:eastAsia="宋体" w:hAnsi="Times New Roman"/>
                <w:i/>
                <w:iCs/>
                <w:sz w:val="20"/>
                <w:szCs w:val="20"/>
              </w:rPr>
              <w:t>(Principal Accounting Officer)</w:t>
            </w:r>
          </w:p>
        </w:tc>
      </w:tr>
    </w:tbl>
    <w:p w14:paraId="4E56B708" w14:textId="77777777" w:rsidR="00DF3E10" w:rsidRDefault="00DF3E10">
      <w:pPr>
        <w:spacing w:line="288" w:lineRule="auto"/>
        <w:rPr>
          <w:rFonts w:ascii="Times New Roman" w:hAnsi="Times New Roman"/>
          <w:sz w:val="16"/>
          <w:szCs w:val="16"/>
        </w:rPr>
      </w:pPr>
    </w:p>
    <w:p w14:paraId="4E56B709" w14:textId="77777777" w:rsidR="00DF3E10" w:rsidRDefault="00DF3E10">
      <w:pPr>
        <w:rPr>
          <w:rFonts w:ascii="Times New Roman" w:hAnsi="Times New Roman"/>
          <w:sz w:val="20"/>
          <w:szCs w:val="20"/>
        </w:rPr>
      </w:pPr>
    </w:p>
    <w:p w14:paraId="4E56B70A" w14:textId="77777777" w:rsidR="00DF3E10" w:rsidRDefault="006B6C28">
      <w:pPr>
        <w:spacing w:line="288" w:lineRule="auto"/>
        <w:jc w:val="center"/>
        <w:rPr>
          <w:rFonts w:ascii="Times New Roman" w:hAnsi="Times New Roman"/>
          <w:sz w:val="20"/>
          <w:szCs w:val="20"/>
        </w:rPr>
      </w:pPr>
      <w:r>
        <w:rPr>
          <w:rFonts w:ascii="Times New Roman" w:eastAsia="宋体" w:hAnsi="Times New Roman"/>
          <w:sz w:val="20"/>
          <w:szCs w:val="20"/>
        </w:rPr>
        <w:t>82</w:t>
      </w:r>
    </w:p>
    <w:p w14:paraId="4E56B70B" w14:textId="77777777" w:rsidR="00DF3E10" w:rsidRDefault="006B6C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E56B7AF" wp14:editId="4E56B7B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0D" w14:textId="77777777">
        <w:trPr>
          <w:tblCellSpacing w:w="15" w:type="dxa"/>
        </w:trPr>
        <w:tc>
          <w:tcPr>
            <w:tcW w:w="0" w:type="auto"/>
            <w:shd w:val="clear" w:color="auto" w:fill="auto"/>
            <w:vAlign w:val="center"/>
          </w:tcPr>
          <w:p w14:paraId="4E56B70C" w14:textId="77777777" w:rsidR="00DF3E10" w:rsidRDefault="00DF3E10">
            <w:pPr>
              <w:rPr>
                <w:rFonts w:ascii="宋体"/>
              </w:rPr>
            </w:pPr>
          </w:p>
        </w:tc>
      </w:tr>
    </w:tbl>
    <w:p w14:paraId="4E56B70E"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10" w14:textId="77777777">
        <w:trPr>
          <w:tblCellSpacing w:w="15" w:type="dxa"/>
        </w:trPr>
        <w:tc>
          <w:tcPr>
            <w:tcW w:w="0" w:type="auto"/>
            <w:shd w:val="clear" w:color="auto" w:fill="auto"/>
            <w:vAlign w:val="center"/>
          </w:tcPr>
          <w:p w14:paraId="4E56B70F" w14:textId="77777777" w:rsidR="00DF3E10" w:rsidRDefault="00DF3E10">
            <w:pPr>
              <w:rPr>
                <w:rFonts w:ascii="宋体"/>
              </w:rPr>
            </w:pPr>
          </w:p>
        </w:tc>
      </w:tr>
    </w:tbl>
    <w:p w14:paraId="4E56B711"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13" w14:textId="77777777">
        <w:trPr>
          <w:tblCellSpacing w:w="15" w:type="dxa"/>
        </w:trPr>
        <w:tc>
          <w:tcPr>
            <w:tcW w:w="0" w:type="auto"/>
            <w:shd w:val="clear" w:color="auto" w:fill="auto"/>
            <w:vAlign w:val="center"/>
          </w:tcPr>
          <w:p w14:paraId="4E56B712" w14:textId="77777777" w:rsidR="00DF3E10" w:rsidRDefault="00DF3E10">
            <w:pPr>
              <w:rPr>
                <w:rFonts w:ascii="宋体"/>
              </w:rPr>
            </w:pPr>
          </w:p>
        </w:tc>
      </w:tr>
    </w:tbl>
    <w:p w14:paraId="4E56B714"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16" w14:textId="77777777">
        <w:trPr>
          <w:tblCellSpacing w:w="15" w:type="dxa"/>
        </w:trPr>
        <w:tc>
          <w:tcPr>
            <w:tcW w:w="0" w:type="auto"/>
            <w:shd w:val="clear" w:color="auto" w:fill="auto"/>
            <w:vAlign w:val="center"/>
          </w:tcPr>
          <w:p w14:paraId="4E56B715" w14:textId="77777777" w:rsidR="00DF3E10" w:rsidRDefault="00DF3E10">
            <w:pPr>
              <w:rPr>
                <w:rFonts w:ascii="宋体"/>
              </w:rPr>
            </w:pPr>
          </w:p>
        </w:tc>
      </w:tr>
    </w:tbl>
    <w:p w14:paraId="4E56B717" w14:textId="77777777" w:rsidR="00DF3E10" w:rsidRDefault="006B6C28">
      <w:r>
        <w:rPr>
          <w:rFonts w:ascii="宋体" w:eastAsia="宋体" w:hAnsi="宋体" w:cs="宋体"/>
        </w:rPr>
        <w:t xml:space="preserve">Previous Next </w:t>
      </w:r>
    </w:p>
    <w:p w14:paraId="4E56B718" w14:textId="77777777" w:rsidR="00DF3E10" w:rsidRDefault="006B6C28">
      <w:pPr>
        <w:pStyle w:val="a3"/>
      </w:pPr>
      <w:r>
        <w:t>Settings</w:t>
      </w:r>
    </w:p>
    <w:p w14:paraId="4E56B719" w14:textId="77777777" w:rsidR="00DF3E10" w:rsidRDefault="006B6C28">
      <w:pPr>
        <w:pStyle w:val="Style4"/>
      </w:pPr>
      <w:r>
        <w:t>窗体顶端</w:t>
      </w:r>
    </w:p>
    <w:p w14:paraId="4E56B71A" w14:textId="77777777" w:rsidR="00DF3E10" w:rsidRDefault="006B6C2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E56B7B1" wp14:editId="4E56B7B2">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E56B71B" w14:textId="77777777" w:rsidR="00DF3E10" w:rsidRDefault="006B6C2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E56B7B3" wp14:editId="4E56B7B4">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w:t>
      </w:r>
      <w:r>
        <w:rPr>
          <w:rFonts w:ascii="宋体" w:eastAsia="宋体" w:hAnsi="宋体" w:cs="宋体"/>
        </w:rPr>
        <w:t xml:space="preserve"> IE 10, or Safari. </w:t>
      </w:r>
    </w:p>
    <w:p w14:paraId="4E56B71C" w14:textId="77777777" w:rsidR="00DF3E10" w:rsidRDefault="006B6C28">
      <w:r>
        <w:pict w14:anchorId="4E56B7B5">
          <v:rect id="_x0000_i1106" style="width:415.3pt;height:1.5pt" o:hralign="center" o:hrstd="t" o:hr="t" fillcolor="#a0a0a0" stroked="f"/>
        </w:pict>
      </w:r>
    </w:p>
    <w:p w14:paraId="4E56B71D" w14:textId="77777777" w:rsidR="00DF3E10" w:rsidRDefault="006B6C28">
      <w:r>
        <w:rPr>
          <w:rFonts w:ascii="宋体" w:eastAsia="宋体" w:hAnsi="宋体" w:cs="宋体"/>
        </w:rPr>
        <w:t xml:space="preserve">Tagged Data </w:t>
      </w:r>
    </w:p>
    <w:p w14:paraId="4E56B71E" w14:textId="77777777" w:rsidR="00DF3E10" w:rsidRDefault="006B6C28">
      <w:r>
        <w:rPr>
          <w:rFonts w:ascii="monospace" w:eastAsia="monospace" w:hAnsi="monospace" w:cs="monospace"/>
          <w:noProof/>
        </w:rPr>
        <mc:AlternateContent>
          <mc:Choice Requires="wps">
            <w:drawing>
              <wp:inline distT="0" distB="0" distL="114300" distR="114300" wp14:anchorId="4E56B7B6" wp14:editId="4E56B7B7">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4E56B71F" w14:textId="77777777" w:rsidR="00DF3E10" w:rsidRDefault="006B6C28">
      <w:r>
        <w:rPr>
          <w:rFonts w:ascii="宋体" w:eastAsia="宋体" w:hAnsi="宋体" w:cs="宋体"/>
        </w:rPr>
        <w:t>Save</w:t>
      </w:r>
    </w:p>
    <w:p w14:paraId="4E56B720" w14:textId="77777777" w:rsidR="00DF3E10" w:rsidRDefault="006B6C28">
      <w:r>
        <w:rPr>
          <w:rFonts w:ascii="宋体" w:eastAsia="宋体" w:hAnsi="宋体" w:cs="宋体"/>
        </w:rPr>
        <w:t>Reset</w:t>
      </w:r>
    </w:p>
    <w:p w14:paraId="4E56B721" w14:textId="77777777" w:rsidR="00DF3E10" w:rsidRDefault="006B6C28">
      <w:r>
        <w:pict w14:anchorId="4E56B7B8">
          <v:rect id="_x0000_i1107" style="width:415.3pt;height:1.5pt" o:hralign="center" o:hrstd="t" o:hr="t" fillcolor="#a0a0a0" stroked="f"/>
        </w:pict>
      </w:r>
    </w:p>
    <w:p w14:paraId="4E56B722" w14:textId="77777777" w:rsidR="00DF3E10" w:rsidRDefault="006B6C28">
      <w:r>
        <w:rPr>
          <w:rFonts w:ascii="宋体" w:eastAsia="宋体" w:hAnsi="宋体" w:cs="宋体"/>
        </w:rPr>
        <w:t xml:space="preserve">Search Results </w:t>
      </w:r>
    </w:p>
    <w:p w14:paraId="4E56B723" w14:textId="77777777" w:rsidR="00DF3E10" w:rsidRDefault="006B6C28">
      <w:r>
        <w:rPr>
          <w:rFonts w:ascii="monospace" w:eastAsia="monospace" w:hAnsi="monospace" w:cs="monospace"/>
          <w:noProof/>
        </w:rPr>
        <mc:AlternateContent>
          <mc:Choice Requires="wps">
            <w:drawing>
              <wp:inline distT="0" distB="0" distL="114300" distR="114300" wp14:anchorId="4E56B7B9" wp14:editId="4E56B7BA">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4E56B724" w14:textId="77777777" w:rsidR="00DF3E10" w:rsidRDefault="006B6C28">
      <w:r>
        <w:rPr>
          <w:rFonts w:ascii="宋体" w:eastAsia="宋体" w:hAnsi="宋体" w:cs="宋体"/>
        </w:rPr>
        <w:t>Save</w:t>
      </w:r>
    </w:p>
    <w:p w14:paraId="4E56B725" w14:textId="77777777" w:rsidR="00DF3E10" w:rsidRDefault="006B6C28">
      <w:r>
        <w:rPr>
          <w:rFonts w:ascii="宋体" w:eastAsia="宋体" w:hAnsi="宋体" w:cs="宋体"/>
        </w:rPr>
        <w:t>Reset</w:t>
      </w:r>
    </w:p>
    <w:p w14:paraId="4E56B726" w14:textId="77777777" w:rsidR="00DF3E10" w:rsidRDefault="006B6C28">
      <w:r>
        <w:pict w14:anchorId="4E56B7BB">
          <v:rect id="_x0000_i1108" style="width:415.3pt;height:1.5pt" o:hralign="center" o:hrstd="t" o:hr="t" fillcolor="#a0a0a0" stroked="f"/>
        </w:pict>
      </w:r>
    </w:p>
    <w:p w14:paraId="4E56B727" w14:textId="77777777" w:rsidR="00DF3E10" w:rsidRDefault="006B6C28">
      <w:r>
        <w:rPr>
          <w:rFonts w:ascii="宋体" w:eastAsia="宋体" w:hAnsi="宋体" w:cs="宋体"/>
        </w:rPr>
        <w:t xml:space="preserve">Selected Fact </w:t>
      </w:r>
    </w:p>
    <w:p w14:paraId="4E56B728" w14:textId="77777777" w:rsidR="00DF3E10" w:rsidRDefault="006B6C28">
      <w:r>
        <w:rPr>
          <w:rFonts w:ascii="monospace" w:eastAsia="monospace" w:hAnsi="monospace" w:cs="monospace"/>
          <w:noProof/>
        </w:rPr>
        <mc:AlternateContent>
          <mc:Choice Requires="wps">
            <w:drawing>
              <wp:inline distT="0" distB="0" distL="114300" distR="114300" wp14:anchorId="4E56B7BC" wp14:editId="4E56B7BD">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4E56B729" w14:textId="77777777" w:rsidR="00DF3E10" w:rsidRDefault="006B6C28">
      <w:r>
        <w:rPr>
          <w:rFonts w:ascii="宋体" w:eastAsia="宋体" w:hAnsi="宋体" w:cs="宋体"/>
        </w:rPr>
        <w:t>Save</w:t>
      </w:r>
    </w:p>
    <w:p w14:paraId="4E56B72A" w14:textId="77777777" w:rsidR="00DF3E10" w:rsidRDefault="006B6C28">
      <w:r>
        <w:rPr>
          <w:rFonts w:ascii="宋体" w:eastAsia="宋体" w:hAnsi="宋体" w:cs="宋体"/>
        </w:rPr>
        <w:t>Reset</w:t>
      </w:r>
    </w:p>
    <w:p w14:paraId="4E56B72B" w14:textId="77777777" w:rsidR="00DF3E10" w:rsidRDefault="006B6C28">
      <w:r>
        <w:pict w14:anchorId="4E56B7BE">
          <v:rect id="_x0000_i1109" style="width:415.3pt;height:1.5pt" o:hralign="center" o:hrstd="t" o:hr="t" fillcolor="#a0a0a0" stroked="f"/>
        </w:pict>
      </w:r>
    </w:p>
    <w:p w14:paraId="4E56B72C" w14:textId="77777777" w:rsidR="00DF3E10" w:rsidRDefault="006B6C28">
      <w:r>
        <w:rPr>
          <w:rFonts w:ascii="宋体" w:eastAsia="宋体" w:hAnsi="宋体" w:cs="宋体"/>
        </w:rPr>
        <w:t xml:space="preserve">Tag Shading (hover) </w:t>
      </w:r>
    </w:p>
    <w:p w14:paraId="4E56B72D" w14:textId="77777777" w:rsidR="00DF3E10" w:rsidRDefault="006B6C28">
      <w:r>
        <w:rPr>
          <w:rFonts w:ascii="monospace" w:eastAsia="monospace" w:hAnsi="monospace" w:cs="monospace"/>
          <w:noProof/>
        </w:rPr>
        <mc:AlternateContent>
          <mc:Choice Requires="wps">
            <w:drawing>
              <wp:inline distT="0" distB="0" distL="114300" distR="114300" wp14:anchorId="4E56B7BF" wp14:editId="4E56B7C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4E56B72E" w14:textId="77777777" w:rsidR="00DF3E10" w:rsidRDefault="006B6C28">
      <w:r>
        <w:rPr>
          <w:rFonts w:ascii="宋体" w:eastAsia="宋体" w:hAnsi="宋体" w:cs="宋体"/>
        </w:rPr>
        <w:t>Save</w:t>
      </w:r>
    </w:p>
    <w:p w14:paraId="4E56B72F" w14:textId="77777777" w:rsidR="00DF3E10" w:rsidRDefault="006B6C28">
      <w:r>
        <w:rPr>
          <w:rFonts w:ascii="宋体" w:eastAsia="宋体" w:hAnsi="宋体" w:cs="宋体"/>
        </w:rPr>
        <w:t>Reset</w:t>
      </w:r>
    </w:p>
    <w:p w14:paraId="4E56B730" w14:textId="77777777" w:rsidR="00DF3E10" w:rsidRDefault="006B6C28">
      <w:pPr>
        <w:pStyle w:val="Style5"/>
      </w:pPr>
      <w:r>
        <w:t>窗体底端</w:t>
      </w:r>
    </w:p>
    <w:p w14:paraId="4E56B731" w14:textId="77777777" w:rsidR="00DF3E10" w:rsidRDefault="006B6C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E56B7C1" wp14:editId="4E56B7C2">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33" w14:textId="77777777">
        <w:trPr>
          <w:tblCellSpacing w:w="15" w:type="dxa"/>
        </w:trPr>
        <w:tc>
          <w:tcPr>
            <w:tcW w:w="0" w:type="auto"/>
            <w:shd w:val="clear" w:color="auto" w:fill="auto"/>
            <w:vAlign w:val="center"/>
          </w:tcPr>
          <w:p w14:paraId="4E56B732" w14:textId="77777777" w:rsidR="00DF3E10" w:rsidRDefault="00DF3E10">
            <w:pPr>
              <w:rPr>
                <w:rFonts w:ascii="宋体"/>
              </w:rPr>
            </w:pPr>
          </w:p>
        </w:tc>
      </w:tr>
    </w:tbl>
    <w:p w14:paraId="4E56B734"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36" w14:textId="77777777">
        <w:trPr>
          <w:tblCellSpacing w:w="15" w:type="dxa"/>
        </w:trPr>
        <w:tc>
          <w:tcPr>
            <w:tcW w:w="0" w:type="auto"/>
            <w:shd w:val="clear" w:color="auto" w:fill="auto"/>
            <w:vAlign w:val="center"/>
          </w:tcPr>
          <w:p w14:paraId="4E56B735" w14:textId="77777777" w:rsidR="00DF3E10" w:rsidRDefault="00DF3E10">
            <w:pPr>
              <w:rPr>
                <w:rFonts w:ascii="宋体"/>
              </w:rPr>
            </w:pPr>
          </w:p>
        </w:tc>
      </w:tr>
    </w:tbl>
    <w:p w14:paraId="4E56B737"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39" w14:textId="77777777">
        <w:trPr>
          <w:tblCellSpacing w:w="15" w:type="dxa"/>
        </w:trPr>
        <w:tc>
          <w:tcPr>
            <w:tcW w:w="0" w:type="auto"/>
            <w:shd w:val="clear" w:color="auto" w:fill="auto"/>
            <w:vAlign w:val="center"/>
          </w:tcPr>
          <w:p w14:paraId="4E56B738" w14:textId="77777777" w:rsidR="00DF3E10" w:rsidRDefault="00DF3E10">
            <w:pPr>
              <w:rPr>
                <w:rFonts w:ascii="宋体"/>
              </w:rPr>
            </w:pPr>
          </w:p>
        </w:tc>
      </w:tr>
    </w:tbl>
    <w:p w14:paraId="4E56B73A"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3C" w14:textId="77777777">
        <w:trPr>
          <w:tblCellSpacing w:w="15" w:type="dxa"/>
        </w:trPr>
        <w:tc>
          <w:tcPr>
            <w:tcW w:w="0" w:type="auto"/>
            <w:shd w:val="clear" w:color="auto" w:fill="auto"/>
            <w:vAlign w:val="center"/>
          </w:tcPr>
          <w:p w14:paraId="4E56B73B" w14:textId="77777777" w:rsidR="00DF3E10" w:rsidRDefault="00DF3E10">
            <w:pPr>
              <w:rPr>
                <w:rFonts w:ascii="宋体"/>
              </w:rPr>
            </w:pPr>
          </w:p>
        </w:tc>
      </w:tr>
    </w:tbl>
    <w:p w14:paraId="4E56B73D" w14:textId="77777777" w:rsidR="00DF3E10" w:rsidRDefault="006B6C28">
      <w:r>
        <w:rPr>
          <w:rFonts w:ascii="宋体" w:eastAsia="宋体" w:hAnsi="宋体" w:cs="宋体"/>
        </w:rPr>
        <w:t xml:space="preserve">Previous Next </w:t>
      </w:r>
    </w:p>
    <w:p w14:paraId="4E56B73E" w14:textId="77777777" w:rsidR="00DF3E10" w:rsidRDefault="006B6C28">
      <w:pPr>
        <w:pStyle w:val="a3"/>
      </w:pPr>
      <w:r>
        <w:t xml:space="preserve">Nested Facts / </w:t>
      </w:r>
    </w:p>
    <w:p w14:paraId="4E56B73F" w14:textId="77777777" w:rsidR="00DF3E10" w:rsidRDefault="006B6C28">
      <w:r>
        <w:rPr>
          <w:rFonts w:ascii="宋体" w:eastAsia="宋体" w:hAnsi="宋体" w:cs="宋体"/>
        </w:rPr>
        <w:t xml:space="preserve">Previous Next </w:t>
      </w:r>
    </w:p>
    <w:p w14:paraId="4E56B740" w14:textId="77777777" w:rsidR="00DF3E10" w:rsidRDefault="006B6C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E56B7C3" wp14:editId="4E56B7C4">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42" w14:textId="77777777">
        <w:trPr>
          <w:tblCellSpacing w:w="15" w:type="dxa"/>
        </w:trPr>
        <w:tc>
          <w:tcPr>
            <w:tcW w:w="0" w:type="auto"/>
            <w:shd w:val="clear" w:color="auto" w:fill="auto"/>
            <w:vAlign w:val="center"/>
          </w:tcPr>
          <w:p w14:paraId="4E56B741" w14:textId="77777777" w:rsidR="00DF3E10" w:rsidRDefault="00DF3E10">
            <w:pPr>
              <w:rPr>
                <w:rFonts w:ascii="宋体"/>
              </w:rPr>
            </w:pPr>
          </w:p>
        </w:tc>
      </w:tr>
    </w:tbl>
    <w:p w14:paraId="4E56B743"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45" w14:textId="77777777">
        <w:trPr>
          <w:tblCellSpacing w:w="15" w:type="dxa"/>
        </w:trPr>
        <w:tc>
          <w:tcPr>
            <w:tcW w:w="0" w:type="auto"/>
            <w:shd w:val="clear" w:color="auto" w:fill="auto"/>
            <w:vAlign w:val="center"/>
          </w:tcPr>
          <w:p w14:paraId="4E56B744" w14:textId="77777777" w:rsidR="00DF3E10" w:rsidRDefault="00DF3E10">
            <w:pPr>
              <w:rPr>
                <w:rFonts w:ascii="宋体"/>
              </w:rPr>
            </w:pPr>
          </w:p>
        </w:tc>
      </w:tr>
    </w:tbl>
    <w:p w14:paraId="4E56B746"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48" w14:textId="77777777">
        <w:trPr>
          <w:tblCellSpacing w:w="15" w:type="dxa"/>
        </w:trPr>
        <w:tc>
          <w:tcPr>
            <w:tcW w:w="0" w:type="auto"/>
            <w:shd w:val="clear" w:color="auto" w:fill="auto"/>
            <w:vAlign w:val="center"/>
          </w:tcPr>
          <w:p w14:paraId="4E56B747" w14:textId="77777777" w:rsidR="00DF3E10" w:rsidRDefault="00DF3E10">
            <w:pPr>
              <w:rPr>
                <w:rFonts w:ascii="宋体"/>
              </w:rPr>
            </w:pPr>
          </w:p>
        </w:tc>
      </w:tr>
    </w:tbl>
    <w:p w14:paraId="4E56B749" w14:textId="77777777" w:rsidR="00DF3E10" w:rsidRDefault="00DF3E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3E10" w14:paraId="4E56B74B" w14:textId="77777777">
        <w:trPr>
          <w:tblCellSpacing w:w="15" w:type="dxa"/>
        </w:trPr>
        <w:tc>
          <w:tcPr>
            <w:tcW w:w="0" w:type="auto"/>
            <w:shd w:val="clear" w:color="auto" w:fill="auto"/>
            <w:vAlign w:val="center"/>
          </w:tcPr>
          <w:p w14:paraId="4E56B74A" w14:textId="77777777" w:rsidR="00DF3E10" w:rsidRDefault="00DF3E10">
            <w:pPr>
              <w:rPr>
                <w:rFonts w:ascii="宋体"/>
              </w:rPr>
            </w:pPr>
          </w:p>
        </w:tc>
      </w:tr>
    </w:tbl>
    <w:p w14:paraId="4E56B74C" w14:textId="77777777" w:rsidR="00DF3E10" w:rsidRDefault="006B6C28">
      <w:r>
        <w:rPr>
          <w:rFonts w:ascii="宋体" w:eastAsia="宋体" w:hAnsi="宋体" w:cs="宋体"/>
        </w:rPr>
        <w:t xml:space="preserve">Previous Next </w:t>
      </w:r>
    </w:p>
    <w:p w14:paraId="4E56B74D" w14:textId="77777777" w:rsidR="00DF3E10" w:rsidRDefault="00DF3E10"/>
    <w:sectPr w:rsidR="00DF3E1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2D44" w14:textId="77777777" w:rsidR="006B6C28" w:rsidRDefault="006B6C28" w:rsidP="006B6C28">
      <w:r>
        <w:separator/>
      </w:r>
    </w:p>
  </w:endnote>
  <w:endnote w:type="continuationSeparator" w:id="0">
    <w:p w14:paraId="1C28BA5F" w14:textId="77777777" w:rsidR="006B6C28" w:rsidRDefault="006B6C28" w:rsidP="006B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7DBE" w14:textId="77777777" w:rsidR="006B6C28" w:rsidRDefault="006B6C28" w:rsidP="006B6C28">
      <w:r>
        <w:separator/>
      </w:r>
    </w:p>
  </w:footnote>
  <w:footnote w:type="continuationSeparator" w:id="0">
    <w:p w14:paraId="74714FB0" w14:textId="77777777" w:rsidR="006B6C28" w:rsidRDefault="006B6C28" w:rsidP="006B6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F8852C"/>
    <w:rsid w:val="006B6C28"/>
    <w:rsid w:val="00DF3E10"/>
    <w:rsid w:val="35F88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696B4"/>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B6C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B6C28"/>
    <w:rPr>
      <w:rFonts w:asciiTheme="minorEastAsia" w:hAnsiTheme="minorEastAsia" w:cs="Times New Roman"/>
      <w:sz w:val="18"/>
      <w:szCs w:val="18"/>
    </w:rPr>
  </w:style>
  <w:style w:type="paragraph" w:styleId="a8">
    <w:name w:val="footer"/>
    <w:basedOn w:val="a"/>
    <w:link w:val="a9"/>
    <w:rsid w:val="006B6C28"/>
    <w:pPr>
      <w:tabs>
        <w:tab w:val="center" w:pos="4153"/>
        <w:tab w:val="right" w:pos="8306"/>
      </w:tabs>
      <w:snapToGrid w:val="0"/>
    </w:pPr>
    <w:rPr>
      <w:sz w:val="18"/>
      <w:szCs w:val="18"/>
    </w:rPr>
  </w:style>
  <w:style w:type="character" w:customStyle="1" w:styleId="a9">
    <w:name w:val="页脚 字符"/>
    <w:basedOn w:val="a0"/>
    <w:link w:val="a8"/>
    <w:rsid w:val="006B6C2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0000076/fb-06302020x10q.htm" TargetMode="External"/><Relationship Id="rId21" Type="http://schemas.openxmlformats.org/officeDocument/2006/relationships/hyperlink" Target="https://www.sec.gov/ix?doc=/Archives/edgar/data/0001326801/000132680120000076/fb-06302020x10q.htm" TargetMode="External"/><Relationship Id="rId42" Type="http://schemas.openxmlformats.org/officeDocument/2006/relationships/hyperlink" Target="https://www.sec.gov/ix?doc=/Archives/edgar/data/0001326801/000132680120000076/fb-06302020x10q.htm" TargetMode="External"/><Relationship Id="rId47" Type="http://schemas.openxmlformats.org/officeDocument/2006/relationships/hyperlink" Target="https://www.sec.gov/ix?doc=/Archives/edgar/data/0001326801/000132680120000076/fb-06302020x10q.htm" TargetMode="External"/><Relationship Id="rId63" Type="http://schemas.openxmlformats.org/officeDocument/2006/relationships/hyperlink" Target="https://www.sec.gov/ix?doc=/Archives/edgar/data/0001326801/000132680120000076/fb-06302020x10q.htm" TargetMode="External"/><Relationship Id="rId68" Type="http://schemas.openxmlformats.org/officeDocument/2006/relationships/hyperlink" Target="https://www.sec.gov/ix?doc=/Archives/edgar/data/0001326801/000132680120000076/fb-06302020x10q.htm" TargetMode="External"/><Relationship Id="rId84" Type="http://schemas.openxmlformats.org/officeDocument/2006/relationships/hyperlink" Target="https://www.sec.gov/ix?doc=/Archives/edgar/data/0001326801/000132680120000076/fb-06302020x10q.htm" TargetMode="External"/><Relationship Id="rId89" Type="http://schemas.openxmlformats.org/officeDocument/2006/relationships/hyperlink" Target="https://www.sec.gov/ix?doc=/Archives/edgar/data/0001326801/000132680120000076/fb-06302020x10q.htm" TargetMode="External"/><Relationship Id="rId112" Type="http://schemas.openxmlformats.org/officeDocument/2006/relationships/hyperlink" Target="https://www.sec.gov/ix?doc=/Archives/edgar/data/0001326801/000132680120000076/fb-06302020x10q.htm" TargetMode="External"/><Relationship Id="rId16" Type="http://schemas.openxmlformats.org/officeDocument/2006/relationships/hyperlink" Target="https://www.sec.gov/ix?doc=/Archives/edgar/data/0001326801/000132680120000076/fb-06302020x10q.htm" TargetMode="External"/><Relationship Id="rId107" Type="http://schemas.openxmlformats.org/officeDocument/2006/relationships/hyperlink" Target="https://www.sec.gov/ix?doc=/Archives/edgar/data/0001326801/000132680120000076/fb-06302020x10q.htm" TargetMode="External"/><Relationship Id="rId11" Type="http://schemas.openxmlformats.org/officeDocument/2006/relationships/hyperlink" Target="https://www.sec.gov/ix?doc=/Archives/edgar/data/0001326801/000132680120000076/fb-06302020x10q.htm" TargetMode="External"/><Relationship Id="rId32" Type="http://schemas.openxmlformats.org/officeDocument/2006/relationships/hyperlink" Target="https://www.sec.gov/ix?doc=/Archives/edgar/data/0001326801/000132680120000076/fb-06302020x10q.htm" TargetMode="External"/><Relationship Id="rId37" Type="http://schemas.openxmlformats.org/officeDocument/2006/relationships/hyperlink" Target="https://www.sec.gov/ix?doc=/Archives/edgar/data/0001326801/000132680120000076/fb-06302020x10q.htm" TargetMode="External"/><Relationship Id="rId53" Type="http://schemas.openxmlformats.org/officeDocument/2006/relationships/hyperlink" Target="https://www.sec.gov/ix?doc=/Archives/edgar/data/0001326801/000132680120000076/fb-06302020x10q.htm" TargetMode="External"/><Relationship Id="rId58" Type="http://schemas.openxmlformats.org/officeDocument/2006/relationships/hyperlink" Target="https://www.sec.gov/ix?doc=/Archives/edgar/data/0001326801/000132680120000076/fb-06302020x10q.htm" TargetMode="External"/><Relationship Id="rId74" Type="http://schemas.openxmlformats.org/officeDocument/2006/relationships/hyperlink" Target="https://www.sec.gov/ix?doc=/Archives/edgar/data/0001326801/000132680120000076/fb-06302020x10q.htm" TargetMode="External"/><Relationship Id="rId79" Type="http://schemas.openxmlformats.org/officeDocument/2006/relationships/hyperlink" Target="https://www.sec.gov/ix?doc=/Archives/edgar/data/0001326801/000132680120000076/fb-06302020x10q.htm" TargetMode="External"/><Relationship Id="rId102" Type="http://schemas.openxmlformats.org/officeDocument/2006/relationships/hyperlink" Target="https://www.sec.gov/ix?doc=/Archives/edgar/data/0001326801/000132680120000076/fb-06302020x10q.htm" TargetMode="External"/><Relationship Id="rId123" Type="http://schemas.openxmlformats.org/officeDocument/2006/relationships/hyperlink" Target="https://www.sec.gov/Archives/edgar/data/0001326801/000132680120000076/fb-06302020xex102.htm" TargetMode="External"/><Relationship Id="rId128" Type="http://schemas.openxmlformats.org/officeDocument/2006/relationships/hyperlink" Target="https://www.sec.gov/ix?doc=/Archives/edgar/data/0001326801/000132680120000076/fb-06302020x10q.htm" TargetMode="External"/><Relationship Id="rId5" Type="http://schemas.openxmlformats.org/officeDocument/2006/relationships/endnotes" Target="endnotes.xml"/><Relationship Id="rId90" Type="http://schemas.openxmlformats.org/officeDocument/2006/relationships/hyperlink" Target="https://www.sec.gov/ix?doc=/Archives/edgar/data/0001326801/000132680120000076/fb-06302020x10q.htm" TargetMode="External"/><Relationship Id="rId95" Type="http://schemas.openxmlformats.org/officeDocument/2006/relationships/hyperlink" Target="https://www.sec.gov/ix?doc=/Archives/edgar/data/0001326801/000132680120000076/fb-06302020x10q.htm" TargetMode="External"/><Relationship Id="rId22" Type="http://schemas.openxmlformats.org/officeDocument/2006/relationships/hyperlink" Target="https://www.sec.gov/ix?doc=/Archives/edgar/data/0001326801/000132680120000076/fb-06302020x10q.htm" TargetMode="External"/><Relationship Id="rId27" Type="http://schemas.openxmlformats.org/officeDocument/2006/relationships/hyperlink" Target="https://www.sec.gov/ix?doc=/Archives/edgar/data/0001326801/000132680120000076/fb-06302020x10q.htm" TargetMode="External"/><Relationship Id="rId43" Type="http://schemas.openxmlformats.org/officeDocument/2006/relationships/hyperlink" Target="https://www.sec.gov/ix?doc=/Archives/edgar/data/0001326801/000132680120000076/fb-06302020x10q.htm" TargetMode="External"/><Relationship Id="rId48" Type="http://schemas.openxmlformats.org/officeDocument/2006/relationships/hyperlink" Target="https://www.sec.gov/ix?doc=/Archives/edgar/data/0001326801/000132680120000076/fb-06302020x10q.htm" TargetMode="External"/><Relationship Id="rId64" Type="http://schemas.openxmlformats.org/officeDocument/2006/relationships/hyperlink" Target="https://www.sec.gov/ix?doc=/Archives/edgar/data/0001326801/000132680120000076/fb-06302020x10q.htm" TargetMode="External"/><Relationship Id="rId69" Type="http://schemas.openxmlformats.org/officeDocument/2006/relationships/hyperlink" Target="https://www.sec.gov/ix?doc=/Archives/edgar/data/0001326801/000132680120000076/fb-06302020x10q.htm" TargetMode="External"/><Relationship Id="rId113" Type="http://schemas.openxmlformats.org/officeDocument/2006/relationships/hyperlink" Target="https://www.sec.gov/ix?doc=/Archives/edgar/data/0001326801/000132680120000076/fb-06302020x10q.htm" TargetMode="External"/><Relationship Id="rId118" Type="http://schemas.openxmlformats.org/officeDocument/2006/relationships/hyperlink" Target="https://www.sec.gov/ix?doc=/Archives/edgar/data/0001326801/000132680120000076/fb-06302020x10q.htm" TargetMode="External"/><Relationship Id="rId80" Type="http://schemas.openxmlformats.org/officeDocument/2006/relationships/hyperlink" Target="https://www.sec.gov/ix?doc=/Archives/edgar/data/0001326801/000132680120000076/fb-06302020x10q.htm" TargetMode="External"/><Relationship Id="rId85" Type="http://schemas.openxmlformats.org/officeDocument/2006/relationships/hyperlink" Target="https://www.sec.gov/ix?doc=/Archives/edgar/data/0001326801/000132680120000076/fb-06302020x10q.htm" TargetMode="External"/><Relationship Id="rId12" Type="http://schemas.openxmlformats.org/officeDocument/2006/relationships/hyperlink" Target="https://www.sec.gov/ix?doc=/Archives/edgar/data/0001326801/000132680120000076/fb-06302020x10q.htm" TargetMode="External"/><Relationship Id="rId17" Type="http://schemas.openxmlformats.org/officeDocument/2006/relationships/hyperlink" Target="https://www.sec.gov/ix?doc=/Archives/edgar/data/0001326801/000132680120000076/fb-06302020x10q.htm" TargetMode="External"/><Relationship Id="rId33" Type="http://schemas.openxmlformats.org/officeDocument/2006/relationships/hyperlink" Target="https://www.sec.gov/ix?doc=/Archives/edgar/data/0001326801/000132680120000076/fb-06302020x10q.htm" TargetMode="External"/><Relationship Id="rId38" Type="http://schemas.openxmlformats.org/officeDocument/2006/relationships/hyperlink" Target="https://www.sec.gov/ix?doc=/Archives/edgar/data/0001326801/000132680120000076/fb-06302020x10q.htm" TargetMode="External"/><Relationship Id="rId59" Type="http://schemas.openxmlformats.org/officeDocument/2006/relationships/hyperlink" Target="https://www.sec.gov/ix?doc=/Archives/edgar/data/0001326801/000132680120000076/fb-06302020x10q.htm" TargetMode="External"/><Relationship Id="rId103" Type="http://schemas.openxmlformats.org/officeDocument/2006/relationships/hyperlink" Target="https://www.sec.gov/ix?doc=/Archives/edgar/data/0001326801/000132680120000076/fb-06302020x10q.htm" TargetMode="External"/><Relationship Id="rId108" Type="http://schemas.openxmlformats.org/officeDocument/2006/relationships/hyperlink" Target="https://www.sec.gov/ix?doc=/Archives/edgar/data/0001326801/000132680120000076/fb-06302020x10q.htm" TargetMode="External"/><Relationship Id="rId124" Type="http://schemas.openxmlformats.org/officeDocument/2006/relationships/hyperlink" Target="https://www.sec.gov/Archives/edgar/data/0001326801/000132680120000076/fb-06302020xex311.htm" TargetMode="External"/><Relationship Id="rId129" Type="http://schemas.openxmlformats.org/officeDocument/2006/relationships/fontTable" Target="fontTable.xml"/><Relationship Id="rId54" Type="http://schemas.openxmlformats.org/officeDocument/2006/relationships/hyperlink" Target="https://www.sec.gov/ix?doc=/Archives/edgar/data/0001326801/000132680120000076/fb-06302020x10q.htm" TargetMode="External"/><Relationship Id="rId75" Type="http://schemas.openxmlformats.org/officeDocument/2006/relationships/hyperlink" Target="https://www.sec.gov/ix?doc=/Archives/edgar/data/0001326801/000132680120000076/fb-06302020x10q.htm" TargetMode="External"/><Relationship Id="rId91" Type="http://schemas.openxmlformats.org/officeDocument/2006/relationships/hyperlink" Target="https://www.sec.gov/ix?doc=/Archives/edgar/data/0001326801/000132680120000076/fb-06302020x10q.htm" TargetMode="External"/><Relationship Id="rId96" Type="http://schemas.openxmlformats.org/officeDocument/2006/relationships/hyperlink" Target="https://www.sec.gov/ix?doc=/Archives/edgar/data/0001326801/000132680120000076/fb-06302020x10q.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0000076/fb-06302020x10q.htm" TargetMode="External"/><Relationship Id="rId23" Type="http://schemas.openxmlformats.org/officeDocument/2006/relationships/hyperlink" Target="https://www.sec.gov/ix?doc=/Archives/edgar/data/0001326801/000132680120000076/fb-06302020x10q.htm" TargetMode="External"/><Relationship Id="rId28" Type="http://schemas.openxmlformats.org/officeDocument/2006/relationships/hyperlink" Target="https://www.sec.gov/ix?doc=/Archives/edgar/data/0001326801/000132680120000076/fb-06302020x10q.htm" TargetMode="External"/><Relationship Id="rId49" Type="http://schemas.openxmlformats.org/officeDocument/2006/relationships/hyperlink" Target="https://www.sec.gov/ix?doc=/Archives/edgar/data/0001326801/000132680120000076/fb-06302020x10q.htm" TargetMode="External"/><Relationship Id="rId114" Type="http://schemas.openxmlformats.org/officeDocument/2006/relationships/hyperlink" Target="https://www.sec.gov/ix?doc=/Archives/edgar/data/0001326801/000132680120000076/fb-06302020x10q.htm" TargetMode="External"/><Relationship Id="rId119" Type="http://schemas.openxmlformats.org/officeDocument/2006/relationships/hyperlink" Target="https://www.sec.gov/ix?doc=/Archives/edgar/data/0001326801/000132680120000076/fb-06302020x10q.htm" TargetMode="External"/><Relationship Id="rId44" Type="http://schemas.openxmlformats.org/officeDocument/2006/relationships/hyperlink" Target="https://www.sec.gov/ix?doc=/Archives/edgar/data/0001326801/000132680120000076/fb-06302020x10q.htm" TargetMode="External"/><Relationship Id="rId60" Type="http://schemas.openxmlformats.org/officeDocument/2006/relationships/hyperlink" Target="https://www.sec.gov/ix?doc=/Archives/edgar/data/0001326801/000132680120000076/fb-06302020x10q.htm" TargetMode="External"/><Relationship Id="rId65" Type="http://schemas.openxmlformats.org/officeDocument/2006/relationships/hyperlink" Target="https://www.sec.gov/ix?doc=/Archives/edgar/data/0001326801/000132680120000076/fb-06302020x10q.htm" TargetMode="External"/><Relationship Id="rId81" Type="http://schemas.openxmlformats.org/officeDocument/2006/relationships/hyperlink" Target="https://www.sec.gov/ix?doc=/Archives/edgar/data/0001326801/000132680120000076/fb-06302020x10q.htm" TargetMode="External"/><Relationship Id="rId86" Type="http://schemas.openxmlformats.org/officeDocument/2006/relationships/hyperlink" Target="https://www.sec.gov/ix?doc=/Archives/edgar/data/0001326801/000132680120000076/fb-06302020x10q.htm" TargetMode="External"/><Relationship Id="rId130" Type="http://schemas.openxmlformats.org/officeDocument/2006/relationships/theme" Target="theme/theme1.xml"/><Relationship Id="rId13" Type="http://schemas.openxmlformats.org/officeDocument/2006/relationships/hyperlink" Target="https://www.sec.gov/ix?doc=/Archives/edgar/data/0001326801/000132680120000076/fb-06302020x10q.htm" TargetMode="External"/><Relationship Id="rId18" Type="http://schemas.openxmlformats.org/officeDocument/2006/relationships/hyperlink" Target="https://www.sec.gov/ix?doc=/Archives/edgar/data/0001326801/000132680120000076/fb-06302020x10q.htm" TargetMode="External"/><Relationship Id="rId39" Type="http://schemas.openxmlformats.org/officeDocument/2006/relationships/hyperlink" Target="https://www.sec.gov/ix?doc=/Archives/edgar/data/0001326801/000132680120000076/fb-06302020x10q.htm" TargetMode="External"/><Relationship Id="rId109" Type="http://schemas.openxmlformats.org/officeDocument/2006/relationships/hyperlink" Target="https://www.sec.gov/ix?doc=/Archives/edgar/data/0001326801/000132680120000076/fb-06302020x10q.htm" TargetMode="External"/><Relationship Id="rId34" Type="http://schemas.openxmlformats.org/officeDocument/2006/relationships/hyperlink" Target="https://www.sec.gov/ix?doc=/Archives/edgar/data/0001326801/000132680120000076/fb-06302020x10q.htm" TargetMode="External"/><Relationship Id="rId50" Type="http://schemas.openxmlformats.org/officeDocument/2006/relationships/hyperlink" Target="https://www.sec.gov/ix?doc=/Archives/edgar/data/0001326801/000132680120000076/fb-06302020x10q.htm" TargetMode="External"/><Relationship Id="rId55" Type="http://schemas.openxmlformats.org/officeDocument/2006/relationships/hyperlink" Target="https://www.sec.gov/ix?doc=/Archives/edgar/data/0001326801/000132680120000076/fb-06302020x10q.htm" TargetMode="External"/><Relationship Id="rId76" Type="http://schemas.openxmlformats.org/officeDocument/2006/relationships/hyperlink" Target="https://www.sec.gov/ix?doc=/Archives/edgar/data/0001326801/000132680120000076/fb-06302020x10q.htm" TargetMode="External"/><Relationship Id="rId97" Type="http://schemas.openxmlformats.org/officeDocument/2006/relationships/hyperlink" Target="https://www.sec.gov/ix?doc=/Archives/edgar/data/0001326801/000132680120000076/fb-06302020x10q.htm" TargetMode="External"/><Relationship Id="rId104" Type="http://schemas.openxmlformats.org/officeDocument/2006/relationships/hyperlink" Target="https://www.sec.gov/ix?doc=/Archives/edgar/data/0001326801/000132680120000076/fb-06302020x10q.htm" TargetMode="External"/><Relationship Id="rId120" Type="http://schemas.openxmlformats.org/officeDocument/2006/relationships/hyperlink" Target="https://www.sec.gov/ix?doc=/Archives/edgar/data/0001326801/000132680120000076/fb-06302020x10q.htm" TargetMode="External"/><Relationship Id="rId125" Type="http://schemas.openxmlformats.org/officeDocument/2006/relationships/hyperlink" Target="https://www.sec.gov/Archives/edgar/data/0001326801/000132680120000076/fb-06302020xex312.htm" TargetMode="External"/><Relationship Id="rId7" Type="http://schemas.openxmlformats.org/officeDocument/2006/relationships/hyperlink" Target="https://www.sec.gov/ix?doc=/Archives/edgar/data/0001326801/000132680120000076/fb-06302020x10q.htm" TargetMode="External"/><Relationship Id="rId71" Type="http://schemas.openxmlformats.org/officeDocument/2006/relationships/hyperlink" Target="https://www.sec.gov/ix?doc=/Archives/edgar/data/0001326801/000132680120000076/fb-06302020x10q.htm" TargetMode="External"/><Relationship Id="rId92" Type="http://schemas.openxmlformats.org/officeDocument/2006/relationships/hyperlink" Target="https://www.sec.gov/ix?doc=/Archives/edgar/data/0001326801/000132680120000076/fb-06302020x10q.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0000076/fb-06302020x10q.htm" TargetMode="External"/><Relationship Id="rId24" Type="http://schemas.openxmlformats.org/officeDocument/2006/relationships/hyperlink" Target="https://www.sec.gov/ix?doc=/Archives/edgar/data/0001326801/000132680120000076/fb-06302020x10q.htm" TargetMode="External"/><Relationship Id="rId40" Type="http://schemas.openxmlformats.org/officeDocument/2006/relationships/hyperlink" Target="https://www.sec.gov/ix?doc=/Archives/edgar/data/0001326801/000132680120000076/fb-06302020x10q.htm" TargetMode="External"/><Relationship Id="rId45" Type="http://schemas.openxmlformats.org/officeDocument/2006/relationships/hyperlink" Target="https://www.sec.gov/ix?doc=/Archives/edgar/data/0001326801/000132680120000076/fb-06302020x10q.htm" TargetMode="External"/><Relationship Id="rId66" Type="http://schemas.openxmlformats.org/officeDocument/2006/relationships/hyperlink" Target="https://www.sec.gov/ix?doc=/Archives/edgar/data/0001326801/000132680120000076/fb-06302020x10q.htm" TargetMode="External"/><Relationship Id="rId87" Type="http://schemas.openxmlformats.org/officeDocument/2006/relationships/hyperlink" Target="https://www.sec.gov/ix?doc=/Archives/edgar/data/0001326801/000132680120000076/fb-06302020x10q.htm" TargetMode="External"/><Relationship Id="rId110" Type="http://schemas.openxmlformats.org/officeDocument/2006/relationships/hyperlink" Target="https://www.sec.gov/ix?doc=/Archives/edgar/data/0001326801/000132680120000076/fb-06302020x10q.htm" TargetMode="External"/><Relationship Id="rId115" Type="http://schemas.openxmlformats.org/officeDocument/2006/relationships/hyperlink" Target="https://www.sec.gov/ix?doc=/Archives/edgar/data/0001326801/000132680120000076/fb-06302020x10q.htm" TargetMode="External"/><Relationship Id="rId61" Type="http://schemas.openxmlformats.org/officeDocument/2006/relationships/hyperlink" Target="https://www.sec.gov/ix?doc=/Archives/edgar/data/0001326801/000132680120000076/fb-06302020x10q.htm" TargetMode="External"/><Relationship Id="rId82" Type="http://schemas.openxmlformats.org/officeDocument/2006/relationships/hyperlink" Target="https://www.sec.gov/ix?doc=/Archives/edgar/data/0001326801/000132680120000076/fb-06302020x10q.htm" TargetMode="External"/><Relationship Id="rId19" Type="http://schemas.openxmlformats.org/officeDocument/2006/relationships/hyperlink" Target="https://www.sec.gov/ix?doc=/Archives/edgar/data/0001326801/000132680120000076/fb-06302020x10q.htm" TargetMode="External"/><Relationship Id="rId14" Type="http://schemas.openxmlformats.org/officeDocument/2006/relationships/hyperlink" Target="https://www.sec.gov/ix?doc=/Archives/edgar/data/0001326801/000132680120000076/fb-06302020x10q.htm" TargetMode="External"/><Relationship Id="rId30" Type="http://schemas.openxmlformats.org/officeDocument/2006/relationships/hyperlink" Target="https://www.sec.gov/ix?doc=/Archives/edgar/data/0001326801/000132680120000076/fb-06302020x10q.htm" TargetMode="External"/><Relationship Id="rId35" Type="http://schemas.openxmlformats.org/officeDocument/2006/relationships/hyperlink" Target="https://www.sec.gov/ix?doc=/Archives/edgar/data/0001326801/000132680120000076/fb-06302020x10q.htm" TargetMode="External"/><Relationship Id="rId56" Type="http://schemas.openxmlformats.org/officeDocument/2006/relationships/hyperlink" Target="https://www.sec.gov/ix?doc=/Archives/edgar/data/0001326801/000132680120000076/fb-06302020x10q.htm" TargetMode="External"/><Relationship Id="rId77" Type="http://schemas.openxmlformats.org/officeDocument/2006/relationships/hyperlink" Target="https://www.sec.gov/ix?doc=/Archives/edgar/data/0001326801/000132680120000076/fb-06302020x10q.htm" TargetMode="External"/><Relationship Id="rId100" Type="http://schemas.openxmlformats.org/officeDocument/2006/relationships/hyperlink" Target="https://www.sec.gov/ix?doc=/Archives/edgar/data/0001326801/000132680120000076/fb-06302020x10q.htm" TargetMode="External"/><Relationship Id="rId105" Type="http://schemas.openxmlformats.org/officeDocument/2006/relationships/hyperlink" Target="https://www.sec.gov/ix?doc=/Archives/edgar/data/0001326801/000132680120000076/fb-06302020x10q.htm" TargetMode="External"/><Relationship Id="rId126" Type="http://schemas.openxmlformats.org/officeDocument/2006/relationships/hyperlink" Target="https://www.sec.gov/Archives/edgar/data/0001326801/000132680120000076/fb-06302020xex321.htm" TargetMode="External"/><Relationship Id="rId8" Type="http://schemas.openxmlformats.org/officeDocument/2006/relationships/hyperlink" Target="https://www.sec.gov/ix?doc=/Archives/edgar/data/0001326801/000132680120000076/fb-06302020x10q.htm" TargetMode="External"/><Relationship Id="rId51" Type="http://schemas.openxmlformats.org/officeDocument/2006/relationships/hyperlink" Target="https://www.sec.gov/ix?doc=/Archives/edgar/data/0001326801/000132680120000076/fb-06302020x10q.htm" TargetMode="External"/><Relationship Id="rId72" Type="http://schemas.openxmlformats.org/officeDocument/2006/relationships/hyperlink" Target="https://www.sec.gov/ix?doc=/Archives/edgar/data/0001326801/000132680120000076/fb-06302020x10q.htm" TargetMode="External"/><Relationship Id="rId93" Type="http://schemas.openxmlformats.org/officeDocument/2006/relationships/hyperlink" Target="https://www.sec.gov/ix?doc=/Archives/edgar/data/0001326801/000132680120000076/fb-06302020x10q.htm" TargetMode="External"/><Relationship Id="rId98" Type="http://schemas.openxmlformats.org/officeDocument/2006/relationships/hyperlink" Target="https://www.sec.gov/ix?doc=/Archives/edgar/data/0001326801/000132680120000076/fb-06302020x10q.htm" TargetMode="External"/><Relationship Id="rId121" Type="http://schemas.openxmlformats.org/officeDocument/2006/relationships/hyperlink" Target="https://www.sec.gov/ix?doc=/Archives/edgar/data/0001326801/000132680120000076/fb-06302020x10q.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0000076/fb-06302020x10q.htm" TargetMode="External"/><Relationship Id="rId46" Type="http://schemas.openxmlformats.org/officeDocument/2006/relationships/hyperlink" Target="https://www.sec.gov/ix?doc=/Archives/edgar/data/0001326801/000132680120000076/fb-06302020x10q.htm" TargetMode="External"/><Relationship Id="rId67" Type="http://schemas.openxmlformats.org/officeDocument/2006/relationships/hyperlink" Target="https://www.sec.gov/ix?doc=/Archives/edgar/data/0001326801/000132680120000076/fb-06302020x10q.htm" TargetMode="External"/><Relationship Id="rId116" Type="http://schemas.openxmlformats.org/officeDocument/2006/relationships/hyperlink" Target="https://www.sec.gov/ix?doc=/Archives/edgar/data/0001326801/000132680120000076/fb-06302020x10q.htm" TargetMode="External"/><Relationship Id="rId20" Type="http://schemas.openxmlformats.org/officeDocument/2006/relationships/hyperlink" Target="https://www.sec.gov/ix?doc=/Archives/edgar/data/0001326801/000132680120000076/fb-06302020x10q.htm" TargetMode="External"/><Relationship Id="rId41" Type="http://schemas.openxmlformats.org/officeDocument/2006/relationships/hyperlink" Target="https://www.sec.gov/ix?doc=/Archives/edgar/data/0001326801/000132680120000076/fb-06302020x10q.htm" TargetMode="External"/><Relationship Id="rId62" Type="http://schemas.openxmlformats.org/officeDocument/2006/relationships/hyperlink" Target="https://www.sec.gov/ix?doc=/Archives/edgar/data/0001326801/000132680120000076/fb-06302020x10q.htm" TargetMode="External"/><Relationship Id="rId83" Type="http://schemas.openxmlformats.org/officeDocument/2006/relationships/hyperlink" Target="https://www.sec.gov/ix?doc=/Archives/edgar/data/0001326801/000132680120000076/fb-06302020x10q.htm" TargetMode="External"/><Relationship Id="rId88" Type="http://schemas.openxmlformats.org/officeDocument/2006/relationships/hyperlink" Target="https://www.sec.gov/ix?doc=/Archives/edgar/data/0001326801/000132680120000076/fb-06302020x10q.htm" TargetMode="External"/><Relationship Id="rId111" Type="http://schemas.openxmlformats.org/officeDocument/2006/relationships/hyperlink" Target="https://www.sec.gov/ix?doc=/Archives/edgar/data/0001326801/000132680120000076/fb-06302020x10q.htm" TargetMode="External"/><Relationship Id="rId15" Type="http://schemas.openxmlformats.org/officeDocument/2006/relationships/hyperlink" Target="https://www.sec.gov/ix?doc=/Archives/edgar/data/0001326801/000132680120000076/fb-06302020x10q.htm" TargetMode="External"/><Relationship Id="rId36" Type="http://schemas.openxmlformats.org/officeDocument/2006/relationships/hyperlink" Target="https://www.sec.gov/ix?doc=/Archives/edgar/data/0001326801/000132680120000076/fb-06302020x10q.htm" TargetMode="External"/><Relationship Id="rId57" Type="http://schemas.openxmlformats.org/officeDocument/2006/relationships/hyperlink" Target="https://www.sec.gov/ix?doc=/Archives/edgar/data/0001326801/000132680120000076/fb-06302020x10q.htm" TargetMode="External"/><Relationship Id="rId106" Type="http://schemas.openxmlformats.org/officeDocument/2006/relationships/hyperlink" Target="https://www.sec.gov/ix?doc=/Archives/edgar/data/0001326801/000132680120000076/fb-06302020x10q.htm" TargetMode="External"/><Relationship Id="rId127" Type="http://schemas.openxmlformats.org/officeDocument/2006/relationships/hyperlink" Target="https://www.sec.gov/Archives/edgar/data/0001326801/000132680120000076/fb-06302020xex322.htm" TargetMode="External"/><Relationship Id="rId10" Type="http://schemas.openxmlformats.org/officeDocument/2006/relationships/hyperlink" Target="https://www.sec.gov/ix?doc=/Archives/edgar/data/0001326801/000132680120000076/fb-06302020x10q.htm" TargetMode="External"/><Relationship Id="rId31" Type="http://schemas.openxmlformats.org/officeDocument/2006/relationships/hyperlink" Target="https://www.sec.gov/ix?doc=/Archives/edgar/data/0001326801/000132680120000076/fb-06302020x10q.htm" TargetMode="External"/><Relationship Id="rId52" Type="http://schemas.openxmlformats.org/officeDocument/2006/relationships/hyperlink" Target="https://www.sec.gov/ix?doc=/Archives/edgar/data/0001326801/000132680120000076/fb-06302020x10q.htm" TargetMode="External"/><Relationship Id="rId73" Type="http://schemas.openxmlformats.org/officeDocument/2006/relationships/hyperlink" Target="https://www.sec.gov/ix?doc=/Archives/edgar/data/0001326801/000132680120000076/fb-06302020x10q.htm" TargetMode="External"/><Relationship Id="rId78" Type="http://schemas.openxmlformats.org/officeDocument/2006/relationships/hyperlink" Target="https://www.sec.gov/ix?doc=/Archives/edgar/data/0001326801/000132680120000076/fb-06302020x10q.htm" TargetMode="External"/><Relationship Id="rId94" Type="http://schemas.openxmlformats.org/officeDocument/2006/relationships/hyperlink" Target="https://www.sec.gov/ix?doc=/Archives/edgar/data/0001326801/000132680120000076/fb-06302020x10q.htm" TargetMode="External"/><Relationship Id="rId99" Type="http://schemas.openxmlformats.org/officeDocument/2006/relationships/hyperlink" Target="https://www.sec.gov/ix?doc=/Archives/edgar/data/0001326801/000132680120000076/fb-06302020x10q.htm" TargetMode="External"/><Relationship Id="rId101" Type="http://schemas.openxmlformats.org/officeDocument/2006/relationships/hyperlink" Target="https://www.sec.gov/ix?doc=/Archives/edgar/data/0001326801/000132680120000076/fb-06302020x10q.htm" TargetMode="External"/><Relationship Id="rId122" Type="http://schemas.openxmlformats.org/officeDocument/2006/relationships/hyperlink" Target="http://www.sec.gov/Archives/edgar/data/1326801/000132680119000055/exhibit103-formofexeco.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0000076/fb-06302020x10q.htm" TargetMode="External"/><Relationship Id="rId26" Type="http://schemas.openxmlformats.org/officeDocument/2006/relationships/hyperlink" Target="https://www.sec.gov/ix?doc=/Archives/edgar/data/0001326801/000132680120000076/fb-06302020x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50937</Words>
  <Characters>290346</Characters>
  <Application>Microsoft Office Word</Application>
  <DocSecurity>0</DocSecurity>
  <Lines>2419</Lines>
  <Paragraphs>681</Paragraphs>
  <ScaleCrop>false</ScaleCrop>
  <Company/>
  <LinksUpToDate>false</LinksUpToDate>
  <CharactersWithSpaces>340602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2023-02-11T20:25:00Z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CD822748033FEE045689E763D9CD173D</vt:lpwstr>
  </property>
</Properties>
</file>