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8FB10" w14:textId="61DEAD37" w:rsidR="00F427A3" w:rsidRDefault="0044221F">
      <w:pPr>
        <w:rPr>
          <w:rFonts w:ascii="Times New Roman" w:hAnsi="Times New Roman"/>
          <w:vanish/>
          <w:sz w:val="20"/>
          <w:szCs w:val="20"/>
        </w:rPr>
      </w:pPr>
      <w:r>
        <w:rPr>
          <w:rFonts w:ascii="Times New Roman" w:eastAsia="宋体" w:hAnsi="Times New Roman"/>
          <w:sz w:val="20"/>
          <w:szCs w:val="20"/>
        </w:rPr>
        <w:t xml:space="preserve"> </w:t>
      </w:r>
      <w:r>
        <w:rPr>
          <w:rFonts w:ascii="Times New Roman" w:eastAsia="宋体" w:hAnsi="Times New Roman"/>
          <w:vanish/>
          <w:sz w:val="20"/>
          <w:szCs w:val="20"/>
        </w:rPr>
        <w:t>false--12-31Q320200001326801P1Y2060000000.0000060.000006500000000041410000005000000000414100000024070000004450000002406000000444000000240700000044500000024060000004440000000.42000 0001326801 2020-01-01 2020-09-30 0001326801 us-gaap:CommonClassBMember 2020-</w:t>
      </w:r>
      <w:r>
        <w:rPr>
          <w:rFonts w:ascii="Times New Roman" w:eastAsia="宋体" w:hAnsi="Times New Roman"/>
          <w:vanish/>
          <w:sz w:val="20"/>
          <w:szCs w:val="20"/>
        </w:rPr>
        <w:t>10-23 0001326801 us-gaap:CommonClassAMember 2020-10-23 0001326801 2020-09-30 0001326801 2019-12-31 0001326801 us-gaap:CommonClassBMember 2020-09-30 0001326801 us-gaap:CommonClassBMember 2019-12-31 0001326801 us-gaap:CommonClassAMember 2019-12-31 0001326801</w:t>
      </w:r>
      <w:r>
        <w:rPr>
          <w:rFonts w:ascii="Times New Roman" w:eastAsia="宋体" w:hAnsi="Times New Roman"/>
          <w:vanish/>
          <w:sz w:val="20"/>
          <w:szCs w:val="20"/>
        </w:rPr>
        <w:t xml:space="preserve"> us-gaap:CommonClassAMember 2020-09-30 0001326801 2019-01-01 2019-09-30 0001326801 us-gaap:GeneralAndAdministrativeExpenseMember 2020-07-01 2020-09-30 0001326801 2019-07-01 2019-09-30 0001326801 us-gaap:CostOfSalesMember 2019-07-01 2019-09-30 0001326801 us</w:t>
      </w:r>
      <w:r>
        <w:rPr>
          <w:rFonts w:ascii="Times New Roman" w:eastAsia="宋体" w:hAnsi="Times New Roman"/>
          <w:vanish/>
          <w:sz w:val="20"/>
          <w:szCs w:val="20"/>
        </w:rPr>
        <w:t xml:space="preserve">-gaap:SellingAndMarketingExpenseMember 2020-01-01 2020-09-30 0001326801 2020-07-01 2020-09-30 0001326801 us-gaap:ResearchAndDevelopmentExpenseMember 2020-07-01 2020-09-30 0001326801 us-gaap:SellingAndMarketingExpenseMember 2019-01-01 2019-09-30 0001326801 </w:t>
      </w:r>
      <w:r>
        <w:rPr>
          <w:rFonts w:ascii="Times New Roman" w:eastAsia="宋体" w:hAnsi="Times New Roman"/>
          <w:vanish/>
          <w:sz w:val="20"/>
          <w:szCs w:val="20"/>
        </w:rPr>
        <w:t>us-gaap:ResearchAndDevelopmentExpenseMember 2019-01-01 2019-09-30 0001326801 us-gaap:GeneralAndAdministrativeExpenseMember 2020-01-01 2020-09-30 0001326801 us-gaap:ResearchAndDevelopmentExpenseMember 2020-01-01 2020-09-30 0001326801 us-gaap:CostOfSalesMemb</w:t>
      </w:r>
      <w:r>
        <w:rPr>
          <w:rFonts w:ascii="Times New Roman" w:eastAsia="宋体" w:hAnsi="Times New Roman"/>
          <w:vanish/>
          <w:sz w:val="20"/>
          <w:szCs w:val="20"/>
        </w:rPr>
        <w:t>er 2019-01-01 2019-09-30 0001326801 us-gaap:SellingAndMarketingExpenseMember 2020-07-01 2020-09-30 0001326801 us-gaap:GeneralAndAdministrativeExpenseMember 2019-01-01 2019-09-30 0001326801 us-gaap:SellingAndMarketingExpenseMember 2019-07-01 2019-09-30 0001</w:t>
      </w:r>
      <w:r>
        <w:rPr>
          <w:rFonts w:ascii="Times New Roman" w:eastAsia="宋体" w:hAnsi="Times New Roman"/>
          <w:vanish/>
          <w:sz w:val="20"/>
          <w:szCs w:val="20"/>
        </w:rPr>
        <w:t>326801 us-gaap:CostOfSalesMember 2020-07-01 2020-09-30 0001326801 us-gaap:ResearchAndDevelopmentExpenseMember 2019-07-01 2019-09-30 0001326801 us-gaap:GeneralAndAdministrativeExpenseMember 2019-07-01 2019-09-30 0001326801 us-gaap:CostOfSalesMember 2020-01-</w:t>
      </w:r>
      <w:r>
        <w:rPr>
          <w:rFonts w:ascii="Times New Roman" w:eastAsia="宋体" w:hAnsi="Times New Roman"/>
          <w:vanish/>
          <w:sz w:val="20"/>
          <w:szCs w:val="20"/>
        </w:rPr>
        <w:t>01 2020-09-30 0001326801 us-gaap:RetainedEarningsMember 2020-07-01 2020-09-30 0001326801 us-gaap:CommonStockMember 2020-09-30 0001326801 us-gaap:RetainedEarningsMember 2019-12-31 0001326801 us-gaap:AdditionalPaidInCapitalMember 2019-01-01 2019-09-30 000132</w:t>
      </w:r>
      <w:r>
        <w:rPr>
          <w:rFonts w:ascii="Times New Roman" w:eastAsia="宋体" w:hAnsi="Times New Roman"/>
          <w:vanish/>
          <w:sz w:val="20"/>
          <w:szCs w:val="20"/>
        </w:rPr>
        <w:t>6801 us-gaap:CommonStockMember 2019-09-30 0001326801 2019-06-30 0001326801 us-gaap:CommonStockMember 2020-07-01 2020-09-30 0001326801 us-gaap:AdditionalPaidInCapitalMember 2020-09-30 0001326801 us-gaap:CommonStockMember 2018-12-31 0001326801 us-gaap:Additi</w:t>
      </w:r>
      <w:r>
        <w:rPr>
          <w:rFonts w:ascii="Times New Roman" w:eastAsia="宋体" w:hAnsi="Times New Roman"/>
          <w:vanish/>
          <w:sz w:val="20"/>
          <w:szCs w:val="20"/>
        </w:rPr>
        <w:t>onalPaidInCapitalMember 2020-07-01 2020-09-30 0001326801 us-gaap:AdditionalPaidInCapitalMember 2020-01-01 2020-09-30 0001326801 us-gaap:CommonStockMember 2019-07-01 2019-09-30 0001326801 us-gaap:RetainedEarningsMember 2019-07-01 2019-09-30 0001326801 us-ga</w:t>
      </w:r>
      <w:r>
        <w:rPr>
          <w:rFonts w:ascii="Times New Roman" w:eastAsia="宋体" w:hAnsi="Times New Roman"/>
          <w:vanish/>
          <w:sz w:val="20"/>
          <w:szCs w:val="20"/>
        </w:rPr>
        <w:t>ap:CommonStockMember 2019-12-31 0001326801 us-gaap:AccumulatedOtherComprehensiveIncomeMember 2020-09-30 0001326801 us-gaap:RetainedEarningsMember 2019-09-30 0001326801 us-gaap:AccumulatedOtherComprehensiveIncomeMember 2020-06-30 0001326801 2019-09-30 00013</w:t>
      </w:r>
      <w:r>
        <w:rPr>
          <w:rFonts w:ascii="Times New Roman" w:eastAsia="宋体" w:hAnsi="Times New Roman"/>
          <w:vanish/>
          <w:sz w:val="20"/>
          <w:szCs w:val="20"/>
        </w:rPr>
        <w:t>26801 us-gaap:AccumulatedOtherComprehensiveIncomeMember 2020-07-01 2020-09-30 0001326801 us-gaap:AdditionalPaidInCapitalMember 2019-12-31 0001326801 us-gaap:RetainedEarningsMember 2020-01-01 2020-09-30 0001326801 us-gaap:AccumulatedOtherComprehensiveIncome</w:t>
      </w:r>
      <w:r>
        <w:rPr>
          <w:rFonts w:ascii="Times New Roman" w:eastAsia="宋体" w:hAnsi="Times New Roman"/>
          <w:vanish/>
          <w:sz w:val="20"/>
          <w:szCs w:val="20"/>
        </w:rPr>
        <w:t>Member 2019-12-31 0001326801 us-gaap:AccumulatedOtherComprehensiveIncomeMember 2019-01-01 2019-09-30 0001326801 us-gaap:CommonStockMember 2020-06-30 0001326801 us-gaap:AdditionalPaidInCapitalMember 2020-06-30 0001326801 us-gaap:CommonStockMember 2019-06-30</w:t>
      </w:r>
      <w:r>
        <w:rPr>
          <w:rFonts w:ascii="Times New Roman" w:eastAsia="宋体" w:hAnsi="Times New Roman"/>
          <w:vanish/>
          <w:sz w:val="20"/>
          <w:szCs w:val="20"/>
        </w:rPr>
        <w:t xml:space="preserve"> 0001326801 us-gaap:RetainedEarningsMember 2019-01-01 2019-09-30 0001326801 us-gaap:CommonStockMember 2019-01-01 2019-09-30 0001326801 us-gaap:AccumulatedOtherComprehensiveIncomeMember 2019-09-30 0001326801 us-gaap:AdditionalPaidInCapitalMember 2019-09-30 </w:t>
      </w:r>
      <w:r>
        <w:rPr>
          <w:rFonts w:ascii="Times New Roman" w:eastAsia="宋体" w:hAnsi="Times New Roman"/>
          <w:vanish/>
          <w:sz w:val="20"/>
          <w:szCs w:val="20"/>
        </w:rPr>
        <w:t>0001326801 us-gaap:AccumulatedOtherComprehensiveIncomeMember 2019-07-01 2019-09-30 0001326801 us-gaap:RetainedEarningsMember 2020-09-30 0001326801 us-gaap:AdditionalPaidInCapitalMember 2019-07-01 2019-09-30 0001326801 us-gaap:CommonStockMember 2020-01-01 2</w:t>
      </w:r>
      <w:r>
        <w:rPr>
          <w:rFonts w:ascii="Times New Roman" w:eastAsia="宋体" w:hAnsi="Times New Roman"/>
          <w:vanish/>
          <w:sz w:val="20"/>
          <w:szCs w:val="20"/>
        </w:rPr>
        <w:t>020-09-30 0001326801 us-gaap:AccumulatedOtherComprehensiveIncomeMember 2019-06-30 0001326801 us-gaap:AccumulatedOtherComprehensiveIncomeMember 2020-01-01 2020-09-30 0001326801 2020-06-30 0001326801 us-gaap:AccumulatedOtherComprehensiveIncomeMember 2018-12-</w:t>
      </w:r>
      <w:r>
        <w:rPr>
          <w:rFonts w:ascii="Times New Roman" w:eastAsia="宋体" w:hAnsi="Times New Roman"/>
          <w:vanish/>
          <w:sz w:val="20"/>
          <w:szCs w:val="20"/>
        </w:rPr>
        <w:t>31 0001326801 us-gaap:RetainedEarningsMember 2020-06-30 0001326801 us-gaap:RetainedEarningsMember 2019-06-30 0001326801 us-gaap:AdditionalPaidInCapitalMember 2019-06-30 0001326801 2018-12-31 0001326801 us-gaap:RetainedEarningsMember 2018-12-31 0001326801 u</w:t>
      </w:r>
      <w:r>
        <w:rPr>
          <w:rFonts w:ascii="Times New Roman" w:eastAsia="宋体" w:hAnsi="Times New Roman"/>
          <w:vanish/>
          <w:sz w:val="20"/>
          <w:szCs w:val="20"/>
        </w:rPr>
        <w:t>s-gaap:AdditionalPaidInCapitalMember 2018-12-31 0001326801 us-gaap:OtherAssetsMember 2020-09-30 0001326801 us-gaap:OtherAssetsMember 2019-09-30 0001326801 us-gaap:PrepaidExpensesAndOtherCurrentAssetsMember 2019-09-30 0001326801 us-gaap:PrepaidExpensesAndOt</w:t>
      </w:r>
      <w:r>
        <w:rPr>
          <w:rFonts w:ascii="Times New Roman" w:eastAsia="宋体" w:hAnsi="Times New Roman"/>
          <w:vanish/>
          <w:sz w:val="20"/>
          <w:szCs w:val="20"/>
        </w:rPr>
        <w:t>herCurrentAssetsMember 2020-09-30 0001326801 country:US us-gaap:RevenueFromContractWithCustomerMember us-gaap:GeographicConcentrationRiskMember 2020-07-01 2020-09-30 0001326801 country:US us-gaap:RevenueFromContractWithCustomerMember us-gaap:GeographicConc</w:t>
      </w:r>
      <w:r>
        <w:rPr>
          <w:rFonts w:ascii="Times New Roman" w:eastAsia="宋体" w:hAnsi="Times New Roman"/>
          <w:vanish/>
          <w:sz w:val="20"/>
          <w:szCs w:val="20"/>
        </w:rPr>
        <w:t>entrationRiskMember 2020-01-01 2020-09-30 0001326801 country:US us-gaap:RevenueFromContractWithCustomerMember us-gaap:GeographicConcentrationRiskMember 2019-07-01 2019-09-30 0001326801 country:US us-gaap:RevenueFromContractWithCustomerMember us-gaap:Geogra</w:t>
      </w:r>
      <w:r>
        <w:rPr>
          <w:rFonts w:ascii="Times New Roman" w:eastAsia="宋体" w:hAnsi="Times New Roman"/>
          <w:vanish/>
          <w:sz w:val="20"/>
          <w:szCs w:val="20"/>
        </w:rPr>
        <w:t>phicConcentrationRiskMember 2019-01-01 2019-09-30 0001326801 us-gaap:AdvertisingMember 2019-07-01 2019-09-30 0001326801 us-gaap:ServiceOtherMember 2019-07-01 2019-09-30 0001326801 us-gaap:ServiceOtherMember 2019-01-01 2019-09-30 0001326801 us-gaap:Advertis</w:t>
      </w:r>
      <w:r>
        <w:rPr>
          <w:rFonts w:ascii="Times New Roman" w:eastAsia="宋体" w:hAnsi="Times New Roman"/>
          <w:vanish/>
          <w:sz w:val="20"/>
          <w:szCs w:val="20"/>
        </w:rPr>
        <w:t>ingMember 2020-07-01 2020-09-30 0001326801 us-gaap:AdvertisingMember 2019-01-01 2019-09-30 0001326801 us-gaap:AdvertisingMember 2020-01-01 2020-09-30 0001326801 us-gaap:ServiceOtherMember 2020-07-01 2020-09-30 0001326801 us-gaap:ServiceOtherMember 2020-01-</w:t>
      </w:r>
      <w:r>
        <w:rPr>
          <w:rFonts w:ascii="Times New Roman" w:eastAsia="宋体" w:hAnsi="Times New Roman"/>
          <w:vanish/>
          <w:sz w:val="20"/>
          <w:szCs w:val="20"/>
        </w:rPr>
        <w:t>01 2020-09-30 0001326801 srt:AsiaPacificMember 2019-01-01 2019-09-30 0001326801 srt:EuropeMember 2020-01-01 2020-09-30 0001326801 srt:AsiaPacificMember 2019-07-01 2019-09-30 0001326801 fb:USCanadaMember 2019-07-01 2019-09-30 0001326801 fb:USCanadaMember 20</w:t>
      </w:r>
      <w:r>
        <w:rPr>
          <w:rFonts w:ascii="Times New Roman" w:eastAsia="宋体" w:hAnsi="Times New Roman"/>
          <w:vanish/>
          <w:sz w:val="20"/>
          <w:szCs w:val="20"/>
        </w:rPr>
        <w:t>19-01-01 2019-09-30 0001326801 srt:EuropeMember 2019-01-01 2019-09-30 0001326801 srt:EuropeMember 2020-07-01 2020-09-30 0001326801 fb:USCanadaMember 2020-07-01 2020-09-30 0001326801 srt:EuropeMember 2019-07-01 2019-09-30 0001326801 srt:AsiaPacificMember 20</w:t>
      </w:r>
      <w:r>
        <w:rPr>
          <w:rFonts w:ascii="Times New Roman" w:eastAsia="宋体" w:hAnsi="Times New Roman"/>
          <w:vanish/>
          <w:sz w:val="20"/>
          <w:szCs w:val="20"/>
        </w:rPr>
        <w:t>20-01-01 2020-09-30 0001326801 fb:RestOfWorldMember 2020-07-01 2020-09-30 0001326801 fb:RestOfWorldMember 2019-07-01 2019-09-30 0001326801 fb:RestOfWorldMember 2020-01-01 2020-09-30 0001326801 fb:RestOfWorldMember 2019-01-01 2019-09-30 0001326801 srt:AsiaP</w:t>
      </w:r>
      <w:r>
        <w:rPr>
          <w:rFonts w:ascii="Times New Roman" w:eastAsia="宋体" w:hAnsi="Times New Roman"/>
          <w:vanish/>
          <w:sz w:val="20"/>
          <w:szCs w:val="20"/>
        </w:rPr>
        <w:t>acificMember 2020-07-01 2020-09-30 0001326801 fb:USCanadaMember 2020-01-01 2020-09-30 0001326801 country:US 2019-07-01 2019-09-30 0001326801 country:US 2019-01-01 2019-09-30 0001326801 country:US 2020-07-01 2020-09-30 0001326801 country:US 2020-01-01 2020-</w:t>
      </w:r>
      <w:r>
        <w:rPr>
          <w:rFonts w:ascii="Times New Roman" w:eastAsia="宋体" w:hAnsi="Times New Roman"/>
          <w:vanish/>
          <w:sz w:val="20"/>
          <w:szCs w:val="20"/>
        </w:rPr>
        <w:t>09-30 0001326801 us-gaap:CommonClassAMember 2019-07-01 2019-09-30 0001326801 us-gaap:CommonClassBMember 2019-01-01 2019-09-30 0001326801 us-gaap:CommonClassBMember 2019-07-01 2019-09-30 0001326801 us-gaap:CommonClassAMember 2019-01-01 2019-09-30 0001326801</w:t>
      </w:r>
      <w:r>
        <w:rPr>
          <w:rFonts w:ascii="Times New Roman" w:eastAsia="宋体" w:hAnsi="Times New Roman"/>
          <w:vanish/>
          <w:sz w:val="20"/>
          <w:szCs w:val="20"/>
        </w:rPr>
        <w:t xml:space="preserve"> us-gaap:CommonClassBMember 2020-07-01 2020-09-30 0001326801 us-gaap:CommonClassAMember 2020-01-01 2020-09-30 0001326801 us-gaap:CommonClassBMember 2020-01-01 2020-09-30 0001326801 us-gaap:CommonClassAMember 2020-07-01 2020-09-30 0001326801 us-gaap:USGover</w:t>
      </w:r>
      <w:r>
        <w:rPr>
          <w:rFonts w:ascii="Times New Roman" w:eastAsia="宋体" w:hAnsi="Times New Roman"/>
          <w:vanish/>
          <w:sz w:val="20"/>
          <w:szCs w:val="20"/>
        </w:rPr>
        <w:t>nmentAgenciesDebtSecuritiesMember 2020-09-30 0001326801 us-gaap:CorporateDebtSecuritiesMember 2019-12-31 0001326801 us-gaap:CorporateDebtSecuritiesMember 2020-09-30 0001326801 us-gaap:USGovernmentDebtSecuritiesMember 2020-09-30 0001326801 us-gaap:Corporate</w:t>
      </w:r>
      <w:r>
        <w:rPr>
          <w:rFonts w:ascii="Times New Roman" w:eastAsia="宋体" w:hAnsi="Times New Roman"/>
          <w:vanish/>
          <w:sz w:val="20"/>
          <w:szCs w:val="20"/>
        </w:rPr>
        <w:t>DebtSecuritiesMember 2020-09-30 0001326801 us-gaap:USGovernmentAgenciesDebtSecuritiesMember 2020-09-30 0001326801 us-gaap:USGovernmentDebtSecuritiesMember 2020-09-30 0001326801 us-gaap:USGovernmentAgenciesDebtSecuritiesMember 2019-12-31 0001326801 us-gaap:</w:t>
      </w:r>
      <w:r>
        <w:rPr>
          <w:rFonts w:ascii="Times New Roman" w:eastAsia="宋体" w:hAnsi="Times New Roman"/>
          <w:vanish/>
          <w:sz w:val="20"/>
          <w:szCs w:val="20"/>
        </w:rPr>
        <w:t>MoneyMarketFundsMember 2020-09-30 0001326801 us-gaap:CashMember 2019-12-31 0001326801 us-gaap:CashMember 2020-09-30 0001326801 us-gaap:BankTimeDepositsMember 2019-12-31 0001326801 us-gaap:BankTimeDepositsMember 2020-09-30 0001326801 us-gaap:CorporateDebtSe</w:t>
      </w:r>
      <w:r>
        <w:rPr>
          <w:rFonts w:ascii="Times New Roman" w:eastAsia="宋体" w:hAnsi="Times New Roman"/>
          <w:vanish/>
          <w:sz w:val="20"/>
          <w:szCs w:val="20"/>
        </w:rPr>
        <w:t>curitiesMember 2019-12-31 0001326801 us-gaap:USGovernmentDebtSecuritiesMember 2019-12-31 0001326801 us-gaap:USGovernmentAgenciesDebtSecuritiesMember 2019-12-31 0001326801 us-gaap:MoneyMarketFundsMember 2019-12-31 0001326801 us-gaap:USGovernmentDebtSecuriti</w:t>
      </w:r>
      <w:r>
        <w:rPr>
          <w:rFonts w:ascii="Times New Roman" w:eastAsia="宋体" w:hAnsi="Times New Roman"/>
          <w:vanish/>
          <w:sz w:val="20"/>
          <w:szCs w:val="20"/>
        </w:rPr>
        <w:t>esMember 2019-12-31 0001326801 fb:JioPlatformsLimitedMember 2020-01-01 2020-09-30 0001326801 fb:OtherEquityInvestmentsMember 2020-01-01 2020-09-30 0001326801 fb:JioPlatformsLimitedMember 2020-07-07 2020-07-07 0001326801 us-gaap:MoneyMarketFundsMember us-ga</w:t>
      </w:r>
      <w:r>
        <w:rPr>
          <w:rFonts w:ascii="Times New Roman" w:eastAsia="宋体" w:hAnsi="Times New Roman"/>
          <w:vanish/>
          <w:sz w:val="20"/>
          <w:szCs w:val="20"/>
        </w:rPr>
        <w:t>ap:FairValueInputsLevel1Member 2020-09-30 0001326801 us-gaap:FairValueInputsLevel2Member us-gaap:USGovernmentDebtSecuritiesMember 2020-09-30 0001326801 us-gaap:USGovernmentDebtSecuritiesMember us-gaap:FairValueInputsLevel1Member 2020-09-30 0001326801 us-ga</w:t>
      </w:r>
      <w:r>
        <w:rPr>
          <w:rFonts w:ascii="Times New Roman" w:eastAsia="宋体" w:hAnsi="Times New Roman"/>
          <w:vanish/>
          <w:sz w:val="20"/>
          <w:szCs w:val="20"/>
        </w:rPr>
        <w:t>ap:FairValueInputsLevel1Member us-gaap:CorporateDebtSecuritiesMember 2020-09-30 0001326801 us-gaap:USGovernmentDebtSecuritiesMember us-gaap:FairValueInputsLevel2Member 2020-09-30 0001326801 us-gaap:FairValueInputsLevel2Member us-gaap:USGovernmentAgenciesDe</w:t>
      </w:r>
      <w:r>
        <w:rPr>
          <w:rFonts w:ascii="Times New Roman" w:eastAsia="宋体" w:hAnsi="Times New Roman"/>
          <w:vanish/>
          <w:sz w:val="20"/>
          <w:szCs w:val="20"/>
        </w:rPr>
        <w:t>btSecuritiesMember 2020-09-30 0001326801 us-gaap:FairValueInputsLevel2Member us-gaap:CorporateDebtSecuritiesMember 2020-09-30 0001326801 us-gaap:FairValueInputsLevel2Member 2020-09-30 0001326801 us-gaap:FairValueInputsLevel3Member us-gaap:USGovernmentDebtS</w:t>
      </w:r>
      <w:r>
        <w:rPr>
          <w:rFonts w:ascii="Times New Roman" w:eastAsia="宋体" w:hAnsi="Times New Roman"/>
          <w:vanish/>
          <w:sz w:val="20"/>
          <w:szCs w:val="20"/>
        </w:rPr>
        <w:t>ecuritiesMember 2020-09-30 0001326801 us-gaap:USGovernmentDebtSecuritiesMember us-gaap:FairValueInputsLevel3Member 2020-09-30 0001326801 us-gaap:FairValueInputsLevel1Member us-gaap:USGovernmentAgenciesDebtSecuritiesMember 2020-09-30 0001326801 us-gaap:Bank</w:t>
      </w:r>
      <w:r>
        <w:rPr>
          <w:rFonts w:ascii="Times New Roman" w:eastAsia="宋体" w:hAnsi="Times New Roman"/>
          <w:vanish/>
          <w:sz w:val="20"/>
          <w:szCs w:val="20"/>
        </w:rPr>
        <w:t>TimeDepositsMember us-gaap:FairValueInputsLevel2Member 2020-09-30 0001326801 us-gaap:FairValueInputsLevel3Member us-gaap:USGovernmentAgenciesDebtSecuritiesMember 2020-09-30 0001326801 us-gaap:MoneyMarketFundsMember us-gaap:FairValueInputsLevel2Member 2020-</w:t>
      </w:r>
      <w:r>
        <w:rPr>
          <w:rFonts w:ascii="Times New Roman" w:eastAsia="宋体" w:hAnsi="Times New Roman"/>
          <w:vanish/>
          <w:sz w:val="20"/>
          <w:szCs w:val="20"/>
        </w:rPr>
        <w:t>09-30 0001326801 us-gaap:FairValueInputsLevel1Member us-gaap:USGovernmentDebtSecuritiesMember 2020-09-30 0001326801 us-gaap:MoneyMarketFundsMember us-gaap:FairValueInputsLevel3Member 2020-09-30 0001326801 us-gaap:BankTimeDepositsMember us-gaap:FairValueInp</w:t>
      </w:r>
      <w:r>
        <w:rPr>
          <w:rFonts w:ascii="Times New Roman" w:eastAsia="宋体" w:hAnsi="Times New Roman"/>
          <w:vanish/>
          <w:sz w:val="20"/>
          <w:szCs w:val="20"/>
        </w:rPr>
        <w:t>utsLevel1Member 2020-09-30 0001326801 us-gaap:FairValueInputsLevel1Member 2020-09-30 0001326801 us-gaap:FairValueInputsLevel3Member 2020-09-30 0001326801 us-gaap:BankTimeDepositsMember us-gaap:FairValueInputsLevel3Member 2020-09-30 0001326801 us-gaap:FairV</w:t>
      </w:r>
      <w:r>
        <w:rPr>
          <w:rFonts w:ascii="Times New Roman" w:eastAsia="宋体" w:hAnsi="Times New Roman"/>
          <w:vanish/>
          <w:sz w:val="20"/>
          <w:szCs w:val="20"/>
        </w:rPr>
        <w:t xml:space="preserve">alueInputsLevel3Member us-gaap:CorporateDebtSecuritiesMember 2020-09-30 0001326801 us-gaap:FairValueInputsLevel2Member us-gaap:USGovernmentDebtSecuritiesMember 2019-12-31 0001326801 us-gaap:FairValueInputsLevel3Member us-gaap:CorporateDebtSecuritiesMember </w:t>
      </w:r>
      <w:r>
        <w:rPr>
          <w:rFonts w:ascii="Times New Roman" w:eastAsia="宋体" w:hAnsi="Times New Roman"/>
          <w:vanish/>
          <w:sz w:val="20"/>
          <w:szCs w:val="20"/>
        </w:rPr>
        <w:t>2019-12-31 0001326801 us-gaap:FairValueInputsLevel1Member us-gaap:CorporateDebtSecuritiesMember 2019-12-31 0001326801 us-gaap:MoneyMarketFundsMember us-gaap:FairValueInputsLevel2Member 2019-12-31 0001326801 us-gaap:FairValueInputsLevel1Member us-gaap:USGov</w:t>
      </w:r>
      <w:r>
        <w:rPr>
          <w:rFonts w:ascii="Times New Roman" w:eastAsia="宋体" w:hAnsi="Times New Roman"/>
          <w:vanish/>
          <w:sz w:val="20"/>
          <w:szCs w:val="20"/>
        </w:rPr>
        <w:t>ernmentAgenciesDebtSecuritiesMember 2019-12-31 0001326801 us-gaap:USGovernmentAgenciesDebtSecuritiesMember us-gaap:FairValueInputsLevel1Member 2019-12-31 0001326801 us-gaap:USGovernmentAgenciesDebtSecuritiesMember us-gaap:FairValueInputsLevel2Member 2019-1</w:t>
      </w:r>
      <w:r>
        <w:rPr>
          <w:rFonts w:ascii="Times New Roman" w:eastAsia="宋体" w:hAnsi="Times New Roman"/>
          <w:vanish/>
          <w:sz w:val="20"/>
          <w:szCs w:val="20"/>
        </w:rPr>
        <w:t>2-31 0001326801 us-gaap:USGovernmentAgenciesDebtSecuritiesMember us-gaap:FairValueInputsLevel3Member 2019-12-31 0001326801 us-gaap:FairValueInputsLevel1Member us-gaap:USGovernmentDebtSecuritiesMember 2019-12-31 0001326801 us-gaap:CorporateDebtSecuritiesMem</w:t>
      </w:r>
      <w:r>
        <w:rPr>
          <w:rFonts w:ascii="Times New Roman" w:eastAsia="宋体" w:hAnsi="Times New Roman"/>
          <w:vanish/>
          <w:sz w:val="20"/>
          <w:szCs w:val="20"/>
        </w:rPr>
        <w:t>ber us-gaap:FairValueInputsLevel2Member 2019-12-31 0001326801 us-gaap:BankTimeDepositsMember us-gaap:FairValueInputsLevel1Member 2019-12-31 0001326801 us-gaap:BankTimeDepositsMember us-gaap:FairValueInputsLevel2Member 2019-12-31 0001326801 us-gaap:FairValu</w:t>
      </w:r>
      <w:r>
        <w:rPr>
          <w:rFonts w:ascii="Times New Roman" w:eastAsia="宋体" w:hAnsi="Times New Roman"/>
          <w:vanish/>
          <w:sz w:val="20"/>
          <w:szCs w:val="20"/>
        </w:rPr>
        <w:t>eInputsLevel2Member 2019-12-31 0001326801 us-gaap:FairValueInputsLevel1Member 2019-12-31 0001326801 us-gaap:MoneyMarketFundsMember us-gaap:FairValueInputsLevel1Member 2019-12-31 0001326801 us-gaap:CorporateDebtSecuritiesMember us-gaap:FairValueInputsLevel1</w:t>
      </w:r>
      <w:r>
        <w:rPr>
          <w:rFonts w:ascii="Times New Roman" w:eastAsia="宋体" w:hAnsi="Times New Roman"/>
          <w:vanish/>
          <w:sz w:val="20"/>
          <w:szCs w:val="20"/>
        </w:rPr>
        <w:t>Member 2019-12-31 0001326801 us-gaap:MoneyMarketFundsMember us-gaap:FairValueInputsLevel3Member 2019-12-31 0001326801 us-gaap:BankTimeDepositsMember us-gaap:FairValueInputsLevel3Member 2019-12-31 0001326801 us-gaap:USGovernmentDebtSecuritiesMember us-gaap:</w:t>
      </w:r>
      <w:r>
        <w:rPr>
          <w:rFonts w:ascii="Times New Roman" w:eastAsia="宋体" w:hAnsi="Times New Roman"/>
          <w:vanish/>
          <w:sz w:val="20"/>
          <w:szCs w:val="20"/>
        </w:rPr>
        <w:t>FairValueInputsLevel3Member 2019-12-31 0001326801 us-gaap:FairValueInputsLevel3Member us-gaap:USGovernmentDebtSecuritiesMember 2019-12-31 0001326801 us-gaap:USGovernmentDebtSecuritiesMember us-gaap:FairValueInputsLevel1Member 2019-12-31 0001326801 us-gaap:</w:t>
      </w:r>
      <w:r>
        <w:rPr>
          <w:rFonts w:ascii="Times New Roman" w:eastAsia="宋体" w:hAnsi="Times New Roman"/>
          <w:vanish/>
          <w:sz w:val="20"/>
          <w:szCs w:val="20"/>
        </w:rPr>
        <w:t xml:space="preserve">FairValueInputsLevel3Member 2019-12-31 0001326801 us-gaap:USGovernmentDebtSecuritiesMember us-gaap:FairValueInputsLevel2Member 2019-12-31 0001326801 us-gaap:FairValueInputsLevel2Member us-gaap:USGovernmentAgenciesDebtSecuritiesMember 2019-12-31 0001326801 </w:t>
      </w:r>
      <w:r>
        <w:rPr>
          <w:rFonts w:ascii="Times New Roman" w:eastAsia="宋体" w:hAnsi="Times New Roman"/>
          <w:vanish/>
          <w:sz w:val="20"/>
          <w:szCs w:val="20"/>
        </w:rPr>
        <w:t>us-gaap:FairValueInputsLevel2Member us-gaap:CorporateDebtSecuritiesMember 2019-12-31 0001326801 us-gaap:CorporateDebtSecuritiesMember us-gaap:FairValueInputsLevel3Member 2019-12-31 0001326801 us-gaap:FairValueInputsLevel3Member us-gaap:USGovernmentAgencies</w:t>
      </w:r>
      <w:r>
        <w:rPr>
          <w:rFonts w:ascii="Times New Roman" w:eastAsia="宋体" w:hAnsi="Times New Roman"/>
          <w:vanish/>
          <w:sz w:val="20"/>
          <w:szCs w:val="20"/>
        </w:rPr>
        <w:t>DebtSecuritiesMember 2019-12-31 0001326801 fb:ComputerSoftwareOfficeEquipmentAndOtherMember 2019-12-31 0001326801 us-gaap:ConstructionInProgressMember 2020-09-30 0001326801 us-gaap:BuildingMember 2019-12-31 0001326801 us-gaap:LeaseholdImprovementsMember 20</w:t>
      </w:r>
      <w:r>
        <w:rPr>
          <w:rFonts w:ascii="Times New Roman" w:eastAsia="宋体" w:hAnsi="Times New Roman"/>
          <w:vanish/>
          <w:sz w:val="20"/>
          <w:szCs w:val="20"/>
        </w:rPr>
        <w:t>19-12-31 0001326801 us-gaap:LandMember 2019-12-31 0001326801 us-gaap:ComputerEquipmentMember 2019-12-31 0001326801 us-gaap:LeaseholdImprovementsMember 2020-09-30 0001326801 fb:FinanceLeaseRightOfUseAssetMember 2020-09-30 0001326801 us-gaap:LandMember 2020-</w:t>
      </w:r>
      <w:r>
        <w:rPr>
          <w:rFonts w:ascii="Times New Roman" w:eastAsia="宋体" w:hAnsi="Times New Roman"/>
          <w:vanish/>
          <w:sz w:val="20"/>
          <w:szCs w:val="20"/>
        </w:rPr>
        <w:t>09-30 0001326801 us-gaap:ComputerEquipmentMember 2020-09-30 0001326801 fb:ComputerSoftwareOfficeEquipmentAndOtherMember 2020-09-30 0001326801 us-gaap:BuildingMember 2020-09-30 0001326801 fb:FinanceLeaseRightOfUseAssetMember 2019-12-31 0001326801 us-gaap:Co</w:t>
      </w:r>
      <w:r>
        <w:rPr>
          <w:rFonts w:ascii="Times New Roman" w:eastAsia="宋体" w:hAnsi="Times New Roman"/>
          <w:vanish/>
          <w:sz w:val="20"/>
          <w:szCs w:val="20"/>
        </w:rPr>
        <w:t>nstructionInProgressMember 2019-12-31 0001326801 srt:MaximumMember 2020-01-01 2020-09-30 0001326801 srt:MinimumMember 2020-01-01 2020-09-30 0001326801 fb:AcquiredusersMember 2020-09-30 0001326801 us-gaap:OtherIntangibleAssetsMember 2020-09-30 0001326801 us</w:t>
      </w:r>
      <w:r>
        <w:rPr>
          <w:rFonts w:ascii="Times New Roman" w:eastAsia="宋体" w:hAnsi="Times New Roman"/>
          <w:vanish/>
          <w:sz w:val="20"/>
          <w:szCs w:val="20"/>
        </w:rPr>
        <w:t>-gaap:PatentsMember 2019-12-31 0001326801 us-gaap:TechnologyBasedIntangibleAssetsMember 2020-09-30 0001326801 us-gaap:TradeNamesMember 2020-09-30 0001326801 us-gaap:OtherIntangibleAssetsMember 2020-01-01 2020-09-30 0001326801 us-gaap:PatentsMember 2020-09-</w:t>
      </w:r>
      <w:r>
        <w:rPr>
          <w:rFonts w:ascii="Times New Roman" w:eastAsia="宋体" w:hAnsi="Times New Roman"/>
          <w:vanish/>
          <w:sz w:val="20"/>
          <w:szCs w:val="20"/>
        </w:rPr>
        <w:t>30 0001326801 us-gaap:TechnologyBasedIntangibleAssetsMember 2019-12-31 0001326801 us-gaap:TradeNamesMember 2019-12-31 0001326801 fb:AcquiredusersMember 2020-01-01 2020-09-30 0001326801 fb:AcquiredusersMember 2019-12-31 0001326801 us-gaap:TechnologyBasedInt</w:t>
      </w:r>
      <w:r>
        <w:rPr>
          <w:rFonts w:ascii="Times New Roman" w:eastAsia="宋体" w:hAnsi="Times New Roman"/>
          <w:vanish/>
          <w:sz w:val="20"/>
          <w:szCs w:val="20"/>
        </w:rPr>
        <w:t>angibleAssetsMember 2020-01-01 2020-09-30 0001326801 us-gaap:OtherIntangibleAssetsMember 2019-12-31 0001326801 us-gaap:PatentsMember 2020-01-01 2020-09-30 0001326801 us-gaap:TradeNamesMember 2020-01-01 2020-09-30 0001326801 fb:SeniorUnsecuredFiveYearRevolv</w:t>
      </w:r>
      <w:r>
        <w:rPr>
          <w:rFonts w:ascii="Times New Roman" w:eastAsia="宋体" w:hAnsi="Times New Roman"/>
          <w:vanish/>
          <w:sz w:val="20"/>
          <w:szCs w:val="20"/>
        </w:rPr>
        <w:t>ingCreditFacilityTwentySixteenMemberDomainDomain us-gaap:RevolvingCreditFacilityMember 2016-05-31 0001326801 fb:SeniorUnsecuredFiveYearRevolvingCreditFacilityTwentySixteenMemberDomainDomain us-gaap:RevolvingCreditFacilityMember 2020-09-30 0001326801 2018-0</w:t>
      </w:r>
      <w:r>
        <w:rPr>
          <w:rFonts w:ascii="Times New Roman" w:eastAsia="宋体" w:hAnsi="Times New Roman"/>
          <w:vanish/>
          <w:sz w:val="20"/>
          <w:szCs w:val="20"/>
        </w:rPr>
        <w:t>7-27 2018-07-27 0001326801 fb:UnitedStatesFederalTradeCommissionInquiryMember 2019-07-31 0001326801 fb:IllinoisBiometricInformationPrivacyActMember 2020-01-15 0001326801 fb:IllinoisBiometricInformationPrivacyActMember us-gaap:SettledLitigationMember 2020-0</w:t>
      </w:r>
      <w:r>
        <w:rPr>
          <w:rFonts w:ascii="Times New Roman" w:eastAsia="宋体" w:hAnsi="Times New Roman"/>
          <w:vanish/>
          <w:sz w:val="20"/>
          <w:szCs w:val="20"/>
        </w:rPr>
        <w:t xml:space="preserve">7-22 0001326801 us-gaap:RestrictedStockUnitsRSUMember 2019-12-31 0001326801 us-gaap:RestrictedStockUnitsRSUMember 2020-01-01 2020-09-30 0001326801 us-gaap:RestrictedStockUnitsRSUMember 2020-09-30 0001326801 us-gaap:RestrictedStockUnitsRSUMember 2019-01-01 </w:t>
      </w:r>
      <w:r>
        <w:rPr>
          <w:rFonts w:ascii="Times New Roman" w:eastAsia="宋体" w:hAnsi="Times New Roman"/>
          <w:vanish/>
          <w:sz w:val="20"/>
          <w:szCs w:val="20"/>
        </w:rPr>
        <w:t>2019-09-30 0001326801 fb:EquityIncentivePlan2012Member 2020-01-01 0001326801 us-gaap:RestrictedStockUnitsRSUMember 2019-07-01 2019-09-30 0001326801 2020-01-31 0001326801 us-gaap:RestrictedStockUnitsRSUMember 2020-07-01 2020-09-30 0001326801 fb:EquityIncent</w:t>
      </w:r>
      <w:r>
        <w:rPr>
          <w:rFonts w:ascii="Times New Roman" w:eastAsia="宋体" w:hAnsi="Times New Roman"/>
          <w:vanish/>
          <w:sz w:val="20"/>
          <w:szCs w:val="20"/>
        </w:rPr>
        <w:t>ivePlan2012Member 2020-01-01 2020-09-30 0001326801 us-gaap:RestrictedStockUnitsRSUMember fb:EquityIncentivePlan2012Member 2020-01-01 2020-09-30 0001326801 fb:AlteraCorpVCommissionerMember 2019-04-01 2019-06-30 0001326801 us-gaap:InternalRevenueServiceIRSMe</w:t>
      </w:r>
      <w:r>
        <w:rPr>
          <w:rFonts w:ascii="Times New Roman" w:eastAsia="宋体" w:hAnsi="Times New Roman"/>
          <w:vanish/>
          <w:sz w:val="20"/>
          <w:szCs w:val="20"/>
        </w:rPr>
        <w:t>mber us-gaap:TaxYear2010Member 2020-01-15 2020-01-15 0001326801 fb:TaxElectionToCapitalizeResearchAndDevelopmentExpensesMember 2020-07-01 2020-09-30 0001326801 us-gaap:InternalRevenueServiceIRSMember fb:TaxYears2011Through2013Member 2011-01-01 2013-12-31 0</w:t>
      </w:r>
      <w:r>
        <w:rPr>
          <w:rFonts w:ascii="Times New Roman" w:eastAsia="宋体" w:hAnsi="Times New Roman"/>
          <w:vanish/>
          <w:sz w:val="20"/>
          <w:szCs w:val="20"/>
        </w:rPr>
        <w:t xml:space="preserve">001326801 us-gaap:NonUsMember 2020-09-30 0001326801 country:US 2020-09-30 0001326801 country:US 2019-12-31 0001326801 us-gaap:NonUsMember 2019-12-31 iso4217:USD xbrli:pure iso4217:USD xbrli:shares xbrli:shares fb:claim fb:plan </w:t>
      </w:r>
    </w:p>
    <w:p w14:paraId="54E8FB11" w14:textId="77777777" w:rsidR="00F427A3" w:rsidRDefault="0044221F">
      <w:pPr>
        <w:spacing w:line="288" w:lineRule="auto"/>
        <w:jc w:val="center"/>
        <w:rPr>
          <w:rFonts w:ascii="Times New Roman" w:hAnsi="Times New Roman"/>
          <w:sz w:val="36"/>
          <w:szCs w:val="36"/>
        </w:rPr>
      </w:pPr>
      <w:r>
        <w:rPr>
          <w:rFonts w:ascii="Times New Roman" w:eastAsia="宋体" w:hAnsi="Times New Roman"/>
          <w:b/>
          <w:bCs/>
          <w:sz w:val="36"/>
          <w:szCs w:val="36"/>
        </w:rPr>
        <w:t>UNITED STATES</w:t>
      </w:r>
    </w:p>
    <w:p w14:paraId="54E8FB12" w14:textId="77777777" w:rsidR="00F427A3" w:rsidRDefault="0044221F">
      <w:pPr>
        <w:spacing w:line="288" w:lineRule="auto"/>
        <w:jc w:val="center"/>
        <w:rPr>
          <w:rFonts w:ascii="Times New Roman" w:hAnsi="Times New Roman"/>
          <w:sz w:val="36"/>
          <w:szCs w:val="36"/>
        </w:rPr>
      </w:pPr>
      <w:r>
        <w:rPr>
          <w:rFonts w:ascii="Times New Roman" w:eastAsia="宋体" w:hAnsi="Times New Roman"/>
          <w:b/>
          <w:bCs/>
          <w:sz w:val="36"/>
          <w:szCs w:val="36"/>
        </w:rPr>
        <w:t>SECURITIES AND</w:t>
      </w:r>
      <w:r>
        <w:rPr>
          <w:rFonts w:ascii="Times New Roman" w:eastAsia="宋体" w:hAnsi="Times New Roman"/>
          <w:b/>
          <w:bCs/>
          <w:sz w:val="36"/>
          <w:szCs w:val="36"/>
        </w:rPr>
        <w:t xml:space="preserve"> EXCHANGE COMMISSION</w:t>
      </w:r>
    </w:p>
    <w:p w14:paraId="54E8FB13" w14:textId="77777777" w:rsidR="00F427A3" w:rsidRDefault="0044221F">
      <w:pPr>
        <w:spacing w:line="288" w:lineRule="auto"/>
        <w:jc w:val="center"/>
        <w:rPr>
          <w:rFonts w:ascii="Times New Roman" w:hAnsi="Times New Roman"/>
        </w:rPr>
      </w:pPr>
      <w:r>
        <w:rPr>
          <w:rFonts w:ascii="Times New Roman" w:eastAsia="宋体" w:hAnsi="Times New Roman"/>
          <w:b/>
          <w:bCs/>
        </w:rPr>
        <w:t>Washington, D.C. 20549</w:t>
      </w:r>
    </w:p>
    <w:p w14:paraId="54E8FB14"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____________________________________________ </w:t>
      </w:r>
    </w:p>
    <w:p w14:paraId="54E8FB15" w14:textId="77777777" w:rsidR="00F427A3" w:rsidRDefault="0044221F">
      <w:pPr>
        <w:spacing w:line="288" w:lineRule="auto"/>
        <w:jc w:val="center"/>
        <w:rPr>
          <w:rFonts w:ascii="Times New Roman" w:hAnsi="Times New Roman"/>
          <w:sz w:val="48"/>
          <w:szCs w:val="48"/>
        </w:rPr>
      </w:pPr>
      <w:r>
        <w:rPr>
          <w:rFonts w:ascii="Times New Roman" w:eastAsia="宋体" w:hAnsi="Times New Roman"/>
          <w:b/>
          <w:bCs/>
          <w:sz w:val="48"/>
          <w:szCs w:val="48"/>
        </w:rPr>
        <w:t xml:space="preserve">FORM 10-Q </w:t>
      </w:r>
    </w:p>
    <w:p w14:paraId="54E8FB16"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____________________________________________ </w:t>
      </w:r>
    </w:p>
    <w:p w14:paraId="54E8FB17" w14:textId="77777777" w:rsidR="00F427A3" w:rsidRDefault="0044221F">
      <w:pPr>
        <w:spacing w:line="288" w:lineRule="auto"/>
        <w:rPr>
          <w:rFonts w:ascii="Times New Roman" w:hAnsi="Times New Roman"/>
          <w:sz w:val="16"/>
          <w:szCs w:val="16"/>
        </w:rPr>
      </w:pPr>
      <w:r>
        <w:rPr>
          <w:rFonts w:ascii="Times New Roman" w:eastAsia="宋体" w:hAnsi="Times New Roman"/>
          <w:sz w:val="16"/>
          <w:szCs w:val="16"/>
        </w:rPr>
        <w:t>(Mark One)</w:t>
      </w:r>
    </w:p>
    <w:p w14:paraId="54E8FB18" w14:textId="77777777" w:rsidR="00F427A3" w:rsidRDefault="0044221F">
      <w:pPr>
        <w:spacing w:line="288" w:lineRule="auto"/>
        <w:rPr>
          <w:rFonts w:ascii="Times New Roman" w:hAnsi="Times New Roman"/>
        </w:rPr>
      </w:pPr>
      <w:r>
        <w:rPr>
          <w:rFonts w:ascii="Arial Unicode MS" w:eastAsia="Arial Unicode MS" w:hAnsi="Arial Unicode MS" w:cs="Arial Unicode MS"/>
        </w:rPr>
        <w:t>☒</w:t>
      </w:r>
      <w:r>
        <w:rPr>
          <w:rFonts w:ascii="Arial Unicode MS" w:eastAsia="Arial Unicode MS" w:hAnsi="Arial Unicode MS" w:cs="Arial Unicode MS" w:hint="eastAsia"/>
          <w:sz w:val="20"/>
          <w:szCs w:val="20"/>
        </w:rPr>
        <w:t> </w:t>
      </w:r>
      <w:r>
        <w:rPr>
          <w:rFonts w:ascii="Wingdings" w:eastAsia="宋体" w:hAnsi="Wingdings" w:cs="Wingdings"/>
          <w:b/>
          <w:bCs/>
        </w:rPr>
        <w:t xml:space="preserve"> </w:t>
      </w:r>
      <w:r>
        <w:rPr>
          <w:rFonts w:ascii="Times New Roman" w:eastAsia="宋体" w:hAnsi="Times New Roman"/>
          <w:b/>
          <w:bCs/>
          <w:sz w:val="20"/>
          <w:szCs w:val="20"/>
        </w:rPr>
        <w:t>QUARTERLY REPORT PURSUANT TO SECTION 13 OR 15(d) OF THE SECURITIES EXCHANGE ACT OF 1934</w:t>
      </w:r>
    </w:p>
    <w:p w14:paraId="54E8FB19"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 xml:space="preserve">For the quarterly period ended September 30, 2020 </w:t>
      </w:r>
    </w:p>
    <w:p w14:paraId="54E8FB1A"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or</w:t>
      </w:r>
    </w:p>
    <w:p w14:paraId="54E8FB1B" w14:textId="77777777" w:rsidR="00F427A3" w:rsidRDefault="0044221F">
      <w:pPr>
        <w:spacing w:line="288" w:lineRule="auto"/>
        <w:rPr>
          <w:rFonts w:ascii="Times New Roman" w:hAnsi="Times New Roman"/>
        </w:rPr>
      </w:pPr>
      <w:r>
        <w:rPr>
          <w:rFonts w:ascii="Arial Unicode MS" w:eastAsia="Arial Unicode MS" w:hAnsi="Arial Unicode MS" w:cs="Arial Unicode MS" w:hint="eastAsia"/>
        </w:rPr>
        <w:t>☐</w:t>
      </w:r>
      <w:r>
        <w:rPr>
          <w:rFonts w:ascii="Wingdings" w:eastAsia="宋体" w:hAnsi="Wingdings" w:cs="Wingdings"/>
          <w:b/>
          <w:bCs/>
        </w:rPr>
        <w:t xml:space="preserve"> </w:t>
      </w:r>
      <w:r>
        <w:rPr>
          <w:rFonts w:ascii="Times New Roman" w:eastAsia="宋体" w:hAnsi="Times New Roman"/>
          <w:b/>
          <w:bCs/>
          <w:sz w:val="20"/>
          <w:szCs w:val="20"/>
        </w:rPr>
        <w:t>TRANSITION REPORT PURSUANT TO SECTION 13 OR 15(d) OF THE SECURITIES EXCHANGE ACT OF 1934</w:t>
      </w:r>
    </w:p>
    <w:p w14:paraId="54E8FB1C"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For the transition period from            to            </w:t>
      </w:r>
    </w:p>
    <w:p w14:paraId="54E8FB1D"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 xml:space="preserve">Commission File Number: 001-35551 </w:t>
      </w:r>
    </w:p>
    <w:p w14:paraId="54E8FB1E"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___________________</w:t>
      </w:r>
      <w:r>
        <w:rPr>
          <w:rFonts w:ascii="Times New Roman" w:eastAsia="宋体" w:hAnsi="Times New Roman"/>
          <w:sz w:val="20"/>
          <w:szCs w:val="20"/>
        </w:rPr>
        <w:t>_________________________ </w:t>
      </w:r>
    </w:p>
    <w:p w14:paraId="54E8FB1F" w14:textId="77777777" w:rsidR="00F427A3" w:rsidRDefault="0044221F">
      <w:pPr>
        <w:spacing w:line="288" w:lineRule="auto"/>
        <w:jc w:val="center"/>
        <w:rPr>
          <w:rFonts w:ascii="Times New Roman" w:hAnsi="Times New Roman"/>
          <w:sz w:val="48"/>
          <w:szCs w:val="48"/>
        </w:rPr>
      </w:pPr>
      <w:r>
        <w:rPr>
          <w:rFonts w:ascii="Times New Roman" w:eastAsia="宋体" w:hAnsi="Times New Roman"/>
          <w:b/>
          <w:bCs/>
          <w:sz w:val="48"/>
          <w:szCs w:val="48"/>
        </w:rPr>
        <w:t xml:space="preserve">Facebook, Inc. </w:t>
      </w:r>
    </w:p>
    <w:p w14:paraId="54E8FB20"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(Exact name of registrant as specified in its charter)</w:t>
      </w:r>
    </w:p>
    <w:p w14:paraId="54E8FB21"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____________________________________________ </w:t>
      </w:r>
    </w:p>
    <w:tbl>
      <w:tblPr>
        <w:tblW w:w="5000" w:type="pct"/>
        <w:tblCellMar>
          <w:left w:w="0" w:type="dxa"/>
          <w:right w:w="0" w:type="dxa"/>
        </w:tblCellMar>
        <w:tblLook w:val="04A0" w:firstRow="1" w:lastRow="0" w:firstColumn="1" w:lastColumn="0" w:noHBand="0" w:noVBand="1"/>
      </w:tblPr>
      <w:tblGrid>
        <w:gridCol w:w="4153"/>
        <w:gridCol w:w="4153"/>
      </w:tblGrid>
      <w:tr w:rsidR="00F427A3" w14:paraId="54E8FB23" w14:textId="77777777">
        <w:tc>
          <w:tcPr>
            <w:tcW w:w="0" w:type="auto"/>
            <w:gridSpan w:val="2"/>
            <w:shd w:val="clear" w:color="auto" w:fill="auto"/>
            <w:vAlign w:val="center"/>
          </w:tcPr>
          <w:p w14:paraId="54E8FB22" w14:textId="77777777" w:rsidR="00F427A3" w:rsidRDefault="00F427A3">
            <w:pPr>
              <w:rPr>
                <w:rFonts w:ascii="Times New Roman" w:hAnsi="Times New Roman"/>
                <w:sz w:val="20"/>
                <w:szCs w:val="20"/>
              </w:rPr>
            </w:pPr>
          </w:p>
        </w:tc>
      </w:tr>
      <w:tr w:rsidR="00F427A3" w14:paraId="54E8FB26" w14:textId="77777777">
        <w:tc>
          <w:tcPr>
            <w:tcW w:w="2500" w:type="pct"/>
            <w:shd w:val="clear" w:color="auto" w:fill="auto"/>
            <w:vAlign w:val="center"/>
          </w:tcPr>
          <w:p w14:paraId="54E8FB24" w14:textId="77777777" w:rsidR="00F427A3" w:rsidRDefault="00F427A3">
            <w:pPr>
              <w:rPr>
                <w:rFonts w:ascii="Times New Roman" w:hAnsi="Times New Roman"/>
                <w:sz w:val="20"/>
                <w:szCs w:val="20"/>
              </w:rPr>
            </w:pPr>
          </w:p>
        </w:tc>
        <w:tc>
          <w:tcPr>
            <w:tcW w:w="2500" w:type="pct"/>
            <w:shd w:val="clear" w:color="auto" w:fill="auto"/>
            <w:vAlign w:val="center"/>
          </w:tcPr>
          <w:p w14:paraId="54E8FB25" w14:textId="77777777" w:rsidR="00F427A3" w:rsidRDefault="00F427A3">
            <w:pPr>
              <w:rPr>
                <w:rFonts w:ascii="Times New Roman" w:hAnsi="Times New Roman"/>
                <w:sz w:val="20"/>
                <w:szCs w:val="20"/>
              </w:rPr>
            </w:pPr>
          </w:p>
        </w:tc>
      </w:tr>
      <w:tr w:rsidR="00F427A3" w14:paraId="54E8FB29" w14:textId="77777777">
        <w:tc>
          <w:tcPr>
            <w:tcW w:w="0" w:type="auto"/>
            <w:shd w:val="clear" w:color="auto" w:fill="auto"/>
            <w:tcMar>
              <w:top w:w="40" w:type="dxa"/>
              <w:left w:w="40" w:type="dxa"/>
              <w:bottom w:w="40" w:type="dxa"/>
              <w:right w:w="40" w:type="dxa"/>
            </w:tcMar>
          </w:tcPr>
          <w:p w14:paraId="54E8FB27" w14:textId="77777777" w:rsidR="00F427A3" w:rsidRDefault="0044221F">
            <w:pPr>
              <w:jc w:val="center"/>
              <w:textAlignment w:val="top"/>
              <w:rPr>
                <w:rFonts w:ascii="Times New Roman" w:hAnsi="Times New Roman"/>
                <w:sz w:val="20"/>
                <w:szCs w:val="20"/>
              </w:rPr>
            </w:pPr>
            <w:r>
              <w:rPr>
                <w:rFonts w:ascii="Times New Roman" w:eastAsia="宋体" w:hAnsi="Times New Roman"/>
                <w:b/>
                <w:bCs/>
                <w:sz w:val="20"/>
                <w:szCs w:val="20"/>
              </w:rPr>
              <w:t>Delaware</w:t>
            </w:r>
          </w:p>
        </w:tc>
        <w:tc>
          <w:tcPr>
            <w:tcW w:w="0" w:type="auto"/>
            <w:shd w:val="clear" w:color="auto" w:fill="auto"/>
            <w:tcMar>
              <w:top w:w="40" w:type="dxa"/>
              <w:left w:w="40" w:type="dxa"/>
              <w:bottom w:w="40" w:type="dxa"/>
              <w:right w:w="40" w:type="dxa"/>
            </w:tcMar>
          </w:tcPr>
          <w:p w14:paraId="54E8FB28" w14:textId="77777777" w:rsidR="00F427A3" w:rsidRDefault="0044221F">
            <w:pPr>
              <w:jc w:val="center"/>
              <w:textAlignment w:val="top"/>
              <w:rPr>
                <w:rFonts w:ascii="Times New Roman" w:hAnsi="Times New Roman"/>
                <w:sz w:val="20"/>
                <w:szCs w:val="20"/>
              </w:rPr>
            </w:pPr>
            <w:r>
              <w:rPr>
                <w:rFonts w:ascii="Times New Roman" w:eastAsia="宋体" w:hAnsi="Times New Roman"/>
                <w:b/>
                <w:bCs/>
                <w:sz w:val="20"/>
                <w:szCs w:val="20"/>
              </w:rPr>
              <w:t>20-1665019</w:t>
            </w:r>
          </w:p>
        </w:tc>
      </w:tr>
      <w:tr w:rsidR="00F427A3" w14:paraId="54E8FB2C" w14:textId="77777777">
        <w:tc>
          <w:tcPr>
            <w:tcW w:w="0" w:type="auto"/>
            <w:shd w:val="clear" w:color="auto" w:fill="auto"/>
            <w:tcMar>
              <w:top w:w="40" w:type="dxa"/>
              <w:left w:w="40" w:type="dxa"/>
              <w:bottom w:w="40" w:type="dxa"/>
              <w:right w:w="40" w:type="dxa"/>
            </w:tcMar>
          </w:tcPr>
          <w:p w14:paraId="54E8FB2A" w14:textId="77777777" w:rsidR="00F427A3" w:rsidRDefault="0044221F">
            <w:pPr>
              <w:jc w:val="center"/>
              <w:textAlignment w:val="top"/>
              <w:rPr>
                <w:rFonts w:ascii="Times New Roman" w:hAnsi="Times New Roman"/>
                <w:sz w:val="16"/>
                <w:szCs w:val="16"/>
              </w:rPr>
            </w:pPr>
            <w:r>
              <w:rPr>
                <w:rFonts w:ascii="Times New Roman" w:eastAsia="宋体" w:hAnsi="Times New Roman"/>
                <w:b/>
                <w:bCs/>
                <w:sz w:val="16"/>
                <w:szCs w:val="16"/>
              </w:rPr>
              <w:t>(State or other jurisdiction of incorporation or organization)</w:t>
            </w:r>
          </w:p>
        </w:tc>
        <w:tc>
          <w:tcPr>
            <w:tcW w:w="0" w:type="auto"/>
            <w:shd w:val="clear" w:color="auto" w:fill="auto"/>
            <w:tcMar>
              <w:top w:w="40" w:type="dxa"/>
              <w:left w:w="40" w:type="dxa"/>
              <w:bottom w:w="40" w:type="dxa"/>
              <w:right w:w="40" w:type="dxa"/>
            </w:tcMar>
          </w:tcPr>
          <w:p w14:paraId="54E8FB2B" w14:textId="77777777" w:rsidR="00F427A3" w:rsidRDefault="0044221F">
            <w:pPr>
              <w:jc w:val="center"/>
              <w:textAlignment w:val="top"/>
              <w:rPr>
                <w:rFonts w:ascii="Times New Roman" w:hAnsi="Times New Roman"/>
                <w:sz w:val="16"/>
                <w:szCs w:val="16"/>
              </w:rPr>
            </w:pPr>
            <w:r>
              <w:rPr>
                <w:rFonts w:ascii="Times New Roman" w:eastAsia="宋体" w:hAnsi="Times New Roman"/>
                <w:b/>
                <w:bCs/>
                <w:sz w:val="16"/>
                <w:szCs w:val="16"/>
              </w:rPr>
              <w:t xml:space="preserve">(I.R.S. </w:t>
            </w:r>
            <w:r>
              <w:rPr>
                <w:rFonts w:ascii="Times New Roman" w:eastAsia="宋体" w:hAnsi="Times New Roman"/>
                <w:b/>
                <w:bCs/>
                <w:sz w:val="16"/>
                <w:szCs w:val="16"/>
              </w:rPr>
              <w:t>Employer Identification Number)</w:t>
            </w:r>
          </w:p>
        </w:tc>
      </w:tr>
    </w:tbl>
    <w:p w14:paraId="54E8FB2D"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 xml:space="preserve">1601 Willow Road, Menlo Park, California 94025 </w:t>
      </w:r>
    </w:p>
    <w:p w14:paraId="54E8FB2E" w14:textId="77777777" w:rsidR="00F427A3" w:rsidRDefault="0044221F">
      <w:pPr>
        <w:spacing w:line="288" w:lineRule="auto"/>
        <w:jc w:val="center"/>
        <w:rPr>
          <w:rFonts w:ascii="Times New Roman" w:hAnsi="Times New Roman"/>
          <w:sz w:val="16"/>
          <w:szCs w:val="16"/>
        </w:rPr>
      </w:pPr>
      <w:r>
        <w:rPr>
          <w:rFonts w:ascii="Times New Roman" w:eastAsia="宋体" w:hAnsi="Times New Roman"/>
          <w:b/>
          <w:bCs/>
          <w:sz w:val="16"/>
          <w:szCs w:val="16"/>
        </w:rPr>
        <w:t>(Address of principal executive offices and Zip Code)</w:t>
      </w:r>
    </w:p>
    <w:p w14:paraId="54E8FB2F" w14:textId="77777777" w:rsidR="00F427A3" w:rsidRDefault="00F427A3">
      <w:pPr>
        <w:spacing w:line="288" w:lineRule="auto"/>
        <w:jc w:val="center"/>
        <w:rPr>
          <w:rFonts w:ascii="Times New Roman" w:hAnsi="Times New Roman"/>
          <w:sz w:val="20"/>
          <w:szCs w:val="20"/>
        </w:rPr>
      </w:pPr>
    </w:p>
    <w:p w14:paraId="54E8FB30"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 xml:space="preserve">(650) 543-4800 </w:t>
      </w:r>
    </w:p>
    <w:p w14:paraId="54E8FB31" w14:textId="77777777" w:rsidR="00F427A3" w:rsidRDefault="0044221F">
      <w:pPr>
        <w:spacing w:line="288" w:lineRule="auto"/>
        <w:jc w:val="center"/>
        <w:rPr>
          <w:rFonts w:ascii="Times New Roman" w:hAnsi="Times New Roman"/>
          <w:sz w:val="16"/>
          <w:szCs w:val="16"/>
        </w:rPr>
      </w:pPr>
      <w:r>
        <w:rPr>
          <w:rFonts w:ascii="Times New Roman" w:eastAsia="宋体" w:hAnsi="Times New Roman"/>
          <w:b/>
          <w:bCs/>
          <w:sz w:val="16"/>
          <w:szCs w:val="16"/>
        </w:rPr>
        <w:t>(Registrant's telephone number, including area code)</w:t>
      </w:r>
    </w:p>
    <w:p w14:paraId="54E8FB32"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 ____________________________________________</w:t>
      </w:r>
    </w:p>
    <w:p w14:paraId="54E8FB33" w14:textId="77777777" w:rsidR="00F427A3" w:rsidRDefault="00F427A3">
      <w:pPr>
        <w:spacing w:line="288" w:lineRule="auto"/>
        <w:rPr>
          <w:rFonts w:ascii="Times New Roman" w:hAnsi="Times New Roman"/>
          <w:sz w:val="18"/>
          <w:szCs w:val="18"/>
        </w:rPr>
      </w:pPr>
    </w:p>
    <w:p w14:paraId="54E8FB34" w14:textId="77777777" w:rsidR="00F427A3" w:rsidRDefault="0044221F">
      <w:pPr>
        <w:spacing w:line="288" w:lineRule="auto"/>
        <w:rPr>
          <w:rFonts w:ascii="Times New Roman" w:hAnsi="Times New Roman"/>
          <w:sz w:val="18"/>
          <w:szCs w:val="18"/>
        </w:rPr>
      </w:pPr>
      <w:r>
        <w:rPr>
          <w:rFonts w:ascii="Times New Roman" w:eastAsia="宋体" w:hAnsi="Times New Roman"/>
          <w:sz w:val="18"/>
          <w:szCs w:val="18"/>
        </w:rPr>
        <w:t>Securities registered pursuant to Section 12(b) of the Act:</w:t>
      </w:r>
    </w:p>
    <w:tbl>
      <w:tblPr>
        <w:tblW w:w="5000" w:type="pct"/>
        <w:jc w:val="center"/>
        <w:tblCellMar>
          <w:left w:w="0" w:type="dxa"/>
          <w:right w:w="0" w:type="dxa"/>
        </w:tblCellMar>
        <w:tblLook w:val="04A0" w:firstRow="1" w:lastRow="0" w:firstColumn="1" w:lastColumn="0" w:noHBand="0" w:noVBand="1"/>
      </w:tblPr>
      <w:tblGrid>
        <w:gridCol w:w="1662"/>
        <w:gridCol w:w="1661"/>
        <w:gridCol w:w="1661"/>
        <w:gridCol w:w="3322"/>
      </w:tblGrid>
      <w:tr w:rsidR="00F427A3" w14:paraId="54E8FB36" w14:textId="77777777">
        <w:trPr>
          <w:jc w:val="center"/>
        </w:trPr>
        <w:tc>
          <w:tcPr>
            <w:tcW w:w="0" w:type="auto"/>
            <w:gridSpan w:val="4"/>
            <w:shd w:val="clear" w:color="auto" w:fill="auto"/>
            <w:vAlign w:val="center"/>
          </w:tcPr>
          <w:p w14:paraId="54E8FB35" w14:textId="77777777" w:rsidR="00F427A3" w:rsidRDefault="00F427A3">
            <w:pPr>
              <w:rPr>
                <w:rFonts w:ascii="Times New Roman" w:hAnsi="Times New Roman"/>
                <w:sz w:val="20"/>
                <w:szCs w:val="20"/>
              </w:rPr>
            </w:pPr>
          </w:p>
        </w:tc>
      </w:tr>
      <w:tr w:rsidR="00F427A3" w14:paraId="54E8FB3B" w14:textId="77777777">
        <w:trPr>
          <w:jc w:val="center"/>
        </w:trPr>
        <w:tc>
          <w:tcPr>
            <w:tcW w:w="1000" w:type="pct"/>
            <w:shd w:val="clear" w:color="auto" w:fill="auto"/>
            <w:vAlign w:val="center"/>
          </w:tcPr>
          <w:p w14:paraId="54E8FB37" w14:textId="77777777" w:rsidR="00F427A3" w:rsidRDefault="00F427A3">
            <w:pPr>
              <w:rPr>
                <w:rFonts w:ascii="Times New Roman" w:hAnsi="Times New Roman"/>
                <w:sz w:val="20"/>
                <w:szCs w:val="20"/>
              </w:rPr>
            </w:pPr>
          </w:p>
        </w:tc>
        <w:tc>
          <w:tcPr>
            <w:tcW w:w="1000" w:type="pct"/>
            <w:shd w:val="clear" w:color="auto" w:fill="auto"/>
            <w:vAlign w:val="center"/>
          </w:tcPr>
          <w:p w14:paraId="54E8FB38" w14:textId="77777777" w:rsidR="00F427A3" w:rsidRDefault="00F427A3">
            <w:pPr>
              <w:rPr>
                <w:rFonts w:ascii="Times New Roman" w:hAnsi="Times New Roman"/>
                <w:sz w:val="20"/>
                <w:szCs w:val="20"/>
              </w:rPr>
            </w:pPr>
          </w:p>
        </w:tc>
        <w:tc>
          <w:tcPr>
            <w:tcW w:w="1000" w:type="pct"/>
            <w:shd w:val="clear" w:color="auto" w:fill="auto"/>
            <w:vAlign w:val="center"/>
          </w:tcPr>
          <w:p w14:paraId="54E8FB39" w14:textId="77777777" w:rsidR="00F427A3" w:rsidRDefault="00F427A3">
            <w:pPr>
              <w:rPr>
                <w:rFonts w:ascii="Times New Roman" w:hAnsi="Times New Roman"/>
                <w:sz w:val="20"/>
                <w:szCs w:val="20"/>
              </w:rPr>
            </w:pPr>
          </w:p>
        </w:tc>
        <w:tc>
          <w:tcPr>
            <w:tcW w:w="2000" w:type="pct"/>
            <w:shd w:val="clear" w:color="auto" w:fill="auto"/>
            <w:vAlign w:val="center"/>
          </w:tcPr>
          <w:p w14:paraId="54E8FB3A" w14:textId="77777777" w:rsidR="00F427A3" w:rsidRDefault="00F427A3">
            <w:pPr>
              <w:rPr>
                <w:rFonts w:ascii="Times New Roman" w:hAnsi="Times New Roman"/>
                <w:sz w:val="20"/>
                <w:szCs w:val="20"/>
              </w:rPr>
            </w:pPr>
          </w:p>
        </w:tc>
      </w:tr>
      <w:tr w:rsidR="00F427A3" w14:paraId="54E8FB3F" w14:textId="77777777">
        <w:trPr>
          <w:jc w:val="center"/>
        </w:trPr>
        <w:tc>
          <w:tcPr>
            <w:tcW w:w="0" w:type="auto"/>
            <w:gridSpan w:val="2"/>
            <w:shd w:val="clear" w:color="auto" w:fill="auto"/>
            <w:tcMar>
              <w:top w:w="40" w:type="dxa"/>
              <w:left w:w="40" w:type="dxa"/>
              <w:bottom w:w="40" w:type="dxa"/>
              <w:right w:w="40" w:type="dxa"/>
            </w:tcMar>
            <w:vAlign w:val="bottom"/>
          </w:tcPr>
          <w:p w14:paraId="54E8FB3C" w14:textId="77777777" w:rsidR="00F427A3" w:rsidRDefault="0044221F">
            <w:pPr>
              <w:jc w:val="center"/>
              <w:textAlignment w:val="bottom"/>
              <w:rPr>
                <w:rFonts w:ascii="Times New Roman" w:hAnsi="Times New Roman"/>
                <w:sz w:val="18"/>
                <w:szCs w:val="18"/>
              </w:rPr>
            </w:pPr>
            <w:r>
              <w:rPr>
                <w:rFonts w:ascii="Times New Roman" w:eastAsia="宋体" w:hAnsi="Times New Roman"/>
                <w:sz w:val="18"/>
                <w:szCs w:val="18"/>
              </w:rPr>
              <w:t>Title of each class</w:t>
            </w:r>
          </w:p>
        </w:tc>
        <w:tc>
          <w:tcPr>
            <w:tcW w:w="0" w:type="auto"/>
            <w:shd w:val="clear" w:color="auto" w:fill="auto"/>
            <w:tcMar>
              <w:top w:w="40" w:type="dxa"/>
              <w:left w:w="40" w:type="dxa"/>
              <w:bottom w:w="40" w:type="dxa"/>
              <w:right w:w="40" w:type="dxa"/>
            </w:tcMar>
            <w:vAlign w:val="bottom"/>
          </w:tcPr>
          <w:p w14:paraId="54E8FB3D" w14:textId="77777777" w:rsidR="00F427A3" w:rsidRDefault="0044221F">
            <w:pPr>
              <w:jc w:val="center"/>
              <w:textAlignment w:val="bottom"/>
              <w:rPr>
                <w:rFonts w:ascii="Times New Roman" w:hAnsi="Times New Roman"/>
                <w:sz w:val="18"/>
                <w:szCs w:val="18"/>
              </w:rPr>
            </w:pPr>
            <w:r>
              <w:rPr>
                <w:rFonts w:ascii="Times New Roman" w:eastAsia="宋体" w:hAnsi="Times New Roman"/>
                <w:sz w:val="18"/>
                <w:szCs w:val="18"/>
              </w:rPr>
              <w:t>Trading Symbol(s)</w:t>
            </w:r>
          </w:p>
        </w:tc>
        <w:tc>
          <w:tcPr>
            <w:tcW w:w="0" w:type="auto"/>
            <w:shd w:val="clear" w:color="auto" w:fill="auto"/>
            <w:tcMar>
              <w:top w:w="40" w:type="dxa"/>
              <w:left w:w="40" w:type="dxa"/>
              <w:bottom w:w="40" w:type="dxa"/>
              <w:right w:w="40" w:type="dxa"/>
            </w:tcMar>
            <w:vAlign w:val="bottom"/>
          </w:tcPr>
          <w:p w14:paraId="54E8FB3E" w14:textId="77777777" w:rsidR="00F427A3" w:rsidRDefault="0044221F">
            <w:pPr>
              <w:jc w:val="center"/>
              <w:textAlignment w:val="bottom"/>
              <w:rPr>
                <w:rFonts w:ascii="Times New Roman" w:hAnsi="Times New Roman"/>
                <w:sz w:val="18"/>
                <w:szCs w:val="18"/>
              </w:rPr>
            </w:pPr>
            <w:r>
              <w:rPr>
                <w:rFonts w:ascii="Times New Roman" w:eastAsia="宋体" w:hAnsi="Times New Roman"/>
                <w:sz w:val="18"/>
                <w:szCs w:val="18"/>
              </w:rPr>
              <w:t>Name of each exchange on which registered</w:t>
            </w:r>
          </w:p>
        </w:tc>
      </w:tr>
      <w:tr w:rsidR="00F427A3" w14:paraId="54E8FB43" w14:textId="77777777">
        <w:trPr>
          <w:jc w:val="center"/>
        </w:trPr>
        <w:tc>
          <w:tcPr>
            <w:tcW w:w="0" w:type="auto"/>
            <w:gridSpan w:val="2"/>
            <w:shd w:val="clear" w:color="auto" w:fill="auto"/>
            <w:tcMar>
              <w:top w:w="40" w:type="dxa"/>
              <w:left w:w="40" w:type="dxa"/>
              <w:bottom w:w="40" w:type="dxa"/>
              <w:right w:w="40" w:type="dxa"/>
            </w:tcMar>
            <w:vAlign w:val="bottom"/>
          </w:tcPr>
          <w:p w14:paraId="54E8FB40" w14:textId="77777777" w:rsidR="00F427A3" w:rsidRDefault="0044221F">
            <w:pPr>
              <w:jc w:val="center"/>
              <w:textAlignment w:val="bottom"/>
              <w:rPr>
                <w:rFonts w:ascii="Times New Roman" w:hAnsi="Times New Roman"/>
                <w:sz w:val="18"/>
                <w:szCs w:val="18"/>
              </w:rPr>
            </w:pPr>
            <w:r>
              <w:rPr>
                <w:rFonts w:ascii="Times New Roman" w:eastAsia="宋体" w:hAnsi="Times New Roman"/>
                <w:sz w:val="18"/>
                <w:szCs w:val="18"/>
              </w:rPr>
              <w:t>Class A Common Stock, par value $0.000006</w:t>
            </w:r>
          </w:p>
        </w:tc>
        <w:tc>
          <w:tcPr>
            <w:tcW w:w="0" w:type="auto"/>
            <w:shd w:val="clear" w:color="auto" w:fill="auto"/>
            <w:tcMar>
              <w:top w:w="40" w:type="dxa"/>
              <w:left w:w="40" w:type="dxa"/>
              <w:bottom w:w="40" w:type="dxa"/>
              <w:right w:w="40" w:type="dxa"/>
            </w:tcMar>
            <w:vAlign w:val="bottom"/>
          </w:tcPr>
          <w:p w14:paraId="54E8FB41" w14:textId="77777777" w:rsidR="00F427A3" w:rsidRDefault="0044221F">
            <w:pPr>
              <w:jc w:val="center"/>
              <w:textAlignment w:val="bottom"/>
              <w:rPr>
                <w:rFonts w:ascii="Times New Roman" w:hAnsi="Times New Roman"/>
                <w:sz w:val="18"/>
                <w:szCs w:val="18"/>
              </w:rPr>
            </w:pPr>
            <w:r>
              <w:rPr>
                <w:rFonts w:ascii="Times New Roman" w:eastAsia="宋体" w:hAnsi="Times New Roman"/>
                <w:sz w:val="18"/>
                <w:szCs w:val="18"/>
              </w:rPr>
              <w:t>FB</w:t>
            </w:r>
          </w:p>
        </w:tc>
        <w:tc>
          <w:tcPr>
            <w:tcW w:w="0" w:type="auto"/>
            <w:shd w:val="clear" w:color="auto" w:fill="auto"/>
            <w:tcMar>
              <w:top w:w="40" w:type="dxa"/>
              <w:left w:w="40" w:type="dxa"/>
              <w:bottom w:w="40" w:type="dxa"/>
              <w:right w:w="40" w:type="dxa"/>
            </w:tcMar>
            <w:vAlign w:val="bottom"/>
          </w:tcPr>
          <w:p w14:paraId="54E8FB42" w14:textId="77777777" w:rsidR="00F427A3" w:rsidRDefault="0044221F">
            <w:pPr>
              <w:jc w:val="center"/>
              <w:textAlignment w:val="bottom"/>
              <w:rPr>
                <w:rFonts w:ascii="Times New Roman" w:hAnsi="Times New Roman"/>
                <w:sz w:val="18"/>
                <w:szCs w:val="18"/>
              </w:rPr>
            </w:pPr>
            <w:r>
              <w:rPr>
                <w:rFonts w:ascii="Times New Roman" w:eastAsia="宋体" w:hAnsi="Times New Roman"/>
                <w:sz w:val="18"/>
                <w:szCs w:val="18"/>
              </w:rPr>
              <w:t xml:space="preserve">The Nasdaq </w:t>
            </w:r>
            <w:r>
              <w:rPr>
                <w:rFonts w:ascii="Times New Roman" w:eastAsia="宋体" w:hAnsi="Times New Roman"/>
                <w:sz w:val="18"/>
                <w:szCs w:val="18"/>
              </w:rPr>
              <w:t>Stock Market LLC</w:t>
            </w:r>
          </w:p>
        </w:tc>
      </w:tr>
    </w:tbl>
    <w:p w14:paraId="54E8FB44" w14:textId="77777777" w:rsidR="00F427A3" w:rsidRDefault="00F427A3">
      <w:pPr>
        <w:spacing w:line="288" w:lineRule="auto"/>
        <w:jc w:val="both"/>
        <w:rPr>
          <w:rFonts w:ascii="Times New Roman" w:hAnsi="Times New Roman"/>
          <w:sz w:val="18"/>
          <w:szCs w:val="18"/>
        </w:rPr>
      </w:pPr>
    </w:p>
    <w:p w14:paraId="54E8FB45" w14:textId="77777777" w:rsidR="00F427A3" w:rsidRDefault="0044221F">
      <w:pPr>
        <w:spacing w:line="288" w:lineRule="auto"/>
        <w:jc w:val="both"/>
        <w:rPr>
          <w:rFonts w:ascii="Times New Roman" w:hAnsi="Times New Roman"/>
          <w:sz w:val="18"/>
          <w:szCs w:val="18"/>
        </w:rPr>
      </w:pPr>
      <w:r>
        <w:rPr>
          <w:rFonts w:ascii="Times New Roman" w:eastAsia="宋体" w:hAnsi="Times New Roman"/>
          <w:sz w:val="18"/>
          <w:szCs w:val="18"/>
        </w:rPr>
        <w:t>Indicate by check mark whether the registrant (1) has filed all reports required to be filed by Section 13 or 15(d) of the Securities Exchange Act of 1934 (Exchange Act) during the preceding 12 months (or for such shorter period that the</w:t>
      </w:r>
      <w:r>
        <w:rPr>
          <w:rFonts w:ascii="Times New Roman" w:eastAsia="宋体" w:hAnsi="Times New Roman"/>
          <w:sz w:val="18"/>
          <w:szCs w:val="18"/>
        </w:rPr>
        <w:t xml:space="preserve"> registrant was required to file such reports), and (2) has been subject to such filing requirements for the past 90 days.    Yes  </w:t>
      </w:r>
      <w:r>
        <w:rPr>
          <w:rFonts w:ascii="Arial Unicode MS" w:eastAsia="Arial Unicode MS" w:hAnsi="Arial Unicode MS" w:cs="Arial Unicode MS" w:hint="eastAsia"/>
          <w:sz w:val="18"/>
          <w:szCs w:val="18"/>
        </w:rPr>
        <w:t>☒</w:t>
      </w:r>
      <w:r>
        <w:rPr>
          <w:rFonts w:ascii="Times New Roman" w:eastAsia="宋体" w:hAnsi="Times New Roman"/>
          <w:sz w:val="18"/>
          <w:szCs w:val="18"/>
        </w:rPr>
        <w:t>    No  </w:t>
      </w:r>
      <w:r>
        <w:rPr>
          <w:rFonts w:ascii="Arial Unicode MS" w:eastAsia="Arial Unicode MS" w:hAnsi="Arial Unicode MS" w:cs="Arial Unicode MS" w:hint="eastAsia"/>
          <w:sz w:val="18"/>
          <w:szCs w:val="18"/>
        </w:rPr>
        <w:t>☐</w:t>
      </w:r>
      <w:r>
        <w:rPr>
          <w:rFonts w:ascii="Times New Roman" w:eastAsia="宋体" w:hAnsi="Times New Roman"/>
          <w:sz w:val="18"/>
          <w:szCs w:val="18"/>
        </w:rPr>
        <w:t>  </w:t>
      </w:r>
    </w:p>
    <w:p w14:paraId="54E8FB46" w14:textId="77777777" w:rsidR="00F427A3" w:rsidRDefault="0044221F">
      <w:pPr>
        <w:spacing w:line="288" w:lineRule="auto"/>
        <w:jc w:val="both"/>
        <w:rPr>
          <w:rFonts w:ascii="Times New Roman" w:hAnsi="Times New Roman"/>
          <w:sz w:val="18"/>
          <w:szCs w:val="18"/>
        </w:rPr>
      </w:pPr>
      <w:r>
        <w:rPr>
          <w:rFonts w:ascii="Times New Roman" w:eastAsia="宋体" w:hAnsi="Times New Roman"/>
          <w:sz w:val="18"/>
          <w:szCs w:val="18"/>
        </w:rPr>
        <w:t xml:space="preserve">Indicate by check mark whether the registrant has submitted electronically every Interactive Data File required </w:t>
      </w:r>
      <w:r>
        <w:rPr>
          <w:rFonts w:ascii="Times New Roman" w:eastAsia="宋体" w:hAnsi="Times New Roman"/>
          <w:sz w:val="18"/>
          <w:szCs w:val="18"/>
        </w:rPr>
        <w:t>to be submitted pursuant to Rule 405 of Regulation S-T (§ 232.405 of this chapter) during the preceding 12 months (or for such shorter period that the registrant was required to submit such files).    Yes </w:t>
      </w:r>
      <w:r>
        <w:rPr>
          <w:rFonts w:ascii="Arial Unicode MS" w:eastAsia="Arial Unicode MS" w:hAnsi="Arial Unicode MS" w:cs="Arial Unicode MS" w:hint="eastAsia"/>
          <w:sz w:val="18"/>
          <w:szCs w:val="18"/>
        </w:rPr>
        <w:t> </w:t>
      </w:r>
      <w:r>
        <w:rPr>
          <w:rFonts w:ascii="Arial Unicode MS" w:eastAsia="Arial Unicode MS" w:hAnsi="Arial Unicode MS" w:cs="Arial Unicode MS" w:hint="eastAsia"/>
          <w:sz w:val="18"/>
          <w:szCs w:val="18"/>
        </w:rPr>
        <w:t>☒</w:t>
      </w:r>
      <w:r>
        <w:rPr>
          <w:rFonts w:ascii="Times New Roman" w:eastAsia="宋体" w:hAnsi="Times New Roman"/>
          <w:sz w:val="18"/>
          <w:szCs w:val="18"/>
        </w:rPr>
        <w:t>    No </w:t>
      </w:r>
      <w:r>
        <w:rPr>
          <w:rFonts w:ascii="Arial Unicode MS" w:eastAsia="Arial Unicode MS" w:hAnsi="Arial Unicode MS" w:cs="Arial Unicode MS" w:hint="eastAsia"/>
          <w:sz w:val="18"/>
          <w:szCs w:val="18"/>
        </w:rPr>
        <w:t> </w:t>
      </w:r>
      <w:r>
        <w:rPr>
          <w:rFonts w:ascii="Arial Unicode MS" w:eastAsia="Arial Unicode MS" w:hAnsi="Arial Unicode MS" w:cs="Arial Unicode MS" w:hint="eastAsia"/>
          <w:sz w:val="18"/>
          <w:szCs w:val="18"/>
        </w:rPr>
        <w:t>☐</w:t>
      </w:r>
    </w:p>
    <w:p w14:paraId="54E8FB47" w14:textId="77777777" w:rsidR="00F427A3" w:rsidRDefault="0044221F">
      <w:pPr>
        <w:spacing w:line="288" w:lineRule="auto"/>
        <w:jc w:val="both"/>
        <w:rPr>
          <w:rFonts w:ascii="Times New Roman" w:hAnsi="Times New Roman"/>
          <w:sz w:val="18"/>
          <w:szCs w:val="18"/>
        </w:rPr>
      </w:pPr>
      <w:r>
        <w:rPr>
          <w:rFonts w:ascii="Times New Roman" w:eastAsia="宋体" w:hAnsi="Times New Roman"/>
          <w:sz w:val="18"/>
          <w:szCs w:val="18"/>
        </w:rPr>
        <w:t>Indicate by check mark whether the regi</w:t>
      </w:r>
      <w:r>
        <w:rPr>
          <w:rFonts w:ascii="Times New Roman" w:eastAsia="宋体" w:hAnsi="Times New Roman"/>
          <w:sz w:val="18"/>
          <w:szCs w:val="18"/>
        </w:rPr>
        <w:t xml:space="preserve">strant is a large accelerated filer, an accelerated filer, a non-accelerated filer, a smaller reporting company, or an emerging growth company. See the definitions of "large accelerated </w:t>
      </w:r>
      <w:r>
        <w:rPr>
          <w:rFonts w:ascii="Times New Roman" w:eastAsia="宋体" w:hAnsi="Times New Roman"/>
          <w:sz w:val="18"/>
          <w:szCs w:val="18"/>
        </w:rPr>
        <w:lastRenderedPageBreak/>
        <w:t>filer," "accelerated filer," "smaller reporting company," and "emergin</w:t>
      </w:r>
      <w:r>
        <w:rPr>
          <w:rFonts w:ascii="Times New Roman" w:eastAsia="宋体" w:hAnsi="Times New Roman"/>
          <w:sz w:val="18"/>
          <w:szCs w:val="18"/>
        </w:rPr>
        <w:t xml:space="preserve">g growth company" in Rule 12b-2 of the Exchange Act. </w:t>
      </w:r>
    </w:p>
    <w:tbl>
      <w:tblPr>
        <w:tblW w:w="5000" w:type="pct"/>
        <w:tblCellMar>
          <w:left w:w="0" w:type="dxa"/>
          <w:right w:w="0" w:type="dxa"/>
        </w:tblCellMar>
        <w:tblLook w:val="04A0" w:firstRow="1" w:lastRow="0" w:firstColumn="1" w:lastColumn="0" w:noHBand="0" w:noVBand="1"/>
      </w:tblPr>
      <w:tblGrid>
        <w:gridCol w:w="1451"/>
        <w:gridCol w:w="130"/>
        <w:gridCol w:w="4275"/>
        <w:gridCol w:w="2050"/>
        <w:gridCol w:w="130"/>
        <w:gridCol w:w="270"/>
      </w:tblGrid>
      <w:tr w:rsidR="00F427A3" w14:paraId="54E8FB49" w14:textId="77777777">
        <w:tc>
          <w:tcPr>
            <w:tcW w:w="0" w:type="auto"/>
            <w:gridSpan w:val="6"/>
            <w:shd w:val="clear" w:color="auto" w:fill="auto"/>
            <w:vAlign w:val="center"/>
          </w:tcPr>
          <w:p w14:paraId="54E8FB48" w14:textId="77777777" w:rsidR="00F427A3" w:rsidRDefault="00F427A3">
            <w:pPr>
              <w:rPr>
                <w:rFonts w:ascii="Times New Roman" w:hAnsi="Times New Roman"/>
                <w:sz w:val="20"/>
                <w:szCs w:val="20"/>
              </w:rPr>
            </w:pPr>
          </w:p>
        </w:tc>
      </w:tr>
      <w:tr w:rsidR="00F427A3" w14:paraId="54E8FB50" w14:textId="77777777">
        <w:tc>
          <w:tcPr>
            <w:tcW w:w="950" w:type="pct"/>
            <w:shd w:val="clear" w:color="auto" w:fill="auto"/>
            <w:vAlign w:val="center"/>
          </w:tcPr>
          <w:p w14:paraId="54E8FB4A" w14:textId="77777777" w:rsidR="00F427A3" w:rsidRDefault="00F427A3">
            <w:pPr>
              <w:rPr>
                <w:rFonts w:ascii="Times New Roman" w:hAnsi="Times New Roman"/>
                <w:sz w:val="20"/>
                <w:szCs w:val="20"/>
              </w:rPr>
            </w:pPr>
          </w:p>
        </w:tc>
        <w:tc>
          <w:tcPr>
            <w:tcW w:w="50" w:type="pct"/>
            <w:shd w:val="clear" w:color="auto" w:fill="auto"/>
            <w:vAlign w:val="center"/>
          </w:tcPr>
          <w:p w14:paraId="54E8FB4B" w14:textId="77777777" w:rsidR="00F427A3" w:rsidRDefault="00F427A3">
            <w:pPr>
              <w:rPr>
                <w:rFonts w:ascii="Times New Roman" w:hAnsi="Times New Roman"/>
                <w:sz w:val="20"/>
                <w:szCs w:val="20"/>
              </w:rPr>
            </w:pPr>
          </w:p>
        </w:tc>
        <w:tc>
          <w:tcPr>
            <w:tcW w:w="2650" w:type="pct"/>
            <w:shd w:val="clear" w:color="auto" w:fill="auto"/>
            <w:vAlign w:val="center"/>
          </w:tcPr>
          <w:p w14:paraId="54E8FB4C" w14:textId="77777777" w:rsidR="00F427A3" w:rsidRDefault="00F427A3">
            <w:pPr>
              <w:rPr>
                <w:rFonts w:ascii="Times New Roman" w:hAnsi="Times New Roman"/>
                <w:sz w:val="20"/>
                <w:szCs w:val="20"/>
              </w:rPr>
            </w:pPr>
          </w:p>
        </w:tc>
        <w:tc>
          <w:tcPr>
            <w:tcW w:w="1150" w:type="pct"/>
            <w:shd w:val="clear" w:color="auto" w:fill="auto"/>
            <w:vAlign w:val="center"/>
          </w:tcPr>
          <w:p w14:paraId="54E8FB4D" w14:textId="77777777" w:rsidR="00F427A3" w:rsidRDefault="00F427A3">
            <w:pPr>
              <w:rPr>
                <w:rFonts w:ascii="Times New Roman" w:hAnsi="Times New Roman"/>
                <w:sz w:val="20"/>
                <w:szCs w:val="20"/>
              </w:rPr>
            </w:pPr>
          </w:p>
        </w:tc>
        <w:tc>
          <w:tcPr>
            <w:tcW w:w="50" w:type="pct"/>
            <w:shd w:val="clear" w:color="auto" w:fill="auto"/>
            <w:vAlign w:val="center"/>
          </w:tcPr>
          <w:p w14:paraId="54E8FB4E" w14:textId="77777777" w:rsidR="00F427A3" w:rsidRDefault="00F427A3">
            <w:pPr>
              <w:rPr>
                <w:rFonts w:ascii="Times New Roman" w:hAnsi="Times New Roman"/>
                <w:sz w:val="20"/>
                <w:szCs w:val="20"/>
              </w:rPr>
            </w:pPr>
          </w:p>
        </w:tc>
        <w:tc>
          <w:tcPr>
            <w:tcW w:w="150" w:type="pct"/>
            <w:shd w:val="clear" w:color="auto" w:fill="auto"/>
            <w:vAlign w:val="center"/>
          </w:tcPr>
          <w:p w14:paraId="54E8FB4F" w14:textId="77777777" w:rsidR="00F427A3" w:rsidRDefault="00F427A3">
            <w:pPr>
              <w:rPr>
                <w:rFonts w:ascii="Times New Roman" w:hAnsi="Times New Roman"/>
                <w:sz w:val="20"/>
                <w:szCs w:val="20"/>
              </w:rPr>
            </w:pPr>
          </w:p>
        </w:tc>
      </w:tr>
      <w:tr w:rsidR="00F427A3" w14:paraId="54E8FB57" w14:textId="77777777">
        <w:tc>
          <w:tcPr>
            <w:tcW w:w="0" w:type="auto"/>
            <w:shd w:val="clear" w:color="auto" w:fill="auto"/>
            <w:tcMar>
              <w:top w:w="40" w:type="dxa"/>
              <w:left w:w="40" w:type="dxa"/>
              <w:bottom w:w="40" w:type="dxa"/>
              <w:right w:w="40" w:type="dxa"/>
            </w:tcMar>
            <w:vAlign w:val="bottom"/>
          </w:tcPr>
          <w:p w14:paraId="54E8FB51"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Large accelerated filer</w:t>
            </w:r>
          </w:p>
        </w:tc>
        <w:tc>
          <w:tcPr>
            <w:tcW w:w="0" w:type="auto"/>
            <w:shd w:val="clear" w:color="auto" w:fill="auto"/>
            <w:tcMar>
              <w:top w:w="40" w:type="dxa"/>
              <w:left w:w="40" w:type="dxa"/>
              <w:bottom w:w="40" w:type="dxa"/>
              <w:right w:w="40" w:type="dxa"/>
            </w:tcMar>
            <w:vAlign w:val="bottom"/>
          </w:tcPr>
          <w:p w14:paraId="54E8FB5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53" w14:textId="77777777" w:rsidR="00F427A3" w:rsidRDefault="0044221F">
            <w:pPr>
              <w:textAlignment w:val="bottom"/>
              <w:rPr>
                <w:rFonts w:ascii="Times New Roman" w:hAnsi="Times New Roman"/>
                <w:sz w:val="22"/>
                <w:szCs w:val="22"/>
              </w:rPr>
            </w:pPr>
            <w:r>
              <w:rPr>
                <w:rFonts w:ascii="Arial Unicode MS" w:eastAsia="Arial Unicode MS" w:hAnsi="Arial Unicode MS" w:cs="Arial Unicode MS" w:hint="eastAsia"/>
                <w:sz w:val="22"/>
                <w:szCs w:val="22"/>
              </w:rPr>
              <w:t>☒</w:t>
            </w:r>
          </w:p>
        </w:tc>
        <w:tc>
          <w:tcPr>
            <w:tcW w:w="0" w:type="auto"/>
            <w:shd w:val="clear" w:color="auto" w:fill="auto"/>
            <w:tcMar>
              <w:top w:w="40" w:type="dxa"/>
              <w:left w:w="40" w:type="dxa"/>
              <w:bottom w:w="40" w:type="dxa"/>
              <w:right w:w="40" w:type="dxa"/>
            </w:tcMar>
            <w:vAlign w:val="bottom"/>
          </w:tcPr>
          <w:p w14:paraId="54E8FB54"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Accelerated filer</w:t>
            </w:r>
          </w:p>
        </w:tc>
        <w:tc>
          <w:tcPr>
            <w:tcW w:w="0" w:type="auto"/>
            <w:shd w:val="clear" w:color="auto" w:fill="auto"/>
            <w:tcMar>
              <w:top w:w="40" w:type="dxa"/>
              <w:left w:w="40" w:type="dxa"/>
              <w:bottom w:w="40" w:type="dxa"/>
              <w:right w:w="40" w:type="dxa"/>
            </w:tcMar>
            <w:vAlign w:val="bottom"/>
          </w:tcPr>
          <w:p w14:paraId="54E8FB5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56" w14:textId="77777777" w:rsidR="00F427A3" w:rsidRDefault="0044221F">
            <w:pPr>
              <w:textAlignment w:val="bottom"/>
              <w:rPr>
                <w:rFonts w:ascii="Times New Roman" w:hAnsi="Times New Roman"/>
                <w:sz w:val="22"/>
                <w:szCs w:val="22"/>
              </w:rPr>
            </w:pPr>
            <w:r>
              <w:rPr>
                <w:rFonts w:ascii="Arial Unicode MS" w:eastAsia="Arial Unicode MS" w:hAnsi="Arial Unicode MS" w:cs="Arial Unicode MS" w:hint="eastAsia"/>
                <w:sz w:val="22"/>
                <w:szCs w:val="22"/>
              </w:rPr>
              <w:t>☐</w:t>
            </w:r>
          </w:p>
        </w:tc>
      </w:tr>
      <w:tr w:rsidR="00F427A3" w14:paraId="54E8FB5E" w14:textId="77777777">
        <w:tc>
          <w:tcPr>
            <w:tcW w:w="0" w:type="auto"/>
            <w:shd w:val="clear" w:color="auto" w:fill="auto"/>
            <w:tcMar>
              <w:top w:w="40" w:type="dxa"/>
              <w:left w:w="40" w:type="dxa"/>
              <w:bottom w:w="40" w:type="dxa"/>
              <w:right w:w="40" w:type="dxa"/>
            </w:tcMar>
            <w:vAlign w:val="bottom"/>
          </w:tcPr>
          <w:p w14:paraId="54E8FB5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5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5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5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5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5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B65" w14:textId="77777777">
        <w:tc>
          <w:tcPr>
            <w:tcW w:w="0" w:type="auto"/>
            <w:shd w:val="clear" w:color="auto" w:fill="auto"/>
            <w:tcMar>
              <w:top w:w="40" w:type="dxa"/>
              <w:left w:w="40" w:type="dxa"/>
              <w:bottom w:w="40" w:type="dxa"/>
              <w:right w:w="40" w:type="dxa"/>
            </w:tcMar>
            <w:vAlign w:val="bottom"/>
          </w:tcPr>
          <w:p w14:paraId="54E8FB5F"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Non-accelerated filer</w:t>
            </w:r>
          </w:p>
        </w:tc>
        <w:tc>
          <w:tcPr>
            <w:tcW w:w="0" w:type="auto"/>
            <w:shd w:val="clear" w:color="auto" w:fill="auto"/>
            <w:tcMar>
              <w:top w:w="40" w:type="dxa"/>
              <w:left w:w="40" w:type="dxa"/>
              <w:bottom w:w="40" w:type="dxa"/>
              <w:right w:w="40" w:type="dxa"/>
            </w:tcMar>
            <w:vAlign w:val="bottom"/>
          </w:tcPr>
          <w:p w14:paraId="54E8FB6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61" w14:textId="77777777" w:rsidR="00F427A3" w:rsidRDefault="0044221F">
            <w:pPr>
              <w:textAlignment w:val="bottom"/>
              <w:rPr>
                <w:rFonts w:ascii="Times New Roman" w:hAnsi="Times New Roman"/>
                <w:sz w:val="22"/>
                <w:szCs w:val="22"/>
              </w:rPr>
            </w:pPr>
            <w:r>
              <w:rPr>
                <w:rFonts w:ascii="Arial Unicode MS" w:eastAsia="Arial Unicode MS" w:hAnsi="Arial Unicode MS" w:cs="Arial Unicode MS" w:hint="eastAsia"/>
                <w:sz w:val="22"/>
                <w:szCs w:val="22"/>
              </w:rPr>
              <w:t>☐</w:t>
            </w:r>
          </w:p>
        </w:tc>
        <w:tc>
          <w:tcPr>
            <w:tcW w:w="0" w:type="auto"/>
            <w:shd w:val="clear" w:color="auto" w:fill="auto"/>
            <w:tcMar>
              <w:top w:w="40" w:type="dxa"/>
              <w:left w:w="40" w:type="dxa"/>
              <w:bottom w:w="40" w:type="dxa"/>
              <w:right w:w="40" w:type="dxa"/>
            </w:tcMar>
            <w:vAlign w:val="bottom"/>
          </w:tcPr>
          <w:p w14:paraId="54E8FB62"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Smaller reporting company</w:t>
            </w:r>
          </w:p>
        </w:tc>
        <w:tc>
          <w:tcPr>
            <w:tcW w:w="0" w:type="auto"/>
            <w:shd w:val="clear" w:color="auto" w:fill="auto"/>
            <w:tcMar>
              <w:top w:w="40" w:type="dxa"/>
              <w:left w:w="40" w:type="dxa"/>
              <w:bottom w:w="40" w:type="dxa"/>
              <w:right w:w="40" w:type="dxa"/>
            </w:tcMar>
            <w:vAlign w:val="bottom"/>
          </w:tcPr>
          <w:p w14:paraId="54E8FB6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64" w14:textId="77777777" w:rsidR="00F427A3" w:rsidRDefault="0044221F">
            <w:pPr>
              <w:textAlignment w:val="bottom"/>
              <w:rPr>
                <w:rFonts w:ascii="Times New Roman" w:hAnsi="Times New Roman"/>
                <w:sz w:val="22"/>
                <w:szCs w:val="22"/>
              </w:rPr>
            </w:pPr>
            <w:r>
              <w:rPr>
                <w:rFonts w:ascii="Arial Unicode MS" w:eastAsia="Arial Unicode MS" w:hAnsi="Arial Unicode MS" w:cs="Arial Unicode MS" w:hint="eastAsia"/>
                <w:sz w:val="22"/>
                <w:szCs w:val="22"/>
              </w:rPr>
              <w:t>☐</w:t>
            </w:r>
          </w:p>
        </w:tc>
      </w:tr>
      <w:tr w:rsidR="00F427A3" w14:paraId="54E8FB6C" w14:textId="77777777">
        <w:tc>
          <w:tcPr>
            <w:tcW w:w="0" w:type="auto"/>
            <w:shd w:val="clear" w:color="auto" w:fill="auto"/>
            <w:tcMar>
              <w:top w:w="40" w:type="dxa"/>
              <w:left w:w="40" w:type="dxa"/>
              <w:bottom w:w="40" w:type="dxa"/>
              <w:right w:w="40" w:type="dxa"/>
            </w:tcMar>
            <w:vAlign w:val="bottom"/>
          </w:tcPr>
          <w:p w14:paraId="54E8FB6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6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6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6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6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6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B73" w14:textId="77777777">
        <w:tc>
          <w:tcPr>
            <w:tcW w:w="0" w:type="auto"/>
            <w:shd w:val="clear" w:color="auto" w:fill="auto"/>
            <w:tcMar>
              <w:top w:w="40" w:type="dxa"/>
              <w:left w:w="40" w:type="dxa"/>
              <w:bottom w:w="40" w:type="dxa"/>
              <w:right w:w="40" w:type="dxa"/>
            </w:tcMar>
            <w:vAlign w:val="bottom"/>
          </w:tcPr>
          <w:p w14:paraId="54E8FB6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6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6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70"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Emerging growth company</w:t>
            </w:r>
          </w:p>
        </w:tc>
        <w:tc>
          <w:tcPr>
            <w:tcW w:w="0" w:type="auto"/>
            <w:shd w:val="clear" w:color="auto" w:fill="auto"/>
            <w:tcMar>
              <w:top w:w="40" w:type="dxa"/>
              <w:left w:w="40" w:type="dxa"/>
              <w:bottom w:w="40" w:type="dxa"/>
              <w:right w:w="40" w:type="dxa"/>
            </w:tcMar>
            <w:vAlign w:val="bottom"/>
          </w:tcPr>
          <w:p w14:paraId="54E8FB7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72" w14:textId="77777777" w:rsidR="00F427A3" w:rsidRDefault="0044221F">
            <w:pPr>
              <w:textAlignment w:val="bottom"/>
              <w:rPr>
                <w:rFonts w:ascii="Times New Roman" w:hAnsi="Times New Roman"/>
                <w:sz w:val="22"/>
                <w:szCs w:val="22"/>
              </w:rPr>
            </w:pPr>
            <w:r>
              <w:rPr>
                <w:rFonts w:ascii="Arial Unicode MS" w:eastAsia="Arial Unicode MS" w:hAnsi="Arial Unicode MS" w:cs="Arial Unicode MS" w:hint="eastAsia"/>
                <w:sz w:val="22"/>
                <w:szCs w:val="22"/>
              </w:rPr>
              <w:t>☐</w:t>
            </w:r>
          </w:p>
        </w:tc>
      </w:tr>
      <w:tr w:rsidR="00F427A3" w14:paraId="54E8FB7A" w14:textId="77777777">
        <w:tc>
          <w:tcPr>
            <w:tcW w:w="0" w:type="auto"/>
            <w:shd w:val="clear" w:color="auto" w:fill="auto"/>
            <w:tcMar>
              <w:top w:w="40" w:type="dxa"/>
              <w:left w:w="40" w:type="dxa"/>
              <w:bottom w:w="40" w:type="dxa"/>
              <w:right w:w="40" w:type="dxa"/>
            </w:tcMar>
            <w:vAlign w:val="bottom"/>
          </w:tcPr>
          <w:p w14:paraId="54E8FB7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7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7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7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7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7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B7E" w14:textId="77777777">
        <w:tc>
          <w:tcPr>
            <w:tcW w:w="0" w:type="auto"/>
            <w:gridSpan w:val="4"/>
            <w:shd w:val="clear" w:color="auto" w:fill="auto"/>
            <w:tcMar>
              <w:top w:w="40" w:type="dxa"/>
              <w:left w:w="40" w:type="dxa"/>
              <w:bottom w:w="40" w:type="dxa"/>
              <w:right w:w="40" w:type="dxa"/>
            </w:tcMar>
            <w:vAlign w:val="bottom"/>
          </w:tcPr>
          <w:p w14:paraId="54E8FB7B" w14:textId="77777777" w:rsidR="00F427A3" w:rsidRDefault="0044221F">
            <w:pPr>
              <w:jc w:val="both"/>
              <w:textAlignment w:val="bottom"/>
              <w:rPr>
                <w:rFonts w:ascii="Times New Roman" w:hAnsi="Times New Roman"/>
                <w:sz w:val="18"/>
                <w:szCs w:val="18"/>
              </w:rPr>
            </w:pPr>
            <w:r>
              <w:rPr>
                <w:rFonts w:ascii="Times New Roman" w:eastAsia="宋体" w:hAnsi="Times New Roman"/>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p>
        </w:tc>
        <w:tc>
          <w:tcPr>
            <w:tcW w:w="0" w:type="auto"/>
            <w:shd w:val="clear" w:color="auto" w:fill="auto"/>
            <w:tcMar>
              <w:top w:w="40" w:type="dxa"/>
              <w:left w:w="40" w:type="dxa"/>
              <w:bottom w:w="40" w:type="dxa"/>
              <w:right w:w="40" w:type="dxa"/>
            </w:tcMar>
            <w:vAlign w:val="bottom"/>
          </w:tcPr>
          <w:p w14:paraId="54E8FB7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4E8FB7D" w14:textId="77777777" w:rsidR="00F427A3" w:rsidRDefault="0044221F">
            <w:pPr>
              <w:textAlignment w:val="center"/>
              <w:rPr>
                <w:rFonts w:ascii="Times New Roman" w:hAnsi="Times New Roman"/>
                <w:sz w:val="22"/>
                <w:szCs w:val="22"/>
              </w:rPr>
            </w:pPr>
            <w:r>
              <w:rPr>
                <w:rFonts w:ascii="Arial Unicode MS" w:eastAsia="Arial Unicode MS" w:hAnsi="Arial Unicode MS" w:cs="Arial Unicode MS" w:hint="eastAsia"/>
                <w:sz w:val="22"/>
                <w:szCs w:val="22"/>
              </w:rPr>
              <w:t>☐</w:t>
            </w:r>
          </w:p>
        </w:tc>
      </w:tr>
    </w:tbl>
    <w:p w14:paraId="54E8FB7F" w14:textId="77777777" w:rsidR="00F427A3" w:rsidRDefault="0044221F">
      <w:pPr>
        <w:spacing w:line="288" w:lineRule="auto"/>
        <w:rPr>
          <w:rFonts w:ascii="Times New Roman" w:hAnsi="Times New Roman"/>
          <w:sz w:val="22"/>
          <w:szCs w:val="22"/>
        </w:rPr>
      </w:pPr>
      <w:r>
        <w:rPr>
          <w:rFonts w:ascii="Times New Roman" w:eastAsia="宋体" w:hAnsi="Times New Roman"/>
          <w:sz w:val="18"/>
          <w:szCs w:val="18"/>
        </w:rPr>
        <w:t xml:space="preserve">Indicate by check mark whether the registrant is a shell company (as defined in Rule 12b-2 of the Exchange Act). Yes </w:t>
      </w:r>
      <w:r>
        <w:rPr>
          <w:rFonts w:ascii="Arial Unicode MS" w:eastAsia="Arial Unicode MS" w:hAnsi="Arial Unicode MS" w:cs="Arial Unicode MS" w:hint="eastAsia"/>
          <w:sz w:val="22"/>
          <w:szCs w:val="22"/>
        </w:rPr>
        <w:t>☐</w:t>
      </w:r>
      <w:r>
        <w:rPr>
          <w:rFonts w:ascii="Times New Roman" w:eastAsia="宋体" w:hAnsi="Times New Roman"/>
          <w:sz w:val="20"/>
          <w:szCs w:val="20"/>
        </w:rPr>
        <w:t xml:space="preserve"> </w:t>
      </w:r>
      <w:r>
        <w:rPr>
          <w:rFonts w:ascii="Times New Roman" w:eastAsia="宋体" w:hAnsi="Times New Roman"/>
          <w:sz w:val="18"/>
          <w:szCs w:val="18"/>
        </w:rPr>
        <w:t xml:space="preserve">No </w:t>
      </w:r>
      <w:r>
        <w:rPr>
          <w:rFonts w:ascii="Arial Unicode MS" w:eastAsia="Arial Unicode MS" w:hAnsi="Arial Unicode MS" w:cs="Arial Unicode MS" w:hint="eastAsia"/>
          <w:sz w:val="22"/>
          <w:szCs w:val="22"/>
        </w:rPr>
        <w:t>☒</w:t>
      </w:r>
    </w:p>
    <w:p w14:paraId="54E8FB80" w14:textId="77777777" w:rsidR="00F427A3" w:rsidRDefault="0044221F">
      <w:pPr>
        <w:spacing w:line="288" w:lineRule="auto"/>
        <w:jc w:val="both"/>
        <w:rPr>
          <w:rFonts w:ascii="Times New Roman" w:hAnsi="Times New Roman"/>
          <w:sz w:val="18"/>
          <w:szCs w:val="18"/>
        </w:rPr>
      </w:pPr>
      <w:r>
        <w:rPr>
          <w:rFonts w:ascii="Times New Roman" w:eastAsia="宋体" w:hAnsi="Times New Roman"/>
          <w:sz w:val="18"/>
          <w:szCs w:val="18"/>
        </w:rPr>
        <w:t>Indicate the number of shares outstanding of each of the issuer's classes of Common Stock, as of the latest practicable date.</w:t>
      </w:r>
    </w:p>
    <w:tbl>
      <w:tblPr>
        <w:tblW w:w="5000" w:type="pct"/>
        <w:tblCellMar>
          <w:left w:w="0" w:type="dxa"/>
          <w:right w:w="0" w:type="dxa"/>
        </w:tblCellMar>
        <w:tblLook w:val="04A0" w:firstRow="1" w:lastRow="0" w:firstColumn="1" w:lastColumn="0" w:noHBand="0" w:noVBand="1"/>
      </w:tblPr>
      <w:tblGrid>
        <w:gridCol w:w="1578"/>
        <w:gridCol w:w="1661"/>
        <w:gridCol w:w="2243"/>
        <w:gridCol w:w="83"/>
        <w:gridCol w:w="2741"/>
      </w:tblGrid>
      <w:tr w:rsidR="00F427A3" w14:paraId="54E8FB82" w14:textId="77777777">
        <w:tc>
          <w:tcPr>
            <w:tcW w:w="0" w:type="auto"/>
            <w:gridSpan w:val="5"/>
            <w:shd w:val="clear" w:color="auto" w:fill="auto"/>
            <w:vAlign w:val="center"/>
          </w:tcPr>
          <w:p w14:paraId="54E8FB81" w14:textId="77777777" w:rsidR="00F427A3" w:rsidRDefault="00F427A3">
            <w:pPr>
              <w:rPr>
                <w:rFonts w:ascii="Times New Roman" w:hAnsi="Times New Roman"/>
                <w:sz w:val="20"/>
                <w:szCs w:val="20"/>
              </w:rPr>
            </w:pPr>
          </w:p>
        </w:tc>
      </w:tr>
      <w:tr w:rsidR="00F427A3" w14:paraId="54E8FB88" w14:textId="77777777">
        <w:tc>
          <w:tcPr>
            <w:tcW w:w="950" w:type="pct"/>
            <w:shd w:val="clear" w:color="auto" w:fill="auto"/>
            <w:vAlign w:val="center"/>
          </w:tcPr>
          <w:p w14:paraId="54E8FB83" w14:textId="77777777" w:rsidR="00F427A3" w:rsidRDefault="00F427A3">
            <w:pPr>
              <w:rPr>
                <w:rFonts w:ascii="Times New Roman" w:hAnsi="Times New Roman"/>
                <w:sz w:val="20"/>
                <w:szCs w:val="20"/>
              </w:rPr>
            </w:pPr>
          </w:p>
        </w:tc>
        <w:tc>
          <w:tcPr>
            <w:tcW w:w="1000" w:type="pct"/>
            <w:shd w:val="clear" w:color="auto" w:fill="auto"/>
            <w:vAlign w:val="center"/>
          </w:tcPr>
          <w:p w14:paraId="54E8FB84" w14:textId="77777777" w:rsidR="00F427A3" w:rsidRDefault="00F427A3">
            <w:pPr>
              <w:rPr>
                <w:rFonts w:ascii="Times New Roman" w:hAnsi="Times New Roman"/>
                <w:sz w:val="20"/>
                <w:szCs w:val="20"/>
              </w:rPr>
            </w:pPr>
          </w:p>
        </w:tc>
        <w:tc>
          <w:tcPr>
            <w:tcW w:w="1350" w:type="pct"/>
            <w:shd w:val="clear" w:color="auto" w:fill="auto"/>
            <w:vAlign w:val="center"/>
          </w:tcPr>
          <w:p w14:paraId="54E8FB85" w14:textId="77777777" w:rsidR="00F427A3" w:rsidRDefault="00F427A3">
            <w:pPr>
              <w:rPr>
                <w:rFonts w:ascii="Times New Roman" w:hAnsi="Times New Roman"/>
                <w:sz w:val="20"/>
                <w:szCs w:val="20"/>
              </w:rPr>
            </w:pPr>
          </w:p>
        </w:tc>
        <w:tc>
          <w:tcPr>
            <w:tcW w:w="50" w:type="pct"/>
            <w:shd w:val="clear" w:color="auto" w:fill="auto"/>
            <w:vAlign w:val="center"/>
          </w:tcPr>
          <w:p w14:paraId="54E8FB86" w14:textId="77777777" w:rsidR="00F427A3" w:rsidRDefault="00F427A3">
            <w:pPr>
              <w:rPr>
                <w:rFonts w:ascii="Times New Roman" w:hAnsi="Times New Roman"/>
                <w:sz w:val="20"/>
                <w:szCs w:val="20"/>
              </w:rPr>
            </w:pPr>
          </w:p>
        </w:tc>
        <w:tc>
          <w:tcPr>
            <w:tcW w:w="1650" w:type="pct"/>
            <w:shd w:val="clear" w:color="auto" w:fill="auto"/>
            <w:vAlign w:val="center"/>
          </w:tcPr>
          <w:p w14:paraId="54E8FB87" w14:textId="77777777" w:rsidR="00F427A3" w:rsidRDefault="00F427A3">
            <w:pPr>
              <w:rPr>
                <w:rFonts w:ascii="Times New Roman" w:hAnsi="Times New Roman"/>
                <w:sz w:val="20"/>
                <w:szCs w:val="20"/>
              </w:rPr>
            </w:pPr>
          </w:p>
        </w:tc>
      </w:tr>
      <w:tr w:rsidR="00F427A3" w14:paraId="54E8FB8B" w14:textId="77777777">
        <w:tc>
          <w:tcPr>
            <w:tcW w:w="0" w:type="auto"/>
            <w:gridSpan w:val="2"/>
            <w:shd w:val="clear" w:color="auto" w:fill="auto"/>
            <w:tcMar>
              <w:top w:w="40" w:type="dxa"/>
              <w:left w:w="40" w:type="dxa"/>
              <w:bottom w:w="40" w:type="dxa"/>
              <w:right w:w="40" w:type="dxa"/>
            </w:tcMar>
            <w:vAlign w:val="bottom"/>
          </w:tcPr>
          <w:p w14:paraId="54E8FB89" w14:textId="77777777" w:rsidR="00F427A3" w:rsidRDefault="0044221F">
            <w:pPr>
              <w:jc w:val="center"/>
              <w:textAlignment w:val="bottom"/>
              <w:rPr>
                <w:rFonts w:ascii="Times New Roman" w:hAnsi="Times New Roman"/>
                <w:sz w:val="18"/>
                <w:szCs w:val="18"/>
              </w:rPr>
            </w:pPr>
            <w:r>
              <w:rPr>
                <w:rFonts w:ascii="Times New Roman" w:eastAsia="宋体" w:hAnsi="Times New Roman"/>
                <w:b/>
                <w:bCs/>
                <w:sz w:val="18"/>
                <w:szCs w:val="18"/>
              </w:rPr>
              <w:t>Class</w:t>
            </w:r>
          </w:p>
        </w:tc>
        <w:tc>
          <w:tcPr>
            <w:tcW w:w="0" w:type="auto"/>
            <w:gridSpan w:val="3"/>
            <w:shd w:val="clear" w:color="auto" w:fill="auto"/>
            <w:tcMar>
              <w:top w:w="40" w:type="dxa"/>
              <w:left w:w="40" w:type="dxa"/>
              <w:bottom w:w="40" w:type="dxa"/>
            </w:tcMar>
            <w:vAlign w:val="bottom"/>
          </w:tcPr>
          <w:p w14:paraId="54E8FB8A" w14:textId="77777777" w:rsidR="00F427A3" w:rsidRDefault="0044221F">
            <w:pPr>
              <w:jc w:val="center"/>
              <w:textAlignment w:val="bottom"/>
              <w:rPr>
                <w:rFonts w:ascii="Times New Roman" w:hAnsi="Times New Roman"/>
                <w:sz w:val="18"/>
                <w:szCs w:val="18"/>
              </w:rPr>
            </w:pPr>
            <w:r>
              <w:rPr>
                <w:rFonts w:ascii="Times New Roman" w:eastAsia="宋体" w:hAnsi="Times New Roman"/>
                <w:b/>
                <w:bCs/>
                <w:sz w:val="18"/>
                <w:szCs w:val="18"/>
              </w:rPr>
              <w:t>Number of Shares Outstanding</w:t>
            </w:r>
          </w:p>
        </w:tc>
      </w:tr>
      <w:tr w:rsidR="00F427A3" w14:paraId="54E8FB91" w14:textId="77777777">
        <w:tc>
          <w:tcPr>
            <w:tcW w:w="0" w:type="auto"/>
            <w:shd w:val="clear" w:color="auto" w:fill="auto"/>
            <w:tcMar>
              <w:top w:w="40" w:type="dxa"/>
              <w:left w:w="40" w:type="dxa"/>
              <w:bottom w:w="40" w:type="dxa"/>
              <w:right w:w="40" w:type="dxa"/>
            </w:tcMar>
          </w:tcPr>
          <w:p w14:paraId="54E8FB8C" w14:textId="77777777" w:rsidR="00F427A3" w:rsidRDefault="0044221F">
            <w:pPr>
              <w:jc w:val="right"/>
              <w:textAlignment w:val="top"/>
              <w:rPr>
                <w:rFonts w:ascii="Times New Roman" w:hAnsi="Times New Roman"/>
                <w:sz w:val="18"/>
                <w:szCs w:val="18"/>
              </w:rPr>
            </w:pPr>
            <w:r>
              <w:rPr>
                <w:rFonts w:ascii="Times New Roman" w:eastAsia="宋体" w:hAnsi="Times New Roman"/>
                <w:sz w:val="18"/>
                <w:szCs w:val="18"/>
              </w:rPr>
              <w:t xml:space="preserve">Class A Common Stock </w:t>
            </w:r>
          </w:p>
        </w:tc>
        <w:tc>
          <w:tcPr>
            <w:tcW w:w="0" w:type="auto"/>
            <w:shd w:val="clear" w:color="auto" w:fill="auto"/>
            <w:tcMar>
              <w:top w:w="40" w:type="dxa"/>
              <w:left w:w="40" w:type="dxa"/>
              <w:bottom w:w="40" w:type="dxa"/>
              <w:right w:w="40" w:type="dxa"/>
            </w:tcMar>
            <w:vAlign w:val="bottom"/>
          </w:tcPr>
          <w:p w14:paraId="54E8FB8D"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$0.000006 par value</w:t>
            </w:r>
          </w:p>
        </w:tc>
        <w:tc>
          <w:tcPr>
            <w:tcW w:w="0" w:type="auto"/>
            <w:shd w:val="clear" w:color="auto" w:fill="auto"/>
            <w:tcMar>
              <w:top w:w="40" w:type="dxa"/>
              <w:left w:w="40" w:type="dxa"/>
              <w:bottom w:w="40" w:type="dxa"/>
            </w:tcMar>
            <w:vAlign w:val="bottom"/>
          </w:tcPr>
          <w:p w14:paraId="54E8FB8E"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2,403,968,963</w:t>
            </w:r>
          </w:p>
        </w:tc>
        <w:tc>
          <w:tcPr>
            <w:tcW w:w="0" w:type="auto"/>
            <w:shd w:val="clear" w:color="auto" w:fill="auto"/>
            <w:vAlign w:val="bottom"/>
          </w:tcPr>
          <w:p w14:paraId="54E8FB8F"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tcPr>
          <w:p w14:paraId="54E8FB90" w14:textId="77777777" w:rsidR="00F427A3" w:rsidRDefault="0044221F">
            <w:pPr>
              <w:textAlignment w:val="top"/>
              <w:rPr>
                <w:rFonts w:ascii="Times New Roman" w:hAnsi="Times New Roman"/>
                <w:sz w:val="18"/>
                <w:szCs w:val="18"/>
              </w:rPr>
            </w:pPr>
            <w:r>
              <w:rPr>
                <w:rFonts w:ascii="Times New Roman" w:eastAsia="宋体" w:hAnsi="Times New Roman"/>
                <w:sz w:val="18"/>
                <w:szCs w:val="18"/>
              </w:rPr>
              <w:t>shares outstanding as of October 23, 2020</w:t>
            </w:r>
          </w:p>
        </w:tc>
      </w:tr>
      <w:tr w:rsidR="00F427A3" w14:paraId="54E8FB97" w14:textId="77777777">
        <w:tc>
          <w:tcPr>
            <w:tcW w:w="0" w:type="auto"/>
            <w:shd w:val="clear" w:color="auto" w:fill="auto"/>
            <w:tcMar>
              <w:top w:w="40" w:type="dxa"/>
              <w:left w:w="40" w:type="dxa"/>
              <w:bottom w:w="40" w:type="dxa"/>
              <w:right w:w="40" w:type="dxa"/>
            </w:tcMar>
          </w:tcPr>
          <w:p w14:paraId="54E8FB92" w14:textId="77777777" w:rsidR="00F427A3" w:rsidRDefault="0044221F">
            <w:pPr>
              <w:jc w:val="right"/>
              <w:textAlignment w:val="top"/>
              <w:rPr>
                <w:rFonts w:ascii="Times New Roman" w:hAnsi="Times New Roman"/>
                <w:sz w:val="18"/>
                <w:szCs w:val="18"/>
              </w:rPr>
            </w:pPr>
            <w:r>
              <w:rPr>
                <w:rFonts w:ascii="Times New Roman" w:eastAsia="宋体" w:hAnsi="Times New Roman"/>
                <w:sz w:val="18"/>
                <w:szCs w:val="18"/>
              </w:rPr>
              <w:t xml:space="preserve">Class B Common Stock </w:t>
            </w:r>
          </w:p>
        </w:tc>
        <w:tc>
          <w:tcPr>
            <w:tcW w:w="0" w:type="auto"/>
            <w:shd w:val="clear" w:color="auto" w:fill="auto"/>
            <w:tcMar>
              <w:top w:w="40" w:type="dxa"/>
              <w:left w:w="40" w:type="dxa"/>
              <w:bottom w:w="40" w:type="dxa"/>
              <w:right w:w="40" w:type="dxa"/>
            </w:tcMar>
            <w:vAlign w:val="bottom"/>
          </w:tcPr>
          <w:p w14:paraId="54E8FB93"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$0.000006 par value</w:t>
            </w:r>
          </w:p>
        </w:tc>
        <w:tc>
          <w:tcPr>
            <w:tcW w:w="0" w:type="auto"/>
            <w:shd w:val="clear" w:color="auto" w:fill="auto"/>
            <w:tcMar>
              <w:top w:w="40" w:type="dxa"/>
              <w:left w:w="40" w:type="dxa"/>
              <w:bottom w:w="40" w:type="dxa"/>
            </w:tcMar>
            <w:vAlign w:val="bottom"/>
          </w:tcPr>
          <w:p w14:paraId="54E8FB94"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444,323,708</w:t>
            </w:r>
          </w:p>
        </w:tc>
        <w:tc>
          <w:tcPr>
            <w:tcW w:w="0" w:type="auto"/>
            <w:shd w:val="clear" w:color="auto" w:fill="auto"/>
            <w:vAlign w:val="bottom"/>
          </w:tcPr>
          <w:p w14:paraId="54E8FB95"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tcPr>
          <w:p w14:paraId="54E8FB96" w14:textId="77777777" w:rsidR="00F427A3" w:rsidRDefault="0044221F">
            <w:pPr>
              <w:textAlignment w:val="top"/>
              <w:rPr>
                <w:rFonts w:ascii="Times New Roman" w:hAnsi="Times New Roman"/>
                <w:sz w:val="18"/>
                <w:szCs w:val="18"/>
              </w:rPr>
            </w:pPr>
            <w:r>
              <w:rPr>
                <w:rFonts w:ascii="Times New Roman" w:eastAsia="宋体" w:hAnsi="Times New Roman"/>
                <w:sz w:val="18"/>
                <w:szCs w:val="18"/>
              </w:rPr>
              <w:t>shares outstanding as of October 23, 2020</w:t>
            </w:r>
          </w:p>
        </w:tc>
      </w:tr>
    </w:tbl>
    <w:p w14:paraId="54E8FB98" w14:textId="77777777" w:rsidR="00F427A3" w:rsidRDefault="00F427A3">
      <w:pPr>
        <w:rPr>
          <w:rFonts w:ascii="Times New Roman" w:hAnsi="Times New Roman"/>
          <w:sz w:val="20"/>
          <w:szCs w:val="20"/>
        </w:rPr>
      </w:pPr>
    </w:p>
    <w:p w14:paraId="54E8FB99" w14:textId="77777777" w:rsidR="00F427A3" w:rsidRDefault="0044221F">
      <w:r>
        <w:rPr>
          <w:rFonts w:ascii="Times New Roman" w:hAnsi="Times New Roman"/>
          <w:sz w:val="20"/>
          <w:szCs w:val="20"/>
        </w:rPr>
        <w:pict w14:anchorId="54E91C21">
          <v:rect id="_x0000_i1025" style="width:415.3pt;height:1.5pt" o:hralign="center" o:hrstd="t" o:hr="t" fillcolor="#a0a0a0" stroked="f"/>
        </w:pict>
      </w:r>
    </w:p>
    <w:p w14:paraId="54E8FB9A" w14:textId="77777777" w:rsidR="00F427A3" w:rsidRDefault="00F427A3">
      <w:pPr>
        <w:rPr>
          <w:rFonts w:ascii="Times New Roman" w:hAnsi="Times New Roman"/>
          <w:sz w:val="20"/>
          <w:szCs w:val="20"/>
        </w:rPr>
      </w:pPr>
    </w:p>
    <w:p w14:paraId="54E8FB9B"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54E8FB9C"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TABLE OF CONTENTS</w:t>
      </w:r>
    </w:p>
    <w:p w14:paraId="54E8FB9D" w14:textId="77777777" w:rsidR="00F427A3" w:rsidRDefault="00F427A3">
      <w:pPr>
        <w:spacing w:line="288" w:lineRule="auto"/>
        <w:jc w:val="cente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791"/>
        <w:gridCol w:w="6872"/>
        <w:gridCol w:w="643"/>
      </w:tblGrid>
      <w:tr w:rsidR="00F427A3" w14:paraId="54E8FB9F" w14:textId="77777777">
        <w:tc>
          <w:tcPr>
            <w:tcW w:w="0" w:type="auto"/>
            <w:gridSpan w:val="3"/>
            <w:shd w:val="clear" w:color="auto" w:fill="auto"/>
            <w:vAlign w:val="center"/>
          </w:tcPr>
          <w:p w14:paraId="54E8FB9E" w14:textId="77777777" w:rsidR="00F427A3" w:rsidRDefault="00F427A3">
            <w:pPr>
              <w:rPr>
                <w:rFonts w:ascii="Times New Roman" w:hAnsi="Times New Roman"/>
                <w:sz w:val="20"/>
                <w:szCs w:val="20"/>
              </w:rPr>
            </w:pPr>
          </w:p>
        </w:tc>
      </w:tr>
      <w:tr w:rsidR="00F427A3" w14:paraId="54E8FBA3" w14:textId="77777777">
        <w:tc>
          <w:tcPr>
            <w:tcW w:w="450" w:type="pct"/>
            <w:shd w:val="clear" w:color="auto" w:fill="auto"/>
            <w:vAlign w:val="center"/>
          </w:tcPr>
          <w:p w14:paraId="54E8FBA0" w14:textId="77777777" w:rsidR="00F427A3" w:rsidRDefault="00F427A3">
            <w:pPr>
              <w:rPr>
                <w:rFonts w:ascii="Times New Roman" w:hAnsi="Times New Roman"/>
                <w:sz w:val="20"/>
                <w:szCs w:val="20"/>
              </w:rPr>
            </w:pPr>
          </w:p>
        </w:tc>
        <w:tc>
          <w:tcPr>
            <w:tcW w:w="4150" w:type="pct"/>
            <w:shd w:val="clear" w:color="auto" w:fill="auto"/>
            <w:vAlign w:val="center"/>
          </w:tcPr>
          <w:p w14:paraId="54E8FBA1" w14:textId="77777777" w:rsidR="00F427A3" w:rsidRDefault="00F427A3">
            <w:pPr>
              <w:rPr>
                <w:rFonts w:ascii="Times New Roman" w:hAnsi="Times New Roman"/>
                <w:sz w:val="20"/>
                <w:szCs w:val="20"/>
              </w:rPr>
            </w:pPr>
          </w:p>
        </w:tc>
        <w:tc>
          <w:tcPr>
            <w:tcW w:w="400" w:type="pct"/>
            <w:shd w:val="clear" w:color="auto" w:fill="auto"/>
            <w:vAlign w:val="center"/>
          </w:tcPr>
          <w:p w14:paraId="54E8FBA2" w14:textId="77777777" w:rsidR="00F427A3" w:rsidRDefault="00F427A3">
            <w:pPr>
              <w:rPr>
                <w:rFonts w:ascii="Times New Roman" w:hAnsi="Times New Roman"/>
                <w:sz w:val="20"/>
                <w:szCs w:val="20"/>
              </w:rPr>
            </w:pPr>
          </w:p>
        </w:tc>
      </w:tr>
      <w:tr w:rsidR="00F427A3" w14:paraId="54E8FBA7" w14:textId="77777777">
        <w:tc>
          <w:tcPr>
            <w:tcW w:w="0" w:type="auto"/>
            <w:shd w:val="clear" w:color="auto" w:fill="auto"/>
            <w:tcMar>
              <w:top w:w="40" w:type="dxa"/>
              <w:left w:w="40" w:type="dxa"/>
              <w:bottom w:w="40" w:type="dxa"/>
              <w:right w:w="40" w:type="dxa"/>
            </w:tcMar>
            <w:vAlign w:val="center"/>
          </w:tcPr>
          <w:p w14:paraId="54E8FBA4" w14:textId="77777777" w:rsidR="00F427A3" w:rsidRDefault="0044221F">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center"/>
          </w:tcPr>
          <w:p w14:paraId="54E8FBA5" w14:textId="77777777" w:rsidR="00F427A3" w:rsidRDefault="0044221F">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center"/>
          </w:tcPr>
          <w:p w14:paraId="54E8FBA6" w14:textId="77777777" w:rsidR="00F427A3" w:rsidRDefault="0044221F">
            <w:pPr>
              <w:jc w:val="center"/>
              <w:textAlignment w:val="center"/>
              <w:rPr>
                <w:rFonts w:ascii="Times New Roman" w:hAnsi="Times New Roman"/>
                <w:sz w:val="20"/>
                <w:szCs w:val="20"/>
              </w:rPr>
            </w:pPr>
            <w:r>
              <w:rPr>
                <w:rFonts w:ascii="Times New Roman" w:eastAsia="宋体" w:hAnsi="Times New Roman"/>
                <w:sz w:val="20"/>
                <w:szCs w:val="20"/>
                <w:u w:val="single"/>
              </w:rPr>
              <w:t>Page </w:t>
            </w:r>
          </w:p>
        </w:tc>
      </w:tr>
      <w:tr w:rsidR="00F427A3" w14:paraId="54E8FBAA" w14:textId="77777777">
        <w:tc>
          <w:tcPr>
            <w:tcW w:w="0" w:type="auto"/>
            <w:gridSpan w:val="2"/>
            <w:shd w:val="clear" w:color="auto" w:fill="auto"/>
            <w:tcMar>
              <w:top w:w="40" w:type="dxa"/>
              <w:left w:w="40" w:type="dxa"/>
              <w:bottom w:w="40" w:type="dxa"/>
              <w:right w:w="40" w:type="dxa"/>
            </w:tcMar>
            <w:vAlign w:val="bottom"/>
          </w:tcPr>
          <w:p w14:paraId="54E8FBA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A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BAD" w14:textId="77777777">
        <w:tc>
          <w:tcPr>
            <w:tcW w:w="0" w:type="auto"/>
            <w:gridSpan w:val="2"/>
            <w:shd w:val="clear" w:color="auto" w:fill="auto"/>
            <w:tcMar>
              <w:top w:w="40" w:type="dxa"/>
              <w:left w:w="40" w:type="dxa"/>
              <w:bottom w:w="40" w:type="dxa"/>
              <w:right w:w="40" w:type="dxa"/>
            </w:tcMar>
            <w:vAlign w:val="center"/>
          </w:tcPr>
          <w:p w14:paraId="54E8FBAB" w14:textId="77777777" w:rsidR="00F427A3" w:rsidRDefault="0044221F">
            <w:pPr>
              <w:jc w:val="both"/>
              <w:textAlignment w:val="center"/>
              <w:rPr>
                <w:rFonts w:ascii="Times New Roman" w:hAnsi="Times New Roman"/>
                <w:sz w:val="20"/>
                <w:szCs w:val="20"/>
              </w:rPr>
            </w:pPr>
            <w:hyperlink r:id="rId6" w:anchor="s8DCEC4D0D6CD5BB7B9FCEFE6381183F1" w:history="1">
              <w:r>
                <w:rPr>
                  <w:rStyle w:val="a5"/>
                  <w:rFonts w:ascii="Times New Roman" w:eastAsia="宋体" w:hAnsi="Times New Roman"/>
                  <w:sz w:val="20"/>
                  <w:szCs w:val="20"/>
                </w:rPr>
                <w:t>Note About Forward-Looking Statements</w:t>
              </w:r>
            </w:hyperlink>
          </w:p>
        </w:tc>
        <w:tc>
          <w:tcPr>
            <w:tcW w:w="0" w:type="auto"/>
            <w:shd w:val="clear" w:color="auto" w:fill="auto"/>
            <w:tcMar>
              <w:top w:w="40" w:type="dxa"/>
              <w:left w:w="40" w:type="dxa"/>
              <w:bottom w:w="40" w:type="dxa"/>
              <w:right w:w="40" w:type="dxa"/>
            </w:tcMar>
            <w:vAlign w:val="center"/>
          </w:tcPr>
          <w:p w14:paraId="54E8FBAC" w14:textId="77777777" w:rsidR="00F427A3" w:rsidRDefault="0044221F">
            <w:pPr>
              <w:jc w:val="center"/>
              <w:textAlignment w:val="center"/>
              <w:rPr>
                <w:rFonts w:ascii="Times New Roman" w:hAnsi="Times New Roman"/>
                <w:sz w:val="20"/>
                <w:szCs w:val="20"/>
              </w:rPr>
            </w:pPr>
            <w:hyperlink r:id="rId7" w:anchor="s8DCEC4D0D6CD5BB7B9FCEFE6381183F1" w:history="1">
              <w:r>
                <w:rPr>
                  <w:rStyle w:val="a5"/>
                  <w:rFonts w:ascii="Times New Roman" w:eastAsia="宋体" w:hAnsi="Times New Roman"/>
                  <w:sz w:val="20"/>
                  <w:szCs w:val="20"/>
                </w:rPr>
                <w:t>3</w:t>
              </w:r>
            </w:hyperlink>
          </w:p>
        </w:tc>
      </w:tr>
      <w:tr w:rsidR="00F427A3" w14:paraId="54E8FBB0" w14:textId="77777777">
        <w:tc>
          <w:tcPr>
            <w:tcW w:w="0" w:type="auto"/>
            <w:gridSpan w:val="2"/>
            <w:shd w:val="clear" w:color="auto" w:fill="auto"/>
            <w:tcMar>
              <w:top w:w="40" w:type="dxa"/>
              <w:left w:w="40" w:type="dxa"/>
              <w:bottom w:w="40" w:type="dxa"/>
              <w:right w:w="40" w:type="dxa"/>
            </w:tcMar>
            <w:vAlign w:val="bottom"/>
          </w:tcPr>
          <w:p w14:paraId="54E8FBA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A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BB3" w14:textId="77777777">
        <w:tc>
          <w:tcPr>
            <w:tcW w:w="0" w:type="auto"/>
            <w:gridSpan w:val="2"/>
            <w:shd w:val="clear" w:color="auto" w:fill="auto"/>
            <w:tcMar>
              <w:top w:w="40" w:type="dxa"/>
              <w:left w:w="40" w:type="dxa"/>
              <w:bottom w:w="40" w:type="dxa"/>
              <w:right w:w="40" w:type="dxa"/>
            </w:tcMar>
            <w:vAlign w:val="center"/>
          </w:tcPr>
          <w:p w14:paraId="54E8FBB1" w14:textId="77777777" w:rsidR="00F427A3" w:rsidRDefault="0044221F">
            <w:pPr>
              <w:textAlignment w:val="center"/>
              <w:rPr>
                <w:rFonts w:ascii="Times New Roman" w:hAnsi="Times New Roman"/>
                <w:sz w:val="20"/>
                <w:szCs w:val="20"/>
              </w:rPr>
            </w:pPr>
            <w:hyperlink r:id="rId8" w:anchor="sDB9735A31C985641AD3A1DE2BCEDA69A" w:history="1">
              <w:r>
                <w:rPr>
                  <w:rStyle w:val="a5"/>
                  <w:rFonts w:ascii="Times New Roman" w:eastAsia="宋体" w:hAnsi="Times New Roman"/>
                  <w:sz w:val="20"/>
                  <w:szCs w:val="20"/>
                </w:rPr>
                <w:t>Limitations of Key Metrics and Other Data</w:t>
              </w:r>
            </w:hyperlink>
          </w:p>
        </w:tc>
        <w:tc>
          <w:tcPr>
            <w:tcW w:w="0" w:type="auto"/>
            <w:shd w:val="clear" w:color="auto" w:fill="auto"/>
            <w:tcMar>
              <w:top w:w="40" w:type="dxa"/>
              <w:left w:w="40" w:type="dxa"/>
              <w:bottom w:w="40" w:type="dxa"/>
              <w:right w:w="40" w:type="dxa"/>
            </w:tcMar>
            <w:vAlign w:val="center"/>
          </w:tcPr>
          <w:p w14:paraId="54E8FBB2" w14:textId="77777777" w:rsidR="00F427A3" w:rsidRDefault="0044221F">
            <w:pPr>
              <w:jc w:val="center"/>
              <w:textAlignment w:val="center"/>
              <w:rPr>
                <w:rFonts w:ascii="Times New Roman" w:hAnsi="Times New Roman"/>
                <w:sz w:val="20"/>
                <w:szCs w:val="20"/>
              </w:rPr>
            </w:pPr>
            <w:hyperlink r:id="rId9" w:anchor="sDB9735A31C985641AD3A1DE2BCEDA69A" w:history="1">
              <w:r>
                <w:rPr>
                  <w:rStyle w:val="a5"/>
                  <w:rFonts w:ascii="Times New Roman" w:eastAsia="宋体" w:hAnsi="Times New Roman"/>
                  <w:sz w:val="20"/>
                  <w:szCs w:val="20"/>
                </w:rPr>
                <w:t>4</w:t>
              </w:r>
            </w:hyperlink>
          </w:p>
        </w:tc>
      </w:tr>
      <w:tr w:rsidR="00F427A3" w14:paraId="54E8FBB6" w14:textId="77777777">
        <w:tc>
          <w:tcPr>
            <w:tcW w:w="0" w:type="auto"/>
            <w:gridSpan w:val="2"/>
            <w:shd w:val="clear" w:color="auto" w:fill="auto"/>
            <w:tcMar>
              <w:top w:w="40" w:type="dxa"/>
              <w:left w:w="40" w:type="dxa"/>
              <w:bottom w:w="40" w:type="dxa"/>
              <w:right w:w="40" w:type="dxa"/>
            </w:tcMar>
            <w:vAlign w:val="bottom"/>
          </w:tcPr>
          <w:p w14:paraId="54E8FBB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B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BB9" w14:textId="77777777">
        <w:tc>
          <w:tcPr>
            <w:tcW w:w="0" w:type="auto"/>
            <w:gridSpan w:val="2"/>
            <w:shd w:val="clear" w:color="auto" w:fill="auto"/>
            <w:tcMar>
              <w:top w:w="40" w:type="dxa"/>
              <w:left w:w="40" w:type="dxa"/>
              <w:bottom w:w="40" w:type="dxa"/>
              <w:right w:w="40" w:type="dxa"/>
            </w:tcMar>
            <w:vAlign w:val="center"/>
          </w:tcPr>
          <w:p w14:paraId="54E8FBB7" w14:textId="77777777" w:rsidR="00F427A3" w:rsidRDefault="0044221F">
            <w:pPr>
              <w:jc w:val="center"/>
              <w:textAlignment w:val="center"/>
              <w:rPr>
                <w:rFonts w:ascii="Times New Roman" w:hAnsi="Times New Roman"/>
                <w:sz w:val="20"/>
                <w:szCs w:val="20"/>
              </w:rPr>
            </w:pPr>
            <w:hyperlink r:id="rId10" w:anchor="sAA81A67FC4535C2F9F3AB7FF413255C1" w:history="1">
              <w:r>
                <w:rPr>
                  <w:rStyle w:val="a5"/>
                  <w:rFonts w:ascii="Times New Roman" w:eastAsia="宋体" w:hAnsi="Times New Roman"/>
                  <w:sz w:val="20"/>
                  <w:szCs w:val="20"/>
                </w:rPr>
                <w:t>PART I</w:t>
              </w:r>
              <w:r>
                <w:rPr>
                  <w:rStyle w:val="a5"/>
                  <w:rFonts w:ascii="Times New Roman" w:eastAsia="宋体" w:hAnsi="Times New Roman"/>
                  <w:sz w:val="20"/>
                  <w:szCs w:val="20"/>
                </w:rPr>
                <w:t>—FINANCIAL INFORMATION</w:t>
              </w:r>
            </w:hyperlink>
          </w:p>
        </w:tc>
        <w:tc>
          <w:tcPr>
            <w:tcW w:w="0" w:type="auto"/>
            <w:shd w:val="clear" w:color="auto" w:fill="auto"/>
            <w:tcMar>
              <w:top w:w="40" w:type="dxa"/>
              <w:left w:w="40" w:type="dxa"/>
              <w:bottom w:w="40" w:type="dxa"/>
              <w:right w:w="40" w:type="dxa"/>
            </w:tcMar>
            <w:vAlign w:val="center"/>
          </w:tcPr>
          <w:p w14:paraId="54E8FBB8" w14:textId="77777777" w:rsidR="00F427A3" w:rsidRDefault="0044221F">
            <w:pPr>
              <w:jc w:val="center"/>
              <w:textAlignment w:val="center"/>
              <w:rPr>
                <w:rFonts w:ascii="Times New Roman" w:hAnsi="Times New Roman"/>
                <w:sz w:val="20"/>
                <w:szCs w:val="20"/>
              </w:rPr>
            </w:pPr>
            <w:hyperlink r:id="rId11" w:anchor="sAA81A67FC4535C2F9F3AB7FF413255C1" w:history="1">
              <w:r>
                <w:rPr>
                  <w:rStyle w:val="a5"/>
                  <w:rFonts w:ascii="Times New Roman" w:eastAsia="宋体" w:hAnsi="Times New Roman"/>
                  <w:sz w:val="20"/>
                  <w:szCs w:val="20"/>
                </w:rPr>
                <w:t>7</w:t>
              </w:r>
            </w:hyperlink>
          </w:p>
        </w:tc>
      </w:tr>
      <w:tr w:rsidR="00F427A3" w14:paraId="54E8FBBD" w14:textId="77777777">
        <w:tc>
          <w:tcPr>
            <w:tcW w:w="0" w:type="auto"/>
            <w:shd w:val="clear" w:color="auto" w:fill="auto"/>
            <w:tcMar>
              <w:top w:w="40" w:type="dxa"/>
              <w:left w:w="40" w:type="dxa"/>
              <w:bottom w:w="40" w:type="dxa"/>
              <w:right w:w="40" w:type="dxa"/>
            </w:tcMar>
            <w:vAlign w:val="bottom"/>
          </w:tcPr>
          <w:p w14:paraId="54E8FBB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B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B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BC1" w14:textId="77777777">
        <w:tc>
          <w:tcPr>
            <w:tcW w:w="0" w:type="auto"/>
            <w:shd w:val="clear" w:color="auto" w:fill="auto"/>
            <w:tcMar>
              <w:top w:w="40" w:type="dxa"/>
              <w:left w:w="40" w:type="dxa"/>
              <w:bottom w:w="40" w:type="dxa"/>
              <w:right w:w="40" w:type="dxa"/>
            </w:tcMar>
            <w:vAlign w:val="center"/>
          </w:tcPr>
          <w:p w14:paraId="54E8FBBE" w14:textId="77777777" w:rsidR="00F427A3" w:rsidRDefault="0044221F">
            <w:pPr>
              <w:jc w:val="both"/>
              <w:textAlignment w:val="center"/>
              <w:rPr>
                <w:rFonts w:ascii="Times New Roman" w:hAnsi="Times New Roman"/>
                <w:sz w:val="20"/>
                <w:szCs w:val="20"/>
              </w:rPr>
            </w:pPr>
            <w:r>
              <w:rPr>
                <w:rFonts w:ascii="Times New Roman" w:eastAsia="宋体" w:hAnsi="Times New Roman"/>
                <w:sz w:val="20"/>
                <w:szCs w:val="20"/>
              </w:rPr>
              <w:t>Item 1.</w:t>
            </w:r>
          </w:p>
        </w:tc>
        <w:tc>
          <w:tcPr>
            <w:tcW w:w="0" w:type="auto"/>
            <w:shd w:val="clear" w:color="auto" w:fill="auto"/>
            <w:tcMar>
              <w:top w:w="40" w:type="dxa"/>
              <w:left w:w="40" w:type="dxa"/>
              <w:bottom w:w="40" w:type="dxa"/>
              <w:right w:w="40" w:type="dxa"/>
            </w:tcMar>
            <w:vAlign w:val="center"/>
          </w:tcPr>
          <w:p w14:paraId="54E8FBBF" w14:textId="77777777" w:rsidR="00F427A3" w:rsidRDefault="0044221F">
            <w:pPr>
              <w:jc w:val="both"/>
              <w:textAlignment w:val="center"/>
              <w:rPr>
                <w:rFonts w:ascii="Times New Roman" w:hAnsi="Times New Roman"/>
                <w:sz w:val="20"/>
                <w:szCs w:val="20"/>
              </w:rPr>
            </w:pPr>
            <w:hyperlink r:id="rId12" w:anchor="s30819286D8D95422922577920E6F2B53" w:history="1">
              <w:r>
                <w:rPr>
                  <w:rStyle w:val="a5"/>
                  <w:rFonts w:ascii="Times New Roman" w:eastAsia="宋体" w:hAnsi="Times New Roman"/>
                  <w:sz w:val="20"/>
                  <w:szCs w:val="20"/>
                </w:rPr>
                <w:t>Financial Statements (unaudited)</w:t>
              </w:r>
            </w:hyperlink>
          </w:p>
        </w:tc>
        <w:tc>
          <w:tcPr>
            <w:tcW w:w="0" w:type="auto"/>
            <w:shd w:val="clear" w:color="auto" w:fill="auto"/>
            <w:tcMar>
              <w:top w:w="40" w:type="dxa"/>
              <w:left w:w="40" w:type="dxa"/>
              <w:bottom w:w="40" w:type="dxa"/>
              <w:right w:w="40" w:type="dxa"/>
            </w:tcMar>
            <w:vAlign w:val="center"/>
          </w:tcPr>
          <w:p w14:paraId="54E8FBC0" w14:textId="77777777" w:rsidR="00F427A3" w:rsidRDefault="0044221F">
            <w:pPr>
              <w:jc w:val="center"/>
              <w:textAlignment w:val="center"/>
              <w:rPr>
                <w:rFonts w:ascii="Times New Roman" w:hAnsi="Times New Roman"/>
                <w:sz w:val="20"/>
                <w:szCs w:val="20"/>
              </w:rPr>
            </w:pPr>
            <w:hyperlink r:id="rId13" w:anchor="s30819286D8D95422922577920E6F2B53" w:history="1">
              <w:r>
                <w:rPr>
                  <w:rStyle w:val="a5"/>
                  <w:rFonts w:ascii="Times New Roman" w:eastAsia="宋体" w:hAnsi="Times New Roman"/>
                  <w:sz w:val="20"/>
                  <w:szCs w:val="20"/>
                </w:rPr>
                <w:t>7</w:t>
              </w:r>
            </w:hyperlink>
          </w:p>
        </w:tc>
      </w:tr>
      <w:tr w:rsidR="00F427A3" w14:paraId="54E8FBC5" w14:textId="77777777">
        <w:tc>
          <w:tcPr>
            <w:tcW w:w="0" w:type="auto"/>
            <w:shd w:val="clear" w:color="auto" w:fill="auto"/>
            <w:tcMar>
              <w:top w:w="40" w:type="dxa"/>
              <w:left w:w="40" w:type="dxa"/>
              <w:bottom w:w="40" w:type="dxa"/>
              <w:right w:w="40" w:type="dxa"/>
            </w:tcMar>
            <w:vAlign w:val="bottom"/>
          </w:tcPr>
          <w:p w14:paraId="54E8FBC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C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C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BC9" w14:textId="77777777">
        <w:tc>
          <w:tcPr>
            <w:tcW w:w="0" w:type="auto"/>
            <w:shd w:val="clear" w:color="auto" w:fill="auto"/>
            <w:tcMar>
              <w:top w:w="40" w:type="dxa"/>
              <w:left w:w="40" w:type="dxa"/>
              <w:bottom w:w="40" w:type="dxa"/>
              <w:right w:w="40" w:type="dxa"/>
            </w:tcMar>
            <w:vAlign w:val="bottom"/>
          </w:tcPr>
          <w:p w14:paraId="54E8FBC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4E8FBC7" w14:textId="77777777" w:rsidR="00F427A3" w:rsidRDefault="0044221F">
            <w:pPr>
              <w:jc w:val="both"/>
              <w:textAlignment w:val="center"/>
              <w:rPr>
                <w:rFonts w:ascii="Times New Roman" w:hAnsi="Times New Roman"/>
                <w:sz w:val="20"/>
                <w:szCs w:val="20"/>
              </w:rPr>
            </w:pPr>
            <w:hyperlink r:id="rId14" w:anchor="s37AC1287D04B5484840A46E2F90A87D6" w:history="1">
              <w:r>
                <w:rPr>
                  <w:rStyle w:val="a5"/>
                  <w:rFonts w:ascii="Times New Roman" w:eastAsia="宋体" w:hAnsi="Times New Roman"/>
                  <w:sz w:val="20"/>
                  <w:szCs w:val="20"/>
                </w:rPr>
                <w:t>Condensed Consolidated Balance Sheets—September 30, 2020 and December 31, 2019</w:t>
              </w:r>
            </w:hyperlink>
          </w:p>
        </w:tc>
        <w:tc>
          <w:tcPr>
            <w:tcW w:w="0" w:type="auto"/>
            <w:shd w:val="clear" w:color="auto" w:fill="auto"/>
            <w:tcMar>
              <w:top w:w="40" w:type="dxa"/>
              <w:left w:w="40" w:type="dxa"/>
              <w:bottom w:w="40" w:type="dxa"/>
              <w:right w:w="40" w:type="dxa"/>
            </w:tcMar>
            <w:vAlign w:val="center"/>
          </w:tcPr>
          <w:p w14:paraId="54E8FBC8" w14:textId="77777777" w:rsidR="00F427A3" w:rsidRDefault="0044221F">
            <w:pPr>
              <w:jc w:val="center"/>
              <w:textAlignment w:val="center"/>
              <w:rPr>
                <w:rFonts w:ascii="Times New Roman" w:hAnsi="Times New Roman"/>
                <w:sz w:val="20"/>
                <w:szCs w:val="20"/>
              </w:rPr>
            </w:pPr>
            <w:hyperlink r:id="rId15" w:anchor="s37AC1287D04B5484840A46E2F90A87D6" w:history="1">
              <w:r>
                <w:rPr>
                  <w:rStyle w:val="a5"/>
                  <w:rFonts w:ascii="Times New Roman" w:eastAsia="宋体" w:hAnsi="Times New Roman"/>
                  <w:sz w:val="20"/>
                  <w:szCs w:val="20"/>
                </w:rPr>
                <w:t>7</w:t>
              </w:r>
            </w:hyperlink>
          </w:p>
        </w:tc>
      </w:tr>
      <w:tr w:rsidR="00F427A3" w14:paraId="54E8FBCD" w14:textId="77777777">
        <w:tc>
          <w:tcPr>
            <w:tcW w:w="0" w:type="auto"/>
            <w:shd w:val="clear" w:color="auto" w:fill="auto"/>
            <w:tcMar>
              <w:top w:w="40" w:type="dxa"/>
              <w:left w:w="40" w:type="dxa"/>
              <w:bottom w:w="40" w:type="dxa"/>
              <w:right w:w="40" w:type="dxa"/>
            </w:tcMar>
            <w:vAlign w:val="bottom"/>
          </w:tcPr>
          <w:p w14:paraId="54E8FBC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C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C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BD1" w14:textId="77777777">
        <w:tc>
          <w:tcPr>
            <w:tcW w:w="0" w:type="auto"/>
            <w:shd w:val="clear" w:color="auto" w:fill="auto"/>
            <w:tcMar>
              <w:top w:w="40" w:type="dxa"/>
              <w:left w:w="40" w:type="dxa"/>
              <w:bottom w:w="40" w:type="dxa"/>
              <w:right w:w="40" w:type="dxa"/>
            </w:tcMar>
            <w:vAlign w:val="bottom"/>
          </w:tcPr>
          <w:p w14:paraId="54E8FBC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4E8FBCF" w14:textId="77777777" w:rsidR="00F427A3" w:rsidRDefault="0044221F">
            <w:pPr>
              <w:jc w:val="both"/>
              <w:textAlignment w:val="center"/>
              <w:rPr>
                <w:rFonts w:ascii="Times New Roman" w:hAnsi="Times New Roman"/>
                <w:sz w:val="20"/>
                <w:szCs w:val="20"/>
              </w:rPr>
            </w:pPr>
            <w:hyperlink r:id="rId16" w:anchor="s2CAEF6D9A9C05763AB2AF882075BBC6E" w:history="1">
              <w:r>
                <w:rPr>
                  <w:rStyle w:val="a5"/>
                  <w:rFonts w:ascii="Times New Roman" w:eastAsia="宋体" w:hAnsi="Times New Roman"/>
                  <w:sz w:val="20"/>
                  <w:szCs w:val="20"/>
                </w:rPr>
                <w:t>Condensed Consolidated Statements of Income—for the three and nine months ended September 30, 2020 and 201</w:t>
              </w:r>
              <w:r>
                <w:rPr>
                  <w:rStyle w:val="a5"/>
                  <w:rFonts w:ascii="Times New Roman" w:eastAsia="宋体" w:hAnsi="Times New Roman"/>
                  <w:sz w:val="20"/>
                  <w:szCs w:val="20"/>
                </w:rPr>
                <w:t>9</w:t>
              </w:r>
            </w:hyperlink>
          </w:p>
        </w:tc>
        <w:tc>
          <w:tcPr>
            <w:tcW w:w="0" w:type="auto"/>
            <w:shd w:val="clear" w:color="auto" w:fill="auto"/>
            <w:tcMar>
              <w:top w:w="40" w:type="dxa"/>
              <w:left w:w="40" w:type="dxa"/>
              <w:bottom w:w="40" w:type="dxa"/>
              <w:right w:w="40" w:type="dxa"/>
            </w:tcMar>
            <w:vAlign w:val="center"/>
          </w:tcPr>
          <w:p w14:paraId="54E8FBD0" w14:textId="77777777" w:rsidR="00F427A3" w:rsidRDefault="0044221F">
            <w:pPr>
              <w:jc w:val="center"/>
              <w:textAlignment w:val="center"/>
              <w:rPr>
                <w:rFonts w:ascii="Times New Roman" w:hAnsi="Times New Roman"/>
                <w:sz w:val="20"/>
                <w:szCs w:val="20"/>
              </w:rPr>
            </w:pPr>
            <w:hyperlink r:id="rId17" w:anchor="s2CAEF6D9A9C05763AB2AF882075BBC6E" w:history="1">
              <w:r>
                <w:rPr>
                  <w:rStyle w:val="a5"/>
                  <w:rFonts w:ascii="Times New Roman" w:eastAsia="宋体" w:hAnsi="Times New Roman"/>
                  <w:sz w:val="20"/>
                  <w:szCs w:val="20"/>
                </w:rPr>
                <w:t>8</w:t>
              </w:r>
            </w:hyperlink>
          </w:p>
        </w:tc>
      </w:tr>
      <w:tr w:rsidR="00F427A3" w14:paraId="54E8FBD5" w14:textId="77777777">
        <w:tc>
          <w:tcPr>
            <w:tcW w:w="0" w:type="auto"/>
            <w:shd w:val="clear" w:color="auto" w:fill="auto"/>
            <w:tcMar>
              <w:top w:w="40" w:type="dxa"/>
              <w:left w:w="40" w:type="dxa"/>
              <w:bottom w:w="40" w:type="dxa"/>
              <w:right w:w="40" w:type="dxa"/>
            </w:tcMar>
            <w:vAlign w:val="bottom"/>
          </w:tcPr>
          <w:p w14:paraId="54E8FBD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D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D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BD9" w14:textId="77777777">
        <w:tc>
          <w:tcPr>
            <w:tcW w:w="0" w:type="auto"/>
            <w:shd w:val="clear" w:color="auto" w:fill="auto"/>
            <w:tcMar>
              <w:top w:w="40" w:type="dxa"/>
              <w:left w:w="40" w:type="dxa"/>
              <w:bottom w:w="40" w:type="dxa"/>
              <w:right w:w="40" w:type="dxa"/>
            </w:tcMar>
            <w:vAlign w:val="bottom"/>
          </w:tcPr>
          <w:p w14:paraId="54E8FBD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4E8FBD7" w14:textId="77777777" w:rsidR="00F427A3" w:rsidRDefault="0044221F">
            <w:pPr>
              <w:jc w:val="both"/>
              <w:textAlignment w:val="center"/>
              <w:rPr>
                <w:rFonts w:ascii="Times New Roman" w:hAnsi="Times New Roman"/>
                <w:sz w:val="20"/>
                <w:szCs w:val="20"/>
              </w:rPr>
            </w:pPr>
            <w:hyperlink r:id="rId18" w:anchor="s26F562283DA7546CB5C5FC66E9A5E31E" w:history="1">
              <w:r>
                <w:rPr>
                  <w:rStyle w:val="a5"/>
                  <w:rFonts w:ascii="Times New Roman" w:eastAsia="宋体" w:hAnsi="Times New Roman"/>
                  <w:sz w:val="20"/>
                  <w:szCs w:val="20"/>
                </w:rPr>
                <w:t xml:space="preserve">Condensed Consolidated Statements of Comprehensive Income—for the three and </w:t>
              </w:r>
              <w:r>
                <w:rPr>
                  <w:rStyle w:val="a5"/>
                  <w:rFonts w:ascii="Times New Roman" w:eastAsia="宋体" w:hAnsi="Times New Roman"/>
                  <w:sz w:val="20"/>
                  <w:szCs w:val="20"/>
                </w:rPr>
                <w:lastRenderedPageBreak/>
                <w:t>nine months ended September 30</w:t>
              </w:r>
              <w:r>
                <w:rPr>
                  <w:rStyle w:val="a5"/>
                  <w:rFonts w:ascii="Times New Roman" w:eastAsia="宋体" w:hAnsi="Times New Roman"/>
                  <w:sz w:val="20"/>
                  <w:szCs w:val="20"/>
                </w:rPr>
                <w:t>, 2020 and 2019</w:t>
              </w:r>
            </w:hyperlink>
          </w:p>
        </w:tc>
        <w:tc>
          <w:tcPr>
            <w:tcW w:w="0" w:type="auto"/>
            <w:shd w:val="clear" w:color="auto" w:fill="auto"/>
            <w:tcMar>
              <w:top w:w="40" w:type="dxa"/>
              <w:left w:w="40" w:type="dxa"/>
              <w:bottom w:w="40" w:type="dxa"/>
              <w:right w:w="40" w:type="dxa"/>
            </w:tcMar>
            <w:vAlign w:val="center"/>
          </w:tcPr>
          <w:p w14:paraId="54E8FBD8" w14:textId="77777777" w:rsidR="00F427A3" w:rsidRDefault="0044221F">
            <w:pPr>
              <w:jc w:val="center"/>
              <w:textAlignment w:val="center"/>
              <w:rPr>
                <w:rFonts w:ascii="Times New Roman" w:hAnsi="Times New Roman"/>
                <w:sz w:val="20"/>
                <w:szCs w:val="20"/>
              </w:rPr>
            </w:pPr>
            <w:hyperlink r:id="rId19" w:anchor="s26F562283DA7546CB5C5FC66E9A5E31E" w:history="1">
              <w:r>
                <w:rPr>
                  <w:rStyle w:val="a5"/>
                  <w:rFonts w:ascii="Times New Roman" w:eastAsia="宋体" w:hAnsi="Times New Roman"/>
                  <w:sz w:val="20"/>
                  <w:szCs w:val="20"/>
                </w:rPr>
                <w:t>9</w:t>
              </w:r>
            </w:hyperlink>
          </w:p>
        </w:tc>
      </w:tr>
      <w:tr w:rsidR="00F427A3" w14:paraId="54E8FBDD" w14:textId="77777777">
        <w:tc>
          <w:tcPr>
            <w:tcW w:w="0" w:type="auto"/>
            <w:shd w:val="clear" w:color="auto" w:fill="auto"/>
            <w:tcMar>
              <w:top w:w="40" w:type="dxa"/>
              <w:left w:w="40" w:type="dxa"/>
              <w:bottom w:w="40" w:type="dxa"/>
              <w:right w:w="40" w:type="dxa"/>
            </w:tcMar>
            <w:vAlign w:val="bottom"/>
          </w:tcPr>
          <w:p w14:paraId="54E8FBD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D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D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BE1" w14:textId="77777777">
        <w:tc>
          <w:tcPr>
            <w:tcW w:w="0" w:type="auto"/>
            <w:shd w:val="clear" w:color="auto" w:fill="auto"/>
            <w:tcMar>
              <w:top w:w="40" w:type="dxa"/>
              <w:left w:w="40" w:type="dxa"/>
              <w:bottom w:w="40" w:type="dxa"/>
              <w:right w:w="40" w:type="dxa"/>
            </w:tcMar>
            <w:vAlign w:val="bottom"/>
          </w:tcPr>
          <w:p w14:paraId="54E8FBD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4E8FBDF" w14:textId="77777777" w:rsidR="00F427A3" w:rsidRDefault="0044221F">
            <w:pPr>
              <w:jc w:val="both"/>
              <w:textAlignment w:val="center"/>
              <w:rPr>
                <w:rFonts w:ascii="Times New Roman" w:hAnsi="Times New Roman"/>
                <w:sz w:val="20"/>
                <w:szCs w:val="20"/>
              </w:rPr>
            </w:pPr>
            <w:hyperlink r:id="rId20" w:anchor="sD26955DB15815E3CAB526182C55614AC" w:history="1">
              <w:r>
                <w:rPr>
                  <w:rStyle w:val="a5"/>
                  <w:rFonts w:ascii="Times New Roman" w:eastAsia="宋体" w:hAnsi="Times New Roman"/>
                  <w:sz w:val="20"/>
                  <w:szCs w:val="20"/>
                </w:rPr>
                <w:t>Condensed Consolidated Statements of Stockholders' Equity—for the three and nine months ended September 30</w:t>
              </w:r>
              <w:r>
                <w:rPr>
                  <w:rStyle w:val="a5"/>
                  <w:rFonts w:ascii="Times New Roman" w:eastAsia="宋体" w:hAnsi="Times New Roman"/>
                  <w:sz w:val="20"/>
                  <w:szCs w:val="20"/>
                </w:rPr>
                <w:t>, 2020 and 2019</w:t>
              </w:r>
            </w:hyperlink>
          </w:p>
        </w:tc>
        <w:tc>
          <w:tcPr>
            <w:tcW w:w="0" w:type="auto"/>
            <w:shd w:val="clear" w:color="auto" w:fill="auto"/>
            <w:tcMar>
              <w:top w:w="40" w:type="dxa"/>
              <w:left w:w="40" w:type="dxa"/>
              <w:bottom w:w="40" w:type="dxa"/>
              <w:right w:w="40" w:type="dxa"/>
            </w:tcMar>
            <w:vAlign w:val="center"/>
          </w:tcPr>
          <w:p w14:paraId="54E8FBE0" w14:textId="77777777" w:rsidR="00F427A3" w:rsidRDefault="0044221F">
            <w:pPr>
              <w:jc w:val="center"/>
              <w:textAlignment w:val="center"/>
              <w:rPr>
                <w:rFonts w:ascii="Times New Roman" w:hAnsi="Times New Roman"/>
                <w:sz w:val="20"/>
                <w:szCs w:val="20"/>
              </w:rPr>
            </w:pPr>
            <w:hyperlink r:id="rId21" w:anchor="sD26955DB15815E3CAB526182C55614AC" w:history="1">
              <w:r>
                <w:rPr>
                  <w:rStyle w:val="a5"/>
                  <w:rFonts w:ascii="Times New Roman" w:eastAsia="宋体" w:hAnsi="Times New Roman"/>
                  <w:sz w:val="20"/>
                  <w:szCs w:val="20"/>
                </w:rPr>
                <w:t>10</w:t>
              </w:r>
            </w:hyperlink>
          </w:p>
        </w:tc>
      </w:tr>
      <w:tr w:rsidR="00F427A3" w14:paraId="54E8FBE5" w14:textId="77777777">
        <w:tc>
          <w:tcPr>
            <w:tcW w:w="0" w:type="auto"/>
            <w:shd w:val="clear" w:color="auto" w:fill="auto"/>
            <w:tcMar>
              <w:top w:w="40" w:type="dxa"/>
              <w:left w:w="40" w:type="dxa"/>
              <w:bottom w:w="40" w:type="dxa"/>
              <w:right w:w="40" w:type="dxa"/>
            </w:tcMar>
            <w:vAlign w:val="bottom"/>
          </w:tcPr>
          <w:p w14:paraId="54E8FBE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E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E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BE9" w14:textId="77777777">
        <w:tc>
          <w:tcPr>
            <w:tcW w:w="0" w:type="auto"/>
            <w:shd w:val="clear" w:color="auto" w:fill="auto"/>
            <w:tcMar>
              <w:top w:w="40" w:type="dxa"/>
              <w:left w:w="40" w:type="dxa"/>
              <w:bottom w:w="40" w:type="dxa"/>
              <w:right w:w="40" w:type="dxa"/>
            </w:tcMar>
            <w:vAlign w:val="bottom"/>
          </w:tcPr>
          <w:p w14:paraId="54E8FBE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4E8FBE7" w14:textId="77777777" w:rsidR="00F427A3" w:rsidRDefault="0044221F">
            <w:pPr>
              <w:jc w:val="both"/>
              <w:textAlignment w:val="center"/>
              <w:rPr>
                <w:rFonts w:ascii="Times New Roman" w:hAnsi="Times New Roman"/>
                <w:sz w:val="20"/>
                <w:szCs w:val="20"/>
              </w:rPr>
            </w:pPr>
            <w:hyperlink r:id="rId22" w:anchor="s321E7BC92B7B5D8482A5179C91D23678" w:history="1">
              <w:r>
                <w:rPr>
                  <w:rStyle w:val="a5"/>
                  <w:rFonts w:ascii="Times New Roman" w:eastAsia="宋体" w:hAnsi="Times New Roman"/>
                  <w:sz w:val="20"/>
                  <w:szCs w:val="20"/>
                </w:rPr>
                <w:t>Condensed Consolidated Statements of Cash Flows—for the nine months ended September 30, 2020 and 2019</w:t>
              </w:r>
            </w:hyperlink>
          </w:p>
        </w:tc>
        <w:tc>
          <w:tcPr>
            <w:tcW w:w="0" w:type="auto"/>
            <w:shd w:val="clear" w:color="auto" w:fill="auto"/>
            <w:tcMar>
              <w:top w:w="40" w:type="dxa"/>
              <w:left w:w="40" w:type="dxa"/>
              <w:bottom w:w="40" w:type="dxa"/>
              <w:right w:w="40" w:type="dxa"/>
            </w:tcMar>
            <w:vAlign w:val="center"/>
          </w:tcPr>
          <w:p w14:paraId="54E8FBE8" w14:textId="77777777" w:rsidR="00F427A3" w:rsidRDefault="0044221F">
            <w:pPr>
              <w:jc w:val="center"/>
              <w:textAlignment w:val="center"/>
              <w:rPr>
                <w:rFonts w:ascii="Times New Roman" w:hAnsi="Times New Roman"/>
                <w:sz w:val="20"/>
                <w:szCs w:val="20"/>
              </w:rPr>
            </w:pPr>
            <w:hyperlink r:id="rId23" w:anchor="s321E7BC92B7B5D8482A5179C91D23678" w:history="1">
              <w:r>
                <w:rPr>
                  <w:rStyle w:val="a5"/>
                  <w:rFonts w:ascii="Times New Roman" w:eastAsia="宋体" w:hAnsi="Times New Roman"/>
                  <w:sz w:val="20"/>
                  <w:szCs w:val="20"/>
                </w:rPr>
                <w:t>11</w:t>
              </w:r>
            </w:hyperlink>
          </w:p>
        </w:tc>
      </w:tr>
      <w:tr w:rsidR="00F427A3" w14:paraId="54E8FBED" w14:textId="77777777">
        <w:tc>
          <w:tcPr>
            <w:tcW w:w="0" w:type="auto"/>
            <w:shd w:val="clear" w:color="auto" w:fill="auto"/>
            <w:tcMar>
              <w:top w:w="40" w:type="dxa"/>
              <w:left w:w="40" w:type="dxa"/>
              <w:bottom w:w="40" w:type="dxa"/>
              <w:right w:w="40" w:type="dxa"/>
            </w:tcMar>
            <w:vAlign w:val="bottom"/>
          </w:tcPr>
          <w:p w14:paraId="54E8FBE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E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E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BF1" w14:textId="77777777">
        <w:tc>
          <w:tcPr>
            <w:tcW w:w="0" w:type="auto"/>
            <w:shd w:val="clear" w:color="auto" w:fill="auto"/>
            <w:tcMar>
              <w:top w:w="40" w:type="dxa"/>
              <w:left w:w="40" w:type="dxa"/>
              <w:bottom w:w="40" w:type="dxa"/>
              <w:right w:w="40" w:type="dxa"/>
            </w:tcMar>
            <w:vAlign w:val="bottom"/>
          </w:tcPr>
          <w:p w14:paraId="54E8FBE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4E8FBEF" w14:textId="77777777" w:rsidR="00F427A3" w:rsidRDefault="0044221F">
            <w:pPr>
              <w:jc w:val="both"/>
              <w:textAlignment w:val="center"/>
              <w:rPr>
                <w:rFonts w:ascii="Times New Roman" w:hAnsi="Times New Roman"/>
                <w:sz w:val="20"/>
                <w:szCs w:val="20"/>
              </w:rPr>
            </w:pPr>
            <w:hyperlink r:id="rId24" w:anchor="s2E7F020573FB5781994D47DAF5290707" w:history="1">
              <w:r>
                <w:rPr>
                  <w:rStyle w:val="a5"/>
                  <w:rFonts w:ascii="Times New Roman" w:eastAsia="宋体" w:hAnsi="Times New Roman"/>
                  <w:sz w:val="20"/>
                  <w:szCs w:val="20"/>
                </w:rPr>
                <w:t>Notes to Condensed Consolidated Financial Statements</w:t>
              </w:r>
            </w:hyperlink>
          </w:p>
        </w:tc>
        <w:tc>
          <w:tcPr>
            <w:tcW w:w="0" w:type="auto"/>
            <w:shd w:val="clear" w:color="auto" w:fill="auto"/>
            <w:tcMar>
              <w:top w:w="40" w:type="dxa"/>
              <w:left w:w="40" w:type="dxa"/>
              <w:bottom w:w="40" w:type="dxa"/>
              <w:right w:w="40" w:type="dxa"/>
            </w:tcMar>
            <w:vAlign w:val="center"/>
          </w:tcPr>
          <w:p w14:paraId="54E8FBF0" w14:textId="77777777" w:rsidR="00F427A3" w:rsidRDefault="0044221F">
            <w:pPr>
              <w:jc w:val="center"/>
              <w:textAlignment w:val="center"/>
              <w:rPr>
                <w:rFonts w:ascii="Times New Roman" w:hAnsi="Times New Roman"/>
                <w:sz w:val="20"/>
                <w:szCs w:val="20"/>
              </w:rPr>
            </w:pPr>
            <w:hyperlink r:id="rId25" w:anchor="s2E7F020573FB5781994D47DAF5290707" w:history="1">
              <w:r>
                <w:rPr>
                  <w:rStyle w:val="a5"/>
                  <w:rFonts w:ascii="Times New Roman" w:eastAsia="宋体" w:hAnsi="Times New Roman"/>
                  <w:sz w:val="20"/>
                  <w:szCs w:val="20"/>
                </w:rPr>
                <w:t>13</w:t>
              </w:r>
            </w:hyperlink>
          </w:p>
        </w:tc>
      </w:tr>
      <w:tr w:rsidR="00F427A3" w14:paraId="54E8FBF5" w14:textId="77777777">
        <w:tc>
          <w:tcPr>
            <w:tcW w:w="0" w:type="auto"/>
            <w:shd w:val="clear" w:color="auto" w:fill="auto"/>
            <w:tcMar>
              <w:top w:w="40" w:type="dxa"/>
              <w:left w:w="40" w:type="dxa"/>
              <w:bottom w:w="40" w:type="dxa"/>
              <w:right w:w="40" w:type="dxa"/>
            </w:tcMar>
            <w:vAlign w:val="bottom"/>
          </w:tcPr>
          <w:p w14:paraId="54E8FBF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F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F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BF9" w14:textId="77777777">
        <w:tc>
          <w:tcPr>
            <w:tcW w:w="0" w:type="auto"/>
            <w:shd w:val="clear" w:color="auto" w:fill="auto"/>
            <w:tcMar>
              <w:top w:w="40" w:type="dxa"/>
              <w:left w:w="40" w:type="dxa"/>
              <w:bottom w:w="40" w:type="dxa"/>
              <w:right w:w="40" w:type="dxa"/>
            </w:tcMar>
            <w:vAlign w:val="center"/>
          </w:tcPr>
          <w:p w14:paraId="54E8FBF6" w14:textId="77777777" w:rsidR="00F427A3" w:rsidRDefault="0044221F">
            <w:pPr>
              <w:jc w:val="both"/>
              <w:textAlignment w:val="center"/>
              <w:rPr>
                <w:rFonts w:ascii="Times New Roman" w:hAnsi="Times New Roman"/>
                <w:sz w:val="20"/>
                <w:szCs w:val="20"/>
              </w:rPr>
            </w:pPr>
            <w:r>
              <w:rPr>
                <w:rFonts w:ascii="Times New Roman" w:eastAsia="宋体" w:hAnsi="Times New Roman"/>
                <w:sz w:val="20"/>
                <w:szCs w:val="20"/>
              </w:rPr>
              <w:t>Item 2.</w:t>
            </w:r>
          </w:p>
        </w:tc>
        <w:tc>
          <w:tcPr>
            <w:tcW w:w="0" w:type="auto"/>
            <w:shd w:val="clear" w:color="auto" w:fill="auto"/>
            <w:tcMar>
              <w:top w:w="40" w:type="dxa"/>
              <w:left w:w="40" w:type="dxa"/>
              <w:bottom w:w="40" w:type="dxa"/>
              <w:right w:w="40" w:type="dxa"/>
            </w:tcMar>
            <w:vAlign w:val="center"/>
          </w:tcPr>
          <w:p w14:paraId="54E8FBF7" w14:textId="77777777" w:rsidR="00F427A3" w:rsidRDefault="0044221F">
            <w:pPr>
              <w:jc w:val="both"/>
              <w:textAlignment w:val="center"/>
              <w:rPr>
                <w:rFonts w:ascii="Times New Roman" w:hAnsi="Times New Roman"/>
                <w:sz w:val="20"/>
                <w:szCs w:val="20"/>
              </w:rPr>
            </w:pPr>
            <w:hyperlink r:id="rId26" w:anchor="s87602952802B528491C932E5CE931628" w:history="1">
              <w:r>
                <w:rPr>
                  <w:rStyle w:val="a5"/>
                  <w:rFonts w:ascii="Times New Roman" w:eastAsia="宋体" w:hAnsi="Times New Roman"/>
                  <w:sz w:val="20"/>
                  <w:szCs w:val="20"/>
                </w:rPr>
                <w:t>Management's Discussion and Analysis of Financial Condition and Results of Operations</w:t>
              </w:r>
            </w:hyperlink>
          </w:p>
        </w:tc>
        <w:tc>
          <w:tcPr>
            <w:tcW w:w="0" w:type="auto"/>
            <w:shd w:val="clear" w:color="auto" w:fill="auto"/>
            <w:tcMar>
              <w:top w:w="40" w:type="dxa"/>
              <w:left w:w="40" w:type="dxa"/>
              <w:bottom w:w="40" w:type="dxa"/>
              <w:right w:w="40" w:type="dxa"/>
            </w:tcMar>
            <w:vAlign w:val="center"/>
          </w:tcPr>
          <w:p w14:paraId="54E8FBF8" w14:textId="77777777" w:rsidR="00F427A3" w:rsidRDefault="0044221F">
            <w:pPr>
              <w:jc w:val="center"/>
              <w:textAlignment w:val="center"/>
              <w:rPr>
                <w:rFonts w:ascii="Times New Roman" w:hAnsi="Times New Roman"/>
                <w:sz w:val="20"/>
                <w:szCs w:val="20"/>
              </w:rPr>
            </w:pPr>
            <w:hyperlink r:id="rId27" w:anchor="s87602952802B528491C932E5CE931628" w:history="1">
              <w:r>
                <w:rPr>
                  <w:rStyle w:val="a5"/>
                  <w:rFonts w:ascii="Times New Roman" w:eastAsia="宋体" w:hAnsi="Times New Roman"/>
                  <w:sz w:val="20"/>
                  <w:szCs w:val="20"/>
                </w:rPr>
                <w:t>29</w:t>
              </w:r>
            </w:hyperlink>
          </w:p>
        </w:tc>
      </w:tr>
      <w:tr w:rsidR="00F427A3" w14:paraId="54E8FBFD" w14:textId="77777777">
        <w:tc>
          <w:tcPr>
            <w:tcW w:w="0" w:type="auto"/>
            <w:shd w:val="clear" w:color="auto" w:fill="auto"/>
            <w:tcMar>
              <w:top w:w="40" w:type="dxa"/>
              <w:left w:w="40" w:type="dxa"/>
              <w:bottom w:w="40" w:type="dxa"/>
              <w:right w:w="40" w:type="dxa"/>
            </w:tcMar>
            <w:vAlign w:val="bottom"/>
          </w:tcPr>
          <w:p w14:paraId="54E8FBF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F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BF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C01" w14:textId="77777777">
        <w:tc>
          <w:tcPr>
            <w:tcW w:w="0" w:type="auto"/>
            <w:shd w:val="clear" w:color="auto" w:fill="auto"/>
            <w:tcMar>
              <w:top w:w="40" w:type="dxa"/>
              <w:left w:w="40" w:type="dxa"/>
              <w:bottom w:w="40" w:type="dxa"/>
              <w:right w:w="40" w:type="dxa"/>
            </w:tcMar>
            <w:vAlign w:val="center"/>
          </w:tcPr>
          <w:p w14:paraId="54E8FBFE" w14:textId="77777777" w:rsidR="00F427A3" w:rsidRDefault="0044221F">
            <w:pPr>
              <w:jc w:val="both"/>
              <w:textAlignment w:val="center"/>
              <w:rPr>
                <w:rFonts w:ascii="Times New Roman" w:hAnsi="Times New Roman"/>
                <w:sz w:val="20"/>
                <w:szCs w:val="20"/>
              </w:rPr>
            </w:pPr>
            <w:r>
              <w:rPr>
                <w:rFonts w:ascii="Times New Roman" w:eastAsia="宋体" w:hAnsi="Times New Roman"/>
                <w:sz w:val="20"/>
                <w:szCs w:val="20"/>
              </w:rPr>
              <w:t>Item 3.</w:t>
            </w:r>
          </w:p>
        </w:tc>
        <w:tc>
          <w:tcPr>
            <w:tcW w:w="0" w:type="auto"/>
            <w:shd w:val="clear" w:color="auto" w:fill="auto"/>
            <w:tcMar>
              <w:top w:w="40" w:type="dxa"/>
              <w:left w:w="40" w:type="dxa"/>
              <w:bottom w:w="40" w:type="dxa"/>
              <w:right w:w="40" w:type="dxa"/>
            </w:tcMar>
            <w:vAlign w:val="center"/>
          </w:tcPr>
          <w:p w14:paraId="54E8FBFF" w14:textId="77777777" w:rsidR="00F427A3" w:rsidRDefault="0044221F">
            <w:pPr>
              <w:jc w:val="both"/>
              <w:textAlignment w:val="center"/>
              <w:rPr>
                <w:rFonts w:ascii="Times New Roman" w:hAnsi="Times New Roman"/>
                <w:sz w:val="20"/>
                <w:szCs w:val="20"/>
              </w:rPr>
            </w:pPr>
            <w:hyperlink r:id="rId28" w:anchor="sD5977F9497D2528CBC9C8A1F098B4D6D" w:history="1">
              <w:r>
                <w:rPr>
                  <w:rStyle w:val="a5"/>
                  <w:rFonts w:ascii="Times New Roman" w:eastAsia="宋体" w:hAnsi="Times New Roman"/>
                  <w:sz w:val="20"/>
                  <w:szCs w:val="20"/>
                </w:rPr>
                <w:t>Quantitative and Qualitative Disclosures About Market Risk</w:t>
              </w:r>
            </w:hyperlink>
          </w:p>
        </w:tc>
        <w:tc>
          <w:tcPr>
            <w:tcW w:w="0" w:type="auto"/>
            <w:shd w:val="clear" w:color="auto" w:fill="auto"/>
            <w:tcMar>
              <w:top w:w="40" w:type="dxa"/>
              <w:left w:w="40" w:type="dxa"/>
              <w:bottom w:w="40" w:type="dxa"/>
              <w:right w:w="40" w:type="dxa"/>
            </w:tcMar>
            <w:vAlign w:val="center"/>
          </w:tcPr>
          <w:p w14:paraId="54E8FC00" w14:textId="77777777" w:rsidR="00F427A3" w:rsidRDefault="0044221F">
            <w:pPr>
              <w:jc w:val="center"/>
              <w:textAlignment w:val="center"/>
              <w:rPr>
                <w:rFonts w:ascii="Times New Roman" w:hAnsi="Times New Roman"/>
                <w:sz w:val="20"/>
                <w:szCs w:val="20"/>
              </w:rPr>
            </w:pPr>
            <w:hyperlink r:id="rId29" w:anchor="sD5977F9497D2528CBC9C8A1F098B4D6D" w:history="1">
              <w:r>
                <w:rPr>
                  <w:rStyle w:val="a5"/>
                  <w:rFonts w:ascii="Times New Roman" w:eastAsia="宋体" w:hAnsi="Times New Roman"/>
                  <w:sz w:val="20"/>
                  <w:szCs w:val="20"/>
                </w:rPr>
                <w:t>49</w:t>
              </w:r>
            </w:hyperlink>
          </w:p>
        </w:tc>
      </w:tr>
      <w:tr w:rsidR="00F427A3" w14:paraId="54E8FC05" w14:textId="77777777">
        <w:tc>
          <w:tcPr>
            <w:tcW w:w="0" w:type="auto"/>
            <w:shd w:val="clear" w:color="auto" w:fill="auto"/>
            <w:tcMar>
              <w:top w:w="40" w:type="dxa"/>
              <w:left w:w="40" w:type="dxa"/>
              <w:bottom w:w="40" w:type="dxa"/>
              <w:right w:w="40" w:type="dxa"/>
            </w:tcMar>
            <w:vAlign w:val="bottom"/>
          </w:tcPr>
          <w:p w14:paraId="54E8FC0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C0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C0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C09" w14:textId="77777777">
        <w:tc>
          <w:tcPr>
            <w:tcW w:w="0" w:type="auto"/>
            <w:shd w:val="clear" w:color="auto" w:fill="auto"/>
            <w:tcMar>
              <w:top w:w="40" w:type="dxa"/>
              <w:left w:w="40" w:type="dxa"/>
              <w:bottom w:w="40" w:type="dxa"/>
              <w:right w:w="40" w:type="dxa"/>
            </w:tcMar>
            <w:vAlign w:val="center"/>
          </w:tcPr>
          <w:p w14:paraId="54E8FC06" w14:textId="77777777" w:rsidR="00F427A3" w:rsidRDefault="0044221F">
            <w:pPr>
              <w:jc w:val="both"/>
              <w:textAlignment w:val="center"/>
              <w:rPr>
                <w:rFonts w:ascii="Times New Roman" w:hAnsi="Times New Roman"/>
                <w:sz w:val="20"/>
                <w:szCs w:val="20"/>
              </w:rPr>
            </w:pPr>
            <w:r>
              <w:rPr>
                <w:rFonts w:ascii="Times New Roman" w:eastAsia="宋体" w:hAnsi="Times New Roman"/>
                <w:sz w:val="20"/>
                <w:szCs w:val="20"/>
              </w:rPr>
              <w:t>Item 4.</w:t>
            </w:r>
          </w:p>
        </w:tc>
        <w:tc>
          <w:tcPr>
            <w:tcW w:w="0" w:type="auto"/>
            <w:shd w:val="clear" w:color="auto" w:fill="auto"/>
            <w:tcMar>
              <w:top w:w="40" w:type="dxa"/>
              <w:left w:w="40" w:type="dxa"/>
              <w:bottom w:w="40" w:type="dxa"/>
              <w:right w:w="40" w:type="dxa"/>
            </w:tcMar>
            <w:vAlign w:val="center"/>
          </w:tcPr>
          <w:p w14:paraId="54E8FC07" w14:textId="77777777" w:rsidR="00F427A3" w:rsidRDefault="0044221F">
            <w:pPr>
              <w:jc w:val="both"/>
              <w:textAlignment w:val="center"/>
              <w:rPr>
                <w:rFonts w:ascii="Times New Roman" w:hAnsi="Times New Roman"/>
                <w:sz w:val="20"/>
                <w:szCs w:val="20"/>
              </w:rPr>
            </w:pPr>
            <w:hyperlink r:id="rId30" w:anchor="sE9139F3840155270ACF5716004CCFF66" w:history="1">
              <w:r>
                <w:rPr>
                  <w:rStyle w:val="a5"/>
                  <w:rFonts w:ascii="Times New Roman" w:eastAsia="宋体" w:hAnsi="Times New Roman"/>
                  <w:sz w:val="20"/>
                  <w:szCs w:val="20"/>
                </w:rPr>
                <w:t>Controls and Procedures</w:t>
              </w:r>
            </w:hyperlink>
          </w:p>
        </w:tc>
        <w:tc>
          <w:tcPr>
            <w:tcW w:w="0" w:type="auto"/>
            <w:shd w:val="clear" w:color="auto" w:fill="auto"/>
            <w:tcMar>
              <w:top w:w="40" w:type="dxa"/>
              <w:left w:w="40" w:type="dxa"/>
              <w:bottom w:w="40" w:type="dxa"/>
              <w:right w:w="40" w:type="dxa"/>
            </w:tcMar>
            <w:vAlign w:val="center"/>
          </w:tcPr>
          <w:p w14:paraId="54E8FC08" w14:textId="77777777" w:rsidR="00F427A3" w:rsidRDefault="0044221F">
            <w:pPr>
              <w:jc w:val="center"/>
              <w:textAlignment w:val="center"/>
              <w:rPr>
                <w:rFonts w:ascii="Times New Roman" w:hAnsi="Times New Roman"/>
                <w:sz w:val="20"/>
                <w:szCs w:val="20"/>
              </w:rPr>
            </w:pPr>
            <w:hyperlink r:id="rId31" w:anchor="sE9139F3840155270ACF5716004CCFF66" w:history="1">
              <w:r>
                <w:rPr>
                  <w:rStyle w:val="a5"/>
                  <w:rFonts w:ascii="Times New Roman" w:eastAsia="宋体" w:hAnsi="Times New Roman"/>
                  <w:sz w:val="20"/>
                  <w:szCs w:val="20"/>
                </w:rPr>
                <w:t>50</w:t>
              </w:r>
            </w:hyperlink>
          </w:p>
        </w:tc>
      </w:tr>
      <w:tr w:rsidR="00F427A3" w14:paraId="54E8FC0C" w14:textId="77777777">
        <w:tc>
          <w:tcPr>
            <w:tcW w:w="0" w:type="auto"/>
            <w:gridSpan w:val="2"/>
            <w:shd w:val="clear" w:color="auto" w:fill="auto"/>
            <w:tcMar>
              <w:top w:w="40" w:type="dxa"/>
              <w:left w:w="40" w:type="dxa"/>
              <w:bottom w:w="40" w:type="dxa"/>
              <w:right w:w="40" w:type="dxa"/>
            </w:tcMar>
            <w:vAlign w:val="bottom"/>
          </w:tcPr>
          <w:p w14:paraId="54E8FC0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C0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C0F" w14:textId="77777777">
        <w:tc>
          <w:tcPr>
            <w:tcW w:w="0" w:type="auto"/>
            <w:gridSpan w:val="2"/>
            <w:shd w:val="clear" w:color="auto" w:fill="auto"/>
            <w:tcMar>
              <w:top w:w="40" w:type="dxa"/>
              <w:left w:w="40" w:type="dxa"/>
              <w:bottom w:w="40" w:type="dxa"/>
              <w:right w:w="40" w:type="dxa"/>
            </w:tcMar>
            <w:vAlign w:val="center"/>
          </w:tcPr>
          <w:p w14:paraId="54E8FC0D" w14:textId="77777777" w:rsidR="00F427A3" w:rsidRDefault="0044221F">
            <w:pPr>
              <w:jc w:val="center"/>
              <w:textAlignment w:val="center"/>
              <w:rPr>
                <w:rFonts w:ascii="Times New Roman" w:hAnsi="Times New Roman"/>
                <w:sz w:val="20"/>
                <w:szCs w:val="20"/>
              </w:rPr>
            </w:pPr>
            <w:hyperlink r:id="rId32" w:anchor="s7F044F0379035599BA40315C1ABE3980" w:history="1">
              <w:r>
                <w:rPr>
                  <w:rStyle w:val="a5"/>
                  <w:rFonts w:ascii="Times New Roman" w:eastAsia="宋体" w:hAnsi="Times New Roman"/>
                  <w:sz w:val="20"/>
                  <w:szCs w:val="20"/>
                </w:rPr>
                <w:t>PART II—OTHER INFORMATION</w:t>
              </w:r>
            </w:hyperlink>
          </w:p>
        </w:tc>
        <w:tc>
          <w:tcPr>
            <w:tcW w:w="0" w:type="auto"/>
            <w:shd w:val="clear" w:color="auto" w:fill="auto"/>
            <w:tcMar>
              <w:top w:w="40" w:type="dxa"/>
              <w:left w:w="40" w:type="dxa"/>
              <w:bottom w:w="40" w:type="dxa"/>
              <w:right w:w="40" w:type="dxa"/>
            </w:tcMar>
            <w:vAlign w:val="center"/>
          </w:tcPr>
          <w:p w14:paraId="54E8FC0E" w14:textId="77777777" w:rsidR="00F427A3" w:rsidRDefault="0044221F">
            <w:pPr>
              <w:jc w:val="center"/>
              <w:textAlignment w:val="center"/>
              <w:rPr>
                <w:rFonts w:ascii="Times New Roman" w:hAnsi="Times New Roman"/>
                <w:sz w:val="20"/>
                <w:szCs w:val="20"/>
              </w:rPr>
            </w:pPr>
            <w:hyperlink r:id="rId33" w:anchor="s7F044F0379035599BA40315C1ABE3980" w:history="1">
              <w:r>
                <w:rPr>
                  <w:rStyle w:val="a5"/>
                  <w:rFonts w:ascii="Times New Roman" w:eastAsia="宋体" w:hAnsi="Times New Roman"/>
                  <w:sz w:val="20"/>
                  <w:szCs w:val="20"/>
                </w:rPr>
                <w:t>51</w:t>
              </w:r>
            </w:hyperlink>
          </w:p>
        </w:tc>
      </w:tr>
      <w:tr w:rsidR="00F427A3" w14:paraId="54E8FC13" w14:textId="77777777">
        <w:tc>
          <w:tcPr>
            <w:tcW w:w="0" w:type="auto"/>
            <w:shd w:val="clear" w:color="auto" w:fill="auto"/>
            <w:tcMar>
              <w:top w:w="40" w:type="dxa"/>
              <w:left w:w="40" w:type="dxa"/>
              <w:bottom w:w="40" w:type="dxa"/>
              <w:right w:w="40" w:type="dxa"/>
            </w:tcMar>
            <w:vAlign w:val="bottom"/>
          </w:tcPr>
          <w:p w14:paraId="54E8FC1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C1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C1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C17" w14:textId="77777777">
        <w:tc>
          <w:tcPr>
            <w:tcW w:w="0" w:type="auto"/>
            <w:shd w:val="clear" w:color="auto" w:fill="auto"/>
            <w:tcMar>
              <w:top w:w="40" w:type="dxa"/>
              <w:left w:w="40" w:type="dxa"/>
              <w:bottom w:w="40" w:type="dxa"/>
              <w:right w:w="40" w:type="dxa"/>
            </w:tcMar>
            <w:vAlign w:val="center"/>
          </w:tcPr>
          <w:p w14:paraId="54E8FC14" w14:textId="77777777" w:rsidR="00F427A3" w:rsidRDefault="0044221F">
            <w:pPr>
              <w:jc w:val="both"/>
              <w:textAlignment w:val="center"/>
              <w:rPr>
                <w:rFonts w:ascii="Times New Roman" w:hAnsi="Times New Roman"/>
                <w:sz w:val="20"/>
                <w:szCs w:val="20"/>
              </w:rPr>
            </w:pPr>
            <w:r>
              <w:rPr>
                <w:rFonts w:ascii="Times New Roman" w:eastAsia="宋体" w:hAnsi="Times New Roman"/>
                <w:sz w:val="20"/>
                <w:szCs w:val="20"/>
              </w:rPr>
              <w:t>Item 1.</w:t>
            </w:r>
          </w:p>
        </w:tc>
        <w:tc>
          <w:tcPr>
            <w:tcW w:w="0" w:type="auto"/>
            <w:shd w:val="clear" w:color="auto" w:fill="auto"/>
            <w:tcMar>
              <w:top w:w="40" w:type="dxa"/>
              <w:left w:w="40" w:type="dxa"/>
              <w:bottom w:w="40" w:type="dxa"/>
              <w:right w:w="40" w:type="dxa"/>
            </w:tcMar>
            <w:vAlign w:val="center"/>
          </w:tcPr>
          <w:p w14:paraId="54E8FC15" w14:textId="77777777" w:rsidR="00F427A3" w:rsidRDefault="0044221F">
            <w:pPr>
              <w:jc w:val="both"/>
              <w:textAlignment w:val="center"/>
              <w:rPr>
                <w:rFonts w:ascii="Times New Roman" w:hAnsi="Times New Roman"/>
                <w:sz w:val="20"/>
                <w:szCs w:val="20"/>
              </w:rPr>
            </w:pPr>
            <w:hyperlink r:id="rId34" w:anchor="s4CB2138AA8F55D53B82B6D5575B5743C" w:history="1">
              <w:r>
                <w:rPr>
                  <w:rStyle w:val="a5"/>
                  <w:rFonts w:ascii="Times New Roman" w:eastAsia="宋体" w:hAnsi="Times New Roman"/>
                  <w:sz w:val="20"/>
                  <w:szCs w:val="20"/>
                </w:rPr>
                <w:t>Legal Proceedings</w:t>
              </w:r>
            </w:hyperlink>
          </w:p>
        </w:tc>
        <w:tc>
          <w:tcPr>
            <w:tcW w:w="0" w:type="auto"/>
            <w:shd w:val="clear" w:color="auto" w:fill="auto"/>
            <w:tcMar>
              <w:top w:w="40" w:type="dxa"/>
              <w:left w:w="40" w:type="dxa"/>
              <w:bottom w:w="40" w:type="dxa"/>
              <w:right w:w="40" w:type="dxa"/>
            </w:tcMar>
            <w:vAlign w:val="center"/>
          </w:tcPr>
          <w:p w14:paraId="54E8FC16" w14:textId="77777777" w:rsidR="00F427A3" w:rsidRDefault="0044221F">
            <w:pPr>
              <w:jc w:val="center"/>
              <w:textAlignment w:val="center"/>
              <w:rPr>
                <w:rFonts w:ascii="Times New Roman" w:hAnsi="Times New Roman"/>
                <w:sz w:val="20"/>
                <w:szCs w:val="20"/>
              </w:rPr>
            </w:pPr>
            <w:hyperlink r:id="rId35" w:anchor="s4CB2138AA8F55D53B82B6D5575B5743C" w:history="1">
              <w:r>
                <w:rPr>
                  <w:rStyle w:val="a5"/>
                  <w:rFonts w:ascii="Times New Roman" w:eastAsia="宋体" w:hAnsi="Times New Roman"/>
                  <w:sz w:val="20"/>
                  <w:szCs w:val="20"/>
                </w:rPr>
                <w:t>51</w:t>
              </w:r>
            </w:hyperlink>
          </w:p>
        </w:tc>
      </w:tr>
      <w:tr w:rsidR="00F427A3" w14:paraId="54E8FC1B" w14:textId="77777777">
        <w:tc>
          <w:tcPr>
            <w:tcW w:w="0" w:type="auto"/>
            <w:shd w:val="clear" w:color="auto" w:fill="auto"/>
            <w:tcMar>
              <w:top w:w="40" w:type="dxa"/>
              <w:left w:w="40" w:type="dxa"/>
              <w:bottom w:w="40" w:type="dxa"/>
              <w:right w:w="40" w:type="dxa"/>
            </w:tcMar>
            <w:vAlign w:val="bottom"/>
          </w:tcPr>
          <w:p w14:paraId="54E8FC1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C1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C1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C1F" w14:textId="77777777">
        <w:tc>
          <w:tcPr>
            <w:tcW w:w="0" w:type="auto"/>
            <w:shd w:val="clear" w:color="auto" w:fill="auto"/>
            <w:tcMar>
              <w:top w:w="40" w:type="dxa"/>
              <w:left w:w="40" w:type="dxa"/>
              <w:bottom w:w="40" w:type="dxa"/>
              <w:right w:w="40" w:type="dxa"/>
            </w:tcMar>
            <w:vAlign w:val="center"/>
          </w:tcPr>
          <w:p w14:paraId="54E8FC1C" w14:textId="77777777" w:rsidR="00F427A3" w:rsidRDefault="0044221F">
            <w:pPr>
              <w:jc w:val="both"/>
              <w:textAlignment w:val="center"/>
              <w:rPr>
                <w:rFonts w:ascii="Times New Roman" w:hAnsi="Times New Roman"/>
                <w:sz w:val="20"/>
                <w:szCs w:val="20"/>
              </w:rPr>
            </w:pPr>
            <w:r>
              <w:rPr>
                <w:rFonts w:ascii="Times New Roman" w:eastAsia="宋体" w:hAnsi="Times New Roman"/>
                <w:sz w:val="20"/>
                <w:szCs w:val="20"/>
              </w:rPr>
              <w:t>Item 1A.</w:t>
            </w:r>
          </w:p>
        </w:tc>
        <w:tc>
          <w:tcPr>
            <w:tcW w:w="0" w:type="auto"/>
            <w:shd w:val="clear" w:color="auto" w:fill="auto"/>
            <w:tcMar>
              <w:top w:w="40" w:type="dxa"/>
              <w:left w:w="40" w:type="dxa"/>
              <w:bottom w:w="40" w:type="dxa"/>
              <w:right w:w="40" w:type="dxa"/>
            </w:tcMar>
            <w:vAlign w:val="center"/>
          </w:tcPr>
          <w:p w14:paraId="54E8FC1D" w14:textId="77777777" w:rsidR="00F427A3" w:rsidRDefault="0044221F">
            <w:pPr>
              <w:jc w:val="both"/>
              <w:textAlignment w:val="center"/>
              <w:rPr>
                <w:rFonts w:ascii="Times New Roman" w:hAnsi="Times New Roman"/>
                <w:sz w:val="20"/>
                <w:szCs w:val="20"/>
              </w:rPr>
            </w:pPr>
            <w:hyperlink r:id="rId36" w:anchor="s19CF703B323A5C5F9083A3F2837BAB9F" w:history="1">
              <w:r>
                <w:rPr>
                  <w:rStyle w:val="a5"/>
                  <w:rFonts w:ascii="Times New Roman" w:eastAsia="宋体" w:hAnsi="Times New Roman"/>
                  <w:sz w:val="20"/>
                  <w:szCs w:val="20"/>
                </w:rPr>
                <w:t>Risk Factors</w:t>
              </w:r>
            </w:hyperlink>
          </w:p>
        </w:tc>
        <w:tc>
          <w:tcPr>
            <w:tcW w:w="0" w:type="auto"/>
            <w:shd w:val="clear" w:color="auto" w:fill="auto"/>
            <w:tcMar>
              <w:top w:w="40" w:type="dxa"/>
              <w:left w:w="40" w:type="dxa"/>
              <w:bottom w:w="40" w:type="dxa"/>
              <w:right w:w="40" w:type="dxa"/>
            </w:tcMar>
            <w:vAlign w:val="center"/>
          </w:tcPr>
          <w:p w14:paraId="54E8FC1E" w14:textId="77777777" w:rsidR="00F427A3" w:rsidRDefault="0044221F">
            <w:pPr>
              <w:jc w:val="center"/>
              <w:textAlignment w:val="center"/>
              <w:rPr>
                <w:rFonts w:ascii="Times New Roman" w:hAnsi="Times New Roman"/>
                <w:sz w:val="20"/>
                <w:szCs w:val="20"/>
              </w:rPr>
            </w:pPr>
            <w:hyperlink r:id="rId37" w:anchor="s19CF703B323A5C5F9083A3F2837BAB9F" w:history="1">
              <w:r>
                <w:rPr>
                  <w:rStyle w:val="a5"/>
                  <w:rFonts w:ascii="Times New Roman" w:eastAsia="宋体" w:hAnsi="Times New Roman"/>
                  <w:sz w:val="20"/>
                  <w:szCs w:val="20"/>
                </w:rPr>
                <w:t>53</w:t>
              </w:r>
            </w:hyperlink>
          </w:p>
        </w:tc>
      </w:tr>
      <w:tr w:rsidR="00F427A3" w14:paraId="54E8FC23" w14:textId="77777777">
        <w:tc>
          <w:tcPr>
            <w:tcW w:w="0" w:type="auto"/>
            <w:shd w:val="clear" w:color="auto" w:fill="auto"/>
            <w:tcMar>
              <w:top w:w="40" w:type="dxa"/>
              <w:left w:w="40" w:type="dxa"/>
              <w:bottom w:w="40" w:type="dxa"/>
              <w:right w:w="40" w:type="dxa"/>
            </w:tcMar>
            <w:vAlign w:val="bottom"/>
          </w:tcPr>
          <w:p w14:paraId="54E8FC2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C2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C2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C27" w14:textId="77777777">
        <w:tc>
          <w:tcPr>
            <w:tcW w:w="0" w:type="auto"/>
            <w:shd w:val="clear" w:color="auto" w:fill="auto"/>
            <w:tcMar>
              <w:top w:w="40" w:type="dxa"/>
              <w:left w:w="40" w:type="dxa"/>
              <w:bottom w:w="40" w:type="dxa"/>
              <w:right w:w="40" w:type="dxa"/>
            </w:tcMar>
            <w:vAlign w:val="center"/>
          </w:tcPr>
          <w:p w14:paraId="54E8FC24" w14:textId="77777777" w:rsidR="00F427A3" w:rsidRDefault="0044221F">
            <w:pPr>
              <w:jc w:val="both"/>
              <w:textAlignment w:val="center"/>
              <w:rPr>
                <w:rFonts w:ascii="Times New Roman" w:hAnsi="Times New Roman"/>
                <w:sz w:val="20"/>
                <w:szCs w:val="20"/>
              </w:rPr>
            </w:pPr>
            <w:r>
              <w:rPr>
                <w:rFonts w:ascii="Times New Roman" w:eastAsia="宋体" w:hAnsi="Times New Roman"/>
                <w:sz w:val="20"/>
                <w:szCs w:val="20"/>
              </w:rPr>
              <w:t>Item 2.</w:t>
            </w:r>
          </w:p>
        </w:tc>
        <w:tc>
          <w:tcPr>
            <w:tcW w:w="0" w:type="auto"/>
            <w:shd w:val="clear" w:color="auto" w:fill="auto"/>
            <w:tcMar>
              <w:top w:w="40" w:type="dxa"/>
              <w:left w:w="40" w:type="dxa"/>
              <w:bottom w:w="40" w:type="dxa"/>
              <w:right w:w="40" w:type="dxa"/>
            </w:tcMar>
            <w:vAlign w:val="center"/>
          </w:tcPr>
          <w:p w14:paraId="54E8FC25" w14:textId="77777777" w:rsidR="00F427A3" w:rsidRDefault="0044221F">
            <w:pPr>
              <w:jc w:val="both"/>
              <w:textAlignment w:val="center"/>
              <w:rPr>
                <w:rFonts w:ascii="Times New Roman" w:hAnsi="Times New Roman"/>
                <w:sz w:val="20"/>
                <w:szCs w:val="20"/>
              </w:rPr>
            </w:pPr>
            <w:hyperlink r:id="rId38" w:anchor="s446FC8BD27D85C96B9F89511A15D9994" w:history="1">
              <w:r>
                <w:rPr>
                  <w:rStyle w:val="a5"/>
                  <w:rFonts w:ascii="Times New Roman" w:eastAsia="宋体" w:hAnsi="Times New Roman"/>
                  <w:sz w:val="20"/>
                  <w:szCs w:val="20"/>
                </w:rPr>
                <w:t>Unregistered Sales of Eq</w:t>
              </w:r>
              <w:r>
                <w:rPr>
                  <w:rStyle w:val="a5"/>
                  <w:rFonts w:ascii="Times New Roman" w:eastAsia="宋体" w:hAnsi="Times New Roman"/>
                  <w:sz w:val="20"/>
                  <w:szCs w:val="20"/>
                </w:rPr>
                <w:t>uity Securities and Use of Proceeds</w:t>
              </w:r>
            </w:hyperlink>
          </w:p>
        </w:tc>
        <w:tc>
          <w:tcPr>
            <w:tcW w:w="0" w:type="auto"/>
            <w:shd w:val="clear" w:color="auto" w:fill="auto"/>
            <w:tcMar>
              <w:top w:w="40" w:type="dxa"/>
              <w:left w:w="40" w:type="dxa"/>
              <w:bottom w:w="40" w:type="dxa"/>
              <w:right w:w="40" w:type="dxa"/>
            </w:tcMar>
            <w:vAlign w:val="center"/>
          </w:tcPr>
          <w:p w14:paraId="54E8FC26" w14:textId="77777777" w:rsidR="00F427A3" w:rsidRDefault="0044221F">
            <w:pPr>
              <w:jc w:val="center"/>
              <w:textAlignment w:val="center"/>
              <w:rPr>
                <w:rFonts w:ascii="Times New Roman" w:hAnsi="Times New Roman"/>
                <w:sz w:val="20"/>
                <w:szCs w:val="20"/>
              </w:rPr>
            </w:pPr>
            <w:hyperlink r:id="rId39" w:anchor="s446FC8BD27D85C96B9F89511A15D9994" w:history="1">
              <w:r>
                <w:rPr>
                  <w:rStyle w:val="a5"/>
                  <w:rFonts w:ascii="Times New Roman" w:eastAsia="宋体" w:hAnsi="Times New Roman"/>
                  <w:sz w:val="20"/>
                  <w:szCs w:val="20"/>
                </w:rPr>
                <w:t>84</w:t>
              </w:r>
            </w:hyperlink>
          </w:p>
        </w:tc>
      </w:tr>
      <w:tr w:rsidR="00F427A3" w14:paraId="54E8FC2B" w14:textId="77777777">
        <w:tc>
          <w:tcPr>
            <w:tcW w:w="0" w:type="auto"/>
            <w:shd w:val="clear" w:color="auto" w:fill="auto"/>
            <w:tcMar>
              <w:top w:w="40" w:type="dxa"/>
              <w:left w:w="40" w:type="dxa"/>
              <w:bottom w:w="40" w:type="dxa"/>
              <w:right w:w="40" w:type="dxa"/>
            </w:tcMar>
            <w:vAlign w:val="bottom"/>
          </w:tcPr>
          <w:p w14:paraId="54E8FC2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C2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C2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C2F" w14:textId="77777777">
        <w:tc>
          <w:tcPr>
            <w:tcW w:w="0" w:type="auto"/>
            <w:shd w:val="clear" w:color="auto" w:fill="auto"/>
            <w:tcMar>
              <w:top w:w="40" w:type="dxa"/>
              <w:left w:w="40" w:type="dxa"/>
              <w:bottom w:w="40" w:type="dxa"/>
              <w:right w:w="40" w:type="dxa"/>
            </w:tcMar>
            <w:vAlign w:val="center"/>
          </w:tcPr>
          <w:p w14:paraId="54E8FC2C" w14:textId="77777777" w:rsidR="00F427A3" w:rsidRDefault="0044221F">
            <w:pPr>
              <w:jc w:val="both"/>
              <w:textAlignment w:val="center"/>
              <w:rPr>
                <w:rFonts w:ascii="Times New Roman" w:hAnsi="Times New Roman"/>
                <w:sz w:val="20"/>
                <w:szCs w:val="20"/>
              </w:rPr>
            </w:pPr>
            <w:r>
              <w:rPr>
                <w:rFonts w:ascii="Times New Roman" w:eastAsia="宋体" w:hAnsi="Times New Roman"/>
                <w:sz w:val="20"/>
                <w:szCs w:val="20"/>
              </w:rPr>
              <w:t>Item 6.</w:t>
            </w:r>
          </w:p>
        </w:tc>
        <w:tc>
          <w:tcPr>
            <w:tcW w:w="0" w:type="auto"/>
            <w:shd w:val="clear" w:color="auto" w:fill="auto"/>
            <w:tcMar>
              <w:top w:w="40" w:type="dxa"/>
              <w:left w:w="40" w:type="dxa"/>
              <w:bottom w:w="40" w:type="dxa"/>
              <w:right w:w="40" w:type="dxa"/>
            </w:tcMar>
            <w:vAlign w:val="center"/>
          </w:tcPr>
          <w:p w14:paraId="54E8FC2D" w14:textId="77777777" w:rsidR="00F427A3" w:rsidRDefault="0044221F">
            <w:pPr>
              <w:jc w:val="both"/>
              <w:textAlignment w:val="center"/>
              <w:rPr>
                <w:rFonts w:ascii="Times New Roman" w:hAnsi="Times New Roman"/>
                <w:sz w:val="20"/>
                <w:szCs w:val="20"/>
              </w:rPr>
            </w:pPr>
            <w:hyperlink r:id="rId40" w:anchor="s2A296DD7C8E15BCBB39EB7491E3A8ED5" w:history="1">
              <w:r>
                <w:rPr>
                  <w:rStyle w:val="a5"/>
                  <w:rFonts w:ascii="Times New Roman" w:eastAsia="宋体" w:hAnsi="Times New Roman"/>
                  <w:sz w:val="20"/>
                  <w:szCs w:val="20"/>
                </w:rPr>
                <w:t>Exhibits</w:t>
              </w:r>
            </w:hyperlink>
          </w:p>
        </w:tc>
        <w:tc>
          <w:tcPr>
            <w:tcW w:w="0" w:type="auto"/>
            <w:shd w:val="clear" w:color="auto" w:fill="auto"/>
            <w:tcMar>
              <w:top w:w="40" w:type="dxa"/>
              <w:left w:w="40" w:type="dxa"/>
              <w:bottom w:w="40" w:type="dxa"/>
              <w:right w:w="40" w:type="dxa"/>
            </w:tcMar>
            <w:vAlign w:val="center"/>
          </w:tcPr>
          <w:p w14:paraId="54E8FC2E" w14:textId="77777777" w:rsidR="00F427A3" w:rsidRDefault="0044221F">
            <w:pPr>
              <w:jc w:val="center"/>
              <w:textAlignment w:val="center"/>
              <w:rPr>
                <w:rFonts w:ascii="Times New Roman" w:hAnsi="Times New Roman"/>
                <w:sz w:val="20"/>
                <w:szCs w:val="20"/>
              </w:rPr>
            </w:pPr>
            <w:hyperlink r:id="rId41" w:anchor="s2A296DD7C8E15BCBB39EB7491E3A8ED5" w:history="1">
              <w:r>
                <w:rPr>
                  <w:rStyle w:val="a5"/>
                  <w:rFonts w:ascii="Times New Roman" w:eastAsia="宋体" w:hAnsi="Times New Roman"/>
                  <w:sz w:val="20"/>
                  <w:szCs w:val="20"/>
                </w:rPr>
                <w:t>85</w:t>
              </w:r>
            </w:hyperlink>
          </w:p>
        </w:tc>
      </w:tr>
      <w:tr w:rsidR="00F427A3" w14:paraId="54E8FC32" w14:textId="77777777">
        <w:tc>
          <w:tcPr>
            <w:tcW w:w="0" w:type="auto"/>
            <w:gridSpan w:val="2"/>
            <w:shd w:val="clear" w:color="auto" w:fill="auto"/>
            <w:tcMar>
              <w:top w:w="40" w:type="dxa"/>
              <w:left w:w="40" w:type="dxa"/>
              <w:bottom w:w="40" w:type="dxa"/>
              <w:right w:w="40" w:type="dxa"/>
            </w:tcMar>
            <w:vAlign w:val="bottom"/>
          </w:tcPr>
          <w:p w14:paraId="54E8FC3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C3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C35" w14:textId="77777777">
        <w:tc>
          <w:tcPr>
            <w:tcW w:w="0" w:type="auto"/>
            <w:gridSpan w:val="2"/>
            <w:shd w:val="clear" w:color="auto" w:fill="auto"/>
            <w:tcMar>
              <w:top w:w="40" w:type="dxa"/>
              <w:left w:w="40" w:type="dxa"/>
              <w:bottom w:w="40" w:type="dxa"/>
              <w:right w:w="40" w:type="dxa"/>
            </w:tcMar>
            <w:vAlign w:val="center"/>
          </w:tcPr>
          <w:p w14:paraId="54E8FC33" w14:textId="77777777" w:rsidR="00F427A3" w:rsidRDefault="0044221F">
            <w:pPr>
              <w:jc w:val="both"/>
              <w:textAlignment w:val="center"/>
              <w:rPr>
                <w:rFonts w:ascii="Times New Roman" w:hAnsi="Times New Roman"/>
                <w:sz w:val="20"/>
                <w:szCs w:val="20"/>
              </w:rPr>
            </w:pPr>
            <w:hyperlink r:id="rId42" w:anchor="s7FC787472C1C5E289442AF2671A47863" w:history="1">
              <w:r>
                <w:rPr>
                  <w:rStyle w:val="a5"/>
                  <w:rFonts w:ascii="Times New Roman" w:eastAsia="宋体" w:hAnsi="Times New Roman"/>
                  <w:sz w:val="20"/>
                  <w:szCs w:val="20"/>
                </w:rPr>
                <w:t>SIGNATURES</w:t>
              </w:r>
            </w:hyperlink>
          </w:p>
        </w:tc>
        <w:tc>
          <w:tcPr>
            <w:tcW w:w="0" w:type="auto"/>
            <w:shd w:val="clear" w:color="auto" w:fill="auto"/>
            <w:tcMar>
              <w:top w:w="40" w:type="dxa"/>
              <w:left w:w="40" w:type="dxa"/>
              <w:bottom w:w="40" w:type="dxa"/>
              <w:right w:w="40" w:type="dxa"/>
            </w:tcMar>
            <w:vAlign w:val="center"/>
          </w:tcPr>
          <w:p w14:paraId="54E8FC34" w14:textId="77777777" w:rsidR="00F427A3" w:rsidRDefault="0044221F">
            <w:pPr>
              <w:jc w:val="center"/>
              <w:textAlignment w:val="center"/>
              <w:rPr>
                <w:rFonts w:ascii="Times New Roman" w:hAnsi="Times New Roman"/>
                <w:sz w:val="20"/>
                <w:szCs w:val="20"/>
              </w:rPr>
            </w:pPr>
            <w:hyperlink r:id="rId43" w:anchor="s7FC787472C1C5E289442AF2671A47863" w:history="1">
              <w:r>
                <w:rPr>
                  <w:rStyle w:val="a5"/>
                  <w:rFonts w:ascii="Times New Roman" w:eastAsia="宋体" w:hAnsi="Times New Roman"/>
                  <w:sz w:val="20"/>
                  <w:szCs w:val="20"/>
                </w:rPr>
                <w:t>86</w:t>
              </w:r>
            </w:hyperlink>
          </w:p>
        </w:tc>
      </w:tr>
    </w:tbl>
    <w:p w14:paraId="54E8FC36" w14:textId="77777777" w:rsidR="00F427A3" w:rsidRDefault="0044221F">
      <w:pPr>
        <w:spacing w:line="288" w:lineRule="auto"/>
        <w:rPr>
          <w:rFonts w:ascii="Times New Roman" w:hAnsi="Times New Roman"/>
          <w:sz w:val="16"/>
          <w:szCs w:val="16"/>
        </w:rPr>
      </w:pPr>
      <w:r>
        <w:rPr>
          <w:rFonts w:ascii="Times New Roman" w:eastAsia="宋体" w:hAnsi="Times New Roman"/>
          <w:sz w:val="16"/>
          <w:szCs w:val="16"/>
        </w:rPr>
        <w:t> </w:t>
      </w:r>
    </w:p>
    <w:p w14:paraId="54E8FC37" w14:textId="77777777" w:rsidR="00F427A3" w:rsidRDefault="00F427A3">
      <w:pPr>
        <w:rPr>
          <w:rFonts w:ascii="Times New Roman" w:hAnsi="Times New Roman"/>
          <w:sz w:val="20"/>
          <w:szCs w:val="20"/>
        </w:rPr>
      </w:pPr>
    </w:p>
    <w:p w14:paraId="54E8FC38"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2</w:t>
      </w:r>
    </w:p>
    <w:p w14:paraId="54E8FC39" w14:textId="77777777" w:rsidR="00F427A3" w:rsidRDefault="0044221F">
      <w:r>
        <w:rPr>
          <w:rFonts w:ascii="Times New Roman" w:hAnsi="Times New Roman"/>
          <w:sz w:val="20"/>
          <w:szCs w:val="20"/>
        </w:rPr>
        <w:pict w14:anchorId="54E91C22">
          <v:rect id="_x0000_i1026" style="width:415.3pt;height:1.5pt" o:hralign="center" o:hrstd="t" o:hr="t" fillcolor="#a0a0a0" stroked="f"/>
        </w:pict>
      </w:r>
    </w:p>
    <w:p w14:paraId="54E8FC3A" w14:textId="77777777" w:rsidR="00F427A3" w:rsidRDefault="0044221F">
      <w:pPr>
        <w:spacing w:line="288" w:lineRule="auto"/>
        <w:rPr>
          <w:rFonts w:ascii="Times New Roman" w:hAnsi="Times New Roman"/>
          <w:sz w:val="20"/>
          <w:szCs w:val="20"/>
        </w:rPr>
      </w:pPr>
      <w:hyperlink r:id="rId44" w:anchor="s348EA962CF6D59B599D9921AFA89C381" w:history="1">
        <w:r>
          <w:rPr>
            <w:rStyle w:val="a5"/>
            <w:rFonts w:ascii="Times New Roman" w:eastAsia="宋体" w:hAnsi="Times New Roman"/>
            <w:sz w:val="20"/>
            <w:szCs w:val="20"/>
          </w:rPr>
          <w:t>Table of Contents</w:t>
        </w:r>
      </w:hyperlink>
    </w:p>
    <w:p w14:paraId="54E8FC3B" w14:textId="77777777" w:rsidR="00F427A3" w:rsidRDefault="00F427A3">
      <w:pPr>
        <w:rPr>
          <w:rFonts w:ascii="Times New Roman" w:hAnsi="Times New Roman"/>
          <w:sz w:val="20"/>
          <w:szCs w:val="20"/>
        </w:rPr>
      </w:pPr>
    </w:p>
    <w:p w14:paraId="54E8FC3C"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 xml:space="preserve">NOTE </w:t>
      </w:r>
      <w:r>
        <w:rPr>
          <w:rFonts w:ascii="Times New Roman" w:eastAsia="宋体" w:hAnsi="Times New Roman"/>
          <w:b/>
          <w:bCs/>
          <w:sz w:val="20"/>
          <w:szCs w:val="20"/>
        </w:rPr>
        <w:t>ABOUT FORWARD-LOOKING STATEMENTS</w:t>
      </w:r>
    </w:p>
    <w:p w14:paraId="54E8FC3D" w14:textId="77777777" w:rsidR="00F427A3" w:rsidRDefault="00F427A3">
      <w:pPr>
        <w:spacing w:line="288" w:lineRule="auto"/>
        <w:ind w:firstLine="660"/>
        <w:jc w:val="both"/>
        <w:rPr>
          <w:rFonts w:ascii="Times New Roman" w:hAnsi="Times New Roman"/>
          <w:sz w:val="20"/>
          <w:szCs w:val="20"/>
        </w:rPr>
      </w:pPr>
    </w:p>
    <w:p w14:paraId="54E8FC3E" w14:textId="77777777" w:rsidR="00F427A3" w:rsidRDefault="0044221F">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This Quarterly Report on Form 10-Q contains forward-looking statements. All statements contained in this Quarterly Report on Form 10-Q other than statements of historical fact, including statements regarding our </w:t>
      </w:r>
      <w:r>
        <w:rPr>
          <w:rFonts w:ascii="Times New Roman" w:eastAsia="宋体" w:hAnsi="Times New Roman"/>
          <w:sz w:val="20"/>
          <w:szCs w:val="20"/>
        </w:rPr>
        <w:t>future results of operations and financial position, our business strategy and plans, and our objectives for future operations, are forward-looking statements. The words "believe," "may," "will," "estimate," "continue," "anticipate," "intend," "expect," an</w:t>
      </w:r>
      <w:r>
        <w:rPr>
          <w:rFonts w:ascii="Times New Roman" w:eastAsia="宋体" w:hAnsi="Times New Roman"/>
          <w:sz w:val="20"/>
          <w:szCs w:val="20"/>
        </w:rPr>
        <w:t>d similar expressions are intended to identify forward-looking statements. We have based these forward-looking statements largely on our current expectations and projections about future events and trends that we believe may affect our financial condition,</w:t>
      </w:r>
      <w:r>
        <w:rPr>
          <w:rFonts w:ascii="Times New Roman" w:eastAsia="宋体" w:hAnsi="Times New Roman"/>
          <w:sz w:val="20"/>
          <w:szCs w:val="20"/>
        </w:rPr>
        <w:t xml:space="preserve"> results of operations, business strategy, short-term and long-term business operations and objectives, and financial needs. These forward-looking statements are subject to a number of risks, uncertainties and assumptions, including those described in Part</w:t>
      </w:r>
      <w:r>
        <w:rPr>
          <w:rFonts w:ascii="Times New Roman" w:eastAsia="宋体" w:hAnsi="Times New Roman"/>
          <w:sz w:val="20"/>
          <w:szCs w:val="20"/>
        </w:rPr>
        <w:t xml:space="preserve"> II, Item 1A, "Risk Factors" in this Quarterly Report on Form 10-Q. Moreover, we operate in a very competitive and rapidly changing environment. New risks emerge from time to time. It is not possible for our management to predict all risks, nor can we asse</w:t>
      </w:r>
      <w:r>
        <w:rPr>
          <w:rFonts w:ascii="Times New Roman" w:eastAsia="宋体" w:hAnsi="Times New Roman"/>
          <w:sz w:val="20"/>
          <w:szCs w:val="20"/>
        </w:rPr>
        <w:t>ss the impact of all factors on our business or the extent to which any factor, or combination of factors, may cause actual results to differ materially from those contained in any forward-looking statements we may make. In light of these risks, uncertaint</w:t>
      </w:r>
      <w:r>
        <w:rPr>
          <w:rFonts w:ascii="Times New Roman" w:eastAsia="宋体" w:hAnsi="Times New Roman"/>
          <w:sz w:val="20"/>
          <w:szCs w:val="20"/>
        </w:rPr>
        <w:t>ies and assumptions, the future events and trends discussed in this Quarterly Report on Form 10-Q may not occur and actual results could differ materially and adversely from those anticipated or implied in the forward</w:t>
      </w:r>
      <w:r>
        <w:rPr>
          <w:rFonts w:ascii="Times New Roman" w:eastAsia="宋体" w:hAnsi="Times New Roman"/>
          <w:sz w:val="20"/>
          <w:szCs w:val="20"/>
        </w:rPr>
        <w:noBreakHyphen/>
        <w:t>looking statements.</w:t>
      </w:r>
    </w:p>
    <w:p w14:paraId="54E8FC3F" w14:textId="77777777" w:rsidR="00F427A3" w:rsidRDefault="0044221F">
      <w:pPr>
        <w:spacing w:line="288" w:lineRule="auto"/>
        <w:ind w:firstLine="660"/>
        <w:jc w:val="both"/>
        <w:rPr>
          <w:rFonts w:ascii="Times New Roman" w:hAnsi="Times New Roman"/>
          <w:sz w:val="20"/>
          <w:szCs w:val="20"/>
        </w:rPr>
      </w:pPr>
      <w:r>
        <w:rPr>
          <w:rFonts w:ascii="Times New Roman" w:eastAsia="宋体" w:hAnsi="Times New Roman"/>
          <w:sz w:val="20"/>
          <w:szCs w:val="20"/>
        </w:rPr>
        <w:t>We undertake no ob</w:t>
      </w:r>
      <w:r>
        <w:rPr>
          <w:rFonts w:ascii="Times New Roman" w:eastAsia="宋体" w:hAnsi="Times New Roman"/>
          <w:sz w:val="20"/>
          <w:szCs w:val="20"/>
        </w:rPr>
        <w:t>ligation to revise or publicly release the results of any revision to these forward-looking statements, except as required by law. Given these risks and uncertainties, readers are cautioned not to place undue reliance on such forward</w:t>
      </w:r>
      <w:r>
        <w:rPr>
          <w:rFonts w:ascii="Times New Roman" w:eastAsia="宋体" w:hAnsi="Times New Roman"/>
          <w:sz w:val="20"/>
          <w:szCs w:val="20"/>
        </w:rPr>
        <w:noBreakHyphen/>
        <w:t>looking statements.</w:t>
      </w:r>
    </w:p>
    <w:p w14:paraId="54E8FC40" w14:textId="77777777" w:rsidR="00F427A3" w:rsidRDefault="0044221F">
      <w:pPr>
        <w:spacing w:line="288" w:lineRule="auto"/>
        <w:ind w:firstLine="660"/>
        <w:jc w:val="both"/>
        <w:rPr>
          <w:rFonts w:ascii="Times New Roman" w:hAnsi="Times New Roman"/>
          <w:sz w:val="20"/>
          <w:szCs w:val="20"/>
        </w:rPr>
      </w:pPr>
      <w:r>
        <w:rPr>
          <w:rFonts w:ascii="Times New Roman" w:eastAsia="宋体" w:hAnsi="Times New Roman"/>
          <w:sz w:val="20"/>
          <w:szCs w:val="20"/>
        </w:rPr>
        <w:t>Un</w:t>
      </w:r>
      <w:r>
        <w:rPr>
          <w:rFonts w:ascii="Times New Roman" w:eastAsia="宋体" w:hAnsi="Times New Roman"/>
          <w:sz w:val="20"/>
          <w:szCs w:val="20"/>
        </w:rPr>
        <w:t>less expressly indicated or the context requires otherwise, the terms "Facebook," "company," "we," "us," and "our" in this document refer to Facebook, Inc., a Delaware corporation, and, where appropriate, its subsidiaries. The term "Facebook" may also refe</w:t>
      </w:r>
      <w:r>
        <w:rPr>
          <w:rFonts w:ascii="Times New Roman" w:eastAsia="宋体" w:hAnsi="Times New Roman"/>
          <w:sz w:val="20"/>
          <w:szCs w:val="20"/>
        </w:rPr>
        <w:t xml:space="preserve">r to our products, regardless of the manner in which they are accessed. The term "Family" refers to our Facebook, Instagram, Messenger, and WhatsApp products. For references to accessing Facebook or our other products on the "web" or via a "website," such </w:t>
      </w:r>
      <w:r>
        <w:rPr>
          <w:rFonts w:ascii="Times New Roman" w:eastAsia="宋体" w:hAnsi="Times New Roman"/>
          <w:sz w:val="20"/>
          <w:szCs w:val="20"/>
        </w:rPr>
        <w:t>terms refer to accessing such products on personal computers. For references to accessing Facebook or our other products on "mobile," such term refers to accessing such products via a mobile application or via a mobile-optimized version of our websites suc</w:t>
      </w:r>
      <w:r>
        <w:rPr>
          <w:rFonts w:ascii="Times New Roman" w:eastAsia="宋体" w:hAnsi="Times New Roman"/>
          <w:sz w:val="20"/>
          <w:szCs w:val="20"/>
        </w:rPr>
        <w:t>h as m.facebook.com, whether on a mobile phone or tablet.</w:t>
      </w:r>
    </w:p>
    <w:p w14:paraId="54E8FC41" w14:textId="77777777" w:rsidR="00F427A3" w:rsidRDefault="00F427A3">
      <w:pPr>
        <w:spacing w:line="288" w:lineRule="auto"/>
        <w:jc w:val="both"/>
        <w:rPr>
          <w:rFonts w:ascii="Times New Roman" w:hAnsi="Times New Roman"/>
          <w:sz w:val="20"/>
          <w:szCs w:val="20"/>
        </w:rPr>
      </w:pPr>
    </w:p>
    <w:p w14:paraId="54E8FC42" w14:textId="77777777" w:rsidR="00F427A3" w:rsidRDefault="00F427A3">
      <w:pPr>
        <w:rPr>
          <w:rFonts w:ascii="Times New Roman" w:hAnsi="Times New Roman"/>
          <w:sz w:val="20"/>
          <w:szCs w:val="20"/>
        </w:rPr>
      </w:pPr>
    </w:p>
    <w:p w14:paraId="54E8FC43"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3</w:t>
      </w:r>
    </w:p>
    <w:p w14:paraId="54E8FC44" w14:textId="77777777" w:rsidR="00F427A3" w:rsidRDefault="0044221F">
      <w:r>
        <w:rPr>
          <w:rFonts w:ascii="Times New Roman" w:hAnsi="Times New Roman"/>
          <w:sz w:val="20"/>
          <w:szCs w:val="20"/>
        </w:rPr>
        <w:pict w14:anchorId="54E91C23">
          <v:rect id="_x0000_i1027" style="width:415.3pt;height:1.5pt" o:hralign="center" o:hrstd="t" o:hr="t" fillcolor="#a0a0a0" stroked="f"/>
        </w:pict>
      </w:r>
    </w:p>
    <w:p w14:paraId="54E8FC45" w14:textId="77777777" w:rsidR="00F427A3" w:rsidRDefault="0044221F">
      <w:pPr>
        <w:spacing w:line="288" w:lineRule="auto"/>
        <w:rPr>
          <w:rFonts w:ascii="Times New Roman" w:hAnsi="Times New Roman"/>
          <w:sz w:val="20"/>
          <w:szCs w:val="20"/>
        </w:rPr>
      </w:pPr>
      <w:hyperlink r:id="rId45" w:anchor="s348EA962CF6D59B599D9921AFA89C381" w:history="1">
        <w:r>
          <w:rPr>
            <w:rStyle w:val="a5"/>
            <w:rFonts w:ascii="Times New Roman" w:eastAsia="宋体" w:hAnsi="Times New Roman"/>
            <w:sz w:val="20"/>
            <w:szCs w:val="20"/>
          </w:rPr>
          <w:t>Table of Contents</w:t>
        </w:r>
      </w:hyperlink>
    </w:p>
    <w:p w14:paraId="54E8FC46" w14:textId="77777777" w:rsidR="00F427A3" w:rsidRDefault="00F427A3">
      <w:pPr>
        <w:rPr>
          <w:rFonts w:ascii="Times New Roman" w:hAnsi="Times New Roman"/>
          <w:sz w:val="20"/>
          <w:szCs w:val="20"/>
        </w:rPr>
      </w:pPr>
    </w:p>
    <w:p w14:paraId="54E8FC47"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LIMITATIONS OF KEY M</w:t>
      </w:r>
      <w:r>
        <w:rPr>
          <w:rFonts w:ascii="Times New Roman" w:eastAsia="宋体" w:hAnsi="Times New Roman"/>
          <w:b/>
          <w:bCs/>
          <w:sz w:val="20"/>
          <w:szCs w:val="20"/>
        </w:rPr>
        <w:t>ETRICS AND OTHER DATA</w:t>
      </w:r>
    </w:p>
    <w:p w14:paraId="54E8FC48" w14:textId="77777777" w:rsidR="00F427A3" w:rsidRDefault="00F427A3">
      <w:pPr>
        <w:spacing w:line="288" w:lineRule="auto"/>
        <w:ind w:firstLine="720"/>
        <w:jc w:val="both"/>
        <w:rPr>
          <w:rFonts w:ascii="Times New Roman" w:hAnsi="Times New Roman"/>
          <w:sz w:val="20"/>
          <w:szCs w:val="20"/>
        </w:rPr>
      </w:pPr>
    </w:p>
    <w:p w14:paraId="54E8FC49"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numbers for our key metrics are calculated using internal company data based on the activity of user accounts. We have historically reported the numbers of our daily active users (DAUs), monthly active users (MAUs), and average r</w:t>
      </w:r>
      <w:r>
        <w:rPr>
          <w:rFonts w:ascii="Times New Roman" w:eastAsia="宋体" w:hAnsi="Times New Roman"/>
          <w:sz w:val="20"/>
          <w:szCs w:val="20"/>
        </w:rPr>
        <w:t>evenue per user (ARPU) (collectively, our "Facebook metrics") based on user activity only on Facebook and Messenger and not on our other products. Beginning with our Annual Report on Form 10-K for the year ended December 31, 2019, we also report our estima</w:t>
      </w:r>
      <w:r>
        <w:rPr>
          <w:rFonts w:ascii="Times New Roman" w:eastAsia="宋体" w:hAnsi="Times New Roman"/>
          <w:sz w:val="20"/>
          <w:szCs w:val="20"/>
        </w:rPr>
        <w:t>tes of the numbers of our daily active people (DAP), monthly active people (MAP), and average revenue per person (ARPP) (collectively, our "Family metrics") based on the activity of users who visited at least one of Facebook, Instagram, Messenger, and What</w:t>
      </w:r>
      <w:r>
        <w:rPr>
          <w:rFonts w:ascii="Times New Roman" w:eastAsia="宋体" w:hAnsi="Times New Roman"/>
          <w:sz w:val="20"/>
          <w:szCs w:val="20"/>
        </w:rPr>
        <w:t xml:space="preserve">sApp (collectively, our "Family" of products) during the applicable period of measurement. We believe our Family metrics better reflect the size of our community and the fact that many people are using more than one of our products. As a result, over time </w:t>
      </w:r>
      <w:r>
        <w:rPr>
          <w:rFonts w:ascii="Times New Roman" w:eastAsia="宋体" w:hAnsi="Times New Roman"/>
          <w:sz w:val="20"/>
          <w:szCs w:val="20"/>
        </w:rPr>
        <w:t>we intend to report our Family metrics as our key metrics in place of DAUs, MAUs, and ARPU in our periodic reports filed with the Securities and Exchange Commission.</w:t>
      </w:r>
    </w:p>
    <w:p w14:paraId="54E8FC4A" w14:textId="77777777" w:rsidR="00F427A3" w:rsidRDefault="00F427A3">
      <w:pPr>
        <w:spacing w:line="288" w:lineRule="auto"/>
        <w:ind w:firstLine="720"/>
        <w:jc w:val="both"/>
        <w:rPr>
          <w:rFonts w:ascii="Times New Roman" w:hAnsi="Times New Roman"/>
          <w:sz w:val="20"/>
          <w:szCs w:val="20"/>
        </w:rPr>
      </w:pPr>
    </w:p>
    <w:p w14:paraId="54E8FC4B"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While these numbers are based on what we believe to be reasonable estimates of our user b</w:t>
      </w:r>
      <w:r>
        <w:rPr>
          <w:rFonts w:ascii="Times New Roman" w:eastAsia="宋体" w:hAnsi="Times New Roman"/>
          <w:sz w:val="20"/>
          <w:szCs w:val="20"/>
        </w:rPr>
        <w:t>ase for the applicable period of measurement, there are inherent challenges in measuring usage of our products across large online and mobile populations around the world. The methodologies used to measure these metrics require significant judgment and are</w:t>
      </w:r>
      <w:r>
        <w:rPr>
          <w:rFonts w:ascii="Times New Roman" w:eastAsia="宋体" w:hAnsi="Times New Roman"/>
          <w:sz w:val="20"/>
          <w:szCs w:val="20"/>
        </w:rPr>
        <w:t xml:space="preserve"> also susceptible to algorithm or other technical errors. In addition, we are continually seeking to improve our estimates of our user base, and such estimates may change due to improvements or changes in our methodology. We regularly review our processes </w:t>
      </w:r>
      <w:r>
        <w:rPr>
          <w:rFonts w:ascii="Times New Roman" w:eastAsia="宋体" w:hAnsi="Times New Roman"/>
          <w:sz w:val="20"/>
          <w:szCs w:val="20"/>
        </w:rPr>
        <w:t xml:space="preserve">for calculating these metrics, and from time to time we discover inaccuracies in our metrics or make adjustments to improve their accuracy, which can result in adjustments to our historical metrics. Our ability to recalculate our historical metrics may be </w:t>
      </w:r>
      <w:r>
        <w:rPr>
          <w:rFonts w:ascii="Times New Roman" w:eastAsia="宋体" w:hAnsi="Times New Roman"/>
          <w:sz w:val="20"/>
          <w:szCs w:val="20"/>
        </w:rPr>
        <w:t>impacted by data limitations or other factors that require us to apply different methodologies for such adjustments. We generally do not intend to update previously disclosed Family metrics for any such inaccuracies or adjustments that are within the error</w:t>
      </w:r>
      <w:r>
        <w:rPr>
          <w:rFonts w:ascii="Times New Roman" w:eastAsia="宋体" w:hAnsi="Times New Roman"/>
          <w:sz w:val="20"/>
          <w:szCs w:val="20"/>
        </w:rPr>
        <w:t xml:space="preserve"> margins disclosed below.</w:t>
      </w:r>
    </w:p>
    <w:p w14:paraId="54E8FC4C" w14:textId="77777777" w:rsidR="00F427A3" w:rsidRDefault="00F427A3">
      <w:pPr>
        <w:spacing w:line="288" w:lineRule="auto"/>
        <w:ind w:firstLine="720"/>
        <w:jc w:val="both"/>
        <w:rPr>
          <w:rFonts w:ascii="Times New Roman" w:hAnsi="Times New Roman"/>
          <w:sz w:val="20"/>
          <w:szCs w:val="20"/>
        </w:rPr>
      </w:pPr>
    </w:p>
    <w:p w14:paraId="54E8FC4D"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our Facebook metrics and Family metrics estimates will differ from estimates published by third parties due to differences in methodology.</w:t>
      </w:r>
    </w:p>
    <w:p w14:paraId="54E8FC4E" w14:textId="77777777" w:rsidR="00F427A3" w:rsidRDefault="00F427A3">
      <w:pPr>
        <w:spacing w:line="288" w:lineRule="auto"/>
        <w:ind w:firstLine="720"/>
        <w:jc w:val="both"/>
        <w:rPr>
          <w:rFonts w:ascii="Times New Roman" w:hAnsi="Times New Roman"/>
          <w:sz w:val="20"/>
          <w:szCs w:val="20"/>
        </w:rPr>
      </w:pPr>
    </w:p>
    <w:p w14:paraId="54E8FC4F"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sz w:val="20"/>
          <w:szCs w:val="20"/>
        </w:rPr>
        <w:t>Facebook Metrics</w:t>
      </w:r>
    </w:p>
    <w:p w14:paraId="54E8FC50" w14:textId="77777777" w:rsidR="00F427A3" w:rsidRDefault="00F427A3">
      <w:pPr>
        <w:spacing w:line="288" w:lineRule="auto"/>
        <w:jc w:val="both"/>
        <w:rPr>
          <w:rFonts w:ascii="Times New Roman" w:hAnsi="Times New Roman"/>
          <w:sz w:val="20"/>
          <w:szCs w:val="20"/>
        </w:rPr>
      </w:pPr>
    </w:p>
    <w:p w14:paraId="54E8FC51"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regularly evaluate our Facebook metrics to estimate the</w:t>
      </w:r>
      <w:r>
        <w:rPr>
          <w:rFonts w:ascii="Times New Roman" w:eastAsia="宋体" w:hAnsi="Times New Roman"/>
          <w:sz w:val="20"/>
          <w:szCs w:val="20"/>
        </w:rPr>
        <w:t xml:space="preserve"> number of "duplicate" and "false" accounts among our MAUs. A duplicate account is one that a user maintains in addition to his or her principal account. We divide "false" accounts into two categories: (1) user-misclassified accounts, where users have crea</w:t>
      </w:r>
      <w:r>
        <w:rPr>
          <w:rFonts w:ascii="Times New Roman" w:eastAsia="宋体" w:hAnsi="Times New Roman"/>
          <w:sz w:val="20"/>
          <w:szCs w:val="20"/>
        </w:rPr>
        <w:t>ted personal profiles for a business, organization, or non-human entity such as a pet (such entities are permitted on Facebook using a Page rather than a personal profile under our terms of service); and (2) violating accounts, which represent user profile</w:t>
      </w:r>
      <w:r>
        <w:rPr>
          <w:rFonts w:ascii="Times New Roman" w:eastAsia="宋体" w:hAnsi="Times New Roman"/>
          <w:sz w:val="20"/>
          <w:szCs w:val="20"/>
        </w:rPr>
        <w:t>s that we believe are intended to be used for purposes that violate our terms of service, such as bots and spam. The estimates of duplicate and false accounts are based on an internal review of a limited sample of accounts, and we apply significant judgmen</w:t>
      </w:r>
      <w:r>
        <w:rPr>
          <w:rFonts w:ascii="Times New Roman" w:eastAsia="宋体" w:hAnsi="Times New Roman"/>
          <w:sz w:val="20"/>
          <w:szCs w:val="20"/>
        </w:rPr>
        <w:t>t in making this determination. For example, to identify duplicate accounts we use data signals such as identical IP addresses and similar user names, and to identify false accounts we look for names that appear to be fake or other behavior that appears in</w:t>
      </w:r>
      <w:r>
        <w:rPr>
          <w:rFonts w:ascii="Times New Roman" w:eastAsia="宋体" w:hAnsi="Times New Roman"/>
          <w:sz w:val="20"/>
          <w:szCs w:val="20"/>
        </w:rPr>
        <w:t>authentic to the reviewers. Any loss of access to data signals we use in this process, whether as a result of our own product decisions, actions by third-party browser or mobile platforms, regulatory or legislative requirements, limitations while our perso</w:t>
      </w:r>
      <w:r>
        <w:rPr>
          <w:rFonts w:ascii="Times New Roman" w:eastAsia="宋体" w:hAnsi="Times New Roman"/>
          <w:sz w:val="20"/>
          <w:szCs w:val="20"/>
        </w:rPr>
        <w:t>nnel work remotely during the COVID-19 pandemic, or other factors, also may impact the stability or accuracy of our estimates of duplicate and false accounts. Our estimates also may change as our methodologies evolve, including through the application of n</w:t>
      </w:r>
      <w:r>
        <w:rPr>
          <w:rFonts w:ascii="Times New Roman" w:eastAsia="宋体" w:hAnsi="Times New Roman"/>
          <w:sz w:val="20"/>
          <w:szCs w:val="20"/>
        </w:rPr>
        <w:t>ew data signals or technologies or product changes that may allow us to identify previously undetected duplicate or false accounts and may improve our ability to evaluate a broader population of our users. Duplicate and false accounts are very difficult to</w:t>
      </w:r>
      <w:r>
        <w:rPr>
          <w:rFonts w:ascii="Times New Roman" w:eastAsia="宋体" w:hAnsi="Times New Roman"/>
          <w:sz w:val="20"/>
          <w:szCs w:val="20"/>
        </w:rPr>
        <w:t xml:space="preserve"> measure at our scale, and it is possible that the actual number of duplicate and false accounts may vary significantly from our estimates.</w:t>
      </w:r>
    </w:p>
    <w:p w14:paraId="54E8FC52" w14:textId="77777777" w:rsidR="00F427A3" w:rsidRDefault="00F427A3">
      <w:pPr>
        <w:spacing w:line="288" w:lineRule="auto"/>
        <w:ind w:firstLine="720"/>
        <w:jc w:val="both"/>
        <w:rPr>
          <w:rFonts w:ascii="Times New Roman" w:hAnsi="Times New Roman"/>
          <w:sz w:val="20"/>
          <w:szCs w:val="20"/>
        </w:rPr>
      </w:pPr>
    </w:p>
    <w:p w14:paraId="54E8FC53"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the fourth quarter of 2019, we estimated that duplicate accounts may have represented approximately 11% of </w:t>
      </w:r>
      <w:r>
        <w:rPr>
          <w:rFonts w:ascii="Times New Roman" w:eastAsia="宋体" w:hAnsi="Times New Roman"/>
          <w:sz w:val="20"/>
          <w:szCs w:val="20"/>
        </w:rPr>
        <w:t>our worldwide MAUs. We believe the percentage of duplicate accounts is meaningfully higher in developing markets such as the Philippines and Vietnam, as compared to more developed markets. In the fourth quarter of 2019, we estimated that false accounts may</w:t>
      </w:r>
      <w:r>
        <w:rPr>
          <w:rFonts w:ascii="Times New Roman" w:eastAsia="宋体" w:hAnsi="Times New Roman"/>
          <w:sz w:val="20"/>
          <w:szCs w:val="20"/>
        </w:rPr>
        <w:t xml:space="preserve"> have represented approximately 5% of our worldwide MAUs. Our estimation of false accounts can vary as a result of episodic spikes in the creation of such accounts, which we have seen originate more frequently in specific countries such as Indonesia and Vi</w:t>
      </w:r>
      <w:r>
        <w:rPr>
          <w:rFonts w:ascii="Times New Roman" w:eastAsia="宋体" w:hAnsi="Times New Roman"/>
          <w:sz w:val="20"/>
          <w:szCs w:val="20"/>
        </w:rPr>
        <w:t>etnam. From time to time, we disable certain user accounts, make product changes, or take other actions to reduce the number of duplicate or false accounts among our users, which may also reduce our DAU and MAU estimates in a particular period. We intend t</w:t>
      </w:r>
      <w:r>
        <w:rPr>
          <w:rFonts w:ascii="Times New Roman" w:eastAsia="宋体" w:hAnsi="Times New Roman"/>
          <w:sz w:val="20"/>
          <w:szCs w:val="20"/>
        </w:rPr>
        <w:t>o disclose our estimates of the number of duplicate and false accounts among our MAUs on an annual basis.</w:t>
      </w:r>
    </w:p>
    <w:p w14:paraId="54E8FC54" w14:textId="77777777" w:rsidR="00F427A3" w:rsidRDefault="00F427A3">
      <w:pPr>
        <w:rPr>
          <w:rFonts w:ascii="Times New Roman" w:hAnsi="Times New Roman"/>
          <w:sz w:val="20"/>
          <w:szCs w:val="20"/>
        </w:rPr>
      </w:pPr>
    </w:p>
    <w:p w14:paraId="54E8FC55"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4</w:t>
      </w:r>
    </w:p>
    <w:p w14:paraId="54E8FC56" w14:textId="77777777" w:rsidR="00F427A3" w:rsidRDefault="0044221F">
      <w:r>
        <w:rPr>
          <w:rFonts w:ascii="Times New Roman" w:hAnsi="Times New Roman"/>
          <w:sz w:val="20"/>
          <w:szCs w:val="20"/>
        </w:rPr>
        <w:pict w14:anchorId="54E91C24">
          <v:rect id="_x0000_i1028" style="width:415.3pt;height:1.5pt" o:hralign="center" o:hrstd="t" o:hr="t" fillcolor="#a0a0a0" stroked="f"/>
        </w:pict>
      </w:r>
    </w:p>
    <w:p w14:paraId="54E8FC57" w14:textId="77777777" w:rsidR="00F427A3" w:rsidRDefault="0044221F">
      <w:pPr>
        <w:spacing w:line="288" w:lineRule="auto"/>
        <w:rPr>
          <w:rFonts w:ascii="Times New Roman" w:hAnsi="Times New Roman"/>
          <w:sz w:val="20"/>
          <w:szCs w:val="20"/>
        </w:rPr>
      </w:pPr>
      <w:hyperlink r:id="rId46" w:anchor="s348EA962CF6D59B599D9921AFA89C381" w:history="1">
        <w:r>
          <w:rPr>
            <w:rStyle w:val="a5"/>
            <w:rFonts w:ascii="Times New Roman" w:eastAsia="宋体" w:hAnsi="Times New Roman"/>
            <w:sz w:val="20"/>
            <w:szCs w:val="20"/>
          </w:rPr>
          <w:t>Table of Contents</w:t>
        </w:r>
      </w:hyperlink>
    </w:p>
    <w:p w14:paraId="54E8FC58" w14:textId="77777777" w:rsidR="00F427A3" w:rsidRDefault="00F427A3">
      <w:pPr>
        <w:rPr>
          <w:rFonts w:ascii="Times New Roman" w:hAnsi="Times New Roman"/>
          <w:sz w:val="20"/>
          <w:szCs w:val="20"/>
        </w:rPr>
      </w:pPr>
    </w:p>
    <w:p w14:paraId="54E8FC59" w14:textId="77777777" w:rsidR="00F427A3" w:rsidRDefault="00F427A3">
      <w:pPr>
        <w:spacing w:line="288" w:lineRule="auto"/>
        <w:ind w:firstLine="720"/>
        <w:jc w:val="both"/>
        <w:rPr>
          <w:rFonts w:ascii="Times New Roman" w:hAnsi="Times New Roman"/>
          <w:sz w:val="20"/>
          <w:szCs w:val="20"/>
        </w:rPr>
      </w:pPr>
    </w:p>
    <w:p w14:paraId="54E8FC5A"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numbers of DAUs and MAUs discussed in this Quarterly Report on Form 10-Q, as well as ARPU, do not include users on Instagram, WhatsApp, or our other products, unless they would otherwise qualify as DAUs or MAUs, respectively</w:t>
      </w:r>
      <w:r>
        <w:rPr>
          <w:rFonts w:ascii="Times New Roman" w:eastAsia="宋体" w:hAnsi="Times New Roman"/>
          <w:sz w:val="20"/>
          <w:szCs w:val="20"/>
        </w:rPr>
        <w:t>, based on their other activities on Facebook.</w:t>
      </w:r>
    </w:p>
    <w:p w14:paraId="54E8FC5B" w14:textId="77777777" w:rsidR="00F427A3" w:rsidRDefault="00F427A3">
      <w:pPr>
        <w:spacing w:line="288" w:lineRule="auto"/>
        <w:ind w:firstLine="720"/>
        <w:jc w:val="both"/>
        <w:rPr>
          <w:rFonts w:ascii="Times New Roman" w:hAnsi="Times New Roman"/>
          <w:sz w:val="20"/>
          <w:szCs w:val="20"/>
        </w:rPr>
      </w:pPr>
    </w:p>
    <w:p w14:paraId="54E8FC5C"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sz w:val="20"/>
          <w:szCs w:val="20"/>
        </w:rPr>
        <w:t>Family Metrics</w:t>
      </w:r>
    </w:p>
    <w:p w14:paraId="54E8FC5D" w14:textId="77777777" w:rsidR="00F427A3" w:rsidRDefault="00F427A3">
      <w:pPr>
        <w:spacing w:line="288" w:lineRule="auto"/>
        <w:ind w:firstLine="720"/>
        <w:jc w:val="both"/>
        <w:rPr>
          <w:rFonts w:ascii="Times New Roman" w:hAnsi="Times New Roman"/>
          <w:sz w:val="20"/>
          <w:szCs w:val="20"/>
        </w:rPr>
      </w:pPr>
    </w:p>
    <w:p w14:paraId="54E8FC5E"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Many people in our community have user accounts on more than one of our products, and some people have multiple user accounts within an individual product. Accordingly, for our Family metrics,</w:t>
      </w:r>
      <w:r>
        <w:rPr>
          <w:rFonts w:ascii="Times New Roman" w:eastAsia="宋体" w:hAnsi="Times New Roman"/>
          <w:sz w:val="20"/>
          <w:szCs w:val="20"/>
        </w:rPr>
        <w:t xml:space="preserve"> we do not seek to count the total number of user accounts across our products because we believe that would not reflect the actual size of our community. Rather, our Family metrics represent our estimates of the number of unique people using at least one </w:t>
      </w:r>
      <w:r>
        <w:rPr>
          <w:rFonts w:ascii="Times New Roman" w:eastAsia="宋体" w:hAnsi="Times New Roman"/>
          <w:sz w:val="20"/>
          <w:szCs w:val="20"/>
        </w:rPr>
        <w:t>of Facebook, Instagram, Messenger, and WhatsApp. We do not require people to use a common identifier or link their accounts to use multiple products in our Family, and therefore must seek to attribute multiple user accounts within and across products to in</w:t>
      </w:r>
      <w:r>
        <w:rPr>
          <w:rFonts w:ascii="Times New Roman" w:eastAsia="宋体" w:hAnsi="Times New Roman"/>
          <w:sz w:val="20"/>
          <w:szCs w:val="20"/>
        </w:rPr>
        <w:t>dividual people. To calculate these metrics, we rely upon complex techniques, algorithms and machine learning models that seek to count the individual people behind user accounts, including by matching multiple user accounts within an individual product an</w:t>
      </w:r>
      <w:r>
        <w:rPr>
          <w:rFonts w:ascii="Times New Roman" w:eastAsia="宋体" w:hAnsi="Times New Roman"/>
          <w:sz w:val="20"/>
          <w:szCs w:val="20"/>
        </w:rPr>
        <w:t>d across multiple products when we believe they are attributable to a single person, and counting such group of accounts as one person. These techniques and models require significant judgment, are subject to data and other limitations discussed below, and</w:t>
      </w:r>
      <w:r>
        <w:rPr>
          <w:rFonts w:ascii="Times New Roman" w:eastAsia="宋体" w:hAnsi="Times New Roman"/>
          <w:sz w:val="20"/>
          <w:szCs w:val="20"/>
        </w:rPr>
        <w:t xml:space="preserve"> inherently are subject to statistical variances and uncertainties. We estimate the potential error in our Family metrics primarily based on user survey data, which itself is subject to error as well. While we expect the error margin for our Family metrics</w:t>
      </w:r>
      <w:r>
        <w:rPr>
          <w:rFonts w:ascii="Times New Roman" w:eastAsia="宋体" w:hAnsi="Times New Roman"/>
          <w:sz w:val="20"/>
          <w:szCs w:val="20"/>
        </w:rPr>
        <w:t xml:space="preserve"> to vary from period to period, we estimate that such margin generally will be approximately </w:t>
      </w:r>
      <w:r>
        <w:rPr>
          <w:rFonts w:ascii="Times New Roman" w:eastAsia="宋体" w:hAnsi="Times New Roman"/>
          <w:sz w:val="20"/>
          <w:szCs w:val="20"/>
          <w:shd w:val="clear" w:color="auto" w:fill="FFFFFF"/>
        </w:rPr>
        <w:t>4</w:t>
      </w:r>
      <w:r>
        <w:rPr>
          <w:rFonts w:ascii="Times New Roman" w:eastAsia="宋体" w:hAnsi="Times New Roman"/>
          <w:sz w:val="20"/>
          <w:szCs w:val="20"/>
        </w:rPr>
        <w:t>% of our worldwide MAP. At our scale, it is very difficult to attribute multiple user accounts within and across products to individual people, and it is possible</w:t>
      </w:r>
      <w:r>
        <w:rPr>
          <w:rFonts w:ascii="Times New Roman" w:eastAsia="宋体" w:hAnsi="Times New Roman"/>
          <w:sz w:val="20"/>
          <w:szCs w:val="20"/>
        </w:rPr>
        <w:t xml:space="preserve"> that the actual numbers of unique people using our products may vary significantly from our estimates, potentially beyond our estimated error margins. As a result, it is also possible that our Family metrics may indicate changes or trends in user numbers </w:t>
      </w:r>
      <w:r>
        <w:rPr>
          <w:rFonts w:ascii="Times New Roman" w:eastAsia="宋体" w:hAnsi="Times New Roman"/>
          <w:sz w:val="20"/>
          <w:szCs w:val="20"/>
        </w:rPr>
        <w:t>that do not match actual changes or trends.</w:t>
      </w:r>
    </w:p>
    <w:p w14:paraId="54E8FC5F" w14:textId="77777777" w:rsidR="00F427A3" w:rsidRDefault="00F427A3">
      <w:pPr>
        <w:spacing w:line="288" w:lineRule="auto"/>
        <w:ind w:firstLine="720"/>
        <w:jc w:val="both"/>
        <w:rPr>
          <w:rFonts w:ascii="Times New Roman" w:hAnsi="Times New Roman"/>
          <w:sz w:val="20"/>
          <w:szCs w:val="20"/>
        </w:rPr>
      </w:pPr>
    </w:p>
    <w:p w14:paraId="54E8FC60"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To calculate our estimates of Family DAP and MAP, we currently use a series of machine learning models that are developed based on internal reviews of limited samples of user accounts and calibrated against user</w:t>
      </w:r>
      <w:r>
        <w:rPr>
          <w:rFonts w:ascii="Times New Roman" w:eastAsia="宋体" w:hAnsi="Times New Roman"/>
          <w:sz w:val="20"/>
          <w:szCs w:val="20"/>
        </w:rPr>
        <w:t xml:space="preserve"> survey data. We apply significant judgment in designing these models and calculating these estimates. For example, to match user accounts within individual products and across multiple products, we use data signals such as similar device information, IP a</w:t>
      </w:r>
      <w:r>
        <w:rPr>
          <w:rFonts w:ascii="Times New Roman" w:eastAsia="宋体" w:hAnsi="Times New Roman"/>
          <w:sz w:val="20"/>
          <w:szCs w:val="20"/>
        </w:rPr>
        <w:t>ddresses, and user names. We also calibrate our models against data from periodic user surveys of varying sizes and frequency across our products, which are inherently subject to error. The timing and results of such user surveys have in the past contribut</w:t>
      </w:r>
      <w:r>
        <w:rPr>
          <w:rFonts w:ascii="Times New Roman" w:eastAsia="宋体" w:hAnsi="Times New Roman"/>
          <w:sz w:val="20"/>
          <w:szCs w:val="20"/>
        </w:rPr>
        <w:t>ed, and may in the future contribute, to changes in our reported Family metrics from period to period. In addition, our data limitations may affect our understanding of certain details of our business and increase the risk of error for our Family metrics e</w:t>
      </w:r>
      <w:r>
        <w:rPr>
          <w:rFonts w:ascii="Times New Roman" w:eastAsia="宋体" w:hAnsi="Times New Roman"/>
          <w:sz w:val="20"/>
          <w:szCs w:val="20"/>
        </w:rPr>
        <w:t>stimates. Our techniques and models rely on a variety of data signals from different products, and we rely on more limited data signals for some products compared to others. For example, as a result of limited visibility into encrypted products, we have fe</w:t>
      </w:r>
      <w:r>
        <w:rPr>
          <w:rFonts w:ascii="Times New Roman" w:eastAsia="宋体" w:hAnsi="Times New Roman"/>
          <w:sz w:val="20"/>
          <w:szCs w:val="20"/>
        </w:rPr>
        <w:t xml:space="preserve">wer data signals from WhatsApp user accounts and primarily rely on phone numbers and device information to match WhatsApp user accounts with accounts on our other products. Similarly, although Messenger Kids users are included in our Family metrics, we do </w:t>
      </w:r>
      <w:r>
        <w:rPr>
          <w:rFonts w:ascii="Times New Roman" w:eastAsia="宋体" w:hAnsi="Times New Roman"/>
          <w:sz w:val="20"/>
          <w:szCs w:val="20"/>
        </w:rPr>
        <w:t>not seek to match their accounts with accounts on our other applications for purposes of calculating DAP and MAP. Any loss of access to data signals we use in our process for calculating Family metrics, whether as a result of our own product decisions, act</w:t>
      </w:r>
      <w:r>
        <w:rPr>
          <w:rFonts w:ascii="Times New Roman" w:eastAsia="宋体" w:hAnsi="Times New Roman"/>
          <w:sz w:val="20"/>
          <w:szCs w:val="20"/>
        </w:rPr>
        <w:t>ions by third-party browser or mobile platforms, regulatory or legislative requirements, limitations while our personnel work remotely during the COVID-19 pandemic, or other factors, also may impact the stability or accuracy of our reported Family metrics.</w:t>
      </w:r>
      <w:r>
        <w:rPr>
          <w:rFonts w:ascii="Times New Roman" w:eastAsia="宋体" w:hAnsi="Times New Roman"/>
          <w:sz w:val="20"/>
          <w:szCs w:val="20"/>
        </w:rPr>
        <w:t xml:space="preserve"> Our estimates of Family metrics also may change as our methodologies evolve, including through the application of new data signals or technologies, product changes, or other improvements in our user surveys, algorithms, or machine learning that may improv</w:t>
      </w:r>
      <w:r>
        <w:rPr>
          <w:rFonts w:ascii="Times New Roman" w:eastAsia="宋体" w:hAnsi="Times New Roman"/>
          <w:sz w:val="20"/>
          <w:szCs w:val="20"/>
        </w:rPr>
        <w:t>e our ability to match accounts within and across our products or otherwise evaluate the broad population of our users. In addition, such evolution may allow us to identify previously undetected violating accounts (as defined below).</w:t>
      </w:r>
    </w:p>
    <w:p w14:paraId="54E8FC61" w14:textId="77777777" w:rsidR="00F427A3" w:rsidRDefault="00F427A3">
      <w:pPr>
        <w:spacing w:line="288" w:lineRule="auto"/>
        <w:ind w:firstLine="720"/>
        <w:jc w:val="both"/>
        <w:rPr>
          <w:rFonts w:ascii="Times New Roman" w:hAnsi="Times New Roman"/>
          <w:sz w:val="20"/>
          <w:szCs w:val="20"/>
        </w:rPr>
      </w:pPr>
    </w:p>
    <w:p w14:paraId="54E8FC62"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regularly evaluate</w:t>
      </w:r>
      <w:r>
        <w:rPr>
          <w:rFonts w:ascii="Times New Roman" w:eastAsia="宋体" w:hAnsi="Times New Roman"/>
          <w:sz w:val="20"/>
          <w:szCs w:val="20"/>
        </w:rPr>
        <w:t xml:space="preserve"> our Family metrics to estimate the percentage of our MAP consisting solely of "violating" accounts. We define "violating" accounts as accounts which we believe are intended to be used for purposes that violate our terms of service, including bots and spam</w:t>
      </w:r>
      <w:r>
        <w:rPr>
          <w:rFonts w:ascii="Times New Roman" w:eastAsia="宋体" w:hAnsi="Times New Roman"/>
          <w:sz w:val="20"/>
          <w:szCs w:val="20"/>
        </w:rPr>
        <w:t>. In the fourth quarter of 2019, we estimated that approximately 3% of our worldwide MAP consisted solely of violating accounts. Such estimation is based on an internal review of a limited sample of accounts, and we apply significant judgment in making thi</w:t>
      </w:r>
      <w:r>
        <w:rPr>
          <w:rFonts w:ascii="Times New Roman" w:eastAsia="宋体" w:hAnsi="Times New Roman"/>
          <w:sz w:val="20"/>
          <w:szCs w:val="20"/>
        </w:rPr>
        <w:t>s determination. For example, we look for account information and behaviors associated with Facebook and Instagram accounts that appear to be inauthentic to the reviewers, but we have limited visibility into WhatsApp user activity due to encryption. In add</w:t>
      </w:r>
      <w:r>
        <w:rPr>
          <w:rFonts w:ascii="Times New Roman" w:eastAsia="宋体" w:hAnsi="Times New Roman"/>
          <w:sz w:val="20"/>
          <w:szCs w:val="20"/>
        </w:rPr>
        <w:t>ition, if we believe an individual person has one or more violating accounts, we do not include such person in our violating accounts estimation as long as we believe they have one account that does not constitute a violating account. From time to time, we</w:t>
      </w:r>
      <w:r>
        <w:rPr>
          <w:rFonts w:ascii="Times New Roman" w:eastAsia="宋体" w:hAnsi="Times New Roman"/>
          <w:sz w:val="20"/>
          <w:szCs w:val="20"/>
        </w:rPr>
        <w:t xml:space="preserve"> disable certain user accounts, make product changes, or take other actions to reduce </w:t>
      </w:r>
    </w:p>
    <w:p w14:paraId="54E8FC63" w14:textId="77777777" w:rsidR="00F427A3" w:rsidRDefault="00F427A3">
      <w:pPr>
        <w:rPr>
          <w:rFonts w:ascii="Times New Roman" w:hAnsi="Times New Roman"/>
          <w:sz w:val="20"/>
          <w:szCs w:val="20"/>
        </w:rPr>
      </w:pPr>
    </w:p>
    <w:p w14:paraId="54E8FC64"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5</w:t>
      </w:r>
    </w:p>
    <w:p w14:paraId="54E8FC65" w14:textId="77777777" w:rsidR="00F427A3" w:rsidRDefault="0044221F">
      <w:r>
        <w:rPr>
          <w:rFonts w:ascii="Times New Roman" w:hAnsi="Times New Roman"/>
          <w:sz w:val="20"/>
          <w:szCs w:val="20"/>
        </w:rPr>
        <w:pict w14:anchorId="54E91C25">
          <v:rect id="_x0000_i1029" style="width:415.3pt;height:1.5pt" o:hralign="center" o:hrstd="t" o:hr="t" fillcolor="#a0a0a0" stroked="f"/>
        </w:pict>
      </w:r>
    </w:p>
    <w:p w14:paraId="54E8FC66" w14:textId="77777777" w:rsidR="00F427A3" w:rsidRDefault="0044221F">
      <w:pPr>
        <w:spacing w:line="288" w:lineRule="auto"/>
        <w:rPr>
          <w:rFonts w:ascii="Times New Roman" w:hAnsi="Times New Roman"/>
          <w:sz w:val="20"/>
          <w:szCs w:val="20"/>
        </w:rPr>
      </w:pPr>
      <w:hyperlink r:id="rId47" w:anchor="s348EA962CF6D59B599D9921AFA89C381" w:history="1">
        <w:r>
          <w:rPr>
            <w:rStyle w:val="a5"/>
            <w:rFonts w:ascii="Times New Roman" w:eastAsia="宋体" w:hAnsi="Times New Roman"/>
            <w:sz w:val="20"/>
            <w:szCs w:val="20"/>
          </w:rPr>
          <w:t>Table of Conte</w:t>
        </w:r>
        <w:r>
          <w:rPr>
            <w:rStyle w:val="a5"/>
            <w:rFonts w:ascii="Times New Roman" w:eastAsia="宋体" w:hAnsi="Times New Roman"/>
            <w:sz w:val="20"/>
            <w:szCs w:val="20"/>
          </w:rPr>
          <w:t>nts</w:t>
        </w:r>
      </w:hyperlink>
    </w:p>
    <w:p w14:paraId="54E8FC67" w14:textId="77777777" w:rsidR="00F427A3" w:rsidRDefault="00F427A3">
      <w:pPr>
        <w:rPr>
          <w:rFonts w:ascii="Times New Roman" w:hAnsi="Times New Roman"/>
          <w:sz w:val="20"/>
          <w:szCs w:val="20"/>
        </w:rPr>
      </w:pPr>
    </w:p>
    <w:p w14:paraId="54E8FC68" w14:textId="77777777" w:rsidR="00F427A3" w:rsidRDefault="0044221F">
      <w:pPr>
        <w:spacing w:line="288" w:lineRule="auto"/>
        <w:jc w:val="both"/>
        <w:rPr>
          <w:rFonts w:ascii="Times New Roman" w:hAnsi="Times New Roman"/>
          <w:sz w:val="20"/>
          <w:szCs w:val="20"/>
        </w:rPr>
      </w:pPr>
      <w:r>
        <w:rPr>
          <w:rFonts w:ascii="Times New Roman" w:eastAsia="宋体" w:hAnsi="Times New Roman"/>
          <w:sz w:val="20"/>
          <w:szCs w:val="20"/>
        </w:rPr>
        <w:t xml:space="preserve">the number of violating accounts among our users, which may also reduce our DAP and MAP estimates in a particular period. We intend to disclose our estimates of the percentage of our MAP consisting solely of violating accounts on an annual </w:t>
      </w:r>
      <w:r>
        <w:rPr>
          <w:rFonts w:ascii="Times New Roman" w:eastAsia="宋体" w:hAnsi="Times New Roman"/>
          <w:sz w:val="20"/>
          <w:szCs w:val="20"/>
        </w:rPr>
        <w:t>basis. Violating accounts are very difficult to measure at our scale, and it is possible that the actual number of violating accounts may vary significantly from our estimates.</w:t>
      </w:r>
    </w:p>
    <w:p w14:paraId="54E8FC69" w14:textId="77777777" w:rsidR="00F427A3" w:rsidRDefault="00F427A3">
      <w:pPr>
        <w:spacing w:line="288" w:lineRule="auto"/>
        <w:ind w:firstLine="720"/>
        <w:jc w:val="both"/>
        <w:rPr>
          <w:rFonts w:ascii="Times New Roman" w:hAnsi="Times New Roman"/>
          <w:sz w:val="20"/>
          <w:szCs w:val="20"/>
        </w:rPr>
      </w:pPr>
    </w:p>
    <w:p w14:paraId="54E8FC6A"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numbers of Family DAP and MAP discussed in this Quarterly Report on Form 1</w:t>
      </w:r>
      <w:r>
        <w:rPr>
          <w:rFonts w:ascii="Times New Roman" w:eastAsia="宋体" w:hAnsi="Times New Roman"/>
          <w:sz w:val="20"/>
          <w:szCs w:val="20"/>
        </w:rPr>
        <w:t>0-Q, as well as ARPP, do not include users on our other products, unless they would otherwise qualify as DAP or MAP, respectively, based on their other activities on our Family products.</w:t>
      </w:r>
    </w:p>
    <w:p w14:paraId="54E8FC6B" w14:textId="77777777" w:rsidR="00F427A3" w:rsidRDefault="00F427A3">
      <w:pPr>
        <w:spacing w:line="288" w:lineRule="auto"/>
        <w:ind w:firstLine="720"/>
        <w:jc w:val="both"/>
        <w:rPr>
          <w:rFonts w:ascii="Times New Roman" w:hAnsi="Times New Roman"/>
          <w:sz w:val="20"/>
          <w:szCs w:val="20"/>
        </w:rPr>
      </w:pPr>
    </w:p>
    <w:p w14:paraId="54E8FC6C"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User Geography</w:t>
      </w:r>
    </w:p>
    <w:p w14:paraId="54E8FC6D" w14:textId="77777777" w:rsidR="00F427A3" w:rsidRDefault="00F427A3">
      <w:pPr>
        <w:spacing w:line="288" w:lineRule="auto"/>
        <w:rPr>
          <w:rFonts w:ascii="Times New Roman" w:hAnsi="Times New Roman"/>
          <w:sz w:val="20"/>
          <w:szCs w:val="20"/>
        </w:rPr>
      </w:pPr>
    </w:p>
    <w:p w14:paraId="54E8FC6E"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data regarding the geographic location of our </w:t>
      </w:r>
      <w:r>
        <w:rPr>
          <w:rFonts w:ascii="Times New Roman" w:eastAsia="宋体" w:hAnsi="Times New Roman"/>
          <w:sz w:val="20"/>
          <w:szCs w:val="20"/>
        </w:rPr>
        <w:t>users is estimated based on a number of factors, such as the user's IP address and self-disclosed location. These factors may not always accurately reflect the user's actual location. For example, a user may appear to be accessing Facebook from the locatio</w:t>
      </w:r>
      <w:r>
        <w:rPr>
          <w:rFonts w:ascii="Times New Roman" w:eastAsia="宋体" w:hAnsi="Times New Roman"/>
          <w:sz w:val="20"/>
          <w:szCs w:val="20"/>
        </w:rPr>
        <w:t>n of the proxy server that the user connects to rather than from the user's actual location. The methodologies used to measure our metrics are also susceptible to algorithm or other technical errors, and our estimates for revenue by user location and reven</w:t>
      </w:r>
      <w:r>
        <w:rPr>
          <w:rFonts w:ascii="Times New Roman" w:eastAsia="宋体" w:hAnsi="Times New Roman"/>
          <w:sz w:val="20"/>
          <w:szCs w:val="20"/>
        </w:rPr>
        <w:t>ue by user device are also affected by these factors.</w:t>
      </w:r>
    </w:p>
    <w:p w14:paraId="54E8FC6F" w14:textId="77777777" w:rsidR="00F427A3" w:rsidRDefault="00F427A3">
      <w:pPr>
        <w:spacing w:line="288" w:lineRule="auto"/>
        <w:ind w:firstLine="720"/>
        <w:jc w:val="both"/>
        <w:rPr>
          <w:rFonts w:ascii="Times New Roman" w:hAnsi="Times New Roman"/>
          <w:sz w:val="20"/>
          <w:szCs w:val="20"/>
        </w:rPr>
      </w:pPr>
    </w:p>
    <w:p w14:paraId="54E8FC70" w14:textId="77777777" w:rsidR="00F427A3" w:rsidRDefault="00F427A3">
      <w:pPr>
        <w:rPr>
          <w:rFonts w:ascii="Times New Roman" w:hAnsi="Times New Roman"/>
          <w:sz w:val="20"/>
          <w:szCs w:val="20"/>
        </w:rPr>
      </w:pPr>
    </w:p>
    <w:p w14:paraId="54E8FC71"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6</w:t>
      </w:r>
    </w:p>
    <w:p w14:paraId="54E8FC72" w14:textId="77777777" w:rsidR="00F427A3" w:rsidRDefault="0044221F">
      <w:r>
        <w:rPr>
          <w:rFonts w:ascii="Times New Roman" w:hAnsi="Times New Roman"/>
          <w:sz w:val="20"/>
          <w:szCs w:val="20"/>
        </w:rPr>
        <w:pict w14:anchorId="54E91C26">
          <v:rect id="_x0000_i1030" style="width:415.3pt;height:1.5pt" o:hralign="center" o:hrstd="t" o:hr="t" fillcolor="#a0a0a0" stroked="f"/>
        </w:pict>
      </w:r>
    </w:p>
    <w:p w14:paraId="54E8FC73" w14:textId="77777777" w:rsidR="00F427A3" w:rsidRDefault="0044221F">
      <w:pPr>
        <w:spacing w:line="288" w:lineRule="auto"/>
        <w:rPr>
          <w:rFonts w:ascii="Times New Roman" w:hAnsi="Times New Roman"/>
          <w:sz w:val="20"/>
          <w:szCs w:val="20"/>
        </w:rPr>
      </w:pPr>
      <w:hyperlink r:id="rId48" w:anchor="s348EA962CF6D59B599D9921AFA89C381" w:history="1">
        <w:r>
          <w:rPr>
            <w:rStyle w:val="a5"/>
            <w:rFonts w:ascii="Times New Roman" w:eastAsia="宋体" w:hAnsi="Times New Roman"/>
            <w:sz w:val="20"/>
            <w:szCs w:val="20"/>
          </w:rPr>
          <w:t>Table of Contents</w:t>
        </w:r>
      </w:hyperlink>
    </w:p>
    <w:p w14:paraId="54E8FC74" w14:textId="77777777" w:rsidR="00F427A3" w:rsidRDefault="00F427A3">
      <w:pPr>
        <w:rPr>
          <w:rFonts w:ascii="Times New Roman" w:hAnsi="Times New Roman"/>
          <w:sz w:val="20"/>
          <w:szCs w:val="20"/>
        </w:rPr>
      </w:pPr>
    </w:p>
    <w:p w14:paraId="54E8FC75"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PART I—FINANCIAL INFORMA</w:t>
      </w:r>
      <w:r>
        <w:rPr>
          <w:rFonts w:ascii="Times New Roman" w:eastAsia="宋体" w:hAnsi="Times New Roman"/>
          <w:b/>
          <w:bCs/>
          <w:sz w:val="20"/>
          <w:szCs w:val="20"/>
        </w:rPr>
        <w:t>TION</w:t>
      </w:r>
    </w:p>
    <w:tbl>
      <w:tblPr>
        <w:tblW w:w="0" w:type="auto"/>
        <w:tblCellSpacing w:w="0" w:type="dxa"/>
        <w:tblCellMar>
          <w:top w:w="120" w:type="dxa"/>
          <w:left w:w="0" w:type="dxa"/>
          <w:right w:w="0" w:type="dxa"/>
        </w:tblCellMar>
        <w:tblLook w:val="04A0" w:firstRow="1" w:lastRow="0" w:firstColumn="1" w:lastColumn="0" w:noHBand="0" w:noVBand="1"/>
      </w:tblPr>
      <w:tblGrid>
        <w:gridCol w:w="960"/>
        <w:gridCol w:w="1795"/>
      </w:tblGrid>
      <w:tr w:rsidR="00F427A3" w14:paraId="54E8FC78" w14:textId="77777777">
        <w:trPr>
          <w:tblCellSpacing w:w="0" w:type="dxa"/>
        </w:trPr>
        <w:tc>
          <w:tcPr>
            <w:tcW w:w="960" w:type="dxa"/>
            <w:shd w:val="clear" w:color="auto" w:fill="auto"/>
            <w:vAlign w:val="center"/>
          </w:tcPr>
          <w:p w14:paraId="54E8FC76" w14:textId="77777777" w:rsidR="00F427A3" w:rsidRDefault="00F427A3">
            <w:pPr>
              <w:rPr>
                <w:rFonts w:ascii="Times New Roman" w:hAnsi="Times New Roman"/>
                <w:sz w:val="20"/>
                <w:szCs w:val="20"/>
              </w:rPr>
            </w:pPr>
          </w:p>
        </w:tc>
        <w:tc>
          <w:tcPr>
            <w:tcW w:w="0" w:type="auto"/>
            <w:shd w:val="clear" w:color="auto" w:fill="auto"/>
            <w:vAlign w:val="center"/>
          </w:tcPr>
          <w:p w14:paraId="54E8FC77" w14:textId="77777777" w:rsidR="00F427A3" w:rsidRDefault="00F427A3">
            <w:pPr>
              <w:rPr>
                <w:rFonts w:ascii="Times New Roman" w:hAnsi="Times New Roman"/>
                <w:sz w:val="20"/>
                <w:szCs w:val="20"/>
              </w:rPr>
            </w:pPr>
          </w:p>
        </w:tc>
      </w:tr>
      <w:tr w:rsidR="00F427A3" w14:paraId="54E8FC7B" w14:textId="77777777">
        <w:trPr>
          <w:tblCellSpacing w:w="0" w:type="dxa"/>
        </w:trPr>
        <w:tc>
          <w:tcPr>
            <w:tcW w:w="0" w:type="auto"/>
            <w:shd w:val="clear" w:color="auto" w:fill="auto"/>
          </w:tcPr>
          <w:p w14:paraId="54E8FC79"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b/>
                <w:bCs/>
                <w:sz w:val="20"/>
                <w:szCs w:val="20"/>
              </w:rPr>
              <w:t>Item 1.</w:t>
            </w:r>
          </w:p>
        </w:tc>
        <w:tc>
          <w:tcPr>
            <w:tcW w:w="0" w:type="auto"/>
            <w:shd w:val="clear" w:color="auto" w:fill="auto"/>
          </w:tcPr>
          <w:p w14:paraId="54E8FC7A"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b/>
                <w:bCs/>
                <w:sz w:val="20"/>
                <w:szCs w:val="20"/>
              </w:rPr>
              <w:t>Financial Statements</w:t>
            </w:r>
          </w:p>
        </w:tc>
      </w:tr>
    </w:tbl>
    <w:p w14:paraId="54E8FC7C"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54E8FC7D"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BALANCE SHEETS</w:t>
      </w:r>
    </w:p>
    <w:p w14:paraId="54E8FC7E" w14:textId="77777777" w:rsidR="00F427A3" w:rsidRDefault="0044221F">
      <w:pPr>
        <w:spacing w:line="288" w:lineRule="auto"/>
        <w:jc w:val="center"/>
        <w:rPr>
          <w:rFonts w:ascii="Times New Roman" w:hAnsi="Times New Roman"/>
          <w:sz w:val="18"/>
          <w:szCs w:val="18"/>
        </w:rPr>
      </w:pPr>
      <w:r>
        <w:rPr>
          <w:rFonts w:ascii="Times New Roman" w:eastAsia="宋体" w:hAnsi="Times New Roman"/>
          <w:i/>
          <w:iCs/>
          <w:sz w:val="18"/>
          <w:szCs w:val="18"/>
        </w:rPr>
        <w:t>(In millions, except for number of shares and par value)</w:t>
      </w:r>
    </w:p>
    <w:p w14:paraId="54E8FC7F" w14:textId="77777777" w:rsidR="00F427A3" w:rsidRDefault="0044221F">
      <w:pPr>
        <w:spacing w:line="288" w:lineRule="auto"/>
        <w:jc w:val="center"/>
        <w:rPr>
          <w:rFonts w:ascii="Times New Roman" w:hAnsi="Times New Roman"/>
          <w:sz w:val="18"/>
          <w:szCs w:val="18"/>
        </w:rPr>
      </w:pPr>
      <w:r>
        <w:rPr>
          <w:rFonts w:ascii="Times New Roman" w:eastAsia="宋体" w:hAnsi="Times New Roman"/>
          <w:i/>
          <w:iCs/>
          <w:sz w:val="18"/>
          <w:szCs w:val="18"/>
        </w:rPr>
        <w:t>(Unaudited)</w:t>
      </w:r>
    </w:p>
    <w:tbl>
      <w:tblPr>
        <w:tblW w:w="5000" w:type="pct"/>
        <w:jc w:val="center"/>
        <w:tblCellMar>
          <w:left w:w="0" w:type="dxa"/>
          <w:right w:w="0" w:type="dxa"/>
        </w:tblCellMar>
        <w:tblLook w:val="04A0" w:firstRow="1" w:lastRow="0" w:firstColumn="1" w:lastColumn="0" w:noHBand="0" w:noVBand="1"/>
      </w:tblPr>
      <w:tblGrid>
        <w:gridCol w:w="5953"/>
        <w:gridCol w:w="141"/>
        <w:gridCol w:w="895"/>
        <w:gridCol w:w="81"/>
        <w:gridCol w:w="130"/>
        <w:gridCol w:w="141"/>
        <w:gridCol w:w="858"/>
        <w:gridCol w:w="107"/>
      </w:tblGrid>
      <w:tr w:rsidR="00F427A3" w14:paraId="54E8FC81" w14:textId="77777777">
        <w:trPr>
          <w:jc w:val="center"/>
        </w:trPr>
        <w:tc>
          <w:tcPr>
            <w:tcW w:w="0" w:type="auto"/>
            <w:gridSpan w:val="8"/>
            <w:shd w:val="clear" w:color="auto" w:fill="auto"/>
            <w:vAlign w:val="center"/>
          </w:tcPr>
          <w:p w14:paraId="54E8FC80" w14:textId="77777777" w:rsidR="00F427A3" w:rsidRDefault="00F427A3">
            <w:pPr>
              <w:rPr>
                <w:rFonts w:ascii="Times New Roman" w:hAnsi="Times New Roman"/>
                <w:sz w:val="20"/>
                <w:szCs w:val="20"/>
              </w:rPr>
            </w:pPr>
          </w:p>
        </w:tc>
      </w:tr>
      <w:tr w:rsidR="00F427A3" w14:paraId="54E8FC8A" w14:textId="77777777">
        <w:trPr>
          <w:jc w:val="center"/>
        </w:trPr>
        <w:tc>
          <w:tcPr>
            <w:tcW w:w="3650" w:type="pct"/>
            <w:shd w:val="clear" w:color="auto" w:fill="auto"/>
            <w:vAlign w:val="center"/>
          </w:tcPr>
          <w:p w14:paraId="54E8FC82" w14:textId="77777777" w:rsidR="00F427A3" w:rsidRDefault="00F427A3">
            <w:pPr>
              <w:rPr>
                <w:rFonts w:ascii="Times New Roman" w:hAnsi="Times New Roman"/>
                <w:sz w:val="20"/>
                <w:szCs w:val="20"/>
              </w:rPr>
            </w:pPr>
          </w:p>
        </w:tc>
        <w:tc>
          <w:tcPr>
            <w:tcW w:w="50" w:type="pct"/>
            <w:shd w:val="clear" w:color="auto" w:fill="auto"/>
            <w:vAlign w:val="center"/>
          </w:tcPr>
          <w:p w14:paraId="54E8FC83" w14:textId="77777777" w:rsidR="00F427A3" w:rsidRDefault="00F427A3">
            <w:pPr>
              <w:rPr>
                <w:rFonts w:ascii="Times New Roman" w:hAnsi="Times New Roman"/>
                <w:sz w:val="20"/>
                <w:szCs w:val="20"/>
              </w:rPr>
            </w:pPr>
          </w:p>
        </w:tc>
        <w:tc>
          <w:tcPr>
            <w:tcW w:w="550" w:type="pct"/>
            <w:shd w:val="clear" w:color="auto" w:fill="auto"/>
            <w:vAlign w:val="center"/>
          </w:tcPr>
          <w:p w14:paraId="54E8FC84" w14:textId="77777777" w:rsidR="00F427A3" w:rsidRDefault="00F427A3">
            <w:pPr>
              <w:rPr>
                <w:rFonts w:ascii="Times New Roman" w:hAnsi="Times New Roman"/>
                <w:sz w:val="20"/>
                <w:szCs w:val="20"/>
              </w:rPr>
            </w:pPr>
          </w:p>
        </w:tc>
        <w:tc>
          <w:tcPr>
            <w:tcW w:w="50" w:type="pct"/>
            <w:shd w:val="clear" w:color="auto" w:fill="auto"/>
            <w:vAlign w:val="center"/>
          </w:tcPr>
          <w:p w14:paraId="54E8FC85" w14:textId="77777777" w:rsidR="00F427A3" w:rsidRDefault="00F427A3">
            <w:pPr>
              <w:rPr>
                <w:rFonts w:ascii="Times New Roman" w:hAnsi="Times New Roman"/>
                <w:sz w:val="20"/>
                <w:szCs w:val="20"/>
              </w:rPr>
            </w:pPr>
          </w:p>
        </w:tc>
        <w:tc>
          <w:tcPr>
            <w:tcW w:w="50" w:type="pct"/>
            <w:shd w:val="clear" w:color="auto" w:fill="auto"/>
            <w:vAlign w:val="center"/>
          </w:tcPr>
          <w:p w14:paraId="54E8FC86" w14:textId="77777777" w:rsidR="00F427A3" w:rsidRDefault="00F427A3">
            <w:pPr>
              <w:rPr>
                <w:rFonts w:ascii="Times New Roman" w:hAnsi="Times New Roman"/>
                <w:sz w:val="20"/>
                <w:szCs w:val="20"/>
              </w:rPr>
            </w:pPr>
          </w:p>
        </w:tc>
        <w:tc>
          <w:tcPr>
            <w:tcW w:w="50" w:type="pct"/>
            <w:shd w:val="clear" w:color="auto" w:fill="auto"/>
            <w:vAlign w:val="center"/>
          </w:tcPr>
          <w:p w14:paraId="54E8FC87" w14:textId="77777777" w:rsidR="00F427A3" w:rsidRDefault="00F427A3">
            <w:pPr>
              <w:rPr>
                <w:rFonts w:ascii="Times New Roman" w:hAnsi="Times New Roman"/>
                <w:sz w:val="20"/>
                <w:szCs w:val="20"/>
              </w:rPr>
            </w:pPr>
          </w:p>
        </w:tc>
        <w:tc>
          <w:tcPr>
            <w:tcW w:w="550" w:type="pct"/>
            <w:shd w:val="clear" w:color="auto" w:fill="auto"/>
            <w:vAlign w:val="center"/>
          </w:tcPr>
          <w:p w14:paraId="54E8FC88" w14:textId="77777777" w:rsidR="00F427A3" w:rsidRDefault="00F427A3">
            <w:pPr>
              <w:rPr>
                <w:rFonts w:ascii="Times New Roman" w:hAnsi="Times New Roman"/>
                <w:sz w:val="20"/>
                <w:szCs w:val="20"/>
              </w:rPr>
            </w:pPr>
          </w:p>
        </w:tc>
        <w:tc>
          <w:tcPr>
            <w:tcW w:w="50" w:type="pct"/>
            <w:shd w:val="clear" w:color="auto" w:fill="auto"/>
            <w:vAlign w:val="center"/>
          </w:tcPr>
          <w:p w14:paraId="54E8FC89" w14:textId="77777777" w:rsidR="00F427A3" w:rsidRDefault="00F427A3">
            <w:pPr>
              <w:rPr>
                <w:rFonts w:ascii="Times New Roman" w:hAnsi="Times New Roman"/>
                <w:sz w:val="20"/>
                <w:szCs w:val="20"/>
              </w:rPr>
            </w:pPr>
          </w:p>
        </w:tc>
      </w:tr>
      <w:tr w:rsidR="00F427A3" w14:paraId="54E8FC8F" w14:textId="77777777">
        <w:trPr>
          <w:jc w:val="center"/>
        </w:trPr>
        <w:tc>
          <w:tcPr>
            <w:tcW w:w="0" w:type="auto"/>
            <w:shd w:val="clear" w:color="auto" w:fill="auto"/>
            <w:tcMar>
              <w:top w:w="40" w:type="dxa"/>
              <w:left w:w="40" w:type="dxa"/>
              <w:bottom w:w="40" w:type="dxa"/>
              <w:right w:w="40" w:type="dxa"/>
            </w:tcMar>
            <w:vAlign w:val="bottom"/>
          </w:tcPr>
          <w:p w14:paraId="54E8FC8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8FC8C"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xml:space="preserve">September 30, </w:t>
            </w:r>
            <w:r>
              <w:rPr>
                <w:rFonts w:ascii="Times New Roman" w:eastAsia="宋体" w:hAnsi="Times New Roman"/>
                <w:b/>
                <w:bCs/>
                <w:sz w:val="16"/>
                <w:szCs w:val="16"/>
              </w:rPr>
              <w:br/>
              <w:t>2020</w:t>
            </w:r>
          </w:p>
        </w:tc>
        <w:tc>
          <w:tcPr>
            <w:tcW w:w="0" w:type="auto"/>
            <w:shd w:val="clear" w:color="auto" w:fill="auto"/>
            <w:tcMar>
              <w:top w:w="40" w:type="dxa"/>
              <w:left w:w="40" w:type="dxa"/>
              <w:bottom w:w="40" w:type="dxa"/>
              <w:right w:w="40" w:type="dxa"/>
            </w:tcMar>
            <w:vAlign w:val="bottom"/>
          </w:tcPr>
          <w:p w14:paraId="54E8FC8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8FC8E"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xml:space="preserve">December 31, </w:t>
            </w:r>
            <w:r>
              <w:rPr>
                <w:rFonts w:ascii="Times New Roman" w:eastAsia="宋体" w:hAnsi="Times New Roman"/>
                <w:b/>
                <w:bCs/>
                <w:sz w:val="16"/>
                <w:szCs w:val="16"/>
              </w:rPr>
              <w:br/>
              <w:t>2019</w:t>
            </w:r>
          </w:p>
        </w:tc>
      </w:tr>
      <w:tr w:rsidR="00F427A3" w14:paraId="54E8FC94" w14:textId="77777777">
        <w:trPr>
          <w:jc w:val="center"/>
        </w:trPr>
        <w:tc>
          <w:tcPr>
            <w:tcW w:w="0" w:type="auto"/>
            <w:shd w:val="clear" w:color="auto" w:fill="CCEEFF"/>
            <w:tcMar>
              <w:top w:w="40" w:type="dxa"/>
              <w:left w:w="40" w:type="dxa"/>
              <w:bottom w:w="40" w:type="dxa"/>
              <w:right w:w="40" w:type="dxa"/>
            </w:tcMar>
          </w:tcPr>
          <w:p w14:paraId="54E8FC90"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Assets</w:t>
            </w:r>
          </w:p>
        </w:tc>
        <w:tc>
          <w:tcPr>
            <w:tcW w:w="0" w:type="auto"/>
            <w:gridSpan w:val="3"/>
            <w:shd w:val="clear" w:color="auto" w:fill="CCEEFF"/>
            <w:tcMar>
              <w:top w:w="40" w:type="dxa"/>
              <w:left w:w="40" w:type="dxa"/>
              <w:bottom w:w="40" w:type="dxa"/>
              <w:right w:w="40" w:type="dxa"/>
            </w:tcMar>
            <w:vAlign w:val="bottom"/>
          </w:tcPr>
          <w:p w14:paraId="54E8FC9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8FC9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8FC9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C99" w14:textId="77777777">
        <w:trPr>
          <w:jc w:val="center"/>
        </w:trPr>
        <w:tc>
          <w:tcPr>
            <w:tcW w:w="0" w:type="auto"/>
            <w:shd w:val="clear" w:color="auto" w:fill="auto"/>
            <w:tcMar>
              <w:top w:w="40" w:type="dxa"/>
              <w:left w:w="40" w:type="dxa"/>
              <w:bottom w:w="40" w:type="dxa"/>
              <w:right w:w="40" w:type="dxa"/>
            </w:tcMar>
          </w:tcPr>
          <w:p w14:paraId="54E8FC95"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Current assets:</w:t>
            </w:r>
          </w:p>
        </w:tc>
        <w:tc>
          <w:tcPr>
            <w:tcW w:w="0" w:type="auto"/>
            <w:gridSpan w:val="3"/>
            <w:shd w:val="clear" w:color="auto" w:fill="auto"/>
            <w:tcMar>
              <w:top w:w="40" w:type="dxa"/>
              <w:left w:w="40" w:type="dxa"/>
              <w:bottom w:w="40" w:type="dxa"/>
              <w:right w:w="40" w:type="dxa"/>
            </w:tcMar>
            <w:vAlign w:val="bottom"/>
          </w:tcPr>
          <w:p w14:paraId="54E8FC9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C9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8FC9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CA2" w14:textId="77777777">
        <w:trPr>
          <w:jc w:val="center"/>
        </w:trPr>
        <w:tc>
          <w:tcPr>
            <w:tcW w:w="0" w:type="auto"/>
            <w:shd w:val="clear" w:color="auto" w:fill="CCEEFF"/>
            <w:tcMar>
              <w:top w:w="40" w:type="dxa"/>
              <w:left w:w="560" w:type="dxa"/>
              <w:bottom w:w="40" w:type="dxa"/>
              <w:right w:w="40" w:type="dxa"/>
            </w:tcMar>
          </w:tcPr>
          <w:p w14:paraId="54E8FC9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Cash and cash equivalents</w:t>
            </w:r>
          </w:p>
        </w:tc>
        <w:tc>
          <w:tcPr>
            <w:tcW w:w="0" w:type="auto"/>
            <w:shd w:val="clear" w:color="auto" w:fill="CCEEFF"/>
            <w:tcMar>
              <w:top w:w="40" w:type="dxa"/>
              <w:left w:w="40" w:type="dxa"/>
              <w:bottom w:w="40" w:type="dxa"/>
            </w:tcMar>
            <w:vAlign w:val="bottom"/>
          </w:tcPr>
          <w:p w14:paraId="54E8FC9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8FC9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11,617</w:t>
            </w:r>
          </w:p>
        </w:tc>
        <w:tc>
          <w:tcPr>
            <w:tcW w:w="0" w:type="auto"/>
            <w:shd w:val="clear" w:color="auto" w:fill="CCEEFF"/>
            <w:vAlign w:val="bottom"/>
          </w:tcPr>
          <w:p w14:paraId="54E8FC9D"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C9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8FC9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8FCA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19,079</w:t>
            </w:r>
          </w:p>
        </w:tc>
        <w:tc>
          <w:tcPr>
            <w:tcW w:w="0" w:type="auto"/>
            <w:shd w:val="clear" w:color="auto" w:fill="CCEEFF"/>
            <w:vAlign w:val="bottom"/>
          </w:tcPr>
          <w:p w14:paraId="54E8FCA1" w14:textId="77777777" w:rsidR="00F427A3" w:rsidRDefault="00F427A3">
            <w:pPr>
              <w:textAlignment w:val="bottom"/>
              <w:rPr>
                <w:rFonts w:ascii="Times New Roman" w:hAnsi="Times New Roman"/>
                <w:sz w:val="20"/>
                <w:szCs w:val="20"/>
              </w:rPr>
            </w:pPr>
          </w:p>
        </w:tc>
      </w:tr>
      <w:tr w:rsidR="00F427A3" w14:paraId="54E8FCA9" w14:textId="77777777">
        <w:trPr>
          <w:jc w:val="center"/>
        </w:trPr>
        <w:tc>
          <w:tcPr>
            <w:tcW w:w="0" w:type="auto"/>
            <w:shd w:val="clear" w:color="auto" w:fill="auto"/>
            <w:tcMar>
              <w:top w:w="40" w:type="dxa"/>
              <w:left w:w="560" w:type="dxa"/>
              <w:bottom w:w="40" w:type="dxa"/>
              <w:right w:w="40" w:type="dxa"/>
            </w:tcMar>
          </w:tcPr>
          <w:p w14:paraId="54E8FCA3"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Marketable securities</w:t>
            </w:r>
          </w:p>
        </w:tc>
        <w:tc>
          <w:tcPr>
            <w:tcW w:w="0" w:type="auto"/>
            <w:gridSpan w:val="2"/>
            <w:shd w:val="clear" w:color="auto" w:fill="auto"/>
            <w:tcMar>
              <w:top w:w="40" w:type="dxa"/>
              <w:left w:w="40" w:type="dxa"/>
              <w:bottom w:w="40" w:type="dxa"/>
            </w:tcMar>
            <w:vAlign w:val="bottom"/>
          </w:tcPr>
          <w:p w14:paraId="54E8FCA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44,003</w:t>
            </w:r>
          </w:p>
        </w:tc>
        <w:tc>
          <w:tcPr>
            <w:tcW w:w="0" w:type="auto"/>
            <w:shd w:val="clear" w:color="auto" w:fill="auto"/>
            <w:vAlign w:val="bottom"/>
          </w:tcPr>
          <w:p w14:paraId="54E8FCA5"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CA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8FCA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35,776</w:t>
            </w:r>
          </w:p>
        </w:tc>
        <w:tc>
          <w:tcPr>
            <w:tcW w:w="0" w:type="auto"/>
            <w:shd w:val="clear" w:color="auto" w:fill="auto"/>
            <w:vAlign w:val="bottom"/>
          </w:tcPr>
          <w:p w14:paraId="54E8FCA8" w14:textId="77777777" w:rsidR="00F427A3" w:rsidRDefault="00F427A3">
            <w:pPr>
              <w:textAlignment w:val="bottom"/>
              <w:rPr>
                <w:rFonts w:ascii="Times New Roman" w:hAnsi="Times New Roman"/>
                <w:sz w:val="20"/>
                <w:szCs w:val="20"/>
              </w:rPr>
            </w:pPr>
          </w:p>
        </w:tc>
      </w:tr>
      <w:tr w:rsidR="00F427A3" w14:paraId="54E8FCB0" w14:textId="77777777">
        <w:trPr>
          <w:jc w:val="center"/>
        </w:trPr>
        <w:tc>
          <w:tcPr>
            <w:tcW w:w="0" w:type="auto"/>
            <w:shd w:val="clear" w:color="auto" w:fill="CCEEFF"/>
            <w:tcMar>
              <w:top w:w="40" w:type="dxa"/>
              <w:left w:w="560" w:type="dxa"/>
              <w:bottom w:w="40" w:type="dxa"/>
              <w:right w:w="40" w:type="dxa"/>
            </w:tcMar>
          </w:tcPr>
          <w:p w14:paraId="54E8FCA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Accounts receivable, net of allowances of $311 and $206 as of September 30, 2020 and December 31, 2019, respectively</w:t>
            </w:r>
          </w:p>
        </w:tc>
        <w:tc>
          <w:tcPr>
            <w:tcW w:w="0" w:type="auto"/>
            <w:gridSpan w:val="2"/>
            <w:shd w:val="clear" w:color="auto" w:fill="CCEEFF"/>
            <w:tcMar>
              <w:top w:w="40" w:type="dxa"/>
              <w:left w:w="40" w:type="dxa"/>
              <w:bottom w:w="40" w:type="dxa"/>
            </w:tcMar>
            <w:vAlign w:val="bottom"/>
          </w:tcPr>
          <w:p w14:paraId="54E8FCA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8,024</w:t>
            </w:r>
          </w:p>
        </w:tc>
        <w:tc>
          <w:tcPr>
            <w:tcW w:w="0" w:type="auto"/>
            <w:shd w:val="clear" w:color="auto" w:fill="CCEEFF"/>
            <w:vAlign w:val="bottom"/>
          </w:tcPr>
          <w:p w14:paraId="54E8FCA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CA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8FCA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9,518</w:t>
            </w:r>
          </w:p>
        </w:tc>
        <w:tc>
          <w:tcPr>
            <w:tcW w:w="0" w:type="auto"/>
            <w:shd w:val="clear" w:color="auto" w:fill="CCEEFF"/>
            <w:vAlign w:val="bottom"/>
          </w:tcPr>
          <w:p w14:paraId="54E8FCAF" w14:textId="77777777" w:rsidR="00F427A3" w:rsidRDefault="00F427A3">
            <w:pPr>
              <w:textAlignment w:val="bottom"/>
              <w:rPr>
                <w:rFonts w:ascii="Times New Roman" w:hAnsi="Times New Roman"/>
                <w:sz w:val="20"/>
                <w:szCs w:val="20"/>
              </w:rPr>
            </w:pPr>
          </w:p>
        </w:tc>
      </w:tr>
      <w:tr w:rsidR="00F427A3" w14:paraId="54E8FCB7" w14:textId="77777777">
        <w:trPr>
          <w:jc w:val="center"/>
        </w:trPr>
        <w:tc>
          <w:tcPr>
            <w:tcW w:w="0" w:type="auto"/>
            <w:shd w:val="clear" w:color="auto" w:fill="auto"/>
            <w:tcMar>
              <w:top w:w="40" w:type="dxa"/>
              <w:left w:w="560" w:type="dxa"/>
              <w:bottom w:w="40" w:type="dxa"/>
              <w:right w:w="40" w:type="dxa"/>
            </w:tcMar>
          </w:tcPr>
          <w:p w14:paraId="54E8FCB1"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xml:space="preserve">Prepaid expenses and other </w:t>
            </w:r>
            <w:r>
              <w:rPr>
                <w:rFonts w:ascii="Times New Roman" w:eastAsia="宋体" w:hAnsi="Times New Roman"/>
                <w:sz w:val="20"/>
                <w:szCs w:val="20"/>
              </w:rPr>
              <w:t>current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54E8FCB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2,155</w:t>
            </w:r>
          </w:p>
        </w:tc>
        <w:tc>
          <w:tcPr>
            <w:tcW w:w="0" w:type="auto"/>
            <w:tcBorders>
              <w:bottom w:val="single" w:sz="8" w:space="0" w:color="000000"/>
            </w:tcBorders>
            <w:shd w:val="clear" w:color="auto" w:fill="auto"/>
            <w:vAlign w:val="bottom"/>
          </w:tcPr>
          <w:p w14:paraId="54E8FCB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CB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8FCB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1,852</w:t>
            </w:r>
          </w:p>
        </w:tc>
        <w:tc>
          <w:tcPr>
            <w:tcW w:w="0" w:type="auto"/>
            <w:tcBorders>
              <w:bottom w:val="single" w:sz="8" w:space="0" w:color="000000"/>
            </w:tcBorders>
            <w:shd w:val="clear" w:color="auto" w:fill="auto"/>
            <w:vAlign w:val="bottom"/>
          </w:tcPr>
          <w:p w14:paraId="54E8FCB6" w14:textId="77777777" w:rsidR="00F427A3" w:rsidRDefault="00F427A3">
            <w:pPr>
              <w:textAlignment w:val="bottom"/>
              <w:rPr>
                <w:rFonts w:ascii="Times New Roman" w:hAnsi="Times New Roman"/>
                <w:sz w:val="20"/>
                <w:szCs w:val="20"/>
              </w:rPr>
            </w:pPr>
          </w:p>
        </w:tc>
      </w:tr>
      <w:tr w:rsidR="00F427A3" w14:paraId="54E8FCBE" w14:textId="77777777">
        <w:trPr>
          <w:jc w:val="center"/>
        </w:trPr>
        <w:tc>
          <w:tcPr>
            <w:tcW w:w="0" w:type="auto"/>
            <w:shd w:val="clear" w:color="auto" w:fill="CCEEFF"/>
            <w:tcMar>
              <w:top w:w="40" w:type="dxa"/>
              <w:left w:w="1040" w:type="dxa"/>
              <w:bottom w:w="40" w:type="dxa"/>
              <w:right w:w="40" w:type="dxa"/>
            </w:tcMar>
          </w:tcPr>
          <w:p w14:paraId="54E8FCB8"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Total current assets</w:t>
            </w:r>
          </w:p>
        </w:tc>
        <w:tc>
          <w:tcPr>
            <w:tcW w:w="0" w:type="auto"/>
            <w:gridSpan w:val="2"/>
            <w:shd w:val="clear" w:color="auto" w:fill="CCEEFF"/>
            <w:tcMar>
              <w:top w:w="40" w:type="dxa"/>
              <w:left w:w="40" w:type="dxa"/>
              <w:bottom w:w="40" w:type="dxa"/>
            </w:tcMar>
            <w:vAlign w:val="bottom"/>
          </w:tcPr>
          <w:p w14:paraId="54E8FCB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65,799</w:t>
            </w:r>
          </w:p>
        </w:tc>
        <w:tc>
          <w:tcPr>
            <w:tcW w:w="0" w:type="auto"/>
            <w:shd w:val="clear" w:color="auto" w:fill="CCEEFF"/>
            <w:vAlign w:val="bottom"/>
          </w:tcPr>
          <w:p w14:paraId="54E8FCBA"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CB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8FCB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66,225</w:t>
            </w:r>
          </w:p>
        </w:tc>
        <w:tc>
          <w:tcPr>
            <w:tcW w:w="0" w:type="auto"/>
            <w:shd w:val="clear" w:color="auto" w:fill="CCEEFF"/>
            <w:vAlign w:val="bottom"/>
          </w:tcPr>
          <w:p w14:paraId="54E8FCBD" w14:textId="77777777" w:rsidR="00F427A3" w:rsidRDefault="00F427A3">
            <w:pPr>
              <w:textAlignment w:val="bottom"/>
              <w:rPr>
                <w:rFonts w:ascii="Times New Roman" w:hAnsi="Times New Roman"/>
                <w:sz w:val="20"/>
                <w:szCs w:val="20"/>
              </w:rPr>
            </w:pPr>
          </w:p>
        </w:tc>
      </w:tr>
      <w:tr w:rsidR="00F427A3" w14:paraId="54E8FCC5" w14:textId="77777777">
        <w:trPr>
          <w:jc w:val="center"/>
        </w:trPr>
        <w:tc>
          <w:tcPr>
            <w:tcW w:w="0" w:type="auto"/>
            <w:shd w:val="clear" w:color="auto" w:fill="auto"/>
            <w:tcMar>
              <w:top w:w="40" w:type="dxa"/>
              <w:left w:w="40" w:type="dxa"/>
              <w:bottom w:w="40" w:type="dxa"/>
              <w:right w:w="40" w:type="dxa"/>
            </w:tcMar>
          </w:tcPr>
          <w:p w14:paraId="54E8FCBF"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Equity investments</w:t>
            </w:r>
          </w:p>
        </w:tc>
        <w:tc>
          <w:tcPr>
            <w:tcW w:w="0" w:type="auto"/>
            <w:gridSpan w:val="2"/>
            <w:shd w:val="clear" w:color="auto" w:fill="auto"/>
            <w:tcMar>
              <w:top w:w="40" w:type="dxa"/>
              <w:left w:w="40" w:type="dxa"/>
              <w:bottom w:w="40" w:type="dxa"/>
            </w:tcMar>
            <w:vAlign w:val="bottom"/>
          </w:tcPr>
          <w:p w14:paraId="54E8FCC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6,164</w:t>
            </w:r>
          </w:p>
        </w:tc>
        <w:tc>
          <w:tcPr>
            <w:tcW w:w="0" w:type="auto"/>
            <w:shd w:val="clear" w:color="auto" w:fill="auto"/>
            <w:vAlign w:val="bottom"/>
          </w:tcPr>
          <w:p w14:paraId="54E8FCC1"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CC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8FCC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86</w:t>
            </w:r>
          </w:p>
        </w:tc>
        <w:tc>
          <w:tcPr>
            <w:tcW w:w="0" w:type="auto"/>
            <w:shd w:val="clear" w:color="auto" w:fill="auto"/>
            <w:vAlign w:val="bottom"/>
          </w:tcPr>
          <w:p w14:paraId="54E8FCC4" w14:textId="77777777" w:rsidR="00F427A3" w:rsidRDefault="00F427A3">
            <w:pPr>
              <w:textAlignment w:val="bottom"/>
              <w:rPr>
                <w:rFonts w:ascii="Times New Roman" w:hAnsi="Times New Roman"/>
                <w:sz w:val="20"/>
                <w:szCs w:val="20"/>
              </w:rPr>
            </w:pPr>
          </w:p>
        </w:tc>
      </w:tr>
      <w:tr w:rsidR="00F427A3" w14:paraId="54E8FCCC" w14:textId="77777777">
        <w:trPr>
          <w:jc w:val="center"/>
        </w:trPr>
        <w:tc>
          <w:tcPr>
            <w:tcW w:w="0" w:type="auto"/>
            <w:shd w:val="clear" w:color="auto" w:fill="CCEEFF"/>
            <w:tcMar>
              <w:top w:w="40" w:type="dxa"/>
              <w:left w:w="40" w:type="dxa"/>
              <w:bottom w:w="40" w:type="dxa"/>
              <w:right w:w="40" w:type="dxa"/>
            </w:tcMar>
          </w:tcPr>
          <w:p w14:paraId="54E8FCC6"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Property and equipment, net</w:t>
            </w:r>
          </w:p>
        </w:tc>
        <w:tc>
          <w:tcPr>
            <w:tcW w:w="0" w:type="auto"/>
            <w:gridSpan w:val="2"/>
            <w:shd w:val="clear" w:color="auto" w:fill="CCEEFF"/>
            <w:tcMar>
              <w:top w:w="40" w:type="dxa"/>
              <w:left w:w="40" w:type="dxa"/>
              <w:bottom w:w="40" w:type="dxa"/>
            </w:tcMar>
            <w:vAlign w:val="bottom"/>
          </w:tcPr>
          <w:p w14:paraId="54E8FCC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42,291</w:t>
            </w:r>
          </w:p>
        </w:tc>
        <w:tc>
          <w:tcPr>
            <w:tcW w:w="0" w:type="auto"/>
            <w:shd w:val="clear" w:color="auto" w:fill="CCEEFF"/>
            <w:vAlign w:val="bottom"/>
          </w:tcPr>
          <w:p w14:paraId="54E8FCC8"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CC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8FCC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35,323</w:t>
            </w:r>
          </w:p>
        </w:tc>
        <w:tc>
          <w:tcPr>
            <w:tcW w:w="0" w:type="auto"/>
            <w:shd w:val="clear" w:color="auto" w:fill="CCEEFF"/>
            <w:vAlign w:val="bottom"/>
          </w:tcPr>
          <w:p w14:paraId="54E8FCCB" w14:textId="77777777" w:rsidR="00F427A3" w:rsidRDefault="00F427A3">
            <w:pPr>
              <w:textAlignment w:val="bottom"/>
              <w:rPr>
                <w:rFonts w:ascii="Times New Roman" w:hAnsi="Times New Roman"/>
                <w:sz w:val="20"/>
                <w:szCs w:val="20"/>
              </w:rPr>
            </w:pPr>
          </w:p>
        </w:tc>
      </w:tr>
      <w:tr w:rsidR="00F427A3" w14:paraId="54E8FCD3" w14:textId="77777777">
        <w:trPr>
          <w:jc w:val="center"/>
        </w:trPr>
        <w:tc>
          <w:tcPr>
            <w:tcW w:w="0" w:type="auto"/>
            <w:shd w:val="clear" w:color="auto" w:fill="auto"/>
            <w:tcMar>
              <w:top w:w="40" w:type="dxa"/>
              <w:left w:w="40" w:type="dxa"/>
              <w:bottom w:w="40" w:type="dxa"/>
              <w:right w:w="40" w:type="dxa"/>
            </w:tcMar>
            <w:vAlign w:val="bottom"/>
          </w:tcPr>
          <w:p w14:paraId="54E8FCC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Operating lease right-of-use assets, net</w:t>
            </w:r>
          </w:p>
        </w:tc>
        <w:tc>
          <w:tcPr>
            <w:tcW w:w="0" w:type="auto"/>
            <w:gridSpan w:val="2"/>
            <w:shd w:val="clear" w:color="auto" w:fill="auto"/>
            <w:tcMar>
              <w:top w:w="40" w:type="dxa"/>
              <w:left w:w="40" w:type="dxa"/>
              <w:bottom w:w="40" w:type="dxa"/>
            </w:tcMar>
            <w:vAlign w:val="bottom"/>
          </w:tcPr>
          <w:p w14:paraId="54E8FCC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9,439</w:t>
            </w:r>
          </w:p>
        </w:tc>
        <w:tc>
          <w:tcPr>
            <w:tcW w:w="0" w:type="auto"/>
            <w:shd w:val="clear" w:color="auto" w:fill="auto"/>
            <w:vAlign w:val="bottom"/>
          </w:tcPr>
          <w:p w14:paraId="54E8FCCF"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CD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8FCD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9,460</w:t>
            </w:r>
          </w:p>
        </w:tc>
        <w:tc>
          <w:tcPr>
            <w:tcW w:w="0" w:type="auto"/>
            <w:shd w:val="clear" w:color="auto" w:fill="auto"/>
            <w:vAlign w:val="bottom"/>
          </w:tcPr>
          <w:p w14:paraId="54E8FCD2" w14:textId="77777777" w:rsidR="00F427A3" w:rsidRDefault="00F427A3">
            <w:pPr>
              <w:textAlignment w:val="bottom"/>
              <w:rPr>
                <w:rFonts w:ascii="Times New Roman" w:hAnsi="Times New Roman"/>
                <w:sz w:val="20"/>
                <w:szCs w:val="20"/>
              </w:rPr>
            </w:pPr>
          </w:p>
        </w:tc>
      </w:tr>
      <w:tr w:rsidR="00F427A3" w14:paraId="54E8FCDA" w14:textId="77777777">
        <w:trPr>
          <w:jc w:val="center"/>
        </w:trPr>
        <w:tc>
          <w:tcPr>
            <w:tcW w:w="0" w:type="auto"/>
            <w:shd w:val="clear" w:color="auto" w:fill="CCEEFF"/>
            <w:tcMar>
              <w:top w:w="40" w:type="dxa"/>
              <w:left w:w="40" w:type="dxa"/>
              <w:bottom w:w="40" w:type="dxa"/>
              <w:right w:w="40" w:type="dxa"/>
            </w:tcMar>
          </w:tcPr>
          <w:p w14:paraId="54E8FCD4"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Intangible assets, net</w:t>
            </w:r>
          </w:p>
        </w:tc>
        <w:tc>
          <w:tcPr>
            <w:tcW w:w="0" w:type="auto"/>
            <w:gridSpan w:val="2"/>
            <w:shd w:val="clear" w:color="auto" w:fill="CCEEFF"/>
            <w:tcMar>
              <w:top w:w="40" w:type="dxa"/>
              <w:left w:w="40" w:type="dxa"/>
              <w:bottom w:w="40" w:type="dxa"/>
            </w:tcMar>
            <w:vAlign w:val="bottom"/>
          </w:tcPr>
          <w:p w14:paraId="54E8FCD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744</w:t>
            </w:r>
          </w:p>
        </w:tc>
        <w:tc>
          <w:tcPr>
            <w:tcW w:w="0" w:type="auto"/>
            <w:shd w:val="clear" w:color="auto" w:fill="CCEEFF"/>
            <w:vAlign w:val="bottom"/>
          </w:tcPr>
          <w:p w14:paraId="54E8FCD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CD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8FCD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894</w:t>
            </w:r>
          </w:p>
        </w:tc>
        <w:tc>
          <w:tcPr>
            <w:tcW w:w="0" w:type="auto"/>
            <w:shd w:val="clear" w:color="auto" w:fill="CCEEFF"/>
            <w:vAlign w:val="bottom"/>
          </w:tcPr>
          <w:p w14:paraId="54E8FCD9" w14:textId="77777777" w:rsidR="00F427A3" w:rsidRDefault="00F427A3">
            <w:pPr>
              <w:textAlignment w:val="bottom"/>
              <w:rPr>
                <w:rFonts w:ascii="Times New Roman" w:hAnsi="Times New Roman"/>
                <w:sz w:val="20"/>
                <w:szCs w:val="20"/>
              </w:rPr>
            </w:pPr>
          </w:p>
        </w:tc>
      </w:tr>
      <w:tr w:rsidR="00F427A3" w14:paraId="54E8FCE1" w14:textId="77777777">
        <w:trPr>
          <w:jc w:val="center"/>
        </w:trPr>
        <w:tc>
          <w:tcPr>
            <w:tcW w:w="0" w:type="auto"/>
            <w:shd w:val="clear" w:color="auto" w:fill="auto"/>
            <w:tcMar>
              <w:top w:w="40" w:type="dxa"/>
              <w:left w:w="40" w:type="dxa"/>
              <w:bottom w:w="40" w:type="dxa"/>
              <w:right w:w="40" w:type="dxa"/>
            </w:tcMar>
          </w:tcPr>
          <w:p w14:paraId="54E8FCDB"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Goodwill</w:t>
            </w:r>
          </w:p>
        </w:tc>
        <w:tc>
          <w:tcPr>
            <w:tcW w:w="0" w:type="auto"/>
            <w:gridSpan w:val="2"/>
            <w:shd w:val="clear" w:color="auto" w:fill="auto"/>
            <w:tcMar>
              <w:top w:w="40" w:type="dxa"/>
              <w:left w:w="40" w:type="dxa"/>
              <w:bottom w:w="40" w:type="dxa"/>
            </w:tcMar>
            <w:vAlign w:val="bottom"/>
          </w:tcPr>
          <w:p w14:paraId="54E8FCD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19,031</w:t>
            </w:r>
          </w:p>
        </w:tc>
        <w:tc>
          <w:tcPr>
            <w:tcW w:w="0" w:type="auto"/>
            <w:shd w:val="clear" w:color="auto" w:fill="auto"/>
            <w:vAlign w:val="bottom"/>
          </w:tcPr>
          <w:p w14:paraId="54E8FCD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CD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8FCD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18,715</w:t>
            </w:r>
          </w:p>
        </w:tc>
        <w:tc>
          <w:tcPr>
            <w:tcW w:w="0" w:type="auto"/>
            <w:shd w:val="clear" w:color="auto" w:fill="auto"/>
            <w:vAlign w:val="bottom"/>
          </w:tcPr>
          <w:p w14:paraId="54E8FCE0" w14:textId="77777777" w:rsidR="00F427A3" w:rsidRDefault="00F427A3">
            <w:pPr>
              <w:textAlignment w:val="bottom"/>
              <w:rPr>
                <w:rFonts w:ascii="Times New Roman" w:hAnsi="Times New Roman"/>
                <w:sz w:val="20"/>
                <w:szCs w:val="20"/>
              </w:rPr>
            </w:pPr>
          </w:p>
        </w:tc>
      </w:tr>
      <w:tr w:rsidR="00F427A3" w14:paraId="54E8FCE8" w14:textId="77777777">
        <w:trPr>
          <w:jc w:val="center"/>
        </w:trPr>
        <w:tc>
          <w:tcPr>
            <w:tcW w:w="0" w:type="auto"/>
            <w:shd w:val="clear" w:color="auto" w:fill="CCEEFF"/>
            <w:tcMar>
              <w:top w:w="40" w:type="dxa"/>
              <w:left w:w="40" w:type="dxa"/>
              <w:bottom w:w="40" w:type="dxa"/>
              <w:right w:w="40" w:type="dxa"/>
            </w:tcMar>
          </w:tcPr>
          <w:p w14:paraId="54E8FCE2"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Other assets</w:t>
            </w:r>
          </w:p>
        </w:tc>
        <w:tc>
          <w:tcPr>
            <w:tcW w:w="0" w:type="auto"/>
            <w:gridSpan w:val="2"/>
            <w:tcBorders>
              <w:bottom w:val="single" w:sz="8" w:space="0" w:color="000000"/>
            </w:tcBorders>
            <w:shd w:val="clear" w:color="auto" w:fill="CCEEFF"/>
            <w:tcMar>
              <w:top w:w="40" w:type="dxa"/>
              <w:left w:w="40" w:type="dxa"/>
              <w:bottom w:w="40" w:type="dxa"/>
            </w:tcMar>
            <w:vAlign w:val="bottom"/>
          </w:tcPr>
          <w:p w14:paraId="54E8FCE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2,969</w:t>
            </w:r>
          </w:p>
        </w:tc>
        <w:tc>
          <w:tcPr>
            <w:tcW w:w="0" w:type="auto"/>
            <w:tcBorders>
              <w:bottom w:val="single" w:sz="8" w:space="0" w:color="000000"/>
            </w:tcBorders>
            <w:shd w:val="clear" w:color="auto" w:fill="CCEEFF"/>
            <w:vAlign w:val="bottom"/>
          </w:tcPr>
          <w:p w14:paraId="54E8FCE4"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CE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8FCE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2,673</w:t>
            </w:r>
          </w:p>
        </w:tc>
        <w:tc>
          <w:tcPr>
            <w:tcW w:w="0" w:type="auto"/>
            <w:tcBorders>
              <w:bottom w:val="single" w:sz="8" w:space="0" w:color="000000"/>
            </w:tcBorders>
            <w:shd w:val="clear" w:color="auto" w:fill="CCEEFF"/>
            <w:vAlign w:val="bottom"/>
          </w:tcPr>
          <w:p w14:paraId="54E8FCE7" w14:textId="77777777" w:rsidR="00F427A3" w:rsidRDefault="00F427A3">
            <w:pPr>
              <w:textAlignment w:val="bottom"/>
              <w:rPr>
                <w:rFonts w:ascii="Times New Roman" w:hAnsi="Times New Roman"/>
                <w:sz w:val="20"/>
                <w:szCs w:val="20"/>
              </w:rPr>
            </w:pPr>
          </w:p>
        </w:tc>
      </w:tr>
      <w:tr w:rsidR="00F427A3" w14:paraId="54E8FCF1" w14:textId="77777777">
        <w:trPr>
          <w:jc w:val="center"/>
        </w:trPr>
        <w:tc>
          <w:tcPr>
            <w:tcW w:w="0" w:type="auto"/>
            <w:shd w:val="clear" w:color="auto" w:fill="auto"/>
            <w:tcMar>
              <w:top w:w="40" w:type="dxa"/>
              <w:left w:w="40" w:type="dxa"/>
              <w:bottom w:w="40" w:type="dxa"/>
              <w:right w:w="40" w:type="dxa"/>
            </w:tcMar>
          </w:tcPr>
          <w:p w14:paraId="54E8FCE9"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Total assets</w:t>
            </w:r>
          </w:p>
        </w:tc>
        <w:tc>
          <w:tcPr>
            <w:tcW w:w="0" w:type="auto"/>
            <w:tcBorders>
              <w:bottom w:val="double" w:sz="6" w:space="0" w:color="000000"/>
            </w:tcBorders>
            <w:shd w:val="clear" w:color="auto" w:fill="auto"/>
            <w:tcMar>
              <w:top w:w="40" w:type="dxa"/>
              <w:left w:w="40" w:type="dxa"/>
              <w:bottom w:w="40" w:type="dxa"/>
            </w:tcMar>
            <w:vAlign w:val="bottom"/>
          </w:tcPr>
          <w:p w14:paraId="54E8FCE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4E8FCE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146,437</w:t>
            </w:r>
          </w:p>
        </w:tc>
        <w:tc>
          <w:tcPr>
            <w:tcW w:w="0" w:type="auto"/>
            <w:tcBorders>
              <w:bottom w:val="double" w:sz="6" w:space="0" w:color="000000"/>
            </w:tcBorders>
            <w:shd w:val="clear" w:color="auto" w:fill="auto"/>
            <w:vAlign w:val="bottom"/>
          </w:tcPr>
          <w:p w14:paraId="54E8FCEC"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CE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4E8FCE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4E8FCE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133,376</w:t>
            </w:r>
          </w:p>
        </w:tc>
        <w:tc>
          <w:tcPr>
            <w:tcW w:w="0" w:type="auto"/>
            <w:tcBorders>
              <w:bottom w:val="double" w:sz="6" w:space="0" w:color="000000"/>
            </w:tcBorders>
            <w:shd w:val="clear" w:color="auto" w:fill="auto"/>
            <w:vAlign w:val="bottom"/>
          </w:tcPr>
          <w:p w14:paraId="54E8FCF0" w14:textId="77777777" w:rsidR="00F427A3" w:rsidRDefault="00F427A3">
            <w:pPr>
              <w:textAlignment w:val="bottom"/>
              <w:rPr>
                <w:rFonts w:ascii="Times New Roman" w:hAnsi="Times New Roman"/>
                <w:sz w:val="20"/>
                <w:szCs w:val="20"/>
              </w:rPr>
            </w:pPr>
          </w:p>
        </w:tc>
      </w:tr>
      <w:tr w:rsidR="00F427A3" w14:paraId="54E8FCF6" w14:textId="77777777">
        <w:trPr>
          <w:jc w:val="center"/>
        </w:trPr>
        <w:tc>
          <w:tcPr>
            <w:tcW w:w="0" w:type="auto"/>
            <w:shd w:val="clear" w:color="auto" w:fill="CCEEFF"/>
            <w:tcMar>
              <w:top w:w="40" w:type="dxa"/>
              <w:left w:w="40" w:type="dxa"/>
              <w:bottom w:w="40" w:type="dxa"/>
              <w:right w:w="40" w:type="dxa"/>
            </w:tcMar>
            <w:vAlign w:val="bottom"/>
          </w:tcPr>
          <w:p w14:paraId="54E8FCF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8FCF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8FCF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8FCF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CFB" w14:textId="77777777">
        <w:trPr>
          <w:jc w:val="center"/>
        </w:trPr>
        <w:tc>
          <w:tcPr>
            <w:tcW w:w="0" w:type="auto"/>
            <w:shd w:val="clear" w:color="auto" w:fill="auto"/>
            <w:tcMar>
              <w:top w:w="40" w:type="dxa"/>
              <w:left w:w="40" w:type="dxa"/>
              <w:bottom w:w="40" w:type="dxa"/>
              <w:right w:w="40" w:type="dxa"/>
            </w:tcMar>
          </w:tcPr>
          <w:p w14:paraId="54E8FCF7"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Liabilities and stockholders' equity</w:t>
            </w:r>
          </w:p>
        </w:tc>
        <w:tc>
          <w:tcPr>
            <w:tcW w:w="0" w:type="auto"/>
            <w:gridSpan w:val="3"/>
            <w:shd w:val="clear" w:color="auto" w:fill="auto"/>
            <w:tcMar>
              <w:top w:w="40" w:type="dxa"/>
              <w:left w:w="40" w:type="dxa"/>
              <w:bottom w:w="40" w:type="dxa"/>
              <w:right w:w="40" w:type="dxa"/>
            </w:tcMar>
            <w:vAlign w:val="bottom"/>
          </w:tcPr>
          <w:p w14:paraId="54E8FCF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CF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8FCF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D00" w14:textId="77777777">
        <w:trPr>
          <w:jc w:val="center"/>
        </w:trPr>
        <w:tc>
          <w:tcPr>
            <w:tcW w:w="0" w:type="auto"/>
            <w:shd w:val="clear" w:color="auto" w:fill="CCEEFF"/>
            <w:tcMar>
              <w:top w:w="40" w:type="dxa"/>
              <w:left w:w="40" w:type="dxa"/>
              <w:bottom w:w="40" w:type="dxa"/>
              <w:right w:w="40" w:type="dxa"/>
            </w:tcMar>
          </w:tcPr>
          <w:p w14:paraId="54E8FCFC"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Current liabilities:</w:t>
            </w:r>
          </w:p>
        </w:tc>
        <w:tc>
          <w:tcPr>
            <w:tcW w:w="0" w:type="auto"/>
            <w:gridSpan w:val="3"/>
            <w:shd w:val="clear" w:color="auto" w:fill="CCEEFF"/>
            <w:tcMar>
              <w:top w:w="40" w:type="dxa"/>
              <w:left w:w="40" w:type="dxa"/>
              <w:bottom w:w="40" w:type="dxa"/>
              <w:right w:w="40" w:type="dxa"/>
            </w:tcMar>
            <w:vAlign w:val="bottom"/>
          </w:tcPr>
          <w:p w14:paraId="54E8FCF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8FCF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8FCF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D09" w14:textId="77777777">
        <w:trPr>
          <w:jc w:val="center"/>
        </w:trPr>
        <w:tc>
          <w:tcPr>
            <w:tcW w:w="0" w:type="auto"/>
            <w:shd w:val="clear" w:color="auto" w:fill="auto"/>
            <w:tcMar>
              <w:top w:w="40" w:type="dxa"/>
              <w:left w:w="560" w:type="dxa"/>
              <w:bottom w:w="40" w:type="dxa"/>
              <w:right w:w="40" w:type="dxa"/>
            </w:tcMar>
          </w:tcPr>
          <w:p w14:paraId="54E8FD01"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Accounts payable</w:t>
            </w:r>
          </w:p>
        </w:tc>
        <w:tc>
          <w:tcPr>
            <w:tcW w:w="0" w:type="auto"/>
            <w:shd w:val="clear" w:color="auto" w:fill="auto"/>
            <w:tcMar>
              <w:top w:w="40" w:type="dxa"/>
              <w:left w:w="40" w:type="dxa"/>
              <w:bottom w:w="40" w:type="dxa"/>
            </w:tcMar>
            <w:vAlign w:val="bottom"/>
          </w:tcPr>
          <w:p w14:paraId="54E8FD0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8FD0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1,106</w:t>
            </w:r>
          </w:p>
        </w:tc>
        <w:tc>
          <w:tcPr>
            <w:tcW w:w="0" w:type="auto"/>
            <w:shd w:val="clear" w:color="auto" w:fill="auto"/>
            <w:vAlign w:val="bottom"/>
          </w:tcPr>
          <w:p w14:paraId="54E8FD04"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D0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8FD0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8FD0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1,363</w:t>
            </w:r>
          </w:p>
        </w:tc>
        <w:tc>
          <w:tcPr>
            <w:tcW w:w="0" w:type="auto"/>
            <w:shd w:val="clear" w:color="auto" w:fill="auto"/>
            <w:vAlign w:val="bottom"/>
          </w:tcPr>
          <w:p w14:paraId="54E8FD08" w14:textId="77777777" w:rsidR="00F427A3" w:rsidRDefault="00F427A3">
            <w:pPr>
              <w:textAlignment w:val="bottom"/>
              <w:rPr>
                <w:rFonts w:ascii="Times New Roman" w:hAnsi="Times New Roman"/>
                <w:sz w:val="20"/>
                <w:szCs w:val="20"/>
              </w:rPr>
            </w:pPr>
          </w:p>
        </w:tc>
      </w:tr>
      <w:tr w:rsidR="00F427A3" w14:paraId="54E8FD10" w14:textId="77777777">
        <w:trPr>
          <w:jc w:val="center"/>
        </w:trPr>
        <w:tc>
          <w:tcPr>
            <w:tcW w:w="0" w:type="auto"/>
            <w:shd w:val="clear" w:color="auto" w:fill="CCEEFF"/>
            <w:tcMar>
              <w:top w:w="40" w:type="dxa"/>
              <w:left w:w="560" w:type="dxa"/>
              <w:bottom w:w="40" w:type="dxa"/>
              <w:right w:w="40" w:type="dxa"/>
            </w:tcMar>
          </w:tcPr>
          <w:p w14:paraId="54E8FD0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Partners payable</w:t>
            </w:r>
          </w:p>
        </w:tc>
        <w:tc>
          <w:tcPr>
            <w:tcW w:w="0" w:type="auto"/>
            <w:gridSpan w:val="2"/>
            <w:shd w:val="clear" w:color="auto" w:fill="CCEEFF"/>
            <w:tcMar>
              <w:top w:w="40" w:type="dxa"/>
              <w:left w:w="40" w:type="dxa"/>
              <w:bottom w:w="40" w:type="dxa"/>
            </w:tcMar>
            <w:vAlign w:val="bottom"/>
          </w:tcPr>
          <w:p w14:paraId="54E8FD0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800</w:t>
            </w:r>
          </w:p>
        </w:tc>
        <w:tc>
          <w:tcPr>
            <w:tcW w:w="0" w:type="auto"/>
            <w:shd w:val="clear" w:color="auto" w:fill="CCEEFF"/>
            <w:vAlign w:val="bottom"/>
          </w:tcPr>
          <w:p w14:paraId="54E8FD0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D0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8FD0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886</w:t>
            </w:r>
          </w:p>
        </w:tc>
        <w:tc>
          <w:tcPr>
            <w:tcW w:w="0" w:type="auto"/>
            <w:shd w:val="clear" w:color="auto" w:fill="CCEEFF"/>
            <w:vAlign w:val="bottom"/>
          </w:tcPr>
          <w:p w14:paraId="54E8FD0F" w14:textId="77777777" w:rsidR="00F427A3" w:rsidRDefault="00F427A3">
            <w:pPr>
              <w:textAlignment w:val="bottom"/>
              <w:rPr>
                <w:rFonts w:ascii="Times New Roman" w:hAnsi="Times New Roman"/>
                <w:sz w:val="20"/>
                <w:szCs w:val="20"/>
              </w:rPr>
            </w:pPr>
          </w:p>
        </w:tc>
      </w:tr>
      <w:tr w:rsidR="00F427A3" w14:paraId="54E8FD17" w14:textId="77777777">
        <w:trPr>
          <w:jc w:val="center"/>
        </w:trPr>
        <w:tc>
          <w:tcPr>
            <w:tcW w:w="0" w:type="auto"/>
            <w:shd w:val="clear" w:color="auto" w:fill="auto"/>
            <w:tcMar>
              <w:top w:w="40" w:type="dxa"/>
              <w:left w:w="560" w:type="dxa"/>
              <w:bottom w:w="40" w:type="dxa"/>
              <w:right w:w="40" w:type="dxa"/>
            </w:tcMar>
            <w:vAlign w:val="bottom"/>
          </w:tcPr>
          <w:p w14:paraId="54E8FD1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Operating lease liabilities, current</w:t>
            </w:r>
          </w:p>
        </w:tc>
        <w:tc>
          <w:tcPr>
            <w:tcW w:w="0" w:type="auto"/>
            <w:gridSpan w:val="2"/>
            <w:shd w:val="clear" w:color="auto" w:fill="auto"/>
            <w:tcMar>
              <w:top w:w="40" w:type="dxa"/>
              <w:left w:w="40" w:type="dxa"/>
              <w:bottom w:w="40" w:type="dxa"/>
            </w:tcMar>
            <w:vAlign w:val="bottom"/>
          </w:tcPr>
          <w:p w14:paraId="54E8FD1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975</w:t>
            </w:r>
          </w:p>
        </w:tc>
        <w:tc>
          <w:tcPr>
            <w:tcW w:w="0" w:type="auto"/>
            <w:shd w:val="clear" w:color="auto" w:fill="auto"/>
            <w:vAlign w:val="bottom"/>
          </w:tcPr>
          <w:p w14:paraId="54E8FD1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D1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8FD1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800</w:t>
            </w:r>
          </w:p>
        </w:tc>
        <w:tc>
          <w:tcPr>
            <w:tcW w:w="0" w:type="auto"/>
            <w:shd w:val="clear" w:color="auto" w:fill="auto"/>
            <w:vAlign w:val="bottom"/>
          </w:tcPr>
          <w:p w14:paraId="54E8FD16" w14:textId="77777777" w:rsidR="00F427A3" w:rsidRDefault="00F427A3">
            <w:pPr>
              <w:textAlignment w:val="bottom"/>
              <w:rPr>
                <w:rFonts w:ascii="Times New Roman" w:hAnsi="Times New Roman"/>
                <w:sz w:val="20"/>
                <w:szCs w:val="20"/>
              </w:rPr>
            </w:pPr>
          </w:p>
        </w:tc>
      </w:tr>
      <w:tr w:rsidR="00F427A3" w14:paraId="54E8FD1E" w14:textId="77777777">
        <w:trPr>
          <w:jc w:val="center"/>
        </w:trPr>
        <w:tc>
          <w:tcPr>
            <w:tcW w:w="0" w:type="auto"/>
            <w:shd w:val="clear" w:color="auto" w:fill="CCEEFF"/>
            <w:tcMar>
              <w:top w:w="40" w:type="dxa"/>
              <w:left w:w="560" w:type="dxa"/>
              <w:bottom w:w="40" w:type="dxa"/>
              <w:right w:w="40" w:type="dxa"/>
            </w:tcMar>
          </w:tcPr>
          <w:p w14:paraId="54E8FD18"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Accrued expenses and other current liabilities</w:t>
            </w:r>
          </w:p>
        </w:tc>
        <w:tc>
          <w:tcPr>
            <w:tcW w:w="0" w:type="auto"/>
            <w:gridSpan w:val="2"/>
            <w:shd w:val="clear" w:color="auto" w:fill="CCEEFF"/>
            <w:tcMar>
              <w:top w:w="40" w:type="dxa"/>
              <w:left w:w="40" w:type="dxa"/>
              <w:bottom w:w="40" w:type="dxa"/>
            </w:tcMar>
            <w:vAlign w:val="bottom"/>
          </w:tcPr>
          <w:p w14:paraId="54E8FD1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8,684</w:t>
            </w:r>
          </w:p>
        </w:tc>
        <w:tc>
          <w:tcPr>
            <w:tcW w:w="0" w:type="auto"/>
            <w:shd w:val="clear" w:color="auto" w:fill="CCEEFF"/>
            <w:vAlign w:val="bottom"/>
          </w:tcPr>
          <w:p w14:paraId="54E8FD1A"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D1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8FD1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11,735</w:t>
            </w:r>
          </w:p>
        </w:tc>
        <w:tc>
          <w:tcPr>
            <w:tcW w:w="0" w:type="auto"/>
            <w:shd w:val="clear" w:color="auto" w:fill="CCEEFF"/>
            <w:vAlign w:val="bottom"/>
          </w:tcPr>
          <w:p w14:paraId="54E8FD1D" w14:textId="77777777" w:rsidR="00F427A3" w:rsidRDefault="00F427A3">
            <w:pPr>
              <w:textAlignment w:val="bottom"/>
              <w:rPr>
                <w:rFonts w:ascii="Times New Roman" w:hAnsi="Times New Roman"/>
                <w:sz w:val="20"/>
                <w:szCs w:val="20"/>
              </w:rPr>
            </w:pPr>
          </w:p>
        </w:tc>
      </w:tr>
      <w:tr w:rsidR="00F427A3" w14:paraId="54E8FD25" w14:textId="77777777">
        <w:trPr>
          <w:jc w:val="center"/>
        </w:trPr>
        <w:tc>
          <w:tcPr>
            <w:tcW w:w="0" w:type="auto"/>
            <w:shd w:val="clear" w:color="auto" w:fill="auto"/>
            <w:tcMar>
              <w:top w:w="40" w:type="dxa"/>
              <w:left w:w="560" w:type="dxa"/>
              <w:bottom w:w="40" w:type="dxa"/>
              <w:right w:w="40" w:type="dxa"/>
            </w:tcMar>
          </w:tcPr>
          <w:p w14:paraId="54E8FD1F"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Deferred revenue and deposits</w:t>
            </w:r>
          </w:p>
        </w:tc>
        <w:tc>
          <w:tcPr>
            <w:tcW w:w="0" w:type="auto"/>
            <w:gridSpan w:val="2"/>
            <w:tcBorders>
              <w:bottom w:val="single" w:sz="8" w:space="0" w:color="000000"/>
            </w:tcBorders>
            <w:shd w:val="clear" w:color="auto" w:fill="auto"/>
            <w:tcMar>
              <w:top w:w="40" w:type="dxa"/>
              <w:left w:w="40" w:type="dxa"/>
              <w:bottom w:w="40" w:type="dxa"/>
            </w:tcMar>
            <w:vAlign w:val="bottom"/>
          </w:tcPr>
          <w:p w14:paraId="54E8FD2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379</w:t>
            </w:r>
          </w:p>
        </w:tc>
        <w:tc>
          <w:tcPr>
            <w:tcW w:w="0" w:type="auto"/>
            <w:tcBorders>
              <w:bottom w:val="single" w:sz="8" w:space="0" w:color="000000"/>
            </w:tcBorders>
            <w:shd w:val="clear" w:color="auto" w:fill="auto"/>
            <w:vAlign w:val="bottom"/>
          </w:tcPr>
          <w:p w14:paraId="54E8FD21"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D2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8FD2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269</w:t>
            </w:r>
          </w:p>
        </w:tc>
        <w:tc>
          <w:tcPr>
            <w:tcW w:w="0" w:type="auto"/>
            <w:tcBorders>
              <w:bottom w:val="single" w:sz="8" w:space="0" w:color="000000"/>
            </w:tcBorders>
            <w:shd w:val="clear" w:color="auto" w:fill="auto"/>
            <w:vAlign w:val="bottom"/>
          </w:tcPr>
          <w:p w14:paraId="54E8FD24" w14:textId="77777777" w:rsidR="00F427A3" w:rsidRDefault="00F427A3">
            <w:pPr>
              <w:textAlignment w:val="bottom"/>
              <w:rPr>
                <w:rFonts w:ascii="Times New Roman" w:hAnsi="Times New Roman"/>
                <w:sz w:val="20"/>
                <w:szCs w:val="20"/>
              </w:rPr>
            </w:pPr>
          </w:p>
        </w:tc>
      </w:tr>
      <w:tr w:rsidR="00F427A3" w14:paraId="54E8FD2C" w14:textId="77777777">
        <w:trPr>
          <w:jc w:val="center"/>
        </w:trPr>
        <w:tc>
          <w:tcPr>
            <w:tcW w:w="0" w:type="auto"/>
            <w:shd w:val="clear" w:color="auto" w:fill="CCEEFF"/>
            <w:tcMar>
              <w:top w:w="40" w:type="dxa"/>
              <w:left w:w="1040" w:type="dxa"/>
              <w:bottom w:w="40" w:type="dxa"/>
              <w:right w:w="40" w:type="dxa"/>
            </w:tcMar>
          </w:tcPr>
          <w:p w14:paraId="54E8FD26"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Total current liabilities</w:t>
            </w:r>
          </w:p>
        </w:tc>
        <w:tc>
          <w:tcPr>
            <w:tcW w:w="0" w:type="auto"/>
            <w:gridSpan w:val="2"/>
            <w:shd w:val="clear" w:color="auto" w:fill="CCEEFF"/>
            <w:tcMar>
              <w:top w:w="40" w:type="dxa"/>
              <w:left w:w="40" w:type="dxa"/>
              <w:bottom w:w="40" w:type="dxa"/>
            </w:tcMar>
            <w:vAlign w:val="bottom"/>
          </w:tcPr>
          <w:p w14:paraId="54E8FD2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11,944</w:t>
            </w:r>
          </w:p>
        </w:tc>
        <w:tc>
          <w:tcPr>
            <w:tcW w:w="0" w:type="auto"/>
            <w:shd w:val="clear" w:color="auto" w:fill="CCEEFF"/>
            <w:vAlign w:val="bottom"/>
          </w:tcPr>
          <w:p w14:paraId="54E8FD28"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D2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8FD2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15,053</w:t>
            </w:r>
          </w:p>
        </w:tc>
        <w:tc>
          <w:tcPr>
            <w:tcW w:w="0" w:type="auto"/>
            <w:shd w:val="clear" w:color="auto" w:fill="CCEEFF"/>
            <w:vAlign w:val="bottom"/>
          </w:tcPr>
          <w:p w14:paraId="54E8FD2B" w14:textId="77777777" w:rsidR="00F427A3" w:rsidRDefault="00F427A3">
            <w:pPr>
              <w:textAlignment w:val="bottom"/>
              <w:rPr>
                <w:rFonts w:ascii="Times New Roman" w:hAnsi="Times New Roman"/>
                <w:sz w:val="20"/>
                <w:szCs w:val="20"/>
              </w:rPr>
            </w:pPr>
          </w:p>
        </w:tc>
      </w:tr>
      <w:tr w:rsidR="00F427A3" w14:paraId="54E8FD33" w14:textId="77777777">
        <w:trPr>
          <w:jc w:val="center"/>
        </w:trPr>
        <w:tc>
          <w:tcPr>
            <w:tcW w:w="0" w:type="auto"/>
            <w:shd w:val="clear" w:color="auto" w:fill="auto"/>
            <w:tcMar>
              <w:top w:w="40" w:type="dxa"/>
              <w:left w:w="40" w:type="dxa"/>
              <w:bottom w:w="40" w:type="dxa"/>
              <w:right w:w="40" w:type="dxa"/>
            </w:tcMar>
          </w:tcPr>
          <w:p w14:paraId="54E8FD2D"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Operating lease liabilities, non-current</w:t>
            </w:r>
          </w:p>
        </w:tc>
        <w:tc>
          <w:tcPr>
            <w:tcW w:w="0" w:type="auto"/>
            <w:gridSpan w:val="2"/>
            <w:shd w:val="clear" w:color="auto" w:fill="auto"/>
            <w:tcMar>
              <w:top w:w="40" w:type="dxa"/>
              <w:left w:w="40" w:type="dxa"/>
              <w:bottom w:w="40" w:type="dxa"/>
            </w:tcMar>
            <w:vAlign w:val="bottom"/>
          </w:tcPr>
          <w:p w14:paraId="54E8FD2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9,641</w:t>
            </w:r>
          </w:p>
        </w:tc>
        <w:tc>
          <w:tcPr>
            <w:tcW w:w="0" w:type="auto"/>
            <w:shd w:val="clear" w:color="auto" w:fill="auto"/>
            <w:vAlign w:val="bottom"/>
          </w:tcPr>
          <w:p w14:paraId="54E8FD2F"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D3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8FD3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9,524</w:t>
            </w:r>
          </w:p>
        </w:tc>
        <w:tc>
          <w:tcPr>
            <w:tcW w:w="0" w:type="auto"/>
            <w:shd w:val="clear" w:color="auto" w:fill="auto"/>
            <w:vAlign w:val="bottom"/>
          </w:tcPr>
          <w:p w14:paraId="54E8FD32" w14:textId="77777777" w:rsidR="00F427A3" w:rsidRDefault="00F427A3">
            <w:pPr>
              <w:textAlignment w:val="bottom"/>
              <w:rPr>
                <w:rFonts w:ascii="Times New Roman" w:hAnsi="Times New Roman"/>
                <w:sz w:val="20"/>
                <w:szCs w:val="20"/>
              </w:rPr>
            </w:pPr>
          </w:p>
        </w:tc>
      </w:tr>
      <w:tr w:rsidR="00F427A3" w14:paraId="54E8FD3A" w14:textId="77777777">
        <w:trPr>
          <w:jc w:val="center"/>
        </w:trPr>
        <w:tc>
          <w:tcPr>
            <w:tcW w:w="0" w:type="auto"/>
            <w:shd w:val="clear" w:color="auto" w:fill="CCEEFF"/>
            <w:tcMar>
              <w:top w:w="40" w:type="dxa"/>
              <w:left w:w="40" w:type="dxa"/>
              <w:bottom w:w="40" w:type="dxa"/>
              <w:right w:w="40" w:type="dxa"/>
            </w:tcMar>
          </w:tcPr>
          <w:p w14:paraId="54E8FD34"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Other liabilities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54E8FD3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7,121</w:t>
            </w:r>
          </w:p>
        </w:tc>
        <w:tc>
          <w:tcPr>
            <w:tcW w:w="0" w:type="auto"/>
            <w:tcBorders>
              <w:bottom w:val="single" w:sz="8" w:space="0" w:color="000000"/>
            </w:tcBorders>
            <w:shd w:val="clear" w:color="auto" w:fill="CCEEFF"/>
            <w:vAlign w:val="bottom"/>
          </w:tcPr>
          <w:p w14:paraId="54E8FD3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D3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8FD3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7,745</w:t>
            </w:r>
          </w:p>
        </w:tc>
        <w:tc>
          <w:tcPr>
            <w:tcW w:w="0" w:type="auto"/>
            <w:tcBorders>
              <w:bottom w:val="single" w:sz="8" w:space="0" w:color="000000"/>
            </w:tcBorders>
            <w:shd w:val="clear" w:color="auto" w:fill="CCEEFF"/>
            <w:vAlign w:val="bottom"/>
          </w:tcPr>
          <w:p w14:paraId="54E8FD39" w14:textId="77777777" w:rsidR="00F427A3" w:rsidRDefault="00F427A3">
            <w:pPr>
              <w:textAlignment w:val="bottom"/>
              <w:rPr>
                <w:rFonts w:ascii="Times New Roman" w:hAnsi="Times New Roman"/>
                <w:sz w:val="20"/>
                <w:szCs w:val="20"/>
              </w:rPr>
            </w:pPr>
          </w:p>
        </w:tc>
      </w:tr>
      <w:tr w:rsidR="00F427A3" w14:paraId="54E8FD41" w14:textId="77777777">
        <w:trPr>
          <w:jc w:val="center"/>
        </w:trPr>
        <w:tc>
          <w:tcPr>
            <w:tcW w:w="0" w:type="auto"/>
            <w:shd w:val="clear" w:color="auto" w:fill="auto"/>
            <w:tcMar>
              <w:top w:w="40" w:type="dxa"/>
              <w:left w:w="1040" w:type="dxa"/>
              <w:bottom w:w="40" w:type="dxa"/>
              <w:right w:w="40" w:type="dxa"/>
            </w:tcMar>
          </w:tcPr>
          <w:p w14:paraId="54E8FD3B"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Total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54E8FD3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28,706</w:t>
            </w:r>
          </w:p>
        </w:tc>
        <w:tc>
          <w:tcPr>
            <w:tcW w:w="0" w:type="auto"/>
            <w:tcBorders>
              <w:bottom w:val="single" w:sz="8" w:space="0" w:color="000000"/>
            </w:tcBorders>
            <w:shd w:val="clear" w:color="auto" w:fill="auto"/>
            <w:vAlign w:val="bottom"/>
          </w:tcPr>
          <w:p w14:paraId="54E8FD3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D3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8FD3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32,322</w:t>
            </w:r>
          </w:p>
        </w:tc>
        <w:tc>
          <w:tcPr>
            <w:tcW w:w="0" w:type="auto"/>
            <w:tcBorders>
              <w:bottom w:val="single" w:sz="8" w:space="0" w:color="000000"/>
            </w:tcBorders>
            <w:shd w:val="clear" w:color="auto" w:fill="auto"/>
            <w:vAlign w:val="bottom"/>
          </w:tcPr>
          <w:p w14:paraId="54E8FD40" w14:textId="77777777" w:rsidR="00F427A3" w:rsidRDefault="00F427A3">
            <w:pPr>
              <w:textAlignment w:val="bottom"/>
              <w:rPr>
                <w:rFonts w:ascii="Times New Roman" w:hAnsi="Times New Roman"/>
                <w:sz w:val="20"/>
                <w:szCs w:val="20"/>
              </w:rPr>
            </w:pPr>
          </w:p>
        </w:tc>
      </w:tr>
      <w:tr w:rsidR="00F427A3" w14:paraId="54E8FD46" w14:textId="77777777">
        <w:trPr>
          <w:jc w:val="center"/>
        </w:trPr>
        <w:tc>
          <w:tcPr>
            <w:tcW w:w="0" w:type="auto"/>
            <w:shd w:val="clear" w:color="auto" w:fill="CCEEFF"/>
            <w:tcMar>
              <w:top w:w="40" w:type="dxa"/>
              <w:left w:w="40" w:type="dxa"/>
              <w:bottom w:w="40" w:type="dxa"/>
              <w:right w:w="40" w:type="dxa"/>
            </w:tcMar>
          </w:tcPr>
          <w:p w14:paraId="54E8FD42"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Commitments and contingencies</w:t>
            </w:r>
          </w:p>
        </w:tc>
        <w:tc>
          <w:tcPr>
            <w:tcW w:w="0" w:type="auto"/>
            <w:gridSpan w:val="3"/>
            <w:shd w:val="clear" w:color="auto" w:fill="CCEEFF"/>
            <w:tcMar>
              <w:top w:w="40" w:type="dxa"/>
              <w:left w:w="40" w:type="dxa"/>
              <w:bottom w:w="40" w:type="dxa"/>
              <w:right w:w="40" w:type="dxa"/>
            </w:tcMar>
            <w:vAlign w:val="bottom"/>
          </w:tcPr>
          <w:p w14:paraId="54E8FD43"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D4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8FD45" w14:textId="77777777" w:rsidR="00F427A3" w:rsidRDefault="00F427A3">
            <w:pPr>
              <w:textAlignment w:val="bottom"/>
              <w:rPr>
                <w:rFonts w:ascii="Times New Roman" w:hAnsi="Times New Roman"/>
                <w:sz w:val="20"/>
                <w:szCs w:val="20"/>
              </w:rPr>
            </w:pPr>
          </w:p>
        </w:tc>
      </w:tr>
      <w:tr w:rsidR="00F427A3" w14:paraId="54E8FD4B" w14:textId="77777777">
        <w:trPr>
          <w:jc w:val="center"/>
        </w:trPr>
        <w:tc>
          <w:tcPr>
            <w:tcW w:w="0" w:type="auto"/>
            <w:shd w:val="clear" w:color="auto" w:fill="auto"/>
            <w:tcMar>
              <w:top w:w="40" w:type="dxa"/>
              <w:left w:w="40" w:type="dxa"/>
              <w:bottom w:w="40" w:type="dxa"/>
              <w:right w:w="40" w:type="dxa"/>
            </w:tcMar>
          </w:tcPr>
          <w:p w14:paraId="54E8FD47"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Stockholders' equity:</w:t>
            </w:r>
          </w:p>
        </w:tc>
        <w:tc>
          <w:tcPr>
            <w:tcW w:w="0" w:type="auto"/>
            <w:gridSpan w:val="3"/>
            <w:shd w:val="clear" w:color="auto" w:fill="auto"/>
            <w:tcMar>
              <w:top w:w="40" w:type="dxa"/>
              <w:left w:w="40" w:type="dxa"/>
              <w:bottom w:w="40" w:type="dxa"/>
              <w:right w:w="40" w:type="dxa"/>
            </w:tcMar>
            <w:vAlign w:val="bottom"/>
          </w:tcPr>
          <w:p w14:paraId="54E8FD4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D4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8FD4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D52" w14:textId="77777777">
        <w:trPr>
          <w:jc w:val="center"/>
        </w:trPr>
        <w:tc>
          <w:tcPr>
            <w:tcW w:w="0" w:type="auto"/>
            <w:shd w:val="clear" w:color="auto" w:fill="CCEEFF"/>
            <w:tcMar>
              <w:top w:w="40" w:type="dxa"/>
              <w:left w:w="560" w:type="dxa"/>
              <w:bottom w:w="40" w:type="dxa"/>
              <w:right w:w="40" w:type="dxa"/>
            </w:tcMar>
          </w:tcPr>
          <w:p w14:paraId="54E8FD4C"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xml:space="preserve">Common stock, $0.000006 par value; 5,000 million Class A shares authorized, 2,406 million and 2,407 </w:t>
            </w:r>
            <w:r>
              <w:rPr>
                <w:rFonts w:ascii="Times New Roman" w:eastAsia="宋体" w:hAnsi="Times New Roman"/>
                <w:sz w:val="20"/>
                <w:szCs w:val="20"/>
              </w:rPr>
              <w:t>million shares issued and outstanding, as of September 30, 2020 and December 31, 2019, respectively; 4,141 million Class B shares authorized, 444 million and 445 million shares issued and outstanding, as of September 30, 2020 and December 31, 2019, respect</w:t>
            </w:r>
            <w:r>
              <w:rPr>
                <w:rFonts w:ascii="Times New Roman" w:eastAsia="宋体" w:hAnsi="Times New Roman"/>
                <w:sz w:val="20"/>
                <w:szCs w:val="20"/>
              </w:rPr>
              <w:t>ively</w:t>
            </w:r>
          </w:p>
        </w:tc>
        <w:tc>
          <w:tcPr>
            <w:tcW w:w="0" w:type="auto"/>
            <w:gridSpan w:val="2"/>
            <w:shd w:val="clear" w:color="auto" w:fill="CCEEFF"/>
            <w:tcMar>
              <w:top w:w="40" w:type="dxa"/>
              <w:left w:w="40" w:type="dxa"/>
              <w:bottom w:w="40" w:type="dxa"/>
            </w:tcMar>
            <w:vAlign w:val="bottom"/>
          </w:tcPr>
          <w:p w14:paraId="54E8FD4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8FD4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D4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8FD5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8FD51" w14:textId="77777777" w:rsidR="00F427A3" w:rsidRDefault="00F427A3">
            <w:pPr>
              <w:textAlignment w:val="bottom"/>
              <w:rPr>
                <w:rFonts w:ascii="Times New Roman" w:hAnsi="Times New Roman"/>
                <w:sz w:val="20"/>
                <w:szCs w:val="20"/>
              </w:rPr>
            </w:pPr>
          </w:p>
        </w:tc>
      </w:tr>
      <w:tr w:rsidR="00F427A3" w14:paraId="54E8FD59" w14:textId="77777777">
        <w:trPr>
          <w:jc w:val="center"/>
        </w:trPr>
        <w:tc>
          <w:tcPr>
            <w:tcW w:w="0" w:type="auto"/>
            <w:shd w:val="clear" w:color="auto" w:fill="auto"/>
            <w:tcMar>
              <w:top w:w="40" w:type="dxa"/>
              <w:left w:w="560" w:type="dxa"/>
              <w:bottom w:w="40" w:type="dxa"/>
              <w:right w:w="40" w:type="dxa"/>
            </w:tcMar>
          </w:tcPr>
          <w:p w14:paraId="54E8FD53"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Additional paid-in capital</w:t>
            </w:r>
          </w:p>
        </w:tc>
        <w:tc>
          <w:tcPr>
            <w:tcW w:w="0" w:type="auto"/>
            <w:gridSpan w:val="2"/>
            <w:shd w:val="clear" w:color="auto" w:fill="auto"/>
            <w:tcMar>
              <w:top w:w="40" w:type="dxa"/>
              <w:left w:w="40" w:type="dxa"/>
              <w:bottom w:w="40" w:type="dxa"/>
            </w:tcMar>
            <w:vAlign w:val="bottom"/>
          </w:tcPr>
          <w:p w14:paraId="54E8FD5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48,910</w:t>
            </w:r>
          </w:p>
        </w:tc>
        <w:tc>
          <w:tcPr>
            <w:tcW w:w="0" w:type="auto"/>
            <w:shd w:val="clear" w:color="auto" w:fill="auto"/>
            <w:vAlign w:val="bottom"/>
          </w:tcPr>
          <w:p w14:paraId="54E8FD55"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D5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8FD5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45,851</w:t>
            </w:r>
          </w:p>
        </w:tc>
        <w:tc>
          <w:tcPr>
            <w:tcW w:w="0" w:type="auto"/>
            <w:shd w:val="clear" w:color="auto" w:fill="auto"/>
            <w:vAlign w:val="bottom"/>
          </w:tcPr>
          <w:p w14:paraId="54E8FD58" w14:textId="77777777" w:rsidR="00F427A3" w:rsidRDefault="00F427A3">
            <w:pPr>
              <w:textAlignment w:val="bottom"/>
              <w:rPr>
                <w:rFonts w:ascii="Times New Roman" w:hAnsi="Times New Roman"/>
                <w:sz w:val="20"/>
                <w:szCs w:val="20"/>
              </w:rPr>
            </w:pPr>
          </w:p>
        </w:tc>
      </w:tr>
      <w:tr w:rsidR="00F427A3" w14:paraId="54E8FD60" w14:textId="77777777">
        <w:trPr>
          <w:jc w:val="center"/>
        </w:trPr>
        <w:tc>
          <w:tcPr>
            <w:tcW w:w="0" w:type="auto"/>
            <w:shd w:val="clear" w:color="auto" w:fill="CCEEFF"/>
            <w:tcMar>
              <w:top w:w="40" w:type="dxa"/>
              <w:left w:w="560" w:type="dxa"/>
              <w:bottom w:w="40" w:type="dxa"/>
              <w:right w:w="40" w:type="dxa"/>
            </w:tcMar>
          </w:tcPr>
          <w:p w14:paraId="54E8FD5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Accumulated other comprehensive income (loss)</w:t>
            </w:r>
          </w:p>
        </w:tc>
        <w:tc>
          <w:tcPr>
            <w:tcW w:w="0" w:type="auto"/>
            <w:gridSpan w:val="2"/>
            <w:shd w:val="clear" w:color="auto" w:fill="CCEEFF"/>
            <w:tcMar>
              <w:top w:w="40" w:type="dxa"/>
              <w:left w:w="40" w:type="dxa"/>
              <w:bottom w:w="40" w:type="dxa"/>
            </w:tcMar>
            <w:vAlign w:val="bottom"/>
          </w:tcPr>
          <w:p w14:paraId="54E8FD5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308</w:t>
            </w:r>
          </w:p>
        </w:tc>
        <w:tc>
          <w:tcPr>
            <w:tcW w:w="0" w:type="auto"/>
            <w:shd w:val="clear" w:color="auto" w:fill="CCEEFF"/>
            <w:vAlign w:val="bottom"/>
          </w:tcPr>
          <w:p w14:paraId="54E8FD5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D5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8FD5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(489</w:t>
            </w:r>
          </w:p>
        </w:tc>
        <w:tc>
          <w:tcPr>
            <w:tcW w:w="0" w:type="auto"/>
            <w:shd w:val="clear" w:color="auto" w:fill="CCEEFF"/>
            <w:tcMar>
              <w:top w:w="40" w:type="dxa"/>
              <w:bottom w:w="40" w:type="dxa"/>
              <w:right w:w="40" w:type="dxa"/>
            </w:tcMar>
            <w:vAlign w:val="bottom"/>
          </w:tcPr>
          <w:p w14:paraId="54E8FD5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8FD67" w14:textId="77777777">
        <w:trPr>
          <w:jc w:val="center"/>
        </w:trPr>
        <w:tc>
          <w:tcPr>
            <w:tcW w:w="0" w:type="auto"/>
            <w:shd w:val="clear" w:color="auto" w:fill="auto"/>
            <w:tcMar>
              <w:top w:w="40" w:type="dxa"/>
              <w:left w:w="560" w:type="dxa"/>
              <w:bottom w:w="40" w:type="dxa"/>
              <w:right w:w="40" w:type="dxa"/>
            </w:tcMar>
          </w:tcPr>
          <w:p w14:paraId="54E8FD61"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Retained earnings</w:t>
            </w:r>
          </w:p>
        </w:tc>
        <w:tc>
          <w:tcPr>
            <w:tcW w:w="0" w:type="auto"/>
            <w:gridSpan w:val="2"/>
            <w:tcBorders>
              <w:bottom w:val="single" w:sz="8" w:space="0" w:color="000000"/>
            </w:tcBorders>
            <w:shd w:val="clear" w:color="auto" w:fill="auto"/>
            <w:tcMar>
              <w:top w:w="40" w:type="dxa"/>
              <w:left w:w="40" w:type="dxa"/>
              <w:bottom w:w="40" w:type="dxa"/>
            </w:tcMar>
            <w:vAlign w:val="bottom"/>
          </w:tcPr>
          <w:p w14:paraId="54E8FD6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68,513</w:t>
            </w:r>
          </w:p>
        </w:tc>
        <w:tc>
          <w:tcPr>
            <w:tcW w:w="0" w:type="auto"/>
            <w:tcBorders>
              <w:bottom w:val="single" w:sz="8" w:space="0" w:color="000000"/>
            </w:tcBorders>
            <w:shd w:val="clear" w:color="auto" w:fill="auto"/>
            <w:vAlign w:val="bottom"/>
          </w:tcPr>
          <w:p w14:paraId="54E8FD6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D6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8FD6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55,692</w:t>
            </w:r>
          </w:p>
        </w:tc>
        <w:tc>
          <w:tcPr>
            <w:tcW w:w="0" w:type="auto"/>
            <w:tcBorders>
              <w:bottom w:val="single" w:sz="8" w:space="0" w:color="000000"/>
            </w:tcBorders>
            <w:shd w:val="clear" w:color="auto" w:fill="auto"/>
            <w:vAlign w:val="bottom"/>
          </w:tcPr>
          <w:p w14:paraId="54E8FD66" w14:textId="77777777" w:rsidR="00F427A3" w:rsidRDefault="00F427A3">
            <w:pPr>
              <w:textAlignment w:val="bottom"/>
              <w:rPr>
                <w:rFonts w:ascii="Times New Roman" w:hAnsi="Times New Roman"/>
                <w:sz w:val="20"/>
                <w:szCs w:val="20"/>
              </w:rPr>
            </w:pPr>
          </w:p>
        </w:tc>
      </w:tr>
      <w:tr w:rsidR="00F427A3" w14:paraId="54E8FD6E" w14:textId="77777777">
        <w:trPr>
          <w:jc w:val="center"/>
        </w:trPr>
        <w:tc>
          <w:tcPr>
            <w:tcW w:w="0" w:type="auto"/>
            <w:shd w:val="clear" w:color="auto" w:fill="CCEEFF"/>
            <w:tcMar>
              <w:top w:w="40" w:type="dxa"/>
              <w:left w:w="1040" w:type="dxa"/>
              <w:bottom w:w="40" w:type="dxa"/>
              <w:right w:w="40" w:type="dxa"/>
            </w:tcMar>
          </w:tcPr>
          <w:p w14:paraId="54E8FD68"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Total stockholders' equity</w:t>
            </w:r>
          </w:p>
        </w:tc>
        <w:tc>
          <w:tcPr>
            <w:tcW w:w="0" w:type="auto"/>
            <w:gridSpan w:val="2"/>
            <w:tcBorders>
              <w:bottom w:val="single" w:sz="8" w:space="0" w:color="000000"/>
            </w:tcBorders>
            <w:shd w:val="clear" w:color="auto" w:fill="CCEEFF"/>
            <w:tcMar>
              <w:top w:w="40" w:type="dxa"/>
              <w:left w:w="40" w:type="dxa"/>
              <w:bottom w:w="40" w:type="dxa"/>
            </w:tcMar>
            <w:vAlign w:val="bottom"/>
          </w:tcPr>
          <w:p w14:paraId="54E8FD6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117,731</w:t>
            </w:r>
          </w:p>
        </w:tc>
        <w:tc>
          <w:tcPr>
            <w:tcW w:w="0" w:type="auto"/>
            <w:tcBorders>
              <w:bottom w:val="single" w:sz="8" w:space="0" w:color="000000"/>
            </w:tcBorders>
            <w:shd w:val="clear" w:color="auto" w:fill="CCEEFF"/>
            <w:vAlign w:val="bottom"/>
          </w:tcPr>
          <w:p w14:paraId="54E8FD6A"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D6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8FD6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101,054</w:t>
            </w:r>
          </w:p>
        </w:tc>
        <w:tc>
          <w:tcPr>
            <w:tcW w:w="0" w:type="auto"/>
            <w:tcBorders>
              <w:bottom w:val="single" w:sz="8" w:space="0" w:color="000000"/>
            </w:tcBorders>
            <w:shd w:val="clear" w:color="auto" w:fill="CCEEFF"/>
            <w:vAlign w:val="bottom"/>
          </w:tcPr>
          <w:p w14:paraId="54E8FD6D" w14:textId="77777777" w:rsidR="00F427A3" w:rsidRDefault="00F427A3">
            <w:pPr>
              <w:textAlignment w:val="bottom"/>
              <w:rPr>
                <w:rFonts w:ascii="Times New Roman" w:hAnsi="Times New Roman"/>
                <w:sz w:val="20"/>
                <w:szCs w:val="20"/>
              </w:rPr>
            </w:pPr>
          </w:p>
        </w:tc>
      </w:tr>
      <w:tr w:rsidR="00F427A3" w14:paraId="54E8FD77" w14:textId="77777777">
        <w:trPr>
          <w:jc w:val="center"/>
        </w:trPr>
        <w:tc>
          <w:tcPr>
            <w:tcW w:w="0" w:type="auto"/>
            <w:shd w:val="clear" w:color="auto" w:fill="auto"/>
            <w:tcMar>
              <w:top w:w="40" w:type="dxa"/>
              <w:left w:w="40" w:type="dxa"/>
              <w:bottom w:w="40" w:type="dxa"/>
              <w:right w:w="40" w:type="dxa"/>
            </w:tcMar>
          </w:tcPr>
          <w:p w14:paraId="54E8FD6F"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Total liabilities and stockholders' equity</w:t>
            </w:r>
          </w:p>
        </w:tc>
        <w:tc>
          <w:tcPr>
            <w:tcW w:w="0" w:type="auto"/>
            <w:tcBorders>
              <w:bottom w:val="double" w:sz="6" w:space="0" w:color="000000"/>
            </w:tcBorders>
            <w:shd w:val="clear" w:color="auto" w:fill="auto"/>
            <w:tcMar>
              <w:top w:w="40" w:type="dxa"/>
              <w:left w:w="40" w:type="dxa"/>
              <w:bottom w:w="40" w:type="dxa"/>
            </w:tcMar>
            <w:vAlign w:val="bottom"/>
          </w:tcPr>
          <w:p w14:paraId="54E8FD7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4E8FD7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146,437</w:t>
            </w:r>
          </w:p>
        </w:tc>
        <w:tc>
          <w:tcPr>
            <w:tcW w:w="0" w:type="auto"/>
            <w:tcBorders>
              <w:bottom w:val="double" w:sz="6" w:space="0" w:color="000000"/>
            </w:tcBorders>
            <w:shd w:val="clear" w:color="auto" w:fill="auto"/>
            <w:vAlign w:val="bottom"/>
          </w:tcPr>
          <w:p w14:paraId="54E8FD72"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D7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4E8FD7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4E8FD7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133,376</w:t>
            </w:r>
          </w:p>
        </w:tc>
        <w:tc>
          <w:tcPr>
            <w:tcW w:w="0" w:type="auto"/>
            <w:tcBorders>
              <w:bottom w:val="double" w:sz="6" w:space="0" w:color="000000"/>
            </w:tcBorders>
            <w:shd w:val="clear" w:color="auto" w:fill="auto"/>
            <w:vAlign w:val="bottom"/>
          </w:tcPr>
          <w:p w14:paraId="54E8FD76" w14:textId="77777777" w:rsidR="00F427A3" w:rsidRDefault="00F427A3">
            <w:pPr>
              <w:textAlignment w:val="bottom"/>
              <w:rPr>
                <w:rFonts w:ascii="Times New Roman" w:hAnsi="Times New Roman"/>
                <w:sz w:val="20"/>
                <w:szCs w:val="20"/>
              </w:rPr>
            </w:pPr>
          </w:p>
        </w:tc>
      </w:tr>
    </w:tbl>
    <w:p w14:paraId="54E8FD78" w14:textId="77777777" w:rsidR="00F427A3" w:rsidRDefault="0044221F">
      <w:pPr>
        <w:spacing w:line="288" w:lineRule="auto"/>
        <w:jc w:val="center"/>
        <w:rPr>
          <w:rFonts w:ascii="Times New Roman" w:hAnsi="Times New Roman"/>
          <w:sz w:val="18"/>
          <w:szCs w:val="18"/>
        </w:rPr>
      </w:pPr>
      <w:r>
        <w:rPr>
          <w:rFonts w:ascii="Times New Roman" w:eastAsia="宋体" w:hAnsi="Times New Roman"/>
          <w:i/>
          <w:iCs/>
          <w:sz w:val="18"/>
          <w:szCs w:val="18"/>
        </w:rPr>
        <w:t>See Accompanying Notes to Condensed Consolidated Financial Statements.</w:t>
      </w:r>
    </w:p>
    <w:p w14:paraId="54E8FD79" w14:textId="77777777" w:rsidR="00F427A3" w:rsidRDefault="00F427A3">
      <w:pPr>
        <w:rPr>
          <w:rFonts w:ascii="Times New Roman" w:hAnsi="Times New Roman"/>
          <w:sz w:val="20"/>
          <w:szCs w:val="20"/>
        </w:rPr>
      </w:pPr>
    </w:p>
    <w:p w14:paraId="54E8FD7A"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7</w:t>
      </w:r>
    </w:p>
    <w:p w14:paraId="54E8FD7B" w14:textId="77777777" w:rsidR="00F427A3" w:rsidRDefault="0044221F">
      <w:r>
        <w:rPr>
          <w:rFonts w:ascii="Times New Roman" w:hAnsi="Times New Roman"/>
          <w:sz w:val="20"/>
          <w:szCs w:val="20"/>
        </w:rPr>
        <w:pict w14:anchorId="54E91C27">
          <v:rect id="_x0000_i1031" style="width:415.3pt;height:1.5pt" o:hralign="center" o:hrstd="t" o:hr="t" fillcolor="#a0a0a0" stroked="f"/>
        </w:pict>
      </w:r>
    </w:p>
    <w:p w14:paraId="54E8FD7C" w14:textId="77777777" w:rsidR="00F427A3" w:rsidRDefault="0044221F">
      <w:pPr>
        <w:spacing w:line="288" w:lineRule="auto"/>
        <w:rPr>
          <w:rFonts w:ascii="Times New Roman" w:hAnsi="Times New Roman"/>
          <w:sz w:val="20"/>
          <w:szCs w:val="20"/>
        </w:rPr>
      </w:pPr>
      <w:hyperlink r:id="rId49" w:anchor="s348EA962CF6D59B599D9921AFA89C381" w:history="1">
        <w:r>
          <w:rPr>
            <w:rStyle w:val="a5"/>
            <w:rFonts w:ascii="Times New Roman" w:eastAsia="宋体" w:hAnsi="Times New Roman"/>
            <w:sz w:val="20"/>
            <w:szCs w:val="20"/>
          </w:rPr>
          <w:t>Table of Contents</w:t>
        </w:r>
      </w:hyperlink>
    </w:p>
    <w:p w14:paraId="54E8FD7D" w14:textId="77777777" w:rsidR="00F427A3" w:rsidRDefault="00F427A3">
      <w:pPr>
        <w:rPr>
          <w:rFonts w:ascii="Times New Roman" w:hAnsi="Times New Roman"/>
          <w:sz w:val="20"/>
          <w:szCs w:val="20"/>
        </w:rPr>
      </w:pPr>
    </w:p>
    <w:p w14:paraId="54E8FD7E"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54E8FD7F"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INCOME</w:t>
      </w:r>
    </w:p>
    <w:p w14:paraId="54E8FD80" w14:textId="77777777" w:rsidR="00F427A3" w:rsidRDefault="0044221F">
      <w:pPr>
        <w:spacing w:line="288" w:lineRule="auto"/>
        <w:jc w:val="center"/>
        <w:rPr>
          <w:rFonts w:ascii="Times New Roman" w:hAnsi="Times New Roman"/>
          <w:sz w:val="18"/>
          <w:szCs w:val="18"/>
        </w:rPr>
      </w:pPr>
      <w:r>
        <w:rPr>
          <w:rFonts w:ascii="Times New Roman" w:eastAsia="宋体" w:hAnsi="Times New Roman"/>
          <w:i/>
          <w:iCs/>
          <w:sz w:val="18"/>
          <w:szCs w:val="18"/>
        </w:rPr>
        <w:t xml:space="preserve">(In millions, except per </w:t>
      </w:r>
      <w:r>
        <w:rPr>
          <w:rFonts w:ascii="Times New Roman" w:eastAsia="宋体" w:hAnsi="Times New Roman"/>
          <w:i/>
          <w:iCs/>
          <w:sz w:val="18"/>
          <w:szCs w:val="18"/>
        </w:rPr>
        <w:t>share amounts)</w:t>
      </w:r>
    </w:p>
    <w:p w14:paraId="54E8FD81" w14:textId="77777777" w:rsidR="00F427A3" w:rsidRDefault="0044221F">
      <w:pPr>
        <w:spacing w:line="288" w:lineRule="auto"/>
        <w:jc w:val="center"/>
        <w:rPr>
          <w:rFonts w:ascii="Times New Roman" w:hAnsi="Times New Roman"/>
          <w:sz w:val="18"/>
          <w:szCs w:val="18"/>
        </w:rPr>
      </w:pPr>
      <w:r>
        <w:rPr>
          <w:rFonts w:ascii="Times New Roman" w:eastAsia="宋体" w:hAnsi="Times New Roman"/>
          <w:i/>
          <w:iCs/>
          <w:sz w:val="18"/>
          <w:szCs w:val="18"/>
        </w:rPr>
        <w:t>(Unaudited)</w:t>
      </w:r>
    </w:p>
    <w:p w14:paraId="54E8FD82" w14:textId="77777777" w:rsidR="00F427A3" w:rsidRDefault="0044221F">
      <w:pPr>
        <w:spacing w:line="288" w:lineRule="auto"/>
        <w:rPr>
          <w:rFonts w:ascii="Times New Roman" w:hAnsi="Times New Roman"/>
          <w:sz w:val="20"/>
          <w:szCs w:val="20"/>
        </w:rPr>
      </w:pP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3696"/>
        <w:gridCol w:w="140"/>
        <w:gridCol w:w="873"/>
        <w:gridCol w:w="42"/>
        <w:gridCol w:w="130"/>
        <w:gridCol w:w="140"/>
        <w:gridCol w:w="873"/>
        <w:gridCol w:w="42"/>
        <w:gridCol w:w="130"/>
        <w:gridCol w:w="140"/>
        <w:gridCol w:w="873"/>
        <w:gridCol w:w="42"/>
        <w:gridCol w:w="130"/>
        <w:gridCol w:w="140"/>
        <w:gridCol w:w="873"/>
        <w:gridCol w:w="42"/>
      </w:tblGrid>
      <w:tr w:rsidR="00F427A3" w14:paraId="54E8FD84" w14:textId="77777777">
        <w:tc>
          <w:tcPr>
            <w:tcW w:w="0" w:type="auto"/>
            <w:gridSpan w:val="16"/>
            <w:shd w:val="clear" w:color="auto" w:fill="auto"/>
            <w:vAlign w:val="center"/>
          </w:tcPr>
          <w:p w14:paraId="54E8FD83" w14:textId="77777777" w:rsidR="00F427A3" w:rsidRDefault="00F427A3">
            <w:pPr>
              <w:rPr>
                <w:rFonts w:ascii="Times New Roman" w:hAnsi="Times New Roman"/>
                <w:sz w:val="20"/>
                <w:szCs w:val="20"/>
              </w:rPr>
            </w:pPr>
          </w:p>
        </w:tc>
      </w:tr>
      <w:tr w:rsidR="00F427A3" w14:paraId="54E8FD95" w14:textId="77777777">
        <w:tc>
          <w:tcPr>
            <w:tcW w:w="2250" w:type="pct"/>
            <w:shd w:val="clear" w:color="auto" w:fill="auto"/>
            <w:vAlign w:val="center"/>
          </w:tcPr>
          <w:p w14:paraId="54E8FD85" w14:textId="77777777" w:rsidR="00F427A3" w:rsidRDefault="00F427A3">
            <w:pPr>
              <w:rPr>
                <w:rFonts w:ascii="Times New Roman" w:hAnsi="Times New Roman"/>
                <w:sz w:val="20"/>
                <w:szCs w:val="20"/>
              </w:rPr>
            </w:pPr>
          </w:p>
        </w:tc>
        <w:tc>
          <w:tcPr>
            <w:tcW w:w="50" w:type="pct"/>
            <w:shd w:val="clear" w:color="auto" w:fill="auto"/>
            <w:vAlign w:val="center"/>
          </w:tcPr>
          <w:p w14:paraId="54E8FD86" w14:textId="77777777" w:rsidR="00F427A3" w:rsidRDefault="00F427A3">
            <w:pPr>
              <w:rPr>
                <w:rFonts w:ascii="Times New Roman" w:hAnsi="Times New Roman"/>
                <w:sz w:val="20"/>
                <w:szCs w:val="20"/>
              </w:rPr>
            </w:pPr>
          </w:p>
        </w:tc>
        <w:tc>
          <w:tcPr>
            <w:tcW w:w="550" w:type="pct"/>
            <w:shd w:val="clear" w:color="auto" w:fill="auto"/>
            <w:vAlign w:val="center"/>
          </w:tcPr>
          <w:p w14:paraId="54E8FD87" w14:textId="77777777" w:rsidR="00F427A3" w:rsidRDefault="00F427A3">
            <w:pPr>
              <w:rPr>
                <w:rFonts w:ascii="Times New Roman" w:hAnsi="Times New Roman"/>
                <w:sz w:val="20"/>
                <w:szCs w:val="20"/>
              </w:rPr>
            </w:pPr>
          </w:p>
        </w:tc>
        <w:tc>
          <w:tcPr>
            <w:tcW w:w="50" w:type="pct"/>
            <w:shd w:val="clear" w:color="auto" w:fill="auto"/>
            <w:vAlign w:val="center"/>
          </w:tcPr>
          <w:p w14:paraId="54E8FD88" w14:textId="77777777" w:rsidR="00F427A3" w:rsidRDefault="00F427A3">
            <w:pPr>
              <w:rPr>
                <w:rFonts w:ascii="Times New Roman" w:hAnsi="Times New Roman"/>
                <w:sz w:val="20"/>
                <w:szCs w:val="20"/>
              </w:rPr>
            </w:pPr>
          </w:p>
        </w:tc>
        <w:tc>
          <w:tcPr>
            <w:tcW w:w="50" w:type="pct"/>
            <w:shd w:val="clear" w:color="auto" w:fill="auto"/>
            <w:vAlign w:val="center"/>
          </w:tcPr>
          <w:p w14:paraId="54E8FD89" w14:textId="77777777" w:rsidR="00F427A3" w:rsidRDefault="00F427A3">
            <w:pPr>
              <w:rPr>
                <w:rFonts w:ascii="Times New Roman" w:hAnsi="Times New Roman"/>
                <w:sz w:val="20"/>
                <w:szCs w:val="20"/>
              </w:rPr>
            </w:pPr>
          </w:p>
        </w:tc>
        <w:tc>
          <w:tcPr>
            <w:tcW w:w="50" w:type="pct"/>
            <w:shd w:val="clear" w:color="auto" w:fill="auto"/>
            <w:vAlign w:val="center"/>
          </w:tcPr>
          <w:p w14:paraId="54E8FD8A" w14:textId="77777777" w:rsidR="00F427A3" w:rsidRDefault="00F427A3">
            <w:pPr>
              <w:rPr>
                <w:rFonts w:ascii="Times New Roman" w:hAnsi="Times New Roman"/>
                <w:sz w:val="20"/>
                <w:szCs w:val="20"/>
              </w:rPr>
            </w:pPr>
          </w:p>
        </w:tc>
        <w:tc>
          <w:tcPr>
            <w:tcW w:w="550" w:type="pct"/>
            <w:shd w:val="clear" w:color="auto" w:fill="auto"/>
            <w:vAlign w:val="center"/>
          </w:tcPr>
          <w:p w14:paraId="54E8FD8B" w14:textId="77777777" w:rsidR="00F427A3" w:rsidRDefault="00F427A3">
            <w:pPr>
              <w:rPr>
                <w:rFonts w:ascii="Times New Roman" w:hAnsi="Times New Roman"/>
                <w:sz w:val="20"/>
                <w:szCs w:val="20"/>
              </w:rPr>
            </w:pPr>
          </w:p>
        </w:tc>
        <w:tc>
          <w:tcPr>
            <w:tcW w:w="50" w:type="pct"/>
            <w:shd w:val="clear" w:color="auto" w:fill="auto"/>
            <w:vAlign w:val="center"/>
          </w:tcPr>
          <w:p w14:paraId="54E8FD8C" w14:textId="77777777" w:rsidR="00F427A3" w:rsidRDefault="00F427A3">
            <w:pPr>
              <w:rPr>
                <w:rFonts w:ascii="Times New Roman" w:hAnsi="Times New Roman"/>
                <w:sz w:val="20"/>
                <w:szCs w:val="20"/>
              </w:rPr>
            </w:pPr>
          </w:p>
        </w:tc>
        <w:tc>
          <w:tcPr>
            <w:tcW w:w="50" w:type="pct"/>
            <w:shd w:val="clear" w:color="auto" w:fill="auto"/>
            <w:vAlign w:val="center"/>
          </w:tcPr>
          <w:p w14:paraId="54E8FD8D" w14:textId="77777777" w:rsidR="00F427A3" w:rsidRDefault="00F427A3">
            <w:pPr>
              <w:rPr>
                <w:rFonts w:ascii="Times New Roman" w:hAnsi="Times New Roman"/>
                <w:sz w:val="20"/>
                <w:szCs w:val="20"/>
              </w:rPr>
            </w:pPr>
          </w:p>
        </w:tc>
        <w:tc>
          <w:tcPr>
            <w:tcW w:w="50" w:type="pct"/>
            <w:shd w:val="clear" w:color="auto" w:fill="auto"/>
            <w:vAlign w:val="center"/>
          </w:tcPr>
          <w:p w14:paraId="54E8FD8E" w14:textId="77777777" w:rsidR="00F427A3" w:rsidRDefault="00F427A3">
            <w:pPr>
              <w:rPr>
                <w:rFonts w:ascii="Times New Roman" w:hAnsi="Times New Roman"/>
                <w:sz w:val="20"/>
                <w:szCs w:val="20"/>
              </w:rPr>
            </w:pPr>
          </w:p>
        </w:tc>
        <w:tc>
          <w:tcPr>
            <w:tcW w:w="550" w:type="pct"/>
            <w:shd w:val="clear" w:color="auto" w:fill="auto"/>
            <w:vAlign w:val="center"/>
          </w:tcPr>
          <w:p w14:paraId="54E8FD8F" w14:textId="77777777" w:rsidR="00F427A3" w:rsidRDefault="00F427A3">
            <w:pPr>
              <w:rPr>
                <w:rFonts w:ascii="Times New Roman" w:hAnsi="Times New Roman"/>
                <w:sz w:val="20"/>
                <w:szCs w:val="20"/>
              </w:rPr>
            </w:pPr>
          </w:p>
        </w:tc>
        <w:tc>
          <w:tcPr>
            <w:tcW w:w="50" w:type="pct"/>
            <w:shd w:val="clear" w:color="auto" w:fill="auto"/>
            <w:vAlign w:val="center"/>
          </w:tcPr>
          <w:p w14:paraId="54E8FD90" w14:textId="77777777" w:rsidR="00F427A3" w:rsidRDefault="00F427A3">
            <w:pPr>
              <w:rPr>
                <w:rFonts w:ascii="Times New Roman" w:hAnsi="Times New Roman"/>
                <w:sz w:val="20"/>
                <w:szCs w:val="20"/>
              </w:rPr>
            </w:pPr>
          </w:p>
        </w:tc>
        <w:tc>
          <w:tcPr>
            <w:tcW w:w="50" w:type="pct"/>
            <w:shd w:val="clear" w:color="auto" w:fill="auto"/>
            <w:vAlign w:val="center"/>
          </w:tcPr>
          <w:p w14:paraId="54E8FD91" w14:textId="77777777" w:rsidR="00F427A3" w:rsidRDefault="00F427A3">
            <w:pPr>
              <w:rPr>
                <w:rFonts w:ascii="Times New Roman" w:hAnsi="Times New Roman"/>
                <w:sz w:val="20"/>
                <w:szCs w:val="20"/>
              </w:rPr>
            </w:pPr>
          </w:p>
        </w:tc>
        <w:tc>
          <w:tcPr>
            <w:tcW w:w="50" w:type="pct"/>
            <w:shd w:val="clear" w:color="auto" w:fill="auto"/>
            <w:vAlign w:val="center"/>
          </w:tcPr>
          <w:p w14:paraId="54E8FD92" w14:textId="77777777" w:rsidR="00F427A3" w:rsidRDefault="00F427A3">
            <w:pPr>
              <w:rPr>
                <w:rFonts w:ascii="Times New Roman" w:hAnsi="Times New Roman"/>
                <w:sz w:val="20"/>
                <w:szCs w:val="20"/>
              </w:rPr>
            </w:pPr>
          </w:p>
        </w:tc>
        <w:tc>
          <w:tcPr>
            <w:tcW w:w="550" w:type="pct"/>
            <w:shd w:val="clear" w:color="auto" w:fill="auto"/>
            <w:vAlign w:val="center"/>
          </w:tcPr>
          <w:p w14:paraId="54E8FD93" w14:textId="77777777" w:rsidR="00F427A3" w:rsidRDefault="00F427A3">
            <w:pPr>
              <w:rPr>
                <w:rFonts w:ascii="Times New Roman" w:hAnsi="Times New Roman"/>
                <w:sz w:val="20"/>
                <w:szCs w:val="20"/>
              </w:rPr>
            </w:pPr>
          </w:p>
        </w:tc>
        <w:tc>
          <w:tcPr>
            <w:tcW w:w="50" w:type="pct"/>
            <w:shd w:val="clear" w:color="auto" w:fill="auto"/>
            <w:vAlign w:val="center"/>
          </w:tcPr>
          <w:p w14:paraId="54E8FD94" w14:textId="77777777" w:rsidR="00F427A3" w:rsidRDefault="00F427A3">
            <w:pPr>
              <w:rPr>
                <w:rFonts w:ascii="Times New Roman" w:hAnsi="Times New Roman"/>
                <w:sz w:val="20"/>
                <w:szCs w:val="20"/>
              </w:rPr>
            </w:pPr>
          </w:p>
        </w:tc>
      </w:tr>
      <w:tr w:rsidR="00F427A3" w14:paraId="54E8FD9A" w14:textId="77777777">
        <w:tc>
          <w:tcPr>
            <w:tcW w:w="0" w:type="auto"/>
            <w:shd w:val="clear" w:color="auto" w:fill="auto"/>
            <w:tcMar>
              <w:top w:w="40" w:type="dxa"/>
              <w:left w:w="40" w:type="dxa"/>
              <w:bottom w:w="40" w:type="dxa"/>
              <w:right w:w="40" w:type="dxa"/>
            </w:tcMar>
            <w:vAlign w:val="bottom"/>
          </w:tcPr>
          <w:p w14:paraId="54E8FD96"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8FD97"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Three Months Ended September 30,</w:t>
            </w:r>
          </w:p>
        </w:tc>
        <w:tc>
          <w:tcPr>
            <w:tcW w:w="0" w:type="auto"/>
            <w:shd w:val="clear" w:color="auto" w:fill="auto"/>
            <w:tcMar>
              <w:top w:w="40" w:type="dxa"/>
              <w:left w:w="40" w:type="dxa"/>
              <w:bottom w:w="40" w:type="dxa"/>
              <w:right w:w="40" w:type="dxa"/>
            </w:tcMar>
            <w:vAlign w:val="bottom"/>
          </w:tcPr>
          <w:p w14:paraId="54E8FD9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8FD99"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Nine Months Ended September 30,</w:t>
            </w:r>
          </w:p>
        </w:tc>
      </w:tr>
      <w:tr w:rsidR="00F427A3" w14:paraId="54E8FDA3" w14:textId="77777777">
        <w:tc>
          <w:tcPr>
            <w:tcW w:w="0" w:type="auto"/>
            <w:shd w:val="clear" w:color="auto" w:fill="auto"/>
            <w:tcMar>
              <w:top w:w="40" w:type="dxa"/>
              <w:left w:w="40" w:type="dxa"/>
              <w:bottom w:w="40" w:type="dxa"/>
              <w:right w:w="40" w:type="dxa"/>
            </w:tcMar>
            <w:vAlign w:val="bottom"/>
          </w:tcPr>
          <w:p w14:paraId="54E8FD9B"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8FD9C"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54E8FD9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8FD9E"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8FD9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8FDA0"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54E8FDA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8FDA2"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F427A3" w14:paraId="54E8FDB4" w14:textId="77777777">
        <w:tc>
          <w:tcPr>
            <w:tcW w:w="0" w:type="auto"/>
            <w:shd w:val="clear" w:color="auto" w:fill="CCEEFF"/>
            <w:tcMar>
              <w:top w:w="40" w:type="dxa"/>
              <w:left w:w="40" w:type="dxa"/>
              <w:bottom w:w="40" w:type="dxa"/>
              <w:right w:w="40" w:type="dxa"/>
            </w:tcMar>
          </w:tcPr>
          <w:p w14:paraId="54E8FDA4"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Revenue</w:t>
            </w:r>
          </w:p>
        </w:tc>
        <w:tc>
          <w:tcPr>
            <w:tcW w:w="0" w:type="auto"/>
            <w:shd w:val="clear" w:color="auto" w:fill="CCEEFF"/>
            <w:tcMar>
              <w:top w:w="40" w:type="dxa"/>
              <w:left w:w="40" w:type="dxa"/>
              <w:bottom w:w="40" w:type="dxa"/>
            </w:tcMar>
            <w:vAlign w:val="bottom"/>
          </w:tcPr>
          <w:p w14:paraId="54E8FDA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8FDA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21,470</w:t>
            </w:r>
          </w:p>
        </w:tc>
        <w:tc>
          <w:tcPr>
            <w:tcW w:w="0" w:type="auto"/>
            <w:shd w:val="clear" w:color="auto" w:fill="CCEEFF"/>
            <w:vAlign w:val="bottom"/>
          </w:tcPr>
          <w:p w14:paraId="54E8FDA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DA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8FDA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8FDA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17,652</w:t>
            </w:r>
          </w:p>
        </w:tc>
        <w:tc>
          <w:tcPr>
            <w:tcW w:w="0" w:type="auto"/>
            <w:shd w:val="clear" w:color="auto" w:fill="CCEEFF"/>
            <w:vAlign w:val="bottom"/>
          </w:tcPr>
          <w:p w14:paraId="54E8FDAB"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DA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8FDA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8FDA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57,893</w:t>
            </w:r>
          </w:p>
        </w:tc>
        <w:tc>
          <w:tcPr>
            <w:tcW w:w="0" w:type="auto"/>
            <w:shd w:val="clear" w:color="auto" w:fill="CCEEFF"/>
            <w:vAlign w:val="bottom"/>
          </w:tcPr>
          <w:p w14:paraId="54E8FDAF"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DB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8FDB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8FDB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49,615</w:t>
            </w:r>
          </w:p>
        </w:tc>
        <w:tc>
          <w:tcPr>
            <w:tcW w:w="0" w:type="auto"/>
            <w:shd w:val="clear" w:color="auto" w:fill="CCEEFF"/>
            <w:vAlign w:val="bottom"/>
          </w:tcPr>
          <w:p w14:paraId="54E8FDB3" w14:textId="77777777" w:rsidR="00F427A3" w:rsidRDefault="00F427A3">
            <w:pPr>
              <w:textAlignment w:val="bottom"/>
              <w:rPr>
                <w:rFonts w:ascii="Times New Roman" w:hAnsi="Times New Roman"/>
                <w:sz w:val="20"/>
                <w:szCs w:val="20"/>
              </w:rPr>
            </w:pPr>
          </w:p>
        </w:tc>
      </w:tr>
      <w:tr w:rsidR="00F427A3" w14:paraId="54E8FDBD" w14:textId="77777777">
        <w:tc>
          <w:tcPr>
            <w:tcW w:w="0" w:type="auto"/>
            <w:shd w:val="clear" w:color="auto" w:fill="auto"/>
            <w:tcMar>
              <w:top w:w="40" w:type="dxa"/>
              <w:left w:w="40" w:type="dxa"/>
              <w:bottom w:w="40" w:type="dxa"/>
              <w:right w:w="40" w:type="dxa"/>
            </w:tcMar>
          </w:tcPr>
          <w:p w14:paraId="54E8FDB5"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Costs and expenses:</w:t>
            </w:r>
          </w:p>
        </w:tc>
        <w:tc>
          <w:tcPr>
            <w:tcW w:w="0" w:type="auto"/>
            <w:gridSpan w:val="3"/>
            <w:shd w:val="clear" w:color="auto" w:fill="auto"/>
            <w:tcMar>
              <w:top w:w="40" w:type="dxa"/>
              <w:left w:w="40" w:type="dxa"/>
              <w:bottom w:w="40" w:type="dxa"/>
              <w:right w:w="40" w:type="dxa"/>
            </w:tcMar>
            <w:vAlign w:val="bottom"/>
          </w:tcPr>
          <w:p w14:paraId="54E8FDB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DB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8FDB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DB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8FDB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DB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8FDB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DCA" w14:textId="77777777">
        <w:tc>
          <w:tcPr>
            <w:tcW w:w="0" w:type="auto"/>
            <w:shd w:val="clear" w:color="auto" w:fill="CCEEFF"/>
            <w:tcMar>
              <w:top w:w="40" w:type="dxa"/>
              <w:left w:w="560" w:type="dxa"/>
              <w:bottom w:w="40" w:type="dxa"/>
              <w:right w:w="40" w:type="dxa"/>
            </w:tcMar>
          </w:tcPr>
          <w:p w14:paraId="54E8FDBE"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xml:space="preserve">Cost of </w:t>
            </w:r>
            <w:r>
              <w:rPr>
                <w:rFonts w:ascii="Times New Roman" w:eastAsia="宋体" w:hAnsi="Times New Roman"/>
                <w:sz w:val="20"/>
                <w:szCs w:val="20"/>
              </w:rPr>
              <w:t>revenue</w:t>
            </w:r>
          </w:p>
        </w:tc>
        <w:tc>
          <w:tcPr>
            <w:tcW w:w="0" w:type="auto"/>
            <w:gridSpan w:val="2"/>
            <w:shd w:val="clear" w:color="auto" w:fill="CCEEFF"/>
            <w:tcMar>
              <w:top w:w="40" w:type="dxa"/>
              <w:left w:w="40" w:type="dxa"/>
              <w:bottom w:w="40" w:type="dxa"/>
            </w:tcMar>
            <w:vAlign w:val="bottom"/>
          </w:tcPr>
          <w:p w14:paraId="54E8FDB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4,194</w:t>
            </w:r>
          </w:p>
        </w:tc>
        <w:tc>
          <w:tcPr>
            <w:tcW w:w="0" w:type="auto"/>
            <w:shd w:val="clear" w:color="auto" w:fill="CCEEFF"/>
            <w:vAlign w:val="bottom"/>
          </w:tcPr>
          <w:p w14:paraId="54E8FDC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DC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8FDC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3,155</w:t>
            </w:r>
          </w:p>
        </w:tc>
        <w:tc>
          <w:tcPr>
            <w:tcW w:w="0" w:type="auto"/>
            <w:shd w:val="clear" w:color="auto" w:fill="CCEEFF"/>
            <w:vAlign w:val="bottom"/>
          </w:tcPr>
          <w:p w14:paraId="54E8FDC3"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DC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8FDC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11,482</w:t>
            </w:r>
          </w:p>
        </w:tc>
        <w:tc>
          <w:tcPr>
            <w:tcW w:w="0" w:type="auto"/>
            <w:shd w:val="clear" w:color="auto" w:fill="CCEEFF"/>
            <w:vAlign w:val="bottom"/>
          </w:tcPr>
          <w:p w14:paraId="54E8FDC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DC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8FDC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9,279</w:t>
            </w:r>
          </w:p>
        </w:tc>
        <w:tc>
          <w:tcPr>
            <w:tcW w:w="0" w:type="auto"/>
            <w:shd w:val="clear" w:color="auto" w:fill="CCEEFF"/>
            <w:vAlign w:val="bottom"/>
          </w:tcPr>
          <w:p w14:paraId="54E8FDC9" w14:textId="77777777" w:rsidR="00F427A3" w:rsidRDefault="00F427A3">
            <w:pPr>
              <w:textAlignment w:val="bottom"/>
              <w:rPr>
                <w:rFonts w:ascii="Times New Roman" w:hAnsi="Times New Roman"/>
                <w:sz w:val="20"/>
                <w:szCs w:val="20"/>
              </w:rPr>
            </w:pPr>
          </w:p>
        </w:tc>
      </w:tr>
      <w:tr w:rsidR="00F427A3" w14:paraId="54E8FDD7" w14:textId="77777777">
        <w:tc>
          <w:tcPr>
            <w:tcW w:w="0" w:type="auto"/>
            <w:shd w:val="clear" w:color="auto" w:fill="auto"/>
            <w:tcMar>
              <w:top w:w="40" w:type="dxa"/>
              <w:left w:w="560" w:type="dxa"/>
              <w:bottom w:w="40" w:type="dxa"/>
              <w:right w:w="40" w:type="dxa"/>
            </w:tcMar>
          </w:tcPr>
          <w:p w14:paraId="54E8FDCB"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auto"/>
            <w:tcMar>
              <w:top w:w="40" w:type="dxa"/>
              <w:left w:w="40" w:type="dxa"/>
              <w:bottom w:w="40" w:type="dxa"/>
            </w:tcMar>
            <w:vAlign w:val="bottom"/>
          </w:tcPr>
          <w:p w14:paraId="54E8FDC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4,763</w:t>
            </w:r>
          </w:p>
        </w:tc>
        <w:tc>
          <w:tcPr>
            <w:tcW w:w="0" w:type="auto"/>
            <w:shd w:val="clear" w:color="auto" w:fill="auto"/>
            <w:vAlign w:val="bottom"/>
          </w:tcPr>
          <w:p w14:paraId="54E8FDC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DC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8FDC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3,548</w:t>
            </w:r>
          </w:p>
        </w:tc>
        <w:tc>
          <w:tcPr>
            <w:tcW w:w="0" w:type="auto"/>
            <w:shd w:val="clear" w:color="auto" w:fill="auto"/>
            <w:vAlign w:val="bottom"/>
          </w:tcPr>
          <w:p w14:paraId="54E8FDD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DD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8FDD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13,240</w:t>
            </w:r>
          </w:p>
        </w:tc>
        <w:tc>
          <w:tcPr>
            <w:tcW w:w="0" w:type="auto"/>
            <w:shd w:val="clear" w:color="auto" w:fill="auto"/>
            <w:vAlign w:val="bottom"/>
          </w:tcPr>
          <w:p w14:paraId="54E8FDD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DD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8FDD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9,722</w:t>
            </w:r>
          </w:p>
        </w:tc>
        <w:tc>
          <w:tcPr>
            <w:tcW w:w="0" w:type="auto"/>
            <w:shd w:val="clear" w:color="auto" w:fill="auto"/>
            <w:vAlign w:val="bottom"/>
          </w:tcPr>
          <w:p w14:paraId="54E8FDD6" w14:textId="77777777" w:rsidR="00F427A3" w:rsidRDefault="00F427A3">
            <w:pPr>
              <w:textAlignment w:val="bottom"/>
              <w:rPr>
                <w:rFonts w:ascii="Times New Roman" w:hAnsi="Times New Roman"/>
                <w:sz w:val="20"/>
                <w:szCs w:val="20"/>
              </w:rPr>
            </w:pPr>
          </w:p>
        </w:tc>
      </w:tr>
      <w:tr w:rsidR="00F427A3" w14:paraId="54E8FDE4" w14:textId="77777777">
        <w:tc>
          <w:tcPr>
            <w:tcW w:w="0" w:type="auto"/>
            <w:shd w:val="clear" w:color="auto" w:fill="CCEEFF"/>
            <w:tcMar>
              <w:top w:w="40" w:type="dxa"/>
              <w:left w:w="560" w:type="dxa"/>
              <w:bottom w:w="40" w:type="dxa"/>
              <w:right w:w="40" w:type="dxa"/>
            </w:tcMar>
          </w:tcPr>
          <w:p w14:paraId="54E8FDD8"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Marketing and sales</w:t>
            </w:r>
          </w:p>
        </w:tc>
        <w:tc>
          <w:tcPr>
            <w:tcW w:w="0" w:type="auto"/>
            <w:gridSpan w:val="2"/>
            <w:shd w:val="clear" w:color="auto" w:fill="CCEEFF"/>
            <w:tcMar>
              <w:top w:w="40" w:type="dxa"/>
              <w:left w:w="40" w:type="dxa"/>
              <w:bottom w:w="40" w:type="dxa"/>
            </w:tcMar>
            <w:vAlign w:val="bottom"/>
          </w:tcPr>
          <w:p w14:paraId="54E8FDD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2,683</w:t>
            </w:r>
          </w:p>
        </w:tc>
        <w:tc>
          <w:tcPr>
            <w:tcW w:w="0" w:type="auto"/>
            <w:shd w:val="clear" w:color="auto" w:fill="CCEEFF"/>
            <w:vAlign w:val="bottom"/>
          </w:tcPr>
          <w:p w14:paraId="54E8FDDA"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DD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8FDD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2,416</w:t>
            </w:r>
          </w:p>
        </w:tc>
        <w:tc>
          <w:tcPr>
            <w:tcW w:w="0" w:type="auto"/>
            <w:shd w:val="clear" w:color="auto" w:fill="CCEEFF"/>
            <w:vAlign w:val="bottom"/>
          </w:tcPr>
          <w:p w14:paraId="54E8FDDD"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DD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8FDD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8,310</w:t>
            </w:r>
          </w:p>
        </w:tc>
        <w:tc>
          <w:tcPr>
            <w:tcW w:w="0" w:type="auto"/>
            <w:shd w:val="clear" w:color="auto" w:fill="CCEEFF"/>
            <w:vAlign w:val="bottom"/>
          </w:tcPr>
          <w:p w14:paraId="54E8FDE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DE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8FDE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6,850</w:t>
            </w:r>
          </w:p>
        </w:tc>
        <w:tc>
          <w:tcPr>
            <w:tcW w:w="0" w:type="auto"/>
            <w:shd w:val="clear" w:color="auto" w:fill="CCEEFF"/>
            <w:vAlign w:val="bottom"/>
          </w:tcPr>
          <w:p w14:paraId="54E8FDE3" w14:textId="77777777" w:rsidR="00F427A3" w:rsidRDefault="00F427A3">
            <w:pPr>
              <w:textAlignment w:val="bottom"/>
              <w:rPr>
                <w:rFonts w:ascii="Times New Roman" w:hAnsi="Times New Roman"/>
                <w:sz w:val="20"/>
                <w:szCs w:val="20"/>
              </w:rPr>
            </w:pPr>
          </w:p>
        </w:tc>
      </w:tr>
      <w:tr w:rsidR="00F427A3" w14:paraId="54E8FDF1" w14:textId="77777777">
        <w:tc>
          <w:tcPr>
            <w:tcW w:w="0" w:type="auto"/>
            <w:shd w:val="clear" w:color="auto" w:fill="auto"/>
            <w:tcMar>
              <w:top w:w="40" w:type="dxa"/>
              <w:left w:w="560" w:type="dxa"/>
              <w:bottom w:w="40" w:type="dxa"/>
              <w:right w:w="40" w:type="dxa"/>
            </w:tcMar>
          </w:tcPr>
          <w:p w14:paraId="54E8FDE5"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General and administrative</w:t>
            </w:r>
          </w:p>
        </w:tc>
        <w:tc>
          <w:tcPr>
            <w:tcW w:w="0" w:type="auto"/>
            <w:gridSpan w:val="2"/>
            <w:tcBorders>
              <w:bottom w:val="single" w:sz="8" w:space="0" w:color="000000"/>
            </w:tcBorders>
            <w:shd w:val="clear" w:color="auto" w:fill="auto"/>
            <w:tcMar>
              <w:top w:w="40" w:type="dxa"/>
              <w:left w:w="40" w:type="dxa"/>
              <w:bottom w:w="40" w:type="dxa"/>
            </w:tcMar>
            <w:vAlign w:val="bottom"/>
          </w:tcPr>
          <w:p w14:paraId="54E8FDE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1,790</w:t>
            </w:r>
          </w:p>
        </w:tc>
        <w:tc>
          <w:tcPr>
            <w:tcW w:w="0" w:type="auto"/>
            <w:tcBorders>
              <w:bottom w:val="single" w:sz="8" w:space="0" w:color="000000"/>
            </w:tcBorders>
            <w:shd w:val="clear" w:color="auto" w:fill="auto"/>
            <w:vAlign w:val="bottom"/>
          </w:tcPr>
          <w:p w14:paraId="54E8FDE7"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DE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8FDE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1,348</w:t>
            </w:r>
          </w:p>
        </w:tc>
        <w:tc>
          <w:tcPr>
            <w:tcW w:w="0" w:type="auto"/>
            <w:tcBorders>
              <w:bottom w:val="single" w:sz="8" w:space="0" w:color="000000"/>
            </w:tcBorders>
            <w:shd w:val="clear" w:color="auto" w:fill="auto"/>
            <w:vAlign w:val="bottom"/>
          </w:tcPr>
          <w:p w14:paraId="54E8FDEA"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DE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8FDE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4,965</w:t>
            </w:r>
          </w:p>
        </w:tc>
        <w:tc>
          <w:tcPr>
            <w:tcW w:w="0" w:type="auto"/>
            <w:tcBorders>
              <w:bottom w:val="single" w:sz="8" w:space="0" w:color="000000"/>
            </w:tcBorders>
            <w:shd w:val="clear" w:color="auto" w:fill="auto"/>
            <w:vAlign w:val="bottom"/>
          </w:tcPr>
          <w:p w14:paraId="54E8FDE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DE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8FDE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8,636</w:t>
            </w:r>
          </w:p>
        </w:tc>
        <w:tc>
          <w:tcPr>
            <w:tcW w:w="0" w:type="auto"/>
            <w:tcBorders>
              <w:bottom w:val="single" w:sz="8" w:space="0" w:color="000000"/>
            </w:tcBorders>
            <w:shd w:val="clear" w:color="auto" w:fill="auto"/>
            <w:vAlign w:val="bottom"/>
          </w:tcPr>
          <w:p w14:paraId="54E8FDF0" w14:textId="77777777" w:rsidR="00F427A3" w:rsidRDefault="00F427A3">
            <w:pPr>
              <w:textAlignment w:val="bottom"/>
              <w:rPr>
                <w:rFonts w:ascii="Times New Roman" w:hAnsi="Times New Roman"/>
                <w:sz w:val="20"/>
                <w:szCs w:val="20"/>
              </w:rPr>
            </w:pPr>
          </w:p>
        </w:tc>
      </w:tr>
      <w:tr w:rsidR="00F427A3" w14:paraId="54E8FDFE" w14:textId="77777777">
        <w:tc>
          <w:tcPr>
            <w:tcW w:w="0" w:type="auto"/>
            <w:shd w:val="clear" w:color="auto" w:fill="CCEEFF"/>
            <w:tcMar>
              <w:top w:w="40" w:type="dxa"/>
              <w:left w:w="880" w:type="dxa"/>
              <w:bottom w:w="40" w:type="dxa"/>
              <w:right w:w="40" w:type="dxa"/>
            </w:tcMar>
          </w:tcPr>
          <w:p w14:paraId="54E8FDF2"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Total costs and expenses</w:t>
            </w:r>
          </w:p>
        </w:tc>
        <w:tc>
          <w:tcPr>
            <w:tcW w:w="0" w:type="auto"/>
            <w:gridSpan w:val="2"/>
            <w:tcBorders>
              <w:bottom w:val="single" w:sz="8" w:space="0" w:color="000000"/>
            </w:tcBorders>
            <w:shd w:val="clear" w:color="auto" w:fill="CCEEFF"/>
            <w:tcMar>
              <w:top w:w="40" w:type="dxa"/>
              <w:left w:w="40" w:type="dxa"/>
              <w:bottom w:w="40" w:type="dxa"/>
            </w:tcMar>
            <w:vAlign w:val="bottom"/>
          </w:tcPr>
          <w:p w14:paraId="54E8FDF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13,430</w:t>
            </w:r>
          </w:p>
        </w:tc>
        <w:tc>
          <w:tcPr>
            <w:tcW w:w="0" w:type="auto"/>
            <w:tcBorders>
              <w:bottom w:val="single" w:sz="8" w:space="0" w:color="000000"/>
            </w:tcBorders>
            <w:shd w:val="clear" w:color="auto" w:fill="CCEEFF"/>
            <w:vAlign w:val="bottom"/>
          </w:tcPr>
          <w:p w14:paraId="54E8FDF4"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DF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8FDF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10,467</w:t>
            </w:r>
          </w:p>
        </w:tc>
        <w:tc>
          <w:tcPr>
            <w:tcW w:w="0" w:type="auto"/>
            <w:tcBorders>
              <w:bottom w:val="single" w:sz="8" w:space="0" w:color="000000"/>
            </w:tcBorders>
            <w:shd w:val="clear" w:color="auto" w:fill="CCEEFF"/>
            <w:vAlign w:val="bottom"/>
          </w:tcPr>
          <w:p w14:paraId="54E8FDF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DF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4E8FDF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37,997</w:t>
            </w:r>
          </w:p>
        </w:tc>
        <w:tc>
          <w:tcPr>
            <w:tcW w:w="0" w:type="auto"/>
            <w:tcBorders>
              <w:top w:val="single" w:sz="8" w:space="0" w:color="000000"/>
              <w:bottom w:val="single" w:sz="8" w:space="0" w:color="000000"/>
            </w:tcBorders>
            <w:shd w:val="clear" w:color="auto" w:fill="CCEEFF"/>
            <w:vAlign w:val="bottom"/>
          </w:tcPr>
          <w:p w14:paraId="54E8FDFA"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DF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8FDF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34,487</w:t>
            </w:r>
          </w:p>
        </w:tc>
        <w:tc>
          <w:tcPr>
            <w:tcW w:w="0" w:type="auto"/>
            <w:tcBorders>
              <w:bottom w:val="single" w:sz="8" w:space="0" w:color="000000"/>
            </w:tcBorders>
            <w:shd w:val="clear" w:color="auto" w:fill="CCEEFF"/>
            <w:vAlign w:val="bottom"/>
          </w:tcPr>
          <w:p w14:paraId="54E8FDFD" w14:textId="77777777" w:rsidR="00F427A3" w:rsidRDefault="00F427A3">
            <w:pPr>
              <w:textAlignment w:val="bottom"/>
              <w:rPr>
                <w:rFonts w:ascii="Times New Roman" w:hAnsi="Times New Roman"/>
                <w:sz w:val="20"/>
                <w:szCs w:val="20"/>
              </w:rPr>
            </w:pPr>
          </w:p>
        </w:tc>
      </w:tr>
      <w:tr w:rsidR="00F427A3" w14:paraId="54E8FE0B" w14:textId="77777777">
        <w:tc>
          <w:tcPr>
            <w:tcW w:w="0" w:type="auto"/>
            <w:shd w:val="clear" w:color="auto" w:fill="auto"/>
            <w:tcMar>
              <w:top w:w="40" w:type="dxa"/>
              <w:left w:w="40" w:type="dxa"/>
              <w:bottom w:w="40" w:type="dxa"/>
              <w:right w:w="40" w:type="dxa"/>
            </w:tcMar>
          </w:tcPr>
          <w:p w14:paraId="54E8FDFF"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Income from operations</w:t>
            </w:r>
          </w:p>
        </w:tc>
        <w:tc>
          <w:tcPr>
            <w:tcW w:w="0" w:type="auto"/>
            <w:gridSpan w:val="2"/>
            <w:shd w:val="clear" w:color="auto" w:fill="auto"/>
            <w:tcMar>
              <w:top w:w="40" w:type="dxa"/>
              <w:left w:w="40" w:type="dxa"/>
              <w:bottom w:w="40" w:type="dxa"/>
            </w:tcMar>
            <w:vAlign w:val="bottom"/>
          </w:tcPr>
          <w:p w14:paraId="54E8FE0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8,040</w:t>
            </w:r>
          </w:p>
        </w:tc>
        <w:tc>
          <w:tcPr>
            <w:tcW w:w="0" w:type="auto"/>
            <w:shd w:val="clear" w:color="auto" w:fill="auto"/>
            <w:vAlign w:val="bottom"/>
          </w:tcPr>
          <w:p w14:paraId="54E8FE01"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0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8FE0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7,185</w:t>
            </w:r>
          </w:p>
        </w:tc>
        <w:tc>
          <w:tcPr>
            <w:tcW w:w="0" w:type="auto"/>
            <w:shd w:val="clear" w:color="auto" w:fill="auto"/>
            <w:vAlign w:val="bottom"/>
          </w:tcPr>
          <w:p w14:paraId="54E8FE04"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0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8FE0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19,896</w:t>
            </w:r>
          </w:p>
        </w:tc>
        <w:tc>
          <w:tcPr>
            <w:tcW w:w="0" w:type="auto"/>
            <w:shd w:val="clear" w:color="auto" w:fill="auto"/>
            <w:vAlign w:val="bottom"/>
          </w:tcPr>
          <w:p w14:paraId="54E8FE07"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0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8FE0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15,128</w:t>
            </w:r>
          </w:p>
        </w:tc>
        <w:tc>
          <w:tcPr>
            <w:tcW w:w="0" w:type="auto"/>
            <w:shd w:val="clear" w:color="auto" w:fill="auto"/>
            <w:vAlign w:val="bottom"/>
          </w:tcPr>
          <w:p w14:paraId="54E8FE0A" w14:textId="77777777" w:rsidR="00F427A3" w:rsidRDefault="00F427A3">
            <w:pPr>
              <w:textAlignment w:val="bottom"/>
              <w:rPr>
                <w:rFonts w:ascii="Times New Roman" w:hAnsi="Times New Roman"/>
                <w:sz w:val="20"/>
                <w:szCs w:val="20"/>
              </w:rPr>
            </w:pPr>
          </w:p>
        </w:tc>
      </w:tr>
      <w:tr w:rsidR="00F427A3" w14:paraId="54E8FE18" w14:textId="77777777">
        <w:tc>
          <w:tcPr>
            <w:tcW w:w="0" w:type="auto"/>
            <w:shd w:val="clear" w:color="auto" w:fill="CCEEFF"/>
            <w:tcMar>
              <w:top w:w="40" w:type="dxa"/>
              <w:left w:w="40" w:type="dxa"/>
              <w:bottom w:w="40" w:type="dxa"/>
              <w:right w:w="40" w:type="dxa"/>
            </w:tcMar>
          </w:tcPr>
          <w:p w14:paraId="54E8FE0C"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Interest and other income, net</w:t>
            </w:r>
          </w:p>
        </w:tc>
        <w:tc>
          <w:tcPr>
            <w:tcW w:w="0" w:type="auto"/>
            <w:gridSpan w:val="2"/>
            <w:tcBorders>
              <w:bottom w:val="single" w:sz="8" w:space="0" w:color="000000"/>
            </w:tcBorders>
            <w:shd w:val="clear" w:color="auto" w:fill="CCEEFF"/>
            <w:tcMar>
              <w:top w:w="40" w:type="dxa"/>
              <w:left w:w="40" w:type="dxa"/>
              <w:bottom w:w="40" w:type="dxa"/>
            </w:tcMar>
            <w:vAlign w:val="bottom"/>
          </w:tcPr>
          <w:p w14:paraId="54E8FE0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93</w:t>
            </w:r>
          </w:p>
        </w:tc>
        <w:tc>
          <w:tcPr>
            <w:tcW w:w="0" w:type="auto"/>
            <w:tcBorders>
              <w:bottom w:val="single" w:sz="8" w:space="0" w:color="000000"/>
            </w:tcBorders>
            <w:shd w:val="clear" w:color="auto" w:fill="CCEEFF"/>
            <w:vAlign w:val="bottom"/>
          </w:tcPr>
          <w:p w14:paraId="54E8FE0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E0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8FE1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144</w:t>
            </w:r>
          </w:p>
        </w:tc>
        <w:tc>
          <w:tcPr>
            <w:tcW w:w="0" w:type="auto"/>
            <w:tcBorders>
              <w:bottom w:val="single" w:sz="8" w:space="0" w:color="000000"/>
            </w:tcBorders>
            <w:shd w:val="clear" w:color="auto" w:fill="CCEEFF"/>
            <w:vAlign w:val="bottom"/>
          </w:tcPr>
          <w:p w14:paraId="54E8FE11"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E1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8FE1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229</w:t>
            </w:r>
          </w:p>
        </w:tc>
        <w:tc>
          <w:tcPr>
            <w:tcW w:w="0" w:type="auto"/>
            <w:tcBorders>
              <w:bottom w:val="single" w:sz="8" w:space="0" w:color="000000"/>
            </w:tcBorders>
            <w:shd w:val="clear" w:color="auto" w:fill="CCEEFF"/>
            <w:vAlign w:val="bottom"/>
          </w:tcPr>
          <w:p w14:paraId="54E8FE14"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E1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8FE1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515</w:t>
            </w:r>
          </w:p>
        </w:tc>
        <w:tc>
          <w:tcPr>
            <w:tcW w:w="0" w:type="auto"/>
            <w:tcBorders>
              <w:bottom w:val="single" w:sz="8" w:space="0" w:color="000000"/>
            </w:tcBorders>
            <w:shd w:val="clear" w:color="auto" w:fill="CCEEFF"/>
            <w:vAlign w:val="bottom"/>
          </w:tcPr>
          <w:p w14:paraId="54E8FE17" w14:textId="77777777" w:rsidR="00F427A3" w:rsidRDefault="00F427A3">
            <w:pPr>
              <w:textAlignment w:val="bottom"/>
              <w:rPr>
                <w:rFonts w:ascii="Times New Roman" w:hAnsi="Times New Roman"/>
                <w:sz w:val="20"/>
                <w:szCs w:val="20"/>
              </w:rPr>
            </w:pPr>
          </w:p>
        </w:tc>
      </w:tr>
      <w:tr w:rsidR="00F427A3" w14:paraId="54E8FE25" w14:textId="77777777">
        <w:tc>
          <w:tcPr>
            <w:tcW w:w="0" w:type="auto"/>
            <w:shd w:val="clear" w:color="auto" w:fill="auto"/>
            <w:tcMar>
              <w:top w:w="40" w:type="dxa"/>
              <w:left w:w="40" w:type="dxa"/>
              <w:bottom w:w="40" w:type="dxa"/>
              <w:right w:w="40" w:type="dxa"/>
            </w:tcMar>
          </w:tcPr>
          <w:p w14:paraId="54E8FE19"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Income before provision for income taxes</w:t>
            </w:r>
          </w:p>
        </w:tc>
        <w:tc>
          <w:tcPr>
            <w:tcW w:w="0" w:type="auto"/>
            <w:gridSpan w:val="2"/>
            <w:tcBorders>
              <w:top w:val="single" w:sz="8" w:space="0" w:color="000000"/>
            </w:tcBorders>
            <w:shd w:val="clear" w:color="auto" w:fill="auto"/>
            <w:tcMar>
              <w:top w:w="40" w:type="dxa"/>
              <w:left w:w="40" w:type="dxa"/>
              <w:bottom w:w="40" w:type="dxa"/>
            </w:tcMar>
            <w:vAlign w:val="bottom"/>
          </w:tcPr>
          <w:p w14:paraId="54E8FE1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8,133</w:t>
            </w:r>
          </w:p>
        </w:tc>
        <w:tc>
          <w:tcPr>
            <w:tcW w:w="0" w:type="auto"/>
            <w:tcBorders>
              <w:top w:val="single" w:sz="8" w:space="0" w:color="000000"/>
            </w:tcBorders>
            <w:shd w:val="clear" w:color="auto" w:fill="auto"/>
            <w:vAlign w:val="bottom"/>
          </w:tcPr>
          <w:p w14:paraId="54E8FE1B"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1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4E8FE1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7,329</w:t>
            </w:r>
          </w:p>
        </w:tc>
        <w:tc>
          <w:tcPr>
            <w:tcW w:w="0" w:type="auto"/>
            <w:tcBorders>
              <w:top w:val="single" w:sz="8" w:space="0" w:color="000000"/>
            </w:tcBorders>
            <w:shd w:val="clear" w:color="auto" w:fill="auto"/>
            <w:vAlign w:val="bottom"/>
          </w:tcPr>
          <w:p w14:paraId="54E8FE1E"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1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4E8FE2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20,125</w:t>
            </w:r>
          </w:p>
        </w:tc>
        <w:tc>
          <w:tcPr>
            <w:tcW w:w="0" w:type="auto"/>
            <w:tcBorders>
              <w:top w:val="single" w:sz="8" w:space="0" w:color="000000"/>
            </w:tcBorders>
            <w:shd w:val="clear" w:color="auto" w:fill="auto"/>
            <w:vAlign w:val="bottom"/>
          </w:tcPr>
          <w:p w14:paraId="54E8FE21"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2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4E8FE2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15,643</w:t>
            </w:r>
          </w:p>
        </w:tc>
        <w:tc>
          <w:tcPr>
            <w:tcW w:w="0" w:type="auto"/>
            <w:tcBorders>
              <w:top w:val="single" w:sz="8" w:space="0" w:color="000000"/>
            </w:tcBorders>
            <w:shd w:val="clear" w:color="auto" w:fill="auto"/>
            <w:vAlign w:val="bottom"/>
          </w:tcPr>
          <w:p w14:paraId="54E8FE24" w14:textId="77777777" w:rsidR="00F427A3" w:rsidRDefault="00F427A3">
            <w:pPr>
              <w:textAlignment w:val="bottom"/>
              <w:rPr>
                <w:rFonts w:ascii="Times New Roman" w:hAnsi="Times New Roman"/>
                <w:sz w:val="20"/>
                <w:szCs w:val="20"/>
              </w:rPr>
            </w:pPr>
          </w:p>
        </w:tc>
      </w:tr>
      <w:tr w:rsidR="00F427A3" w14:paraId="54E8FE32" w14:textId="77777777">
        <w:tc>
          <w:tcPr>
            <w:tcW w:w="0" w:type="auto"/>
            <w:shd w:val="clear" w:color="auto" w:fill="CCEEFF"/>
            <w:tcMar>
              <w:top w:w="40" w:type="dxa"/>
              <w:left w:w="40" w:type="dxa"/>
              <w:bottom w:w="40" w:type="dxa"/>
              <w:right w:w="40" w:type="dxa"/>
            </w:tcMar>
          </w:tcPr>
          <w:p w14:paraId="54E8FE26"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xml:space="preserve">Provision for </w:t>
            </w:r>
            <w:r>
              <w:rPr>
                <w:rFonts w:ascii="Times New Roman" w:eastAsia="宋体" w:hAnsi="Times New Roman"/>
                <w:sz w:val="20"/>
                <w:szCs w:val="20"/>
              </w:rPr>
              <w:t>income taxes</w:t>
            </w:r>
          </w:p>
        </w:tc>
        <w:tc>
          <w:tcPr>
            <w:tcW w:w="0" w:type="auto"/>
            <w:gridSpan w:val="2"/>
            <w:tcBorders>
              <w:bottom w:val="single" w:sz="8" w:space="0" w:color="000000"/>
            </w:tcBorders>
            <w:shd w:val="clear" w:color="auto" w:fill="CCEEFF"/>
            <w:tcMar>
              <w:top w:w="40" w:type="dxa"/>
              <w:left w:w="40" w:type="dxa"/>
              <w:bottom w:w="40" w:type="dxa"/>
            </w:tcMar>
            <w:vAlign w:val="bottom"/>
          </w:tcPr>
          <w:p w14:paraId="54E8FE2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287</w:t>
            </w:r>
          </w:p>
        </w:tc>
        <w:tc>
          <w:tcPr>
            <w:tcW w:w="0" w:type="auto"/>
            <w:tcBorders>
              <w:bottom w:val="single" w:sz="8" w:space="0" w:color="000000"/>
            </w:tcBorders>
            <w:shd w:val="clear" w:color="auto" w:fill="CCEEFF"/>
            <w:vAlign w:val="bottom"/>
          </w:tcPr>
          <w:p w14:paraId="54E8FE28"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E2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8FE2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1,238</w:t>
            </w:r>
          </w:p>
        </w:tc>
        <w:tc>
          <w:tcPr>
            <w:tcW w:w="0" w:type="auto"/>
            <w:tcBorders>
              <w:bottom w:val="single" w:sz="8" w:space="0" w:color="000000"/>
            </w:tcBorders>
            <w:shd w:val="clear" w:color="auto" w:fill="CCEEFF"/>
            <w:vAlign w:val="bottom"/>
          </w:tcPr>
          <w:p w14:paraId="54E8FE2B"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E2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8FE2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2,198</w:t>
            </w:r>
          </w:p>
        </w:tc>
        <w:tc>
          <w:tcPr>
            <w:tcW w:w="0" w:type="auto"/>
            <w:tcBorders>
              <w:bottom w:val="single" w:sz="8" w:space="0" w:color="000000"/>
            </w:tcBorders>
            <w:shd w:val="clear" w:color="auto" w:fill="CCEEFF"/>
            <w:vAlign w:val="bottom"/>
          </w:tcPr>
          <w:p w14:paraId="54E8FE2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E2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8FE3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4,507</w:t>
            </w:r>
          </w:p>
        </w:tc>
        <w:tc>
          <w:tcPr>
            <w:tcW w:w="0" w:type="auto"/>
            <w:tcBorders>
              <w:bottom w:val="single" w:sz="8" w:space="0" w:color="000000"/>
            </w:tcBorders>
            <w:shd w:val="clear" w:color="auto" w:fill="CCEEFF"/>
            <w:vAlign w:val="bottom"/>
          </w:tcPr>
          <w:p w14:paraId="54E8FE31" w14:textId="77777777" w:rsidR="00F427A3" w:rsidRDefault="00F427A3">
            <w:pPr>
              <w:textAlignment w:val="bottom"/>
              <w:rPr>
                <w:rFonts w:ascii="Times New Roman" w:hAnsi="Times New Roman"/>
                <w:sz w:val="20"/>
                <w:szCs w:val="20"/>
              </w:rPr>
            </w:pPr>
          </w:p>
        </w:tc>
      </w:tr>
      <w:tr w:rsidR="00F427A3" w14:paraId="54E8FE43" w14:textId="77777777">
        <w:tc>
          <w:tcPr>
            <w:tcW w:w="0" w:type="auto"/>
            <w:shd w:val="clear" w:color="auto" w:fill="auto"/>
            <w:tcMar>
              <w:top w:w="40" w:type="dxa"/>
              <w:left w:w="40" w:type="dxa"/>
              <w:bottom w:w="40" w:type="dxa"/>
              <w:right w:w="40" w:type="dxa"/>
            </w:tcMar>
          </w:tcPr>
          <w:p w14:paraId="54E8FE33"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Net income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8FE3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8FE3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7,846</w:t>
            </w:r>
          </w:p>
        </w:tc>
        <w:tc>
          <w:tcPr>
            <w:tcW w:w="0" w:type="auto"/>
            <w:tcBorders>
              <w:top w:val="single" w:sz="8" w:space="0" w:color="000000"/>
              <w:bottom w:val="double" w:sz="6" w:space="0" w:color="000000"/>
            </w:tcBorders>
            <w:shd w:val="clear" w:color="auto" w:fill="auto"/>
            <w:vAlign w:val="bottom"/>
          </w:tcPr>
          <w:p w14:paraId="54E8FE36"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3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8FE3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8FE3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6,091</w:t>
            </w:r>
          </w:p>
        </w:tc>
        <w:tc>
          <w:tcPr>
            <w:tcW w:w="0" w:type="auto"/>
            <w:tcBorders>
              <w:top w:val="single" w:sz="8" w:space="0" w:color="000000"/>
              <w:bottom w:val="double" w:sz="6" w:space="0" w:color="000000"/>
            </w:tcBorders>
            <w:shd w:val="clear" w:color="auto" w:fill="auto"/>
            <w:vAlign w:val="bottom"/>
          </w:tcPr>
          <w:p w14:paraId="54E8FE3A"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3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8FE3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8FE3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17,927</w:t>
            </w:r>
          </w:p>
        </w:tc>
        <w:tc>
          <w:tcPr>
            <w:tcW w:w="0" w:type="auto"/>
            <w:tcBorders>
              <w:top w:val="single" w:sz="8" w:space="0" w:color="000000"/>
              <w:bottom w:val="double" w:sz="6" w:space="0" w:color="000000"/>
            </w:tcBorders>
            <w:shd w:val="clear" w:color="auto" w:fill="auto"/>
            <w:vAlign w:val="bottom"/>
          </w:tcPr>
          <w:p w14:paraId="54E8FE3E"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3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8FE4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8FE4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11,136</w:t>
            </w:r>
          </w:p>
        </w:tc>
        <w:tc>
          <w:tcPr>
            <w:tcW w:w="0" w:type="auto"/>
            <w:tcBorders>
              <w:top w:val="single" w:sz="8" w:space="0" w:color="000000"/>
              <w:bottom w:val="double" w:sz="6" w:space="0" w:color="000000"/>
            </w:tcBorders>
            <w:shd w:val="clear" w:color="auto" w:fill="auto"/>
            <w:vAlign w:val="bottom"/>
          </w:tcPr>
          <w:p w14:paraId="54E8FE42" w14:textId="77777777" w:rsidR="00F427A3" w:rsidRDefault="00F427A3">
            <w:pPr>
              <w:textAlignment w:val="bottom"/>
              <w:rPr>
                <w:rFonts w:ascii="Times New Roman" w:hAnsi="Times New Roman"/>
                <w:sz w:val="20"/>
                <w:szCs w:val="20"/>
              </w:rPr>
            </w:pPr>
          </w:p>
        </w:tc>
      </w:tr>
      <w:tr w:rsidR="00F427A3" w14:paraId="54E8FE4C" w14:textId="77777777">
        <w:tc>
          <w:tcPr>
            <w:tcW w:w="0" w:type="auto"/>
            <w:shd w:val="clear" w:color="auto" w:fill="CCEEFF"/>
            <w:tcMar>
              <w:top w:w="40" w:type="dxa"/>
              <w:left w:w="40" w:type="dxa"/>
              <w:bottom w:w="40" w:type="dxa"/>
              <w:right w:w="40" w:type="dxa"/>
            </w:tcMar>
          </w:tcPr>
          <w:p w14:paraId="54E8FE44"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Earnings per share attributable to Class A and Class B common stockholders:</w:t>
            </w:r>
          </w:p>
        </w:tc>
        <w:tc>
          <w:tcPr>
            <w:tcW w:w="0" w:type="auto"/>
            <w:gridSpan w:val="3"/>
            <w:shd w:val="clear" w:color="auto" w:fill="CCEEFF"/>
            <w:tcMar>
              <w:top w:w="40" w:type="dxa"/>
              <w:left w:w="40" w:type="dxa"/>
              <w:bottom w:w="40" w:type="dxa"/>
              <w:right w:w="40" w:type="dxa"/>
            </w:tcMar>
            <w:vAlign w:val="bottom"/>
          </w:tcPr>
          <w:p w14:paraId="54E8FE4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8FE4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8FE4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8FE4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8FE4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8FE4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8FE4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E5D" w14:textId="77777777">
        <w:tc>
          <w:tcPr>
            <w:tcW w:w="0" w:type="auto"/>
            <w:shd w:val="clear" w:color="auto" w:fill="auto"/>
            <w:tcMar>
              <w:top w:w="40" w:type="dxa"/>
              <w:left w:w="560" w:type="dxa"/>
              <w:bottom w:w="40" w:type="dxa"/>
              <w:right w:w="40" w:type="dxa"/>
            </w:tcMar>
          </w:tcPr>
          <w:p w14:paraId="54E8FE4D"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Basic</w:t>
            </w:r>
          </w:p>
        </w:tc>
        <w:tc>
          <w:tcPr>
            <w:tcW w:w="0" w:type="auto"/>
            <w:tcBorders>
              <w:bottom w:val="double" w:sz="6" w:space="0" w:color="000000"/>
            </w:tcBorders>
            <w:shd w:val="clear" w:color="auto" w:fill="auto"/>
            <w:tcMar>
              <w:top w:w="40" w:type="dxa"/>
              <w:left w:w="40" w:type="dxa"/>
              <w:bottom w:w="40" w:type="dxa"/>
            </w:tcMar>
            <w:vAlign w:val="bottom"/>
          </w:tcPr>
          <w:p w14:paraId="54E8FE4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4E8FE4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2.75</w:t>
            </w:r>
          </w:p>
        </w:tc>
        <w:tc>
          <w:tcPr>
            <w:tcW w:w="0" w:type="auto"/>
            <w:tcBorders>
              <w:bottom w:val="double" w:sz="6" w:space="0" w:color="000000"/>
            </w:tcBorders>
            <w:shd w:val="clear" w:color="auto" w:fill="auto"/>
            <w:vAlign w:val="bottom"/>
          </w:tcPr>
          <w:p w14:paraId="54E8FE5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5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4E8FE5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4E8FE5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2.13</w:t>
            </w:r>
          </w:p>
        </w:tc>
        <w:tc>
          <w:tcPr>
            <w:tcW w:w="0" w:type="auto"/>
            <w:tcBorders>
              <w:bottom w:val="double" w:sz="6" w:space="0" w:color="000000"/>
            </w:tcBorders>
            <w:shd w:val="clear" w:color="auto" w:fill="auto"/>
            <w:vAlign w:val="bottom"/>
          </w:tcPr>
          <w:p w14:paraId="54E8FE54"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5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4E8FE5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4E8FE5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6.29</w:t>
            </w:r>
          </w:p>
        </w:tc>
        <w:tc>
          <w:tcPr>
            <w:tcW w:w="0" w:type="auto"/>
            <w:tcBorders>
              <w:bottom w:val="double" w:sz="6" w:space="0" w:color="000000"/>
            </w:tcBorders>
            <w:shd w:val="clear" w:color="auto" w:fill="auto"/>
            <w:vAlign w:val="bottom"/>
          </w:tcPr>
          <w:p w14:paraId="54E8FE58"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5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4E8FE5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4E8FE5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3.90</w:t>
            </w:r>
          </w:p>
        </w:tc>
        <w:tc>
          <w:tcPr>
            <w:tcW w:w="0" w:type="auto"/>
            <w:tcBorders>
              <w:bottom w:val="double" w:sz="6" w:space="0" w:color="000000"/>
            </w:tcBorders>
            <w:shd w:val="clear" w:color="auto" w:fill="auto"/>
            <w:vAlign w:val="bottom"/>
          </w:tcPr>
          <w:p w14:paraId="54E8FE5C" w14:textId="77777777" w:rsidR="00F427A3" w:rsidRDefault="00F427A3">
            <w:pPr>
              <w:textAlignment w:val="bottom"/>
              <w:rPr>
                <w:rFonts w:ascii="Times New Roman" w:hAnsi="Times New Roman"/>
                <w:sz w:val="20"/>
                <w:szCs w:val="20"/>
              </w:rPr>
            </w:pPr>
          </w:p>
        </w:tc>
      </w:tr>
      <w:tr w:rsidR="00F427A3" w14:paraId="54E8FE6E" w14:textId="77777777">
        <w:tc>
          <w:tcPr>
            <w:tcW w:w="0" w:type="auto"/>
            <w:shd w:val="clear" w:color="auto" w:fill="CCEEFF"/>
            <w:tcMar>
              <w:top w:w="40" w:type="dxa"/>
              <w:left w:w="560" w:type="dxa"/>
              <w:bottom w:w="40" w:type="dxa"/>
              <w:right w:w="40" w:type="dxa"/>
            </w:tcMar>
          </w:tcPr>
          <w:p w14:paraId="54E8FE5E"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Diluted</w:t>
            </w:r>
          </w:p>
        </w:tc>
        <w:tc>
          <w:tcPr>
            <w:tcW w:w="0" w:type="auto"/>
            <w:tcBorders>
              <w:bottom w:val="double" w:sz="6" w:space="0" w:color="000000"/>
            </w:tcBorders>
            <w:shd w:val="clear" w:color="auto" w:fill="CCEEFF"/>
            <w:tcMar>
              <w:top w:w="40" w:type="dxa"/>
              <w:left w:w="40" w:type="dxa"/>
              <w:bottom w:w="40" w:type="dxa"/>
            </w:tcMar>
            <w:vAlign w:val="bottom"/>
          </w:tcPr>
          <w:p w14:paraId="54E8FE5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8FE6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2.71</w:t>
            </w:r>
          </w:p>
        </w:tc>
        <w:tc>
          <w:tcPr>
            <w:tcW w:w="0" w:type="auto"/>
            <w:tcBorders>
              <w:bottom w:val="double" w:sz="6" w:space="0" w:color="000000"/>
            </w:tcBorders>
            <w:shd w:val="clear" w:color="auto" w:fill="CCEEFF"/>
            <w:vAlign w:val="bottom"/>
          </w:tcPr>
          <w:p w14:paraId="54E8FE61"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E6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4E8FE6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8FE6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2.12</w:t>
            </w:r>
          </w:p>
        </w:tc>
        <w:tc>
          <w:tcPr>
            <w:tcW w:w="0" w:type="auto"/>
            <w:tcBorders>
              <w:bottom w:val="double" w:sz="6" w:space="0" w:color="000000"/>
            </w:tcBorders>
            <w:shd w:val="clear" w:color="auto" w:fill="CCEEFF"/>
            <w:vAlign w:val="bottom"/>
          </w:tcPr>
          <w:p w14:paraId="54E8FE65"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E6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4E8FE6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8FE6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6.22</w:t>
            </w:r>
          </w:p>
        </w:tc>
        <w:tc>
          <w:tcPr>
            <w:tcW w:w="0" w:type="auto"/>
            <w:tcBorders>
              <w:bottom w:val="double" w:sz="6" w:space="0" w:color="000000"/>
            </w:tcBorders>
            <w:shd w:val="clear" w:color="auto" w:fill="CCEEFF"/>
            <w:vAlign w:val="bottom"/>
          </w:tcPr>
          <w:p w14:paraId="54E8FE69"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E6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4E8FE6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8FE6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3.87</w:t>
            </w:r>
          </w:p>
        </w:tc>
        <w:tc>
          <w:tcPr>
            <w:tcW w:w="0" w:type="auto"/>
            <w:tcBorders>
              <w:bottom w:val="double" w:sz="6" w:space="0" w:color="000000"/>
            </w:tcBorders>
            <w:shd w:val="clear" w:color="auto" w:fill="CCEEFF"/>
            <w:vAlign w:val="bottom"/>
          </w:tcPr>
          <w:p w14:paraId="54E8FE6D" w14:textId="77777777" w:rsidR="00F427A3" w:rsidRDefault="00F427A3">
            <w:pPr>
              <w:textAlignment w:val="bottom"/>
              <w:rPr>
                <w:rFonts w:ascii="Times New Roman" w:hAnsi="Times New Roman"/>
                <w:sz w:val="20"/>
                <w:szCs w:val="20"/>
              </w:rPr>
            </w:pPr>
          </w:p>
        </w:tc>
      </w:tr>
      <w:tr w:rsidR="00F427A3" w14:paraId="54E8FE77" w14:textId="77777777">
        <w:tc>
          <w:tcPr>
            <w:tcW w:w="0" w:type="auto"/>
            <w:shd w:val="clear" w:color="auto" w:fill="auto"/>
            <w:tcMar>
              <w:top w:w="40" w:type="dxa"/>
              <w:left w:w="40" w:type="dxa"/>
              <w:bottom w:w="40" w:type="dxa"/>
              <w:right w:w="40" w:type="dxa"/>
            </w:tcMar>
          </w:tcPr>
          <w:p w14:paraId="54E8FE6F"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Weighted-average shares used to compute earnings per share attributable to Class A and Class B common stockholders:</w:t>
            </w:r>
          </w:p>
        </w:tc>
        <w:tc>
          <w:tcPr>
            <w:tcW w:w="0" w:type="auto"/>
            <w:gridSpan w:val="3"/>
            <w:shd w:val="clear" w:color="auto" w:fill="auto"/>
            <w:tcMar>
              <w:top w:w="40" w:type="dxa"/>
              <w:left w:w="40" w:type="dxa"/>
              <w:bottom w:w="40" w:type="dxa"/>
              <w:right w:w="40" w:type="dxa"/>
            </w:tcMar>
            <w:vAlign w:val="bottom"/>
          </w:tcPr>
          <w:p w14:paraId="54E8FE7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E7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8FE7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E7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8FE7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E7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8FE7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E84" w14:textId="77777777">
        <w:tc>
          <w:tcPr>
            <w:tcW w:w="0" w:type="auto"/>
            <w:shd w:val="clear" w:color="auto" w:fill="CCEEFF"/>
            <w:tcMar>
              <w:top w:w="40" w:type="dxa"/>
              <w:left w:w="560" w:type="dxa"/>
              <w:bottom w:w="40" w:type="dxa"/>
              <w:right w:w="40" w:type="dxa"/>
            </w:tcMar>
          </w:tcPr>
          <w:p w14:paraId="54E8FE78"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Basic</w:t>
            </w:r>
          </w:p>
        </w:tc>
        <w:tc>
          <w:tcPr>
            <w:tcW w:w="0" w:type="auto"/>
            <w:gridSpan w:val="2"/>
            <w:tcBorders>
              <w:bottom w:val="double" w:sz="6" w:space="0" w:color="000000"/>
            </w:tcBorders>
            <w:shd w:val="clear" w:color="auto" w:fill="CCEEFF"/>
            <w:tcMar>
              <w:top w:w="40" w:type="dxa"/>
              <w:left w:w="40" w:type="dxa"/>
              <w:bottom w:w="40" w:type="dxa"/>
            </w:tcMar>
            <w:vAlign w:val="bottom"/>
          </w:tcPr>
          <w:p w14:paraId="54E8FE7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2,850</w:t>
            </w:r>
          </w:p>
        </w:tc>
        <w:tc>
          <w:tcPr>
            <w:tcW w:w="0" w:type="auto"/>
            <w:tcBorders>
              <w:bottom w:val="double" w:sz="6" w:space="0" w:color="000000"/>
            </w:tcBorders>
            <w:shd w:val="clear" w:color="auto" w:fill="CCEEFF"/>
            <w:vAlign w:val="bottom"/>
          </w:tcPr>
          <w:p w14:paraId="54E8FE7A"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E7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54E8FE7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2,854</w:t>
            </w:r>
          </w:p>
        </w:tc>
        <w:tc>
          <w:tcPr>
            <w:tcW w:w="0" w:type="auto"/>
            <w:tcBorders>
              <w:bottom w:val="double" w:sz="6" w:space="0" w:color="000000"/>
            </w:tcBorders>
            <w:shd w:val="clear" w:color="auto" w:fill="CCEEFF"/>
            <w:vAlign w:val="bottom"/>
          </w:tcPr>
          <w:p w14:paraId="54E8FE7D"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E7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54E8FE7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2,850</w:t>
            </w:r>
          </w:p>
        </w:tc>
        <w:tc>
          <w:tcPr>
            <w:tcW w:w="0" w:type="auto"/>
            <w:tcBorders>
              <w:bottom w:val="double" w:sz="6" w:space="0" w:color="000000"/>
            </w:tcBorders>
            <w:shd w:val="clear" w:color="auto" w:fill="CCEEFF"/>
            <w:vAlign w:val="bottom"/>
          </w:tcPr>
          <w:p w14:paraId="54E8FE8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E8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54E8FE8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2,855</w:t>
            </w:r>
          </w:p>
        </w:tc>
        <w:tc>
          <w:tcPr>
            <w:tcW w:w="0" w:type="auto"/>
            <w:tcBorders>
              <w:bottom w:val="double" w:sz="6" w:space="0" w:color="000000"/>
            </w:tcBorders>
            <w:shd w:val="clear" w:color="auto" w:fill="CCEEFF"/>
            <w:vAlign w:val="bottom"/>
          </w:tcPr>
          <w:p w14:paraId="54E8FE83" w14:textId="77777777" w:rsidR="00F427A3" w:rsidRDefault="00F427A3">
            <w:pPr>
              <w:textAlignment w:val="bottom"/>
              <w:rPr>
                <w:rFonts w:ascii="Times New Roman" w:hAnsi="Times New Roman"/>
                <w:sz w:val="20"/>
                <w:szCs w:val="20"/>
              </w:rPr>
            </w:pPr>
          </w:p>
        </w:tc>
      </w:tr>
      <w:tr w:rsidR="00F427A3" w14:paraId="54E8FE91" w14:textId="77777777">
        <w:tc>
          <w:tcPr>
            <w:tcW w:w="0" w:type="auto"/>
            <w:shd w:val="clear" w:color="auto" w:fill="auto"/>
            <w:tcMar>
              <w:top w:w="40" w:type="dxa"/>
              <w:left w:w="560" w:type="dxa"/>
              <w:bottom w:w="40" w:type="dxa"/>
              <w:right w:w="40" w:type="dxa"/>
            </w:tcMar>
          </w:tcPr>
          <w:p w14:paraId="54E8FE85"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Diluted</w:t>
            </w:r>
          </w:p>
        </w:tc>
        <w:tc>
          <w:tcPr>
            <w:tcW w:w="0" w:type="auto"/>
            <w:gridSpan w:val="2"/>
            <w:tcBorders>
              <w:bottom w:val="double" w:sz="6" w:space="0" w:color="000000"/>
            </w:tcBorders>
            <w:shd w:val="clear" w:color="auto" w:fill="auto"/>
            <w:tcMar>
              <w:top w:w="40" w:type="dxa"/>
              <w:left w:w="40" w:type="dxa"/>
              <w:bottom w:w="40" w:type="dxa"/>
            </w:tcMar>
            <w:vAlign w:val="bottom"/>
          </w:tcPr>
          <w:p w14:paraId="54E8FE8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2,891</w:t>
            </w:r>
          </w:p>
        </w:tc>
        <w:tc>
          <w:tcPr>
            <w:tcW w:w="0" w:type="auto"/>
            <w:tcBorders>
              <w:bottom w:val="double" w:sz="6" w:space="0" w:color="000000"/>
            </w:tcBorders>
            <w:shd w:val="clear" w:color="auto" w:fill="auto"/>
            <w:vAlign w:val="bottom"/>
          </w:tcPr>
          <w:p w14:paraId="54E8FE87"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8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54E8FE8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2,874</w:t>
            </w:r>
          </w:p>
        </w:tc>
        <w:tc>
          <w:tcPr>
            <w:tcW w:w="0" w:type="auto"/>
            <w:tcBorders>
              <w:bottom w:val="double" w:sz="6" w:space="0" w:color="000000"/>
            </w:tcBorders>
            <w:shd w:val="clear" w:color="auto" w:fill="auto"/>
            <w:vAlign w:val="bottom"/>
          </w:tcPr>
          <w:p w14:paraId="54E8FE8A"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8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54E8FE8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2,883</w:t>
            </w:r>
          </w:p>
        </w:tc>
        <w:tc>
          <w:tcPr>
            <w:tcW w:w="0" w:type="auto"/>
            <w:tcBorders>
              <w:bottom w:val="double" w:sz="6" w:space="0" w:color="000000"/>
            </w:tcBorders>
            <w:shd w:val="clear" w:color="auto" w:fill="auto"/>
            <w:vAlign w:val="bottom"/>
          </w:tcPr>
          <w:p w14:paraId="54E8FE8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8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54E8FE8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2,875</w:t>
            </w:r>
          </w:p>
        </w:tc>
        <w:tc>
          <w:tcPr>
            <w:tcW w:w="0" w:type="auto"/>
            <w:tcBorders>
              <w:bottom w:val="double" w:sz="6" w:space="0" w:color="000000"/>
            </w:tcBorders>
            <w:shd w:val="clear" w:color="auto" w:fill="auto"/>
            <w:vAlign w:val="bottom"/>
          </w:tcPr>
          <w:p w14:paraId="54E8FE90" w14:textId="77777777" w:rsidR="00F427A3" w:rsidRDefault="00F427A3">
            <w:pPr>
              <w:textAlignment w:val="bottom"/>
              <w:rPr>
                <w:rFonts w:ascii="Times New Roman" w:hAnsi="Times New Roman"/>
                <w:sz w:val="20"/>
                <w:szCs w:val="20"/>
              </w:rPr>
            </w:pPr>
          </w:p>
        </w:tc>
      </w:tr>
      <w:tr w:rsidR="00F427A3" w14:paraId="54E8FE9A" w14:textId="77777777">
        <w:tc>
          <w:tcPr>
            <w:tcW w:w="0" w:type="auto"/>
            <w:shd w:val="clear" w:color="auto" w:fill="CCEEFF"/>
            <w:tcMar>
              <w:top w:w="40" w:type="dxa"/>
              <w:left w:w="40" w:type="dxa"/>
              <w:bottom w:w="40" w:type="dxa"/>
              <w:right w:w="40" w:type="dxa"/>
            </w:tcMar>
          </w:tcPr>
          <w:p w14:paraId="54E8FE92"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Share-based compensation expense included in costs and expenses:</w:t>
            </w:r>
          </w:p>
        </w:tc>
        <w:tc>
          <w:tcPr>
            <w:tcW w:w="0" w:type="auto"/>
            <w:gridSpan w:val="3"/>
            <w:shd w:val="clear" w:color="auto" w:fill="CCEEFF"/>
            <w:tcMar>
              <w:top w:w="40" w:type="dxa"/>
              <w:left w:w="40" w:type="dxa"/>
              <w:bottom w:w="40" w:type="dxa"/>
              <w:right w:w="40" w:type="dxa"/>
            </w:tcMar>
            <w:vAlign w:val="bottom"/>
          </w:tcPr>
          <w:p w14:paraId="54E8FE9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8FE9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8FE9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8FE9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8FE9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8FE9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8FE9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EAB" w14:textId="77777777">
        <w:tc>
          <w:tcPr>
            <w:tcW w:w="0" w:type="auto"/>
            <w:shd w:val="clear" w:color="auto" w:fill="auto"/>
            <w:tcMar>
              <w:top w:w="40" w:type="dxa"/>
              <w:left w:w="560" w:type="dxa"/>
              <w:bottom w:w="40" w:type="dxa"/>
              <w:right w:w="40" w:type="dxa"/>
            </w:tcMar>
          </w:tcPr>
          <w:p w14:paraId="54E8FE9B"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Cost of revenue</w:t>
            </w:r>
          </w:p>
        </w:tc>
        <w:tc>
          <w:tcPr>
            <w:tcW w:w="0" w:type="auto"/>
            <w:shd w:val="clear" w:color="auto" w:fill="auto"/>
            <w:tcMar>
              <w:top w:w="40" w:type="dxa"/>
              <w:left w:w="40" w:type="dxa"/>
              <w:bottom w:w="40" w:type="dxa"/>
            </w:tcMar>
            <w:vAlign w:val="bottom"/>
          </w:tcPr>
          <w:p w14:paraId="54E8FE9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8FE9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116</w:t>
            </w:r>
          </w:p>
        </w:tc>
        <w:tc>
          <w:tcPr>
            <w:tcW w:w="0" w:type="auto"/>
            <w:shd w:val="clear" w:color="auto" w:fill="auto"/>
            <w:vAlign w:val="bottom"/>
          </w:tcPr>
          <w:p w14:paraId="54E8FE9E"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9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8FEA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8FEA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91</w:t>
            </w:r>
          </w:p>
        </w:tc>
        <w:tc>
          <w:tcPr>
            <w:tcW w:w="0" w:type="auto"/>
            <w:shd w:val="clear" w:color="auto" w:fill="auto"/>
            <w:vAlign w:val="bottom"/>
          </w:tcPr>
          <w:p w14:paraId="54E8FEA2"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A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8FEA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8FEA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327</w:t>
            </w:r>
          </w:p>
        </w:tc>
        <w:tc>
          <w:tcPr>
            <w:tcW w:w="0" w:type="auto"/>
            <w:shd w:val="clear" w:color="auto" w:fill="auto"/>
            <w:vAlign w:val="bottom"/>
          </w:tcPr>
          <w:p w14:paraId="54E8FEA6"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A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8FEA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8FEA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287</w:t>
            </w:r>
          </w:p>
        </w:tc>
        <w:tc>
          <w:tcPr>
            <w:tcW w:w="0" w:type="auto"/>
            <w:shd w:val="clear" w:color="auto" w:fill="auto"/>
            <w:vAlign w:val="bottom"/>
          </w:tcPr>
          <w:p w14:paraId="54E8FEAA" w14:textId="77777777" w:rsidR="00F427A3" w:rsidRDefault="00F427A3">
            <w:pPr>
              <w:textAlignment w:val="bottom"/>
              <w:rPr>
                <w:rFonts w:ascii="Times New Roman" w:hAnsi="Times New Roman"/>
                <w:sz w:val="20"/>
                <w:szCs w:val="20"/>
              </w:rPr>
            </w:pPr>
          </w:p>
        </w:tc>
      </w:tr>
      <w:tr w:rsidR="00F427A3" w14:paraId="54E8FEB8" w14:textId="77777777">
        <w:tc>
          <w:tcPr>
            <w:tcW w:w="0" w:type="auto"/>
            <w:shd w:val="clear" w:color="auto" w:fill="CCEEFF"/>
            <w:tcMar>
              <w:top w:w="40" w:type="dxa"/>
              <w:left w:w="560" w:type="dxa"/>
              <w:bottom w:w="40" w:type="dxa"/>
              <w:right w:w="40" w:type="dxa"/>
            </w:tcMar>
          </w:tcPr>
          <w:p w14:paraId="54E8FEAC"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CCEEFF"/>
            <w:tcMar>
              <w:top w:w="40" w:type="dxa"/>
              <w:left w:w="40" w:type="dxa"/>
              <w:bottom w:w="40" w:type="dxa"/>
            </w:tcMar>
            <w:vAlign w:val="bottom"/>
          </w:tcPr>
          <w:p w14:paraId="54E8FEA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1,297</w:t>
            </w:r>
          </w:p>
        </w:tc>
        <w:tc>
          <w:tcPr>
            <w:tcW w:w="0" w:type="auto"/>
            <w:shd w:val="clear" w:color="auto" w:fill="CCEEFF"/>
            <w:vAlign w:val="bottom"/>
          </w:tcPr>
          <w:p w14:paraId="54E8FEA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EA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8FEB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907</w:t>
            </w:r>
          </w:p>
        </w:tc>
        <w:tc>
          <w:tcPr>
            <w:tcW w:w="0" w:type="auto"/>
            <w:shd w:val="clear" w:color="auto" w:fill="CCEEFF"/>
            <w:vAlign w:val="bottom"/>
          </w:tcPr>
          <w:p w14:paraId="54E8FEB1"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EB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8FEB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3,557</w:t>
            </w:r>
          </w:p>
        </w:tc>
        <w:tc>
          <w:tcPr>
            <w:tcW w:w="0" w:type="auto"/>
            <w:shd w:val="clear" w:color="auto" w:fill="CCEEFF"/>
            <w:vAlign w:val="bottom"/>
          </w:tcPr>
          <w:p w14:paraId="54E8FEB4"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EB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8FEB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2,557</w:t>
            </w:r>
          </w:p>
        </w:tc>
        <w:tc>
          <w:tcPr>
            <w:tcW w:w="0" w:type="auto"/>
            <w:shd w:val="clear" w:color="auto" w:fill="CCEEFF"/>
            <w:vAlign w:val="bottom"/>
          </w:tcPr>
          <w:p w14:paraId="54E8FEB7" w14:textId="77777777" w:rsidR="00F427A3" w:rsidRDefault="00F427A3">
            <w:pPr>
              <w:textAlignment w:val="bottom"/>
              <w:rPr>
                <w:rFonts w:ascii="Times New Roman" w:hAnsi="Times New Roman"/>
                <w:sz w:val="20"/>
                <w:szCs w:val="20"/>
              </w:rPr>
            </w:pPr>
          </w:p>
        </w:tc>
      </w:tr>
      <w:tr w:rsidR="00F427A3" w14:paraId="54E8FEC5" w14:textId="77777777">
        <w:tc>
          <w:tcPr>
            <w:tcW w:w="0" w:type="auto"/>
            <w:shd w:val="clear" w:color="auto" w:fill="auto"/>
            <w:tcMar>
              <w:top w:w="40" w:type="dxa"/>
              <w:left w:w="560" w:type="dxa"/>
              <w:bottom w:w="40" w:type="dxa"/>
              <w:right w:w="40" w:type="dxa"/>
            </w:tcMar>
          </w:tcPr>
          <w:p w14:paraId="54E8FEB9"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Marketing and sales</w:t>
            </w:r>
          </w:p>
        </w:tc>
        <w:tc>
          <w:tcPr>
            <w:tcW w:w="0" w:type="auto"/>
            <w:gridSpan w:val="2"/>
            <w:shd w:val="clear" w:color="auto" w:fill="auto"/>
            <w:tcMar>
              <w:top w:w="40" w:type="dxa"/>
              <w:left w:w="40" w:type="dxa"/>
              <w:bottom w:w="40" w:type="dxa"/>
            </w:tcMar>
            <w:vAlign w:val="bottom"/>
          </w:tcPr>
          <w:p w14:paraId="54E8FEB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180</w:t>
            </w:r>
          </w:p>
        </w:tc>
        <w:tc>
          <w:tcPr>
            <w:tcW w:w="0" w:type="auto"/>
            <w:shd w:val="clear" w:color="auto" w:fill="auto"/>
            <w:vAlign w:val="bottom"/>
          </w:tcPr>
          <w:p w14:paraId="54E8FEBB"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B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8FEB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148</w:t>
            </w:r>
          </w:p>
        </w:tc>
        <w:tc>
          <w:tcPr>
            <w:tcW w:w="0" w:type="auto"/>
            <w:shd w:val="clear" w:color="auto" w:fill="auto"/>
            <w:vAlign w:val="bottom"/>
          </w:tcPr>
          <w:p w14:paraId="54E8FEBE"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B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8FEC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516</w:t>
            </w:r>
          </w:p>
        </w:tc>
        <w:tc>
          <w:tcPr>
            <w:tcW w:w="0" w:type="auto"/>
            <w:shd w:val="clear" w:color="auto" w:fill="auto"/>
            <w:vAlign w:val="bottom"/>
          </w:tcPr>
          <w:p w14:paraId="54E8FEC1"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C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8FEC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421</w:t>
            </w:r>
          </w:p>
        </w:tc>
        <w:tc>
          <w:tcPr>
            <w:tcW w:w="0" w:type="auto"/>
            <w:shd w:val="clear" w:color="auto" w:fill="auto"/>
            <w:vAlign w:val="bottom"/>
          </w:tcPr>
          <w:p w14:paraId="54E8FEC4" w14:textId="77777777" w:rsidR="00F427A3" w:rsidRDefault="00F427A3">
            <w:pPr>
              <w:textAlignment w:val="bottom"/>
              <w:rPr>
                <w:rFonts w:ascii="Times New Roman" w:hAnsi="Times New Roman"/>
                <w:sz w:val="20"/>
                <w:szCs w:val="20"/>
              </w:rPr>
            </w:pPr>
          </w:p>
        </w:tc>
      </w:tr>
      <w:tr w:rsidR="00F427A3" w14:paraId="54E8FED2" w14:textId="77777777">
        <w:tc>
          <w:tcPr>
            <w:tcW w:w="0" w:type="auto"/>
            <w:shd w:val="clear" w:color="auto" w:fill="CCEEFF"/>
            <w:tcMar>
              <w:top w:w="40" w:type="dxa"/>
              <w:left w:w="560" w:type="dxa"/>
              <w:bottom w:w="40" w:type="dxa"/>
              <w:right w:w="40" w:type="dxa"/>
            </w:tcMar>
          </w:tcPr>
          <w:p w14:paraId="54E8FEC6"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xml:space="preserve">General and </w:t>
            </w:r>
            <w:r>
              <w:rPr>
                <w:rFonts w:ascii="Times New Roman" w:eastAsia="宋体" w:hAnsi="Times New Roman"/>
                <w:sz w:val="20"/>
                <w:szCs w:val="20"/>
              </w:rPr>
              <w:t>administrative</w:t>
            </w:r>
          </w:p>
        </w:tc>
        <w:tc>
          <w:tcPr>
            <w:tcW w:w="0" w:type="auto"/>
            <w:gridSpan w:val="2"/>
            <w:tcBorders>
              <w:bottom w:val="single" w:sz="8" w:space="0" w:color="000000"/>
            </w:tcBorders>
            <w:shd w:val="clear" w:color="auto" w:fill="CCEEFF"/>
            <w:tcMar>
              <w:top w:w="40" w:type="dxa"/>
              <w:left w:w="40" w:type="dxa"/>
              <w:bottom w:w="40" w:type="dxa"/>
            </w:tcMar>
            <w:vAlign w:val="bottom"/>
          </w:tcPr>
          <w:p w14:paraId="54E8FEC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129</w:t>
            </w:r>
          </w:p>
        </w:tc>
        <w:tc>
          <w:tcPr>
            <w:tcW w:w="0" w:type="auto"/>
            <w:tcBorders>
              <w:bottom w:val="single" w:sz="8" w:space="0" w:color="000000"/>
            </w:tcBorders>
            <w:shd w:val="clear" w:color="auto" w:fill="CCEEFF"/>
            <w:vAlign w:val="bottom"/>
          </w:tcPr>
          <w:p w14:paraId="54E8FEC8"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EC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8FEC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103</w:t>
            </w:r>
          </w:p>
        </w:tc>
        <w:tc>
          <w:tcPr>
            <w:tcW w:w="0" w:type="auto"/>
            <w:tcBorders>
              <w:bottom w:val="single" w:sz="8" w:space="0" w:color="000000"/>
            </w:tcBorders>
            <w:shd w:val="clear" w:color="auto" w:fill="CCEEFF"/>
            <w:vAlign w:val="bottom"/>
          </w:tcPr>
          <w:p w14:paraId="54E8FECB"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EC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8FEC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352</w:t>
            </w:r>
          </w:p>
        </w:tc>
        <w:tc>
          <w:tcPr>
            <w:tcW w:w="0" w:type="auto"/>
            <w:tcBorders>
              <w:bottom w:val="single" w:sz="8" w:space="0" w:color="000000"/>
            </w:tcBorders>
            <w:shd w:val="clear" w:color="auto" w:fill="CCEEFF"/>
            <w:vAlign w:val="bottom"/>
          </w:tcPr>
          <w:p w14:paraId="54E8FEC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EC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8FED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297</w:t>
            </w:r>
          </w:p>
        </w:tc>
        <w:tc>
          <w:tcPr>
            <w:tcW w:w="0" w:type="auto"/>
            <w:tcBorders>
              <w:bottom w:val="single" w:sz="8" w:space="0" w:color="000000"/>
            </w:tcBorders>
            <w:shd w:val="clear" w:color="auto" w:fill="CCEEFF"/>
            <w:vAlign w:val="bottom"/>
          </w:tcPr>
          <w:p w14:paraId="54E8FED1" w14:textId="77777777" w:rsidR="00F427A3" w:rsidRDefault="00F427A3">
            <w:pPr>
              <w:textAlignment w:val="bottom"/>
              <w:rPr>
                <w:rFonts w:ascii="Times New Roman" w:hAnsi="Times New Roman"/>
                <w:sz w:val="20"/>
                <w:szCs w:val="20"/>
              </w:rPr>
            </w:pPr>
          </w:p>
        </w:tc>
      </w:tr>
      <w:tr w:rsidR="00F427A3" w14:paraId="54E8FEE3" w14:textId="77777777">
        <w:tc>
          <w:tcPr>
            <w:tcW w:w="0" w:type="auto"/>
            <w:shd w:val="clear" w:color="auto" w:fill="auto"/>
            <w:tcMar>
              <w:top w:w="40" w:type="dxa"/>
              <w:left w:w="880" w:type="dxa"/>
              <w:bottom w:w="40" w:type="dxa"/>
              <w:right w:w="40" w:type="dxa"/>
            </w:tcMar>
          </w:tcPr>
          <w:p w14:paraId="54E8FED3"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Total share-based compensation expense</w:t>
            </w:r>
          </w:p>
        </w:tc>
        <w:tc>
          <w:tcPr>
            <w:tcW w:w="0" w:type="auto"/>
            <w:tcBorders>
              <w:bottom w:val="double" w:sz="6" w:space="0" w:color="000000"/>
            </w:tcBorders>
            <w:shd w:val="clear" w:color="auto" w:fill="auto"/>
            <w:tcMar>
              <w:top w:w="40" w:type="dxa"/>
              <w:left w:w="40" w:type="dxa"/>
              <w:bottom w:w="40" w:type="dxa"/>
            </w:tcMar>
            <w:vAlign w:val="bottom"/>
          </w:tcPr>
          <w:p w14:paraId="54E8FED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4E8FED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1,722</w:t>
            </w:r>
          </w:p>
        </w:tc>
        <w:tc>
          <w:tcPr>
            <w:tcW w:w="0" w:type="auto"/>
            <w:tcBorders>
              <w:bottom w:val="double" w:sz="6" w:space="0" w:color="000000"/>
            </w:tcBorders>
            <w:shd w:val="clear" w:color="auto" w:fill="auto"/>
            <w:vAlign w:val="bottom"/>
          </w:tcPr>
          <w:p w14:paraId="54E8FED6"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D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4E8FED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4E8FED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1,249</w:t>
            </w:r>
          </w:p>
        </w:tc>
        <w:tc>
          <w:tcPr>
            <w:tcW w:w="0" w:type="auto"/>
            <w:tcBorders>
              <w:bottom w:val="double" w:sz="6" w:space="0" w:color="000000"/>
            </w:tcBorders>
            <w:shd w:val="clear" w:color="auto" w:fill="auto"/>
            <w:vAlign w:val="bottom"/>
          </w:tcPr>
          <w:p w14:paraId="54E8FEDA"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D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4E8FED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4E8FED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4,752</w:t>
            </w:r>
          </w:p>
        </w:tc>
        <w:tc>
          <w:tcPr>
            <w:tcW w:w="0" w:type="auto"/>
            <w:tcBorders>
              <w:bottom w:val="double" w:sz="6" w:space="0" w:color="000000"/>
            </w:tcBorders>
            <w:shd w:val="clear" w:color="auto" w:fill="auto"/>
            <w:vAlign w:val="bottom"/>
          </w:tcPr>
          <w:p w14:paraId="54E8FEDE"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ED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4E8FEE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4E8FEE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3,562</w:t>
            </w:r>
          </w:p>
        </w:tc>
        <w:tc>
          <w:tcPr>
            <w:tcW w:w="0" w:type="auto"/>
            <w:tcBorders>
              <w:bottom w:val="double" w:sz="6" w:space="0" w:color="000000"/>
            </w:tcBorders>
            <w:shd w:val="clear" w:color="auto" w:fill="auto"/>
            <w:vAlign w:val="bottom"/>
          </w:tcPr>
          <w:p w14:paraId="54E8FEE2" w14:textId="77777777" w:rsidR="00F427A3" w:rsidRDefault="00F427A3">
            <w:pPr>
              <w:textAlignment w:val="bottom"/>
              <w:rPr>
                <w:rFonts w:ascii="Times New Roman" w:hAnsi="Times New Roman"/>
                <w:sz w:val="20"/>
                <w:szCs w:val="20"/>
              </w:rPr>
            </w:pPr>
          </w:p>
        </w:tc>
      </w:tr>
    </w:tbl>
    <w:p w14:paraId="54E8FEE4" w14:textId="77777777" w:rsidR="00F427A3" w:rsidRDefault="0044221F">
      <w:pPr>
        <w:spacing w:line="288" w:lineRule="auto"/>
        <w:jc w:val="center"/>
        <w:rPr>
          <w:rFonts w:ascii="Times New Roman" w:hAnsi="Times New Roman"/>
          <w:sz w:val="18"/>
          <w:szCs w:val="18"/>
        </w:rPr>
      </w:pPr>
      <w:r>
        <w:rPr>
          <w:rFonts w:ascii="Times New Roman" w:eastAsia="宋体" w:hAnsi="Times New Roman"/>
          <w:i/>
          <w:iCs/>
          <w:sz w:val="18"/>
          <w:szCs w:val="18"/>
        </w:rPr>
        <w:t>See Acco</w:t>
      </w:r>
      <w:r>
        <w:rPr>
          <w:rFonts w:ascii="Times New Roman" w:eastAsia="宋体" w:hAnsi="Times New Roman"/>
          <w:i/>
          <w:iCs/>
          <w:sz w:val="18"/>
          <w:szCs w:val="18"/>
        </w:rPr>
        <w:t>mpanying Notes to Condensed Consolidated Financial Statements.</w:t>
      </w:r>
    </w:p>
    <w:p w14:paraId="54E8FEE5" w14:textId="77777777" w:rsidR="00F427A3" w:rsidRDefault="00F427A3">
      <w:pPr>
        <w:rPr>
          <w:rFonts w:ascii="Times New Roman" w:hAnsi="Times New Roman"/>
          <w:sz w:val="20"/>
          <w:szCs w:val="20"/>
        </w:rPr>
      </w:pPr>
    </w:p>
    <w:p w14:paraId="54E8FEE6"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8</w:t>
      </w:r>
    </w:p>
    <w:p w14:paraId="54E8FEE7" w14:textId="77777777" w:rsidR="00F427A3" w:rsidRDefault="0044221F">
      <w:r>
        <w:rPr>
          <w:rFonts w:ascii="Times New Roman" w:hAnsi="Times New Roman"/>
          <w:sz w:val="20"/>
          <w:szCs w:val="20"/>
        </w:rPr>
        <w:pict w14:anchorId="54E91C28">
          <v:rect id="_x0000_i1032" style="width:415.3pt;height:1.5pt" o:hralign="center" o:hrstd="t" o:hr="t" fillcolor="#a0a0a0" stroked="f"/>
        </w:pict>
      </w:r>
    </w:p>
    <w:p w14:paraId="54E8FEE8" w14:textId="77777777" w:rsidR="00F427A3" w:rsidRDefault="0044221F">
      <w:pPr>
        <w:spacing w:line="288" w:lineRule="auto"/>
        <w:rPr>
          <w:rFonts w:ascii="Times New Roman" w:hAnsi="Times New Roman"/>
          <w:sz w:val="20"/>
          <w:szCs w:val="20"/>
        </w:rPr>
      </w:pPr>
      <w:hyperlink r:id="rId50" w:anchor="s348EA962CF6D59B599D9921AFA89C381" w:history="1">
        <w:r>
          <w:rPr>
            <w:rStyle w:val="a5"/>
            <w:rFonts w:ascii="Times New Roman" w:eastAsia="宋体" w:hAnsi="Times New Roman"/>
            <w:sz w:val="20"/>
            <w:szCs w:val="20"/>
          </w:rPr>
          <w:t>Table of Contents</w:t>
        </w:r>
      </w:hyperlink>
    </w:p>
    <w:p w14:paraId="54E8FEE9" w14:textId="77777777" w:rsidR="00F427A3" w:rsidRDefault="00F427A3">
      <w:pPr>
        <w:rPr>
          <w:rFonts w:ascii="Times New Roman" w:hAnsi="Times New Roman"/>
          <w:sz w:val="20"/>
          <w:szCs w:val="20"/>
        </w:rPr>
      </w:pPr>
    </w:p>
    <w:p w14:paraId="54E8FEEA"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54E8FEEB"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COMPREHENSIVE INCOME</w:t>
      </w:r>
    </w:p>
    <w:p w14:paraId="54E8FEEC" w14:textId="77777777" w:rsidR="00F427A3" w:rsidRDefault="0044221F">
      <w:pPr>
        <w:spacing w:line="288" w:lineRule="auto"/>
        <w:jc w:val="center"/>
        <w:rPr>
          <w:rFonts w:ascii="Times New Roman" w:hAnsi="Times New Roman"/>
          <w:sz w:val="18"/>
          <w:szCs w:val="18"/>
        </w:rPr>
      </w:pPr>
      <w:r>
        <w:rPr>
          <w:rFonts w:ascii="Times New Roman" w:eastAsia="宋体" w:hAnsi="Times New Roman"/>
          <w:i/>
          <w:iCs/>
          <w:sz w:val="18"/>
          <w:szCs w:val="18"/>
        </w:rPr>
        <w:t>(In million</w:t>
      </w:r>
      <w:r>
        <w:rPr>
          <w:rFonts w:ascii="Times New Roman" w:eastAsia="宋体" w:hAnsi="Times New Roman"/>
          <w:i/>
          <w:iCs/>
          <w:sz w:val="18"/>
          <w:szCs w:val="18"/>
        </w:rPr>
        <w:t>s)</w:t>
      </w:r>
    </w:p>
    <w:p w14:paraId="54E8FEED" w14:textId="77777777" w:rsidR="00F427A3" w:rsidRDefault="0044221F">
      <w:pPr>
        <w:spacing w:line="288" w:lineRule="auto"/>
        <w:jc w:val="center"/>
        <w:rPr>
          <w:rFonts w:ascii="Times New Roman" w:hAnsi="Times New Roman"/>
          <w:sz w:val="18"/>
          <w:szCs w:val="18"/>
        </w:rPr>
      </w:pPr>
      <w:r>
        <w:rPr>
          <w:rFonts w:ascii="Times New Roman" w:eastAsia="宋体" w:hAnsi="Times New Roman"/>
          <w:i/>
          <w:iCs/>
          <w:sz w:val="18"/>
          <w:szCs w:val="18"/>
        </w:rPr>
        <w:t>(Unaudited)</w:t>
      </w:r>
    </w:p>
    <w:p w14:paraId="54E8FEEE" w14:textId="77777777" w:rsidR="00F427A3" w:rsidRDefault="0044221F">
      <w:pPr>
        <w:spacing w:line="288" w:lineRule="auto"/>
        <w:rPr>
          <w:rFonts w:ascii="Times New Roman" w:hAnsi="Times New Roman"/>
          <w:sz w:val="20"/>
          <w:szCs w:val="20"/>
        </w:rPr>
      </w:pP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3664"/>
        <w:gridCol w:w="140"/>
        <w:gridCol w:w="840"/>
        <w:gridCol w:w="107"/>
        <w:gridCol w:w="130"/>
        <w:gridCol w:w="140"/>
        <w:gridCol w:w="840"/>
        <w:gridCol w:w="107"/>
        <w:gridCol w:w="130"/>
        <w:gridCol w:w="140"/>
        <w:gridCol w:w="840"/>
        <w:gridCol w:w="10"/>
        <w:gridCol w:w="130"/>
        <w:gridCol w:w="140"/>
        <w:gridCol w:w="841"/>
        <w:gridCol w:w="107"/>
      </w:tblGrid>
      <w:tr w:rsidR="00F427A3" w14:paraId="54E8FEF0" w14:textId="77777777">
        <w:tc>
          <w:tcPr>
            <w:tcW w:w="0" w:type="auto"/>
            <w:gridSpan w:val="16"/>
            <w:shd w:val="clear" w:color="auto" w:fill="auto"/>
            <w:vAlign w:val="center"/>
          </w:tcPr>
          <w:p w14:paraId="54E8FEEF" w14:textId="77777777" w:rsidR="00F427A3" w:rsidRDefault="00F427A3">
            <w:pPr>
              <w:rPr>
                <w:rFonts w:ascii="Times New Roman" w:hAnsi="Times New Roman"/>
                <w:sz w:val="20"/>
                <w:szCs w:val="20"/>
              </w:rPr>
            </w:pPr>
          </w:p>
        </w:tc>
      </w:tr>
      <w:tr w:rsidR="00F427A3" w14:paraId="54E8FF01" w14:textId="77777777">
        <w:tc>
          <w:tcPr>
            <w:tcW w:w="2250" w:type="pct"/>
            <w:shd w:val="clear" w:color="auto" w:fill="auto"/>
            <w:vAlign w:val="center"/>
          </w:tcPr>
          <w:p w14:paraId="54E8FEF1" w14:textId="77777777" w:rsidR="00F427A3" w:rsidRDefault="00F427A3">
            <w:pPr>
              <w:rPr>
                <w:rFonts w:ascii="Times New Roman" w:hAnsi="Times New Roman"/>
                <w:sz w:val="20"/>
                <w:szCs w:val="20"/>
              </w:rPr>
            </w:pPr>
          </w:p>
        </w:tc>
        <w:tc>
          <w:tcPr>
            <w:tcW w:w="50" w:type="pct"/>
            <w:shd w:val="clear" w:color="auto" w:fill="auto"/>
            <w:vAlign w:val="center"/>
          </w:tcPr>
          <w:p w14:paraId="54E8FEF2" w14:textId="77777777" w:rsidR="00F427A3" w:rsidRDefault="00F427A3">
            <w:pPr>
              <w:rPr>
                <w:rFonts w:ascii="Times New Roman" w:hAnsi="Times New Roman"/>
                <w:sz w:val="20"/>
                <w:szCs w:val="20"/>
              </w:rPr>
            </w:pPr>
          </w:p>
        </w:tc>
        <w:tc>
          <w:tcPr>
            <w:tcW w:w="550" w:type="pct"/>
            <w:shd w:val="clear" w:color="auto" w:fill="auto"/>
            <w:vAlign w:val="center"/>
          </w:tcPr>
          <w:p w14:paraId="54E8FEF3" w14:textId="77777777" w:rsidR="00F427A3" w:rsidRDefault="00F427A3">
            <w:pPr>
              <w:rPr>
                <w:rFonts w:ascii="Times New Roman" w:hAnsi="Times New Roman"/>
                <w:sz w:val="20"/>
                <w:szCs w:val="20"/>
              </w:rPr>
            </w:pPr>
          </w:p>
        </w:tc>
        <w:tc>
          <w:tcPr>
            <w:tcW w:w="50" w:type="pct"/>
            <w:shd w:val="clear" w:color="auto" w:fill="auto"/>
            <w:vAlign w:val="center"/>
          </w:tcPr>
          <w:p w14:paraId="54E8FEF4" w14:textId="77777777" w:rsidR="00F427A3" w:rsidRDefault="00F427A3">
            <w:pPr>
              <w:rPr>
                <w:rFonts w:ascii="Times New Roman" w:hAnsi="Times New Roman"/>
                <w:sz w:val="20"/>
                <w:szCs w:val="20"/>
              </w:rPr>
            </w:pPr>
          </w:p>
        </w:tc>
        <w:tc>
          <w:tcPr>
            <w:tcW w:w="50" w:type="pct"/>
            <w:shd w:val="clear" w:color="auto" w:fill="auto"/>
            <w:vAlign w:val="center"/>
          </w:tcPr>
          <w:p w14:paraId="54E8FEF5" w14:textId="77777777" w:rsidR="00F427A3" w:rsidRDefault="00F427A3">
            <w:pPr>
              <w:rPr>
                <w:rFonts w:ascii="Times New Roman" w:hAnsi="Times New Roman"/>
                <w:sz w:val="20"/>
                <w:szCs w:val="20"/>
              </w:rPr>
            </w:pPr>
          </w:p>
        </w:tc>
        <w:tc>
          <w:tcPr>
            <w:tcW w:w="50" w:type="pct"/>
            <w:shd w:val="clear" w:color="auto" w:fill="auto"/>
            <w:vAlign w:val="center"/>
          </w:tcPr>
          <w:p w14:paraId="54E8FEF6" w14:textId="77777777" w:rsidR="00F427A3" w:rsidRDefault="00F427A3">
            <w:pPr>
              <w:rPr>
                <w:rFonts w:ascii="Times New Roman" w:hAnsi="Times New Roman"/>
                <w:sz w:val="20"/>
                <w:szCs w:val="20"/>
              </w:rPr>
            </w:pPr>
          </w:p>
        </w:tc>
        <w:tc>
          <w:tcPr>
            <w:tcW w:w="550" w:type="pct"/>
            <w:shd w:val="clear" w:color="auto" w:fill="auto"/>
            <w:vAlign w:val="center"/>
          </w:tcPr>
          <w:p w14:paraId="54E8FEF7" w14:textId="77777777" w:rsidR="00F427A3" w:rsidRDefault="00F427A3">
            <w:pPr>
              <w:rPr>
                <w:rFonts w:ascii="Times New Roman" w:hAnsi="Times New Roman"/>
                <w:sz w:val="20"/>
                <w:szCs w:val="20"/>
              </w:rPr>
            </w:pPr>
          </w:p>
        </w:tc>
        <w:tc>
          <w:tcPr>
            <w:tcW w:w="50" w:type="pct"/>
            <w:shd w:val="clear" w:color="auto" w:fill="auto"/>
            <w:vAlign w:val="center"/>
          </w:tcPr>
          <w:p w14:paraId="54E8FEF8" w14:textId="77777777" w:rsidR="00F427A3" w:rsidRDefault="00F427A3">
            <w:pPr>
              <w:rPr>
                <w:rFonts w:ascii="Times New Roman" w:hAnsi="Times New Roman"/>
                <w:sz w:val="20"/>
                <w:szCs w:val="20"/>
              </w:rPr>
            </w:pPr>
          </w:p>
        </w:tc>
        <w:tc>
          <w:tcPr>
            <w:tcW w:w="50" w:type="pct"/>
            <w:shd w:val="clear" w:color="auto" w:fill="auto"/>
            <w:vAlign w:val="center"/>
          </w:tcPr>
          <w:p w14:paraId="54E8FEF9" w14:textId="77777777" w:rsidR="00F427A3" w:rsidRDefault="00F427A3">
            <w:pPr>
              <w:rPr>
                <w:rFonts w:ascii="Times New Roman" w:hAnsi="Times New Roman"/>
                <w:sz w:val="20"/>
                <w:szCs w:val="20"/>
              </w:rPr>
            </w:pPr>
          </w:p>
        </w:tc>
        <w:tc>
          <w:tcPr>
            <w:tcW w:w="50" w:type="pct"/>
            <w:shd w:val="clear" w:color="auto" w:fill="auto"/>
            <w:vAlign w:val="center"/>
          </w:tcPr>
          <w:p w14:paraId="54E8FEFA" w14:textId="77777777" w:rsidR="00F427A3" w:rsidRDefault="00F427A3">
            <w:pPr>
              <w:rPr>
                <w:rFonts w:ascii="Times New Roman" w:hAnsi="Times New Roman"/>
                <w:sz w:val="20"/>
                <w:szCs w:val="20"/>
              </w:rPr>
            </w:pPr>
          </w:p>
        </w:tc>
        <w:tc>
          <w:tcPr>
            <w:tcW w:w="550" w:type="pct"/>
            <w:shd w:val="clear" w:color="auto" w:fill="auto"/>
            <w:vAlign w:val="center"/>
          </w:tcPr>
          <w:p w14:paraId="54E8FEFB" w14:textId="77777777" w:rsidR="00F427A3" w:rsidRDefault="00F427A3">
            <w:pPr>
              <w:rPr>
                <w:rFonts w:ascii="Times New Roman" w:hAnsi="Times New Roman"/>
                <w:sz w:val="20"/>
                <w:szCs w:val="20"/>
              </w:rPr>
            </w:pPr>
          </w:p>
        </w:tc>
        <w:tc>
          <w:tcPr>
            <w:tcW w:w="50" w:type="pct"/>
            <w:shd w:val="clear" w:color="auto" w:fill="auto"/>
            <w:vAlign w:val="center"/>
          </w:tcPr>
          <w:p w14:paraId="54E8FEFC" w14:textId="77777777" w:rsidR="00F427A3" w:rsidRDefault="00F427A3">
            <w:pPr>
              <w:rPr>
                <w:rFonts w:ascii="Times New Roman" w:hAnsi="Times New Roman"/>
                <w:sz w:val="20"/>
                <w:szCs w:val="20"/>
              </w:rPr>
            </w:pPr>
          </w:p>
        </w:tc>
        <w:tc>
          <w:tcPr>
            <w:tcW w:w="50" w:type="pct"/>
            <w:shd w:val="clear" w:color="auto" w:fill="auto"/>
            <w:vAlign w:val="center"/>
          </w:tcPr>
          <w:p w14:paraId="54E8FEFD" w14:textId="77777777" w:rsidR="00F427A3" w:rsidRDefault="00F427A3">
            <w:pPr>
              <w:rPr>
                <w:rFonts w:ascii="Times New Roman" w:hAnsi="Times New Roman"/>
                <w:sz w:val="20"/>
                <w:szCs w:val="20"/>
              </w:rPr>
            </w:pPr>
          </w:p>
        </w:tc>
        <w:tc>
          <w:tcPr>
            <w:tcW w:w="50" w:type="pct"/>
            <w:shd w:val="clear" w:color="auto" w:fill="auto"/>
            <w:vAlign w:val="center"/>
          </w:tcPr>
          <w:p w14:paraId="54E8FEFE" w14:textId="77777777" w:rsidR="00F427A3" w:rsidRDefault="00F427A3">
            <w:pPr>
              <w:rPr>
                <w:rFonts w:ascii="Times New Roman" w:hAnsi="Times New Roman"/>
                <w:sz w:val="20"/>
                <w:szCs w:val="20"/>
              </w:rPr>
            </w:pPr>
          </w:p>
        </w:tc>
        <w:tc>
          <w:tcPr>
            <w:tcW w:w="550" w:type="pct"/>
            <w:shd w:val="clear" w:color="auto" w:fill="auto"/>
            <w:vAlign w:val="center"/>
          </w:tcPr>
          <w:p w14:paraId="54E8FEFF" w14:textId="77777777" w:rsidR="00F427A3" w:rsidRDefault="00F427A3">
            <w:pPr>
              <w:rPr>
                <w:rFonts w:ascii="Times New Roman" w:hAnsi="Times New Roman"/>
                <w:sz w:val="20"/>
                <w:szCs w:val="20"/>
              </w:rPr>
            </w:pPr>
          </w:p>
        </w:tc>
        <w:tc>
          <w:tcPr>
            <w:tcW w:w="50" w:type="pct"/>
            <w:shd w:val="clear" w:color="auto" w:fill="auto"/>
            <w:vAlign w:val="center"/>
          </w:tcPr>
          <w:p w14:paraId="54E8FF00" w14:textId="77777777" w:rsidR="00F427A3" w:rsidRDefault="00F427A3">
            <w:pPr>
              <w:rPr>
                <w:rFonts w:ascii="Times New Roman" w:hAnsi="Times New Roman"/>
                <w:sz w:val="20"/>
                <w:szCs w:val="20"/>
              </w:rPr>
            </w:pPr>
          </w:p>
        </w:tc>
      </w:tr>
      <w:tr w:rsidR="00F427A3" w14:paraId="54E8FF06" w14:textId="77777777">
        <w:tc>
          <w:tcPr>
            <w:tcW w:w="0" w:type="auto"/>
            <w:shd w:val="clear" w:color="auto" w:fill="auto"/>
            <w:tcMar>
              <w:top w:w="40" w:type="dxa"/>
              <w:left w:w="40" w:type="dxa"/>
              <w:bottom w:w="40" w:type="dxa"/>
              <w:right w:w="40" w:type="dxa"/>
            </w:tcMar>
            <w:vAlign w:val="bottom"/>
          </w:tcPr>
          <w:p w14:paraId="54E8FF02"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8FF03"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Three Months Ended September 30,</w:t>
            </w:r>
          </w:p>
        </w:tc>
        <w:tc>
          <w:tcPr>
            <w:tcW w:w="0" w:type="auto"/>
            <w:shd w:val="clear" w:color="auto" w:fill="auto"/>
            <w:tcMar>
              <w:top w:w="40" w:type="dxa"/>
              <w:left w:w="40" w:type="dxa"/>
              <w:bottom w:w="40" w:type="dxa"/>
              <w:right w:w="40" w:type="dxa"/>
            </w:tcMar>
            <w:vAlign w:val="bottom"/>
          </w:tcPr>
          <w:p w14:paraId="54E8FF0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8FF05"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Nine Months Ended September 30,</w:t>
            </w:r>
          </w:p>
        </w:tc>
      </w:tr>
      <w:tr w:rsidR="00F427A3" w14:paraId="54E8FF0F" w14:textId="77777777">
        <w:tc>
          <w:tcPr>
            <w:tcW w:w="0" w:type="auto"/>
            <w:shd w:val="clear" w:color="auto" w:fill="auto"/>
            <w:tcMar>
              <w:top w:w="40" w:type="dxa"/>
              <w:left w:w="40" w:type="dxa"/>
              <w:bottom w:w="40" w:type="dxa"/>
              <w:right w:w="40" w:type="dxa"/>
            </w:tcMar>
            <w:vAlign w:val="bottom"/>
          </w:tcPr>
          <w:p w14:paraId="54E8FF07"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8FF08"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54E8FF0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8FF0A"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8FF0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8FF0C"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54E8FF0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8FF0E"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F427A3" w14:paraId="54E8FF20" w14:textId="77777777">
        <w:tc>
          <w:tcPr>
            <w:tcW w:w="0" w:type="auto"/>
            <w:shd w:val="clear" w:color="auto" w:fill="CCEEFF"/>
            <w:tcMar>
              <w:top w:w="40" w:type="dxa"/>
              <w:left w:w="40" w:type="dxa"/>
              <w:bottom w:w="40" w:type="dxa"/>
              <w:right w:w="40" w:type="dxa"/>
            </w:tcMar>
          </w:tcPr>
          <w:p w14:paraId="54E8FF10"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Net income</w:t>
            </w:r>
          </w:p>
        </w:tc>
        <w:tc>
          <w:tcPr>
            <w:tcW w:w="0" w:type="auto"/>
            <w:tcBorders>
              <w:top w:val="single" w:sz="8" w:space="0" w:color="000000"/>
            </w:tcBorders>
            <w:shd w:val="clear" w:color="auto" w:fill="CCEEFF"/>
            <w:tcMar>
              <w:top w:w="40" w:type="dxa"/>
              <w:left w:w="40" w:type="dxa"/>
              <w:bottom w:w="40" w:type="dxa"/>
            </w:tcMar>
            <w:vAlign w:val="bottom"/>
          </w:tcPr>
          <w:p w14:paraId="54E8FF1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4E8FF1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7,846</w:t>
            </w:r>
          </w:p>
        </w:tc>
        <w:tc>
          <w:tcPr>
            <w:tcW w:w="0" w:type="auto"/>
            <w:tcBorders>
              <w:top w:val="single" w:sz="8" w:space="0" w:color="000000"/>
            </w:tcBorders>
            <w:shd w:val="clear" w:color="auto" w:fill="CCEEFF"/>
            <w:vAlign w:val="bottom"/>
          </w:tcPr>
          <w:p w14:paraId="54E8FF13"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F1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8FF1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4E8FF1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6,091</w:t>
            </w:r>
          </w:p>
        </w:tc>
        <w:tc>
          <w:tcPr>
            <w:tcW w:w="0" w:type="auto"/>
            <w:tcBorders>
              <w:top w:val="single" w:sz="8" w:space="0" w:color="000000"/>
            </w:tcBorders>
            <w:shd w:val="clear" w:color="auto" w:fill="CCEEFF"/>
            <w:vAlign w:val="bottom"/>
          </w:tcPr>
          <w:p w14:paraId="54E8FF1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F1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8FF1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4E8FF1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17,927</w:t>
            </w:r>
          </w:p>
        </w:tc>
        <w:tc>
          <w:tcPr>
            <w:tcW w:w="0" w:type="auto"/>
            <w:tcBorders>
              <w:top w:val="single" w:sz="8" w:space="0" w:color="000000"/>
            </w:tcBorders>
            <w:shd w:val="clear" w:color="auto" w:fill="CCEEFF"/>
            <w:vAlign w:val="bottom"/>
          </w:tcPr>
          <w:p w14:paraId="54E8FF1B"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F1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8FF1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4E8FF1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11,136</w:t>
            </w:r>
          </w:p>
        </w:tc>
        <w:tc>
          <w:tcPr>
            <w:tcW w:w="0" w:type="auto"/>
            <w:tcBorders>
              <w:top w:val="single" w:sz="8" w:space="0" w:color="000000"/>
            </w:tcBorders>
            <w:shd w:val="clear" w:color="auto" w:fill="CCEEFF"/>
            <w:vAlign w:val="bottom"/>
          </w:tcPr>
          <w:p w14:paraId="54E8FF1F" w14:textId="77777777" w:rsidR="00F427A3" w:rsidRDefault="00F427A3">
            <w:pPr>
              <w:textAlignment w:val="bottom"/>
              <w:rPr>
                <w:rFonts w:ascii="Times New Roman" w:hAnsi="Times New Roman"/>
                <w:sz w:val="20"/>
                <w:szCs w:val="20"/>
              </w:rPr>
            </w:pPr>
          </w:p>
        </w:tc>
      </w:tr>
      <w:tr w:rsidR="00F427A3" w14:paraId="54E8FF29" w14:textId="77777777">
        <w:tc>
          <w:tcPr>
            <w:tcW w:w="0" w:type="auto"/>
            <w:shd w:val="clear" w:color="auto" w:fill="auto"/>
            <w:tcMar>
              <w:top w:w="40" w:type="dxa"/>
              <w:left w:w="40" w:type="dxa"/>
              <w:bottom w:w="40" w:type="dxa"/>
              <w:right w:w="40" w:type="dxa"/>
            </w:tcMar>
          </w:tcPr>
          <w:p w14:paraId="54E8FF21"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Other comprehensive income (loss):</w:t>
            </w:r>
          </w:p>
        </w:tc>
        <w:tc>
          <w:tcPr>
            <w:tcW w:w="0" w:type="auto"/>
            <w:gridSpan w:val="3"/>
            <w:shd w:val="clear" w:color="auto" w:fill="auto"/>
            <w:tcMar>
              <w:top w:w="40" w:type="dxa"/>
              <w:left w:w="40" w:type="dxa"/>
              <w:bottom w:w="40" w:type="dxa"/>
              <w:right w:w="40" w:type="dxa"/>
            </w:tcMar>
            <w:vAlign w:val="bottom"/>
          </w:tcPr>
          <w:p w14:paraId="54E8FF2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F2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8FF2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F2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8FF2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8FF2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8FF2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8FF36" w14:textId="77777777">
        <w:tc>
          <w:tcPr>
            <w:tcW w:w="0" w:type="auto"/>
            <w:shd w:val="clear" w:color="auto" w:fill="CCEEFF"/>
            <w:tcMar>
              <w:top w:w="40" w:type="dxa"/>
              <w:left w:w="560" w:type="dxa"/>
              <w:bottom w:w="40" w:type="dxa"/>
              <w:right w:w="40" w:type="dxa"/>
            </w:tcMar>
          </w:tcPr>
          <w:p w14:paraId="54E8FF2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xml:space="preserve">Change in </w:t>
            </w:r>
            <w:r>
              <w:rPr>
                <w:rFonts w:ascii="Times New Roman" w:eastAsia="宋体" w:hAnsi="Times New Roman"/>
                <w:sz w:val="20"/>
                <w:szCs w:val="20"/>
              </w:rPr>
              <w:t>foreign currency translation adjustment, net of tax</w:t>
            </w:r>
          </w:p>
        </w:tc>
        <w:tc>
          <w:tcPr>
            <w:tcW w:w="0" w:type="auto"/>
            <w:gridSpan w:val="2"/>
            <w:shd w:val="clear" w:color="auto" w:fill="CCEEFF"/>
            <w:tcMar>
              <w:top w:w="40" w:type="dxa"/>
              <w:left w:w="40" w:type="dxa"/>
              <w:bottom w:w="40" w:type="dxa"/>
            </w:tcMar>
            <w:vAlign w:val="bottom"/>
          </w:tcPr>
          <w:p w14:paraId="54E8FF2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502</w:t>
            </w:r>
          </w:p>
        </w:tc>
        <w:tc>
          <w:tcPr>
            <w:tcW w:w="0" w:type="auto"/>
            <w:shd w:val="clear" w:color="auto" w:fill="CCEEFF"/>
            <w:vAlign w:val="bottom"/>
          </w:tcPr>
          <w:p w14:paraId="54E8FF2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F2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8FF2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(418</w:t>
            </w:r>
          </w:p>
        </w:tc>
        <w:tc>
          <w:tcPr>
            <w:tcW w:w="0" w:type="auto"/>
            <w:shd w:val="clear" w:color="auto" w:fill="CCEEFF"/>
            <w:tcMar>
              <w:top w:w="40" w:type="dxa"/>
              <w:bottom w:w="40" w:type="dxa"/>
              <w:right w:w="40" w:type="dxa"/>
            </w:tcMar>
            <w:vAlign w:val="bottom"/>
          </w:tcPr>
          <w:p w14:paraId="54E8FF2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8FF3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8FF3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373</w:t>
            </w:r>
          </w:p>
        </w:tc>
        <w:tc>
          <w:tcPr>
            <w:tcW w:w="0" w:type="auto"/>
            <w:shd w:val="clear" w:color="auto" w:fill="CCEEFF"/>
            <w:vAlign w:val="bottom"/>
          </w:tcPr>
          <w:p w14:paraId="54E8FF32"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F3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8FF3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(503</w:t>
            </w:r>
          </w:p>
        </w:tc>
        <w:tc>
          <w:tcPr>
            <w:tcW w:w="0" w:type="auto"/>
            <w:shd w:val="clear" w:color="auto" w:fill="CCEEFF"/>
            <w:tcMar>
              <w:top w:w="40" w:type="dxa"/>
              <w:bottom w:w="40" w:type="dxa"/>
              <w:right w:w="40" w:type="dxa"/>
            </w:tcMar>
            <w:vAlign w:val="bottom"/>
          </w:tcPr>
          <w:p w14:paraId="54E8FF3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8FF43" w14:textId="77777777">
        <w:tc>
          <w:tcPr>
            <w:tcW w:w="0" w:type="auto"/>
            <w:shd w:val="clear" w:color="auto" w:fill="auto"/>
            <w:tcMar>
              <w:top w:w="40" w:type="dxa"/>
              <w:left w:w="560" w:type="dxa"/>
              <w:bottom w:w="40" w:type="dxa"/>
              <w:right w:w="40" w:type="dxa"/>
            </w:tcMar>
          </w:tcPr>
          <w:p w14:paraId="54E8FF37"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Change in unrealized gain (loss) on available-for-sale investments and other, net of tax</w:t>
            </w:r>
          </w:p>
        </w:tc>
        <w:tc>
          <w:tcPr>
            <w:tcW w:w="0" w:type="auto"/>
            <w:gridSpan w:val="2"/>
            <w:tcBorders>
              <w:bottom w:val="single" w:sz="8" w:space="0" w:color="000000"/>
            </w:tcBorders>
            <w:shd w:val="clear" w:color="auto" w:fill="auto"/>
            <w:tcMar>
              <w:top w:w="40" w:type="dxa"/>
              <w:left w:w="40" w:type="dxa"/>
              <w:bottom w:w="40" w:type="dxa"/>
            </w:tcMar>
            <w:vAlign w:val="bottom"/>
          </w:tcPr>
          <w:p w14:paraId="54E8FF3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(52</w:t>
            </w:r>
          </w:p>
        </w:tc>
        <w:tc>
          <w:tcPr>
            <w:tcW w:w="0" w:type="auto"/>
            <w:tcBorders>
              <w:bottom w:val="single" w:sz="8" w:space="0" w:color="000000"/>
            </w:tcBorders>
            <w:shd w:val="clear" w:color="auto" w:fill="auto"/>
            <w:tcMar>
              <w:top w:w="40" w:type="dxa"/>
              <w:bottom w:w="40" w:type="dxa"/>
              <w:right w:w="40" w:type="dxa"/>
            </w:tcMar>
            <w:vAlign w:val="bottom"/>
          </w:tcPr>
          <w:p w14:paraId="54E8FF3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8FF3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8FF3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52</w:t>
            </w:r>
          </w:p>
        </w:tc>
        <w:tc>
          <w:tcPr>
            <w:tcW w:w="0" w:type="auto"/>
            <w:shd w:val="clear" w:color="auto" w:fill="auto"/>
            <w:vAlign w:val="bottom"/>
          </w:tcPr>
          <w:p w14:paraId="54E8FF3C"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F3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8FF3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424</w:t>
            </w:r>
          </w:p>
        </w:tc>
        <w:tc>
          <w:tcPr>
            <w:tcW w:w="0" w:type="auto"/>
            <w:shd w:val="clear" w:color="auto" w:fill="auto"/>
            <w:vAlign w:val="bottom"/>
          </w:tcPr>
          <w:p w14:paraId="54E8FF3F"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F4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8FF4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414</w:t>
            </w:r>
          </w:p>
        </w:tc>
        <w:tc>
          <w:tcPr>
            <w:tcW w:w="0" w:type="auto"/>
            <w:shd w:val="clear" w:color="auto" w:fill="auto"/>
            <w:vAlign w:val="bottom"/>
          </w:tcPr>
          <w:p w14:paraId="54E8FF42" w14:textId="77777777" w:rsidR="00F427A3" w:rsidRDefault="00F427A3">
            <w:pPr>
              <w:textAlignment w:val="bottom"/>
              <w:rPr>
                <w:rFonts w:ascii="Times New Roman" w:hAnsi="Times New Roman"/>
                <w:sz w:val="20"/>
                <w:szCs w:val="20"/>
              </w:rPr>
            </w:pPr>
          </w:p>
        </w:tc>
      </w:tr>
      <w:tr w:rsidR="00F427A3" w14:paraId="54E8FF54" w14:textId="77777777">
        <w:tc>
          <w:tcPr>
            <w:tcW w:w="0" w:type="auto"/>
            <w:shd w:val="clear" w:color="auto" w:fill="CCEEFF"/>
            <w:tcMar>
              <w:top w:w="40" w:type="dxa"/>
              <w:left w:w="40" w:type="dxa"/>
              <w:bottom w:w="40" w:type="dxa"/>
              <w:right w:w="40" w:type="dxa"/>
            </w:tcMar>
          </w:tcPr>
          <w:p w14:paraId="54E8FF44"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Comprehensive income</w:t>
            </w:r>
          </w:p>
        </w:tc>
        <w:tc>
          <w:tcPr>
            <w:tcW w:w="0" w:type="auto"/>
            <w:tcBorders>
              <w:bottom w:val="double" w:sz="6" w:space="0" w:color="000000"/>
            </w:tcBorders>
            <w:shd w:val="clear" w:color="auto" w:fill="CCEEFF"/>
            <w:tcMar>
              <w:top w:w="40" w:type="dxa"/>
              <w:left w:w="40" w:type="dxa"/>
              <w:bottom w:w="40" w:type="dxa"/>
            </w:tcMar>
            <w:vAlign w:val="bottom"/>
          </w:tcPr>
          <w:p w14:paraId="54E8FF4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8FF4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8,296</w:t>
            </w:r>
          </w:p>
        </w:tc>
        <w:tc>
          <w:tcPr>
            <w:tcW w:w="0" w:type="auto"/>
            <w:tcBorders>
              <w:bottom w:val="double" w:sz="6" w:space="0" w:color="000000"/>
            </w:tcBorders>
            <w:shd w:val="clear" w:color="auto" w:fill="CCEEFF"/>
            <w:vAlign w:val="bottom"/>
          </w:tcPr>
          <w:p w14:paraId="54E8FF4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F4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8FF4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8FF4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5,725</w:t>
            </w:r>
          </w:p>
        </w:tc>
        <w:tc>
          <w:tcPr>
            <w:tcW w:w="0" w:type="auto"/>
            <w:tcBorders>
              <w:top w:val="single" w:sz="8" w:space="0" w:color="000000"/>
              <w:bottom w:val="double" w:sz="6" w:space="0" w:color="000000"/>
            </w:tcBorders>
            <w:shd w:val="clear" w:color="auto" w:fill="CCEEFF"/>
            <w:vAlign w:val="bottom"/>
          </w:tcPr>
          <w:p w14:paraId="54E8FF4B"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F4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8FF4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8FF4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18,724</w:t>
            </w:r>
          </w:p>
        </w:tc>
        <w:tc>
          <w:tcPr>
            <w:tcW w:w="0" w:type="auto"/>
            <w:tcBorders>
              <w:top w:val="single" w:sz="8" w:space="0" w:color="000000"/>
              <w:bottom w:val="double" w:sz="6" w:space="0" w:color="000000"/>
            </w:tcBorders>
            <w:shd w:val="clear" w:color="auto" w:fill="CCEEFF"/>
            <w:vAlign w:val="bottom"/>
          </w:tcPr>
          <w:p w14:paraId="54E8FF4F"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F5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8FF5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8FF5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11,047</w:t>
            </w:r>
          </w:p>
        </w:tc>
        <w:tc>
          <w:tcPr>
            <w:tcW w:w="0" w:type="auto"/>
            <w:tcBorders>
              <w:top w:val="single" w:sz="8" w:space="0" w:color="000000"/>
              <w:bottom w:val="double" w:sz="6" w:space="0" w:color="000000"/>
            </w:tcBorders>
            <w:shd w:val="clear" w:color="auto" w:fill="CCEEFF"/>
            <w:vAlign w:val="bottom"/>
          </w:tcPr>
          <w:p w14:paraId="54E8FF53" w14:textId="77777777" w:rsidR="00F427A3" w:rsidRDefault="00F427A3">
            <w:pPr>
              <w:textAlignment w:val="bottom"/>
              <w:rPr>
                <w:rFonts w:ascii="Times New Roman" w:hAnsi="Times New Roman"/>
                <w:sz w:val="20"/>
                <w:szCs w:val="20"/>
              </w:rPr>
            </w:pPr>
          </w:p>
        </w:tc>
      </w:tr>
    </w:tbl>
    <w:p w14:paraId="54E8FF55" w14:textId="77777777" w:rsidR="00F427A3" w:rsidRDefault="0044221F">
      <w:pPr>
        <w:spacing w:line="288" w:lineRule="auto"/>
        <w:jc w:val="center"/>
        <w:rPr>
          <w:rFonts w:ascii="Times New Roman" w:hAnsi="Times New Roman"/>
          <w:sz w:val="18"/>
          <w:szCs w:val="18"/>
        </w:rPr>
      </w:pPr>
      <w:r>
        <w:rPr>
          <w:rFonts w:ascii="Times New Roman" w:eastAsia="宋体" w:hAnsi="Times New Roman"/>
          <w:i/>
          <w:iCs/>
          <w:sz w:val="18"/>
          <w:szCs w:val="18"/>
        </w:rPr>
        <w:t>See Accompanying Notes to Condensed Consolidated Financial Statements.</w:t>
      </w:r>
    </w:p>
    <w:p w14:paraId="54E8FF56" w14:textId="77777777" w:rsidR="00F427A3" w:rsidRDefault="00F427A3">
      <w:pPr>
        <w:rPr>
          <w:rFonts w:ascii="Times New Roman" w:hAnsi="Times New Roman"/>
          <w:sz w:val="20"/>
          <w:szCs w:val="20"/>
        </w:rPr>
      </w:pPr>
    </w:p>
    <w:p w14:paraId="54E8FF57"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9</w:t>
      </w:r>
    </w:p>
    <w:p w14:paraId="54E8FF58" w14:textId="77777777" w:rsidR="00F427A3" w:rsidRDefault="0044221F">
      <w:r>
        <w:rPr>
          <w:rFonts w:ascii="Times New Roman" w:hAnsi="Times New Roman"/>
          <w:sz w:val="20"/>
          <w:szCs w:val="20"/>
        </w:rPr>
        <w:pict w14:anchorId="54E91C29">
          <v:rect id="_x0000_i1033" style="width:415.3pt;height:1.5pt" o:hralign="center" o:hrstd="t" o:hr="t" fillcolor="#a0a0a0" stroked="f"/>
        </w:pict>
      </w:r>
    </w:p>
    <w:p w14:paraId="54E8FF59" w14:textId="77777777" w:rsidR="00F427A3" w:rsidRDefault="0044221F">
      <w:pPr>
        <w:spacing w:line="288" w:lineRule="auto"/>
        <w:rPr>
          <w:rFonts w:ascii="Times New Roman" w:hAnsi="Times New Roman"/>
          <w:sz w:val="20"/>
          <w:szCs w:val="20"/>
        </w:rPr>
      </w:pPr>
      <w:hyperlink r:id="rId51" w:anchor="s348EA962CF6D59B599D9921AFA89C381" w:history="1">
        <w:r>
          <w:rPr>
            <w:rStyle w:val="a5"/>
            <w:rFonts w:ascii="Times New Roman" w:eastAsia="宋体" w:hAnsi="Times New Roman"/>
            <w:sz w:val="20"/>
            <w:szCs w:val="20"/>
          </w:rPr>
          <w:t>Table of Contents</w:t>
        </w:r>
      </w:hyperlink>
    </w:p>
    <w:p w14:paraId="54E8FF5A" w14:textId="77777777" w:rsidR="00F427A3" w:rsidRDefault="00F427A3">
      <w:pPr>
        <w:rPr>
          <w:rFonts w:ascii="Times New Roman" w:hAnsi="Times New Roman"/>
          <w:sz w:val="20"/>
          <w:szCs w:val="20"/>
        </w:rPr>
      </w:pPr>
    </w:p>
    <w:p w14:paraId="54E8FF5B"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54E8FF5C"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STOCKHOLDERS' EQUITY</w:t>
      </w:r>
    </w:p>
    <w:p w14:paraId="54E8FF5D" w14:textId="77777777" w:rsidR="00F427A3" w:rsidRDefault="0044221F">
      <w:pPr>
        <w:spacing w:line="288" w:lineRule="auto"/>
        <w:jc w:val="center"/>
        <w:rPr>
          <w:rFonts w:ascii="Times New Roman" w:hAnsi="Times New Roman"/>
          <w:sz w:val="18"/>
          <w:szCs w:val="18"/>
        </w:rPr>
      </w:pPr>
      <w:r>
        <w:rPr>
          <w:rFonts w:ascii="Times New Roman" w:eastAsia="宋体" w:hAnsi="Times New Roman"/>
          <w:i/>
          <w:iCs/>
          <w:sz w:val="18"/>
          <w:szCs w:val="18"/>
        </w:rPr>
        <w:t>(In million</w:t>
      </w:r>
      <w:r>
        <w:rPr>
          <w:rFonts w:ascii="Times New Roman" w:eastAsia="宋体" w:hAnsi="Times New Roman"/>
          <w:i/>
          <w:iCs/>
          <w:sz w:val="18"/>
          <w:szCs w:val="18"/>
        </w:rPr>
        <w:t>s)</w:t>
      </w:r>
    </w:p>
    <w:p w14:paraId="54E8FF5E" w14:textId="77777777" w:rsidR="00F427A3" w:rsidRDefault="0044221F">
      <w:pPr>
        <w:spacing w:line="288" w:lineRule="auto"/>
        <w:jc w:val="center"/>
        <w:rPr>
          <w:rFonts w:ascii="Times New Roman" w:hAnsi="Times New Roman"/>
          <w:sz w:val="18"/>
          <w:szCs w:val="18"/>
        </w:rPr>
      </w:pPr>
      <w:r>
        <w:rPr>
          <w:rFonts w:ascii="Times New Roman" w:eastAsia="宋体" w:hAnsi="Times New Roman"/>
          <w:i/>
          <w:iCs/>
          <w:sz w:val="18"/>
          <w:szCs w:val="18"/>
        </w:rPr>
        <w:t>(Unaudited)</w:t>
      </w:r>
      <w:r>
        <w:rPr>
          <w:rFonts w:ascii="Times New Roman" w:eastAsia="宋体" w:hAnsi="Times New Roman"/>
          <w:sz w:val="18"/>
          <w:szCs w:val="18"/>
        </w:rPr>
        <w:t> </w:t>
      </w:r>
    </w:p>
    <w:tbl>
      <w:tblPr>
        <w:tblW w:w="4985" w:type="pct"/>
        <w:jc w:val="center"/>
        <w:tblCellMar>
          <w:left w:w="0" w:type="dxa"/>
          <w:right w:w="0" w:type="dxa"/>
        </w:tblCellMar>
        <w:tblLook w:val="04A0" w:firstRow="1" w:lastRow="0" w:firstColumn="1" w:lastColumn="0" w:noHBand="0" w:noVBand="1"/>
      </w:tblPr>
      <w:tblGrid>
        <w:gridCol w:w="746"/>
        <w:gridCol w:w="303"/>
        <w:gridCol w:w="82"/>
        <w:gridCol w:w="110"/>
        <w:gridCol w:w="110"/>
        <w:gridCol w:w="146"/>
        <w:gridCol w:w="73"/>
        <w:gridCol w:w="111"/>
        <w:gridCol w:w="114"/>
        <w:gridCol w:w="331"/>
        <w:gridCol w:w="98"/>
        <w:gridCol w:w="111"/>
        <w:gridCol w:w="111"/>
        <w:gridCol w:w="546"/>
        <w:gridCol w:w="93"/>
        <w:gridCol w:w="111"/>
        <w:gridCol w:w="111"/>
        <w:gridCol w:w="303"/>
        <w:gridCol w:w="77"/>
        <w:gridCol w:w="111"/>
        <w:gridCol w:w="111"/>
        <w:gridCol w:w="466"/>
        <w:gridCol w:w="93"/>
        <w:gridCol w:w="111"/>
        <w:gridCol w:w="304"/>
        <w:gridCol w:w="83"/>
        <w:gridCol w:w="111"/>
        <w:gridCol w:w="111"/>
        <w:gridCol w:w="147"/>
        <w:gridCol w:w="73"/>
        <w:gridCol w:w="111"/>
        <w:gridCol w:w="114"/>
        <w:gridCol w:w="331"/>
        <w:gridCol w:w="98"/>
        <w:gridCol w:w="111"/>
        <w:gridCol w:w="111"/>
        <w:gridCol w:w="546"/>
        <w:gridCol w:w="93"/>
        <w:gridCol w:w="111"/>
        <w:gridCol w:w="111"/>
        <w:gridCol w:w="303"/>
        <w:gridCol w:w="77"/>
        <w:gridCol w:w="111"/>
        <w:gridCol w:w="111"/>
        <w:gridCol w:w="466"/>
        <w:gridCol w:w="93"/>
      </w:tblGrid>
      <w:tr w:rsidR="00F427A3" w14:paraId="54E8FF60" w14:textId="77777777">
        <w:trPr>
          <w:jc w:val="center"/>
        </w:trPr>
        <w:tc>
          <w:tcPr>
            <w:tcW w:w="0" w:type="auto"/>
            <w:gridSpan w:val="46"/>
            <w:shd w:val="clear" w:color="auto" w:fill="auto"/>
            <w:vAlign w:val="center"/>
          </w:tcPr>
          <w:p w14:paraId="54E8FF5F" w14:textId="77777777" w:rsidR="00F427A3" w:rsidRDefault="00F427A3">
            <w:pPr>
              <w:rPr>
                <w:rFonts w:ascii="Times New Roman" w:hAnsi="Times New Roman"/>
                <w:sz w:val="20"/>
                <w:szCs w:val="20"/>
              </w:rPr>
            </w:pPr>
          </w:p>
        </w:tc>
      </w:tr>
      <w:tr w:rsidR="00F427A3" w14:paraId="54E8FF8F" w14:textId="77777777">
        <w:trPr>
          <w:jc w:val="center"/>
        </w:trPr>
        <w:tc>
          <w:tcPr>
            <w:tcW w:w="650" w:type="pct"/>
            <w:shd w:val="clear" w:color="auto" w:fill="auto"/>
            <w:vAlign w:val="center"/>
          </w:tcPr>
          <w:p w14:paraId="54E8FF61" w14:textId="77777777" w:rsidR="00F427A3" w:rsidRDefault="00F427A3">
            <w:pPr>
              <w:rPr>
                <w:rFonts w:ascii="Times New Roman" w:hAnsi="Times New Roman"/>
                <w:sz w:val="20"/>
                <w:szCs w:val="20"/>
              </w:rPr>
            </w:pPr>
          </w:p>
        </w:tc>
        <w:tc>
          <w:tcPr>
            <w:tcW w:w="200" w:type="pct"/>
            <w:shd w:val="clear" w:color="auto" w:fill="auto"/>
            <w:vAlign w:val="center"/>
          </w:tcPr>
          <w:p w14:paraId="54E8FF62" w14:textId="77777777" w:rsidR="00F427A3" w:rsidRDefault="00F427A3">
            <w:pPr>
              <w:rPr>
                <w:rFonts w:ascii="Times New Roman" w:hAnsi="Times New Roman"/>
                <w:sz w:val="20"/>
                <w:szCs w:val="20"/>
              </w:rPr>
            </w:pPr>
          </w:p>
        </w:tc>
        <w:tc>
          <w:tcPr>
            <w:tcW w:w="50" w:type="pct"/>
            <w:shd w:val="clear" w:color="auto" w:fill="auto"/>
            <w:vAlign w:val="center"/>
          </w:tcPr>
          <w:p w14:paraId="54E8FF63" w14:textId="77777777" w:rsidR="00F427A3" w:rsidRDefault="00F427A3">
            <w:pPr>
              <w:rPr>
                <w:rFonts w:ascii="Times New Roman" w:hAnsi="Times New Roman"/>
                <w:sz w:val="20"/>
                <w:szCs w:val="20"/>
              </w:rPr>
            </w:pPr>
          </w:p>
        </w:tc>
        <w:tc>
          <w:tcPr>
            <w:tcW w:w="50" w:type="pct"/>
            <w:shd w:val="clear" w:color="auto" w:fill="auto"/>
            <w:vAlign w:val="center"/>
          </w:tcPr>
          <w:p w14:paraId="54E8FF64" w14:textId="77777777" w:rsidR="00F427A3" w:rsidRDefault="00F427A3">
            <w:pPr>
              <w:rPr>
                <w:rFonts w:ascii="Times New Roman" w:hAnsi="Times New Roman"/>
                <w:sz w:val="20"/>
                <w:szCs w:val="20"/>
              </w:rPr>
            </w:pPr>
          </w:p>
        </w:tc>
        <w:tc>
          <w:tcPr>
            <w:tcW w:w="50" w:type="pct"/>
            <w:shd w:val="clear" w:color="auto" w:fill="auto"/>
            <w:vAlign w:val="center"/>
          </w:tcPr>
          <w:p w14:paraId="54E8FF65" w14:textId="77777777" w:rsidR="00F427A3" w:rsidRDefault="00F427A3">
            <w:pPr>
              <w:rPr>
                <w:rFonts w:ascii="Times New Roman" w:hAnsi="Times New Roman"/>
                <w:sz w:val="20"/>
                <w:szCs w:val="20"/>
              </w:rPr>
            </w:pPr>
          </w:p>
        </w:tc>
        <w:tc>
          <w:tcPr>
            <w:tcW w:w="100" w:type="pct"/>
            <w:shd w:val="clear" w:color="auto" w:fill="auto"/>
            <w:vAlign w:val="center"/>
          </w:tcPr>
          <w:p w14:paraId="54E8FF66" w14:textId="77777777" w:rsidR="00F427A3" w:rsidRDefault="00F427A3">
            <w:pPr>
              <w:rPr>
                <w:rFonts w:ascii="Times New Roman" w:hAnsi="Times New Roman"/>
                <w:sz w:val="20"/>
                <w:szCs w:val="20"/>
              </w:rPr>
            </w:pPr>
          </w:p>
        </w:tc>
        <w:tc>
          <w:tcPr>
            <w:tcW w:w="50" w:type="pct"/>
            <w:shd w:val="clear" w:color="auto" w:fill="auto"/>
            <w:vAlign w:val="center"/>
          </w:tcPr>
          <w:p w14:paraId="54E8FF67" w14:textId="77777777" w:rsidR="00F427A3" w:rsidRDefault="00F427A3">
            <w:pPr>
              <w:rPr>
                <w:rFonts w:ascii="Times New Roman" w:hAnsi="Times New Roman"/>
                <w:sz w:val="20"/>
                <w:szCs w:val="20"/>
              </w:rPr>
            </w:pPr>
          </w:p>
        </w:tc>
        <w:tc>
          <w:tcPr>
            <w:tcW w:w="50" w:type="pct"/>
            <w:shd w:val="clear" w:color="auto" w:fill="auto"/>
            <w:vAlign w:val="center"/>
          </w:tcPr>
          <w:p w14:paraId="54E8FF68" w14:textId="77777777" w:rsidR="00F427A3" w:rsidRDefault="00F427A3">
            <w:pPr>
              <w:rPr>
                <w:rFonts w:ascii="Times New Roman" w:hAnsi="Times New Roman"/>
                <w:sz w:val="20"/>
                <w:szCs w:val="20"/>
              </w:rPr>
            </w:pPr>
          </w:p>
        </w:tc>
        <w:tc>
          <w:tcPr>
            <w:tcW w:w="50" w:type="pct"/>
            <w:shd w:val="clear" w:color="auto" w:fill="auto"/>
            <w:vAlign w:val="center"/>
          </w:tcPr>
          <w:p w14:paraId="54E8FF69" w14:textId="77777777" w:rsidR="00F427A3" w:rsidRDefault="00F427A3">
            <w:pPr>
              <w:rPr>
                <w:rFonts w:ascii="Times New Roman" w:hAnsi="Times New Roman"/>
                <w:sz w:val="20"/>
                <w:szCs w:val="20"/>
              </w:rPr>
            </w:pPr>
          </w:p>
        </w:tc>
        <w:tc>
          <w:tcPr>
            <w:tcW w:w="200" w:type="pct"/>
            <w:shd w:val="clear" w:color="auto" w:fill="auto"/>
            <w:vAlign w:val="center"/>
          </w:tcPr>
          <w:p w14:paraId="54E8FF6A" w14:textId="77777777" w:rsidR="00F427A3" w:rsidRDefault="00F427A3">
            <w:pPr>
              <w:rPr>
                <w:rFonts w:ascii="Times New Roman" w:hAnsi="Times New Roman"/>
                <w:sz w:val="20"/>
                <w:szCs w:val="20"/>
              </w:rPr>
            </w:pPr>
          </w:p>
        </w:tc>
        <w:tc>
          <w:tcPr>
            <w:tcW w:w="50" w:type="pct"/>
            <w:shd w:val="clear" w:color="auto" w:fill="auto"/>
            <w:vAlign w:val="center"/>
          </w:tcPr>
          <w:p w14:paraId="54E8FF6B" w14:textId="77777777" w:rsidR="00F427A3" w:rsidRDefault="00F427A3">
            <w:pPr>
              <w:rPr>
                <w:rFonts w:ascii="Times New Roman" w:hAnsi="Times New Roman"/>
                <w:sz w:val="20"/>
                <w:szCs w:val="20"/>
              </w:rPr>
            </w:pPr>
          </w:p>
        </w:tc>
        <w:tc>
          <w:tcPr>
            <w:tcW w:w="50" w:type="pct"/>
            <w:shd w:val="clear" w:color="auto" w:fill="auto"/>
            <w:vAlign w:val="center"/>
          </w:tcPr>
          <w:p w14:paraId="54E8FF6C" w14:textId="77777777" w:rsidR="00F427A3" w:rsidRDefault="00F427A3">
            <w:pPr>
              <w:rPr>
                <w:rFonts w:ascii="Times New Roman" w:hAnsi="Times New Roman"/>
                <w:sz w:val="20"/>
                <w:szCs w:val="20"/>
              </w:rPr>
            </w:pPr>
          </w:p>
        </w:tc>
        <w:tc>
          <w:tcPr>
            <w:tcW w:w="50" w:type="pct"/>
            <w:shd w:val="clear" w:color="auto" w:fill="auto"/>
            <w:vAlign w:val="center"/>
          </w:tcPr>
          <w:p w14:paraId="54E8FF6D" w14:textId="77777777" w:rsidR="00F427A3" w:rsidRDefault="00F427A3">
            <w:pPr>
              <w:rPr>
                <w:rFonts w:ascii="Times New Roman" w:hAnsi="Times New Roman"/>
                <w:sz w:val="20"/>
                <w:szCs w:val="20"/>
              </w:rPr>
            </w:pPr>
          </w:p>
        </w:tc>
        <w:tc>
          <w:tcPr>
            <w:tcW w:w="350" w:type="pct"/>
            <w:shd w:val="clear" w:color="auto" w:fill="auto"/>
            <w:vAlign w:val="center"/>
          </w:tcPr>
          <w:p w14:paraId="54E8FF6E" w14:textId="77777777" w:rsidR="00F427A3" w:rsidRDefault="00F427A3">
            <w:pPr>
              <w:rPr>
                <w:rFonts w:ascii="Times New Roman" w:hAnsi="Times New Roman"/>
                <w:sz w:val="20"/>
                <w:szCs w:val="20"/>
              </w:rPr>
            </w:pPr>
          </w:p>
        </w:tc>
        <w:tc>
          <w:tcPr>
            <w:tcW w:w="50" w:type="pct"/>
            <w:shd w:val="clear" w:color="auto" w:fill="auto"/>
            <w:vAlign w:val="center"/>
          </w:tcPr>
          <w:p w14:paraId="54E8FF6F" w14:textId="77777777" w:rsidR="00F427A3" w:rsidRDefault="00F427A3">
            <w:pPr>
              <w:rPr>
                <w:rFonts w:ascii="Times New Roman" w:hAnsi="Times New Roman"/>
                <w:sz w:val="20"/>
                <w:szCs w:val="20"/>
              </w:rPr>
            </w:pPr>
          </w:p>
        </w:tc>
        <w:tc>
          <w:tcPr>
            <w:tcW w:w="50" w:type="pct"/>
            <w:shd w:val="clear" w:color="auto" w:fill="auto"/>
            <w:vAlign w:val="center"/>
          </w:tcPr>
          <w:p w14:paraId="54E8FF70" w14:textId="77777777" w:rsidR="00F427A3" w:rsidRDefault="00F427A3">
            <w:pPr>
              <w:rPr>
                <w:rFonts w:ascii="Times New Roman" w:hAnsi="Times New Roman"/>
                <w:sz w:val="20"/>
                <w:szCs w:val="20"/>
              </w:rPr>
            </w:pPr>
          </w:p>
        </w:tc>
        <w:tc>
          <w:tcPr>
            <w:tcW w:w="50" w:type="pct"/>
            <w:shd w:val="clear" w:color="auto" w:fill="auto"/>
            <w:vAlign w:val="center"/>
          </w:tcPr>
          <w:p w14:paraId="54E8FF71" w14:textId="77777777" w:rsidR="00F427A3" w:rsidRDefault="00F427A3">
            <w:pPr>
              <w:rPr>
                <w:rFonts w:ascii="Times New Roman" w:hAnsi="Times New Roman"/>
                <w:sz w:val="20"/>
                <w:szCs w:val="20"/>
              </w:rPr>
            </w:pPr>
          </w:p>
        </w:tc>
        <w:tc>
          <w:tcPr>
            <w:tcW w:w="200" w:type="pct"/>
            <w:shd w:val="clear" w:color="auto" w:fill="auto"/>
            <w:vAlign w:val="center"/>
          </w:tcPr>
          <w:p w14:paraId="54E8FF72" w14:textId="77777777" w:rsidR="00F427A3" w:rsidRDefault="00F427A3">
            <w:pPr>
              <w:rPr>
                <w:rFonts w:ascii="Times New Roman" w:hAnsi="Times New Roman"/>
                <w:sz w:val="20"/>
                <w:szCs w:val="20"/>
              </w:rPr>
            </w:pPr>
          </w:p>
        </w:tc>
        <w:tc>
          <w:tcPr>
            <w:tcW w:w="50" w:type="pct"/>
            <w:shd w:val="clear" w:color="auto" w:fill="auto"/>
            <w:vAlign w:val="center"/>
          </w:tcPr>
          <w:p w14:paraId="54E8FF73" w14:textId="77777777" w:rsidR="00F427A3" w:rsidRDefault="00F427A3">
            <w:pPr>
              <w:rPr>
                <w:rFonts w:ascii="Times New Roman" w:hAnsi="Times New Roman"/>
                <w:sz w:val="20"/>
                <w:szCs w:val="20"/>
              </w:rPr>
            </w:pPr>
          </w:p>
        </w:tc>
        <w:tc>
          <w:tcPr>
            <w:tcW w:w="50" w:type="pct"/>
            <w:shd w:val="clear" w:color="auto" w:fill="auto"/>
            <w:vAlign w:val="center"/>
          </w:tcPr>
          <w:p w14:paraId="54E8FF74" w14:textId="77777777" w:rsidR="00F427A3" w:rsidRDefault="00F427A3">
            <w:pPr>
              <w:rPr>
                <w:rFonts w:ascii="Times New Roman" w:hAnsi="Times New Roman"/>
                <w:sz w:val="20"/>
                <w:szCs w:val="20"/>
              </w:rPr>
            </w:pPr>
          </w:p>
        </w:tc>
        <w:tc>
          <w:tcPr>
            <w:tcW w:w="50" w:type="pct"/>
            <w:shd w:val="clear" w:color="auto" w:fill="auto"/>
            <w:vAlign w:val="center"/>
          </w:tcPr>
          <w:p w14:paraId="54E8FF75" w14:textId="77777777" w:rsidR="00F427A3" w:rsidRDefault="00F427A3">
            <w:pPr>
              <w:rPr>
                <w:rFonts w:ascii="Times New Roman" w:hAnsi="Times New Roman"/>
                <w:sz w:val="20"/>
                <w:szCs w:val="20"/>
              </w:rPr>
            </w:pPr>
          </w:p>
        </w:tc>
        <w:tc>
          <w:tcPr>
            <w:tcW w:w="300" w:type="pct"/>
            <w:shd w:val="clear" w:color="auto" w:fill="auto"/>
            <w:vAlign w:val="center"/>
          </w:tcPr>
          <w:p w14:paraId="54E8FF76" w14:textId="77777777" w:rsidR="00F427A3" w:rsidRDefault="00F427A3">
            <w:pPr>
              <w:rPr>
                <w:rFonts w:ascii="Times New Roman" w:hAnsi="Times New Roman"/>
                <w:sz w:val="20"/>
                <w:szCs w:val="20"/>
              </w:rPr>
            </w:pPr>
          </w:p>
        </w:tc>
        <w:tc>
          <w:tcPr>
            <w:tcW w:w="50" w:type="pct"/>
            <w:shd w:val="clear" w:color="auto" w:fill="auto"/>
            <w:vAlign w:val="center"/>
          </w:tcPr>
          <w:p w14:paraId="54E8FF77" w14:textId="77777777" w:rsidR="00F427A3" w:rsidRDefault="00F427A3">
            <w:pPr>
              <w:rPr>
                <w:rFonts w:ascii="Times New Roman" w:hAnsi="Times New Roman"/>
                <w:sz w:val="20"/>
                <w:szCs w:val="20"/>
              </w:rPr>
            </w:pPr>
          </w:p>
        </w:tc>
        <w:tc>
          <w:tcPr>
            <w:tcW w:w="50" w:type="pct"/>
            <w:shd w:val="clear" w:color="auto" w:fill="auto"/>
            <w:vAlign w:val="center"/>
          </w:tcPr>
          <w:p w14:paraId="54E8FF78" w14:textId="77777777" w:rsidR="00F427A3" w:rsidRDefault="00F427A3">
            <w:pPr>
              <w:rPr>
                <w:rFonts w:ascii="Times New Roman" w:hAnsi="Times New Roman"/>
                <w:sz w:val="20"/>
                <w:szCs w:val="20"/>
              </w:rPr>
            </w:pPr>
          </w:p>
        </w:tc>
        <w:tc>
          <w:tcPr>
            <w:tcW w:w="200" w:type="pct"/>
            <w:shd w:val="clear" w:color="auto" w:fill="auto"/>
            <w:vAlign w:val="center"/>
          </w:tcPr>
          <w:p w14:paraId="54E8FF79" w14:textId="77777777" w:rsidR="00F427A3" w:rsidRDefault="00F427A3">
            <w:pPr>
              <w:rPr>
                <w:rFonts w:ascii="Times New Roman" w:hAnsi="Times New Roman"/>
                <w:sz w:val="20"/>
                <w:szCs w:val="20"/>
              </w:rPr>
            </w:pPr>
          </w:p>
        </w:tc>
        <w:tc>
          <w:tcPr>
            <w:tcW w:w="50" w:type="pct"/>
            <w:shd w:val="clear" w:color="auto" w:fill="auto"/>
            <w:vAlign w:val="center"/>
          </w:tcPr>
          <w:p w14:paraId="54E8FF7A" w14:textId="77777777" w:rsidR="00F427A3" w:rsidRDefault="00F427A3">
            <w:pPr>
              <w:rPr>
                <w:rFonts w:ascii="Times New Roman" w:hAnsi="Times New Roman"/>
                <w:sz w:val="20"/>
                <w:szCs w:val="20"/>
              </w:rPr>
            </w:pPr>
          </w:p>
        </w:tc>
        <w:tc>
          <w:tcPr>
            <w:tcW w:w="50" w:type="pct"/>
            <w:shd w:val="clear" w:color="auto" w:fill="auto"/>
            <w:vAlign w:val="center"/>
          </w:tcPr>
          <w:p w14:paraId="54E8FF7B" w14:textId="77777777" w:rsidR="00F427A3" w:rsidRDefault="00F427A3">
            <w:pPr>
              <w:rPr>
                <w:rFonts w:ascii="Times New Roman" w:hAnsi="Times New Roman"/>
                <w:sz w:val="20"/>
                <w:szCs w:val="20"/>
              </w:rPr>
            </w:pPr>
          </w:p>
        </w:tc>
        <w:tc>
          <w:tcPr>
            <w:tcW w:w="50" w:type="pct"/>
            <w:shd w:val="clear" w:color="auto" w:fill="auto"/>
            <w:vAlign w:val="center"/>
          </w:tcPr>
          <w:p w14:paraId="54E8FF7C" w14:textId="77777777" w:rsidR="00F427A3" w:rsidRDefault="00F427A3">
            <w:pPr>
              <w:rPr>
                <w:rFonts w:ascii="Times New Roman" w:hAnsi="Times New Roman"/>
                <w:sz w:val="20"/>
                <w:szCs w:val="20"/>
              </w:rPr>
            </w:pPr>
          </w:p>
        </w:tc>
        <w:tc>
          <w:tcPr>
            <w:tcW w:w="100" w:type="pct"/>
            <w:shd w:val="clear" w:color="auto" w:fill="auto"/>
            <w:vAlign w:val="center"/>
          </w:tcPr>
          <w:p w14:paraId="54E8FF7D" w14:textId="77777777" w:rsidR="00F427A3" w:rsidRDefault="00F427A3">
            <w:pPr>
              <w:rPr>
                <w:rFonts w:ascii="Times New Roman" w:hAnsi="Times New Roman"/>
                <w:sz w:val="20"/>
                <w:szCs w:val="20"/>
              </w:rPr>
            </w:pPr>
          </w:p>
        </w:tc>
        <w:tc>
          <w:tcPr>
            <w:tcW w:w="50" w:type="pct"/>
            <w:shd w:val="clear" w:color="auto" w:fill="auto"/>
            <w:vAlign w:val="center"/>
          </w:tcPr>
          <w:p w14:paraId="54E8FF7E" w14:textId="77777777" w:rsidR="00F427A3" w:rsidRDefault="00F427A3">
            <w:pPr>
              <w:rPr>
                <w:rFonts w:ascii="Times New Roman" w:hAnsi="Times New Roman"/>
                <w:sz w:val="20"/>
                <w:szCs w:val="20"/>
              </w:rPr>
            </w:pPr>
          </w:p>
        </w:tc>
        <w:tc>
          <w:tcPr>
            <w:tcW w:w="50" w:type="pct"/>
            <w:shd w:val="clear" w:color="auto" w:fill="auto"/>
            <w:vAlign w:val="center"/>
          </w:tcPr>
          <w:p w14:paraId="54E8FF7F" w14:textId="77777777" w:rsidR="00F427A3" w:rsidRDefault="00F427A3">
            <w:pPr>
              <w:rPr>
                <w:rFonts w:ascii="Times New Roman" w:hAnsi="Times New Roman"/>
                <w:sz w:val="20"/>
                <w:szCs w:val="20"/>
              </w:rPr>
            </w:pPr>
          </w:p>
        </w:tc>
        <w:tc>
          <w:tcPr>
            <w:tcW w:w="50" w:type="pct"/>
            <w:shd w:val="clear" w:color="auto" w:fill="auto"/>
            <w:vAlign w:val="center"/>
          </w:tcPr>
          <w:p w14:paraId="54E8FF80" w14:textId="77777777" w:rsidR="00F427A3" w:rsidRDefault="00F427A3">
            <w:pPr>
              <w:rPr>
                <w:rFonts w:ascii="Times New Roman" w:hAnsi="Times New Roman"/>
                <w:sz w:val="20"/>
                <w:szCs w:val="20"/>
              </w:rPr>
            </w:pPr>
          </w:p>
        </w:tc>
        <w:tc>
          <w:tcPr>
            <w:tcW w:w="200" w:type="pct"/>
            <w:shd w:val="clear" w:color="auto" w:fill="auto"/>
            <w:vAlign w:val="center"/>
          </w:tcPr>
          <w:p w14:paraId="54E8FF81" w14:textId="77777777" w:rsidR="00F427A3" w:rsidRDefault="00F427A3">
            <w:pPr>
              <w:rPr>
                <w:rFonts w:ascii="Times New Roman" w:hAnsi="Times New Roman"/>
                <w:sz w:val="20"/>
                <w:szCs w:val="20"/>
              </w:rPr>
            </w:pPr>
          </w:p>
        </w:tc>
        <w:tc>
          <w:tcPr>
            <w:tcW w:w="50" w:type="pct"/>
            <w:shd w:val="clear" w:color="auto" w:fill="auto"/>
            <w:vAlign w:val="center"/>
          </w:tcPr>
          <w:p w14:paraId="54E8FF82" w14:textId="77777777" w:rsidR="00F427A3" w:rsidRDefault="00F427A3">
            <w:pPr>
              <w:rPr>
                <w:rFonts w:ascii="Times New Roman" w:hAnsi="Times New Roman"/>
                <w:sz w:val="20"/>
                <w:szCs w:val="20"/>
              </w:rPr>
            </w:pPr>
          </w:p>
        </w:tc>
        <w:tc>
          <w:tcPr>
            <w:tcW w:w="50" w:type="pct"/>
            <w:shd w:val="clear" w:color="auto" w:fill="auto"/>
            <w:vAlign w:val="center"/>
          </w:tcPr>
          <w:p w14:paraId="54E8FF83" w14:textId="77777777" w:rsidR="00F427A3" w:rsidRDefault="00F427A3">
            <w:pPr>
              <w:rPr>
                <w:rFonts w:ascii="Times New Roman" w:hAnsi="Times New Roman"/>
                <w:sz w:val="20"/>
                <w:szCs w:val="20"/>
              </w:rPr>
            </w:pPr>
          </w:p>
        </w:tc>
        <w:tc>
          <w:tcPr>
            <w:tcW w:w="50" w:type="pct"/>
            <w:shd w:val="clear" w:color="auto" w:fill="auto"/>
            <w:vAlign w:val="center"/>
          </w:tcPr>
          <w:p w14:paraId="54E8FF84" w14:textId="77777777" w:rsidR="00F427A3" w:rsidRDefault="00F427A3">
            <w:pPr>
              <w:rPr>
                <w:rFonts w:ascii="Times New Roman" w:hAnsi="Times New Roman"/>
                <w:sz w:val="20"/>
                <w:szCs w:val="20"/>
              </w:rPr>
            </w:pPr>
          </w:p>
        </w:tc>
        <w:tc>
          <w:tcPr>
            <w:tcW w:w="350" w:type="pct"/>
            <w:shd w:val="clear" w:color="auto" w:fill="auto"/>
            <w:vAlign w:val="center"/>
          </w:tcPr>
          <w:p w14:paraId="54E8FF85" w14:textId="77777777" w:rsidR="00F427A3" w:rsidRDefault="00F427A3">
            <w:pPr>
              <w:rPr>
                <w:rFonts w:ascii="Times New Roman" w:hAnsi="Times New Roman"/>
                <w:sz w:val="20"/>
                <w:szCs w:val="20"/>
              </w:rPr>
            </w:pPr>
          </w:p>
        </w:tc>
        <w:tc>
          <w:tcPr>
            <w:tcW w:w="50" w:type="pct"/>
            <w:shd w:val="clear" w:color="auto" w:fill="auto"/>
            <w:vAlign w:val="center"/>
          </w:tcPr>
          <w:p w14:paraId="54E8FF86" w14:textId="77777777" w:rsidR="00F427A3" w:rsidRDefault="00F427A3">
            <w:pPr>
              <w:rPr>
                <w:rFonts w:ascii="Times New Roman" w:hAnsi="Times New Roman"/>
                <w:sz w:val="20"/>
                <w:szCs w:val="20"/>
              </w:rPr>
            </w:pPr>
          </w:p>
        </w:tc>
        <w:tc>
          <w:tcPr>
            <w:tcW w:w="50" w:type="pct"/>
            <w:shd w:val="clear" w:color="auto" w:fill="auto"/>
            <w:vAlign w:val="center"/>
          </w:tcPr>
          <w:p w14:paraId="54E8FF87" w14:textId="77777777" w:rsidR="00F427A3" w:rsidRDefault="00F427A3">
            <w:pPr>
              <w:rPr>
                <w:rFonts w:ascii="Times New Roman" w:hAnsi="Times New Roman"/>
                <w:sz w:val="20"/>
                <w:szCs w:val="20"/>
              </w:rPr>
            </w:pPr>
          </w:p>
        </w:tc>
        <w:tc>
          <w:tcPr>
            <w:tcW w:w="50" w:type="pct"/>
            <w:shd w:val="clear" w:color="auto" w:fill="auto"/>
            <w:vAlign w:val="center"/>
          </w:tcPr>
          <w:p w14:paraId="54E8FF88" w14:textId="77777777" w:rsidR="00F427A3" w:rsidRDefault="00F427A3">
            <w:pPr>
              <w:rPr>
                <w:rFonts w:ascii="Times New Roman" w:hAnsi="Times New Roman"/>
                <w:sz w:val="20"/>
                <w:szCs w:val="20"/>
              </w:rPr>
            </w:pPr>
          </w:p>
        </w:tc>
        <w:tc>
          <w:tcPr>
            <w:tcW w:w="200" w:type="pct"/>
            <w:shd w:val="clear" w:color="auto" w:fill="auto"/>
            <w:vAlign w:val="center"/>
          </w:tcPr>
          <w:p w14:paraId="54E8FF89" w14:textId="77777777" w:rsidR="00F427A3" w:rsidRDefault="00F427A3">
            <w:pPr>
              <w:rPr>
                <w:rFonts w:ascii="Times New Roman" w:hAnsi="Times New Roman"/>
                <w:sz w:val="20"/>
                <w:szCs w:val="20"/>
              </w:rPr>
            </w:pPr>
          </w:p>
        </w:tc>
        <w:tc>
          <w:tcPr>
            <w:tcW w:w="50" w:type="pct"/>
            <w:shd w:val="clear" w:color="auto" w:fill="auto"/>
            <w:vAlign w:val="center"/>
          </w:tcPr>
          <w:p w14:paraId="54E8FF8A" w14:textId="77777777" w:rsidR="00F427A3" w:rsidRDefault="00F427A3">
            <w:pPr>
              <w:rPr>
                <w:rFonts w:ascii="Times New Roman" w:hAnsi="Times New Roman"/>
                <w:sz w:val="20"/>
                <w:szCs w:val="20"/>
              </w:rPr>
            </w:pPr>
          </w:p>
        </w:tc>
        <w:tc>
          <w:tcPr>
            <w:tcW w:w="50" w:type="pct"/>
            <w:shd w:val="clear" w:color="auto" w:fill="auto"/>
            <w:vAlign w:val="center"/>
          </w:tcPr>
          <w:p w14:paraId="54E8FF8B" w14:textId="77777777" w:rsidR="00F427A3" w:rsidRDefault="00F427A3">
            <w:pPr>
              <w:rPr>
                <w:rFonts w:ascii="Times New Roman" w:hAnsi="Times New Roman"/>
                <w:sz w:val="20"/>
                <w:szCs w:val="20"/>
              </w:rPr>
            </w:pPr>
          </w:p>
        </w:tc>
        <w:tc>
          <w:tcPr>
            <w:tcW w:w="50" w:type="pct"/>
            <w:shd w:val="clear" w:color="auto" w:fill="auto"/>
            <w:vAlign w:val="center"/>
          </w:tcPr>
          <w:p w14:paraId="54E8FF8C" w14:textId="77777777" w:rsidR="00F427A3" w:rsidRDefault="00F427A3">
            <w:pPr>
              <w:rPr>
                <w:rFonts w:ascii="Times New Roman" w:hAnsi="Times New Roman"/>
                <w:sz w:val="20"/>
                <w:szCs w:val="20"/>
              </w:rPr>
            </w:pPr>
          </w:p>
        </w:tc>
        <w:tc>
          <w:tcPr>
            <w:tcW w:w="300" w:type="pct"/>
            <w:shd w:val="clear" w:color="auto" w:fill="auto"/>
            <w:vAlign w:val="center"/>
          </w:tcPr>
          <w:p w14:paraId="54E8FF8D" w14:textId="77777777" w:rsidR="00F427A3" w:rsidRDefault="00F427A3">
            <w:pPr>
              <w:rPr>
                <w:rFonts w:ascii="Times New Roman" w:hAnsi="Times New Roman"/>
                <w:sz w:val="20"/>
                <w:szCs w:val="20"/>
              </w:rPr>
            </w:pPr>
          </w:p>
        </w:tc>
        <w:tc>
          <w:tcPr>
            <w:tcW w:w="50" w:type="pct"/>
            <w:shd w:val="clear" w:color="auto" w:fill="auto"/>
            <w:vAlign w:val="center"/>
          </w:tcPr>
          <w:p w14:paraId="54E8FF8E" w14:textId="77777777" w:rsidR="00F427A3" w:rsidRDefault="00F427A3">
            <w:pPr>
              <w:rPr>
                <w:rFonts w:ascii="Times New Roman" w:hAnsi="Times New Roman"/>
                <w:sz w:val="20"/>
                <w:szCs w:val="20"/>
              </w:rPr>
            </w:pPr>
          </w:p>
        </w:tc>
      </w:tr>
      <w:tr w:rsidR="00F427A3" w14:paraId="54E8FF94" w14:textId="77777777">
        <w:trPr>
          <w:jc w:val="center"/>
        </w:trPr>
        <w:tc>
          <w:tcPr>
            <w:tcW w:w="0" w:type="auto"/>
            <w:shd w:val="clear" w:color="auto" w:fill="auto"/>
            <w:tcMar>
              <w:top w:w="40" w:type="dxa"/>
              <w:left w:w="40" w:type="dxa"/>
              <w:bottom w:w="40" w:type="dxa"/>
              <w:right w:w="40" w:type="dxa"/>
            </w:tcMar>
            <w:vAlign w:val="bottom"/>
          </w:tcPr>
          <w:p w14:paraId="54E8FF9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2"/>
            <w:tcBorders>
              <w:bottom w:val="single" w:sz="8" w:space="0" w:color="000000"/>
            </w:tcBorders>
            <w:shd w:val="clear" w:color="auto" w:fill="auto"/>
            <w:tcMar>
              <w:top w:w="40" w:type="dxa"/>
              <w:left w:w="40" w:type="dxa"/>
              <w:bottom w:w="40" w:type="dxa"/>
            </w:tcMar>
            <w:vAlign w:val="bottom"/>
          </w:tcPr>
          <w:p w14:paraId="54E8FF91"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Three Months Ended September 30, 2020</w:t>
            </w:r>
          </w:p>
        </w:tc>
        <w:tc>
          <w:tcPr>
            <w:tcW w:w="0" w:type="auto"/>
            <w:shd w:val="clear" w:color="auto" w:fill="auto"/>
            <w:tcMar>
              <w:top w:w="40" w:type="dxa"/>
              <w:left w:w="40" w:type="dxa"/>
              <w:bottom w:w="40" w:type="dxa"/>
              <w:right w:w="40" w:type="dxa"/>
            </w:tcMar>
            <w:vAlign w:val="bottom"/>
          </w:tcPr>
          <w:p w14:paraId="54E8FF9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2"/>
            <w:tcBorders>
              <w:bottom w:val="single" w:sz="8" w:space="0" w:color="000000"/>
            </w:tcBorders>
            <w:shd w:val="clear" w:color="auto" w:fill="auto"/>
            <w:tcMar>
              <w:top w:w="40" w:type="dxa"/>
              <w:left w:w="40" w:type="dxa"/>
              <w:bottom w:w="40" w:type="dxa"/>
            </w:tcMar>
            <w:vAlign w:val="bottom"/>
          </w:tcPr>
          <w:p w14:paraId="54E8FF93"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Three Months Ended September 30, 2019</w:t>
            </w:r>
          </w:p>
        </w:tc>
      </w:tr>
      <w:tr w:rsidR="00F427A3" w14:paraId="54E8FFAA" w14:textId="77777777">
        <w:trPr>
          <w:jc w:val="center"/>
        </w:trPr>
        <w:tc>
          <w:tcPr>
            <w:tcW w:w="0" w:type="auto"/>
            <w:shd w:val="clear" w:color="auto" w:fill="auto"/>
            <w:tcMar>
              <w:top w:w="40" w:type="dxa"/>
              <w:left w:w="40" w:type="dxa"/>
              <w:bottom w:w="40" w:type="dxa"/>
              <w:right w:w="40" w:type="dxa"/>
            </w:tcMar>
            <w:vAlign w:val="bottom"/>
          </w:tcPr>
          <w:p w14:paraId="54E8FF9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54E8FF96"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Class A and Class B Common Stock</w:t>
            </w:r>
          </w:p>
        </w:tc>
        <w:tc>
          <w:tcPr>
            <w:tcW w:w="0" w:type="auto"/>
            <w:shd w:val="clear" w:color="auto" w:fill="auto"/>
            <w:tcMar>
              <w:top w:w="40" w:type="dxa"/>
              <w:left w:w="40" w:type="dxa"/>
              <w:bottom w:w="40" w:type="dxa"/>
              <w:right w:w="40" w:type="dxa"/>
            </w:tcMar>
            <w:vAlign w:val="bottom"/>
          </w:tcPr>
          <w:p w14:paraId="54E8FF9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54E8FF98"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xml:space="preserve">Additional </w:t>
            </w:r>
          </w:p>
          <w:p w14:paraId="54E8FF99"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Paid-In Capital</w:t>
            </w:r>
          </w:p>
        </w:tc>
        <w:tc>
          <w:tcPr>
            <w:tcW w:w="0" w:type="auto"/>
            <w:vMerge w:val="restart"/>
            <w:shd w:val="clear" w:color="auto" w:fill="auto"/>
            <w:tcMar>
              <w:top w:w="40" w:type="dxa"/>
              <w:left w:w="40" w:type="dxa"/>
              <w:bottom w:w="40" w:type="dxa"/>
              <w:right w:w="40" w:type="dxa"/>
            </w:tcMar>
            <w:vAlign w:val="bottom"/>
          </w:tcPr>
          <w:p w14:paraId="54E8FF9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54E8FF9B"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xml:space="preserve">Accumulated Other Comprehensive Income (Loss) </w:t>
            </w:r>
          </w:p>
        </w:tc>
        <w:tc>
          <w:tcPr>
            <w:tcW w:w="0" w:type="auto"/>
            <w:vMerge w:val="restart"/>
            <w:shd w:val="clear" w:color="auto" w:fill="auto"/>
            <w:tcMar>
              <w:top w:w="40" w:type="dxa"/>
              <w:left w:w="40" w:type="dxa"/>
              <w:bottom w:w="40" w:type="dxa"/>
              <w:right w:w="40" w:type="dxa"/>
            </w:tcMar>
            <w:vAlign w:val="bottom"/>
          </w:tcPr>
          <w:p w14:paraId="54E8FF9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54E8FF9D"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Retained Earnings</w:t>
            </w:r>
          </w:p>
        </w:tc>
        <w:tc>
          <w:tcPr>
            <w:tcW w:w="0" w:type="auto"/>
            <w:vMerge w:val="restart"/>
            <w:shd w:val="clear" w:color="auto" w:fill="auto"/>
            <w:tcMar>
              <w:top w:w="40" w:type="dxa"/>
              <w:left w:w="40" w:type="dxa"/>
              <w:bottom w:w="40" w:type="dxa"/>
              <w:right w:w="40" w:type="dxa"/>
            </w:tcMar>
            <w:vAlign w:val="bottom"/>
          </w:tcPr>
          <w:p w14:paraId="54E8FF9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4E8FF9F"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Total Stockholders' Equity</w:t>
            </w:r>
          </w:p>
        </w:tc>
        <w:tc>
          <w:tcPr>
            <w:tcW w:w="0" w:type="auto"/>
            <w:shd w:val="clear" w:color="auto" w:fill="auto"/>
            <w:tcMar>
              <w:top w:w="40" w:type="dxa"/>
              <w:left w:w="40" w:type="dxa"/>
              <w:bottom w:w="40" w:type="dxa"/>
              <w:right w:w="40" w:type="dxa"/>
            </w:tcMar>
            <w:vAlign w:val="bottom"/>
          </w:tcPr>
          <w:p w14:paraId="54E8FFA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54E8FFA1"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Class A and Class B Common Stock</w:t>
            </w:r>
          </w:p>
        </w:tc>
        <w:tc>
          <w:tcPr>
            <w:tcW w:w="0" w:type="auto"/>
            <w:shd w:val="clear" w:color="auto" w:fill="auto"/>
            <w:tcMar>
              <w:top w:w="40" w:type="dxa"/>
              <w:left w:w="40" w:type="dxa"/>
              <w:bottom w:w="40" w:type="dxa"/>
              <w:right w:w="40" w:type="dxa"/>
            </w:tcMar>
            <w:vAlign w:val="bottom"/>
          </w:tcPr>
          <w:p w14:paraId="54E8FFA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54E8FFA3"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Additional Paid-In Capital</w:t>
            </w:r>
          </w:p>
        </w:tc>
        <w:tc>
          <w:tcPr>
            <w:tcW w:w="0" w:type="auto"/>
            <w:vMerge w:val="restart"/>
            <w:shd w:val="clear" w:color="auto" w:fill="auto"/>
            <w:tcMar>
              <w:top w:w="40" w:type="dxa"/>
              <w:left w:w="40" w:type="dxa"/>
              <w:bottom w:w="40" w:type="dxa"/>
              <w:right w:w="40" w:type="dxa"/>
            </w:tcMar>
            <w:vAlign w:val="bottom"/>
          </w:tcPr>
          <w:p w14:paraId="54E8FFA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54E8FFA5"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Accumulated Other Comprehensive Loss</w:t>
            </w:r>
          </w:p>
        </w:tc>
        <w:tc>
          <w:tcPr>
            <w:tcW w:w="0" w:type="auto"/>
            <w:vMerge w:val="restart"/>
            <w:shd w:val="clear" w:color="auto" w:fill="auto"/>
            <w:tcMar>
              <w:top w:w="40" w:type="dxa"/>
              <w:left w:w="40" w:type="dxa"/>
              <w:bottom w:w="40" w:type="dxa"/>
              <w:right w:w="40" w:type="dxa"/>
            </w:tcMar>
            <w:vAlign w:val="bottom"/>
          </w:tcPr>
          <w:p w14:paraId="54E8FFA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54E8FFA7"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Retained Earnings</w:t>
            </w:r>
          </w:p>
        </w:tc>
        <w:tc>
          <w:tcPr>
            <w:tcW w:w="0" w:type="auto"/>
            <w:vMerge w:val="restart"/>
            <w:shd w:val="clear" w:color="auto" w:fill="auto"/>
            <w:tcMar>
              <w:top w:w="40" w:type="dxa"/>
              <w:left w:w="40" w:type="dxa"/>
              <w:bottom w:w="40" w:type="dxa"/>
              <w:right w:w="40" w:type="dxa"/>
            </w:tcMar>
            <w:vAlign w:val="bottom"/>
          </w:tcPr>
          <w:p w14:paraId="54E8FFA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4E8FFA9"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Total Stockholders' Equity</w:t>
            </w:r>
          </w:p>
        </w:tc>
      </w:tr>
      <w:tr w:rsidR="00F427A3" w14:paraId="54E8FFC5" w14:textId="77777777">
        <w:trPr>
          <w:jc w:val="center"/>
        </w:trPr>
        <w:tc>
          <w:tcPr>
            <w:tcW w:w="0" w:type="auto"/>
            <w:shd w:val="clear" w:color="auto" w:fill="auto"/>
            <w:tcMar>
              <w:top w:w="40" w:type="dxa"/>
              <w:left w:w="40" w:type="dxa"/>
              <w:bottom w:w="40" w:type="dxa"/>
              <w:right w:w="40" w:type="dxa"/>
            </w:tcMar>
            <w:vAlign w:val="bottom"/>
          </w:tcPr>
          <w:p w14:paraId="54E8FFA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4E8FFAC"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Shares</w:t>
            </w:r>
          </w:p>
        </w:tc>
        <w:tc>
          <w:tcPr>
            <w:tcW w:w="0" w:type="auto"/>
            <w:shd w:val="clear" w:color="auto" w:fill="auto"/>
            <w:tcMar>
              <w:top w:w="40" w:type="dxa"/>
              <w:left w:w="40" w:type="dxa"/>
              <w:bottom w:w="40" w:type="dxa"/>
              <w:right w:w="40" w:type="dxa"/>
            </w:tcMar>
            <w:vAlign w:val="bottom"/>
          </w:tcPr>
          <w:p w14:paraId="54E8FFA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8FFAE"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Par </w:t>
            </w:r>
          </w:p>
          <w:p w14:paraId="54E8FFAF"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Value</w:t>
            </w:r>
          </w:p>
        </w:tc>
        <w:tc>
          <w:tcPr>
            <w:tcW w:w="0" w:type="auto"/>
            <w:shd w:val="clear" w:color="auto" w:fill="auto"/>
            <w:tcMar>
              <w:top w:w="40" w:type="dxa"/>
              <w:left w:w="40" w:type="dxa"/>
              <w:bottom w:w="40" w:type="dxa"/>
              <w:right w:w="40" w:type="dxa"/>
            </w:tcMar>
            <w:vAlign w:val="bottom"/>
          </w:tcPr>
          <w:p w14:paraId="54E8FFB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shd w:val="clear" w:color="auto" w:fill="auto"/>
            <w:tcMar>
              <w:top w:w="40" w:type="dxa"/>
              <w:left w:w="40" w:type="dxa"/>
              <w:bottom w:w="40" w:type="dxa"/>
              <w:right w:w="40" w:type="dxa"/>
            </w:tcMar>
            <w:vAlign w:val="bottom"/>
          </w:tcPr>
          <w:p w14:paraId="54E8FFB1" w14:textId="77777777" w:rsidR="00F427A3" w:rsidRDefault="00F427A3">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4E8FFB2" w14:textId="77777777" w:rsidR="00F427A3" w:rsidRDefault="00F427A3">
            <w:pPr>
              <w:rPr>
                <w:rFonts w:ascii="Times New Roman" w:hAnsi="Times New Roman"/>
                <w:sz w:val="20"/>
                <w:szCs w:val="20"/>
              </w:rPr>
            </w:pPr>
          </w:p>
        </w:tc>
        <w:tc>
          <w:tcPr>
            <w:tcW w:w="0" w:type="auto"/>
            <w:gridSpan w:val="3"/>
            <w:vMerge/>
            <w:shd w:val="clear" w:color="auto" w:fill="auto"/>
            <w:tcMar>
              <w:top w:w="40" w:type="dxa"/>
              <w:left w:w="40" w:type="dxa"/>
              <w:bottom w:w="40" w:type="dxa"/>
              <w:right w:w="40" w:type="dxa"/>
            </w:tcMar>
            <w:vAlign w:val="bottom"/>
          </w:tcPr>
          <w:p w14:paraId="54E8FFB3" w14:textId="77777777" w:rsidR="00F427A3" w:rsidRDefault="00F427A3">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4E8FFB4" w14:textId="77777777" w:rsidR="00F427A3" w:rsidRDefault="00F427A3">
            <w:pPr>
              <w:rPr>
                <w:rFonts w:ascii="Times New Roman" w:hAnsi="Times New Roman"/>
                <w:sz w:val="20"/>
                <w:szCs w:val="20"/>
              </w:rPr>
            </w:pPr>
          </w:p>
        </w:tc>
        <w:tc>
          <w:tcPr>
            <w:tcW w:w="0" w:type="auto"/>
            <w:gridSpan w:val="3"/>
            <w:vMerge/>
            <w:shd w:val="clear" w:color="auto" w:fill="auto"/>
            <w:tcMar>
              <w:top w:w="40" w:type="dxa"/>
              <w:left w:w="40" w:type="dxa"/>
              <w:bottom w:w="40" w:type="dxa"/>
              <w:right w:w="40" w:type="dxa"/>
            </w:tcMar>
            <w:vAlign w:val="bottom"/>
          </w:tcPr>
          <w:p w14:paraId="54E8FFB5" w14:textId="77777777" w:rsidR="00F427A3" w:rsidRDefault="00F427A3">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4E8FFB6" w14:textId="77777777" w:rsidR="00F427A3" w:rsidRDefault="00F427A3">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4E8FFB7" w14:textId="77777777" w:rsidR="00F427A3" w:rsidRDefault="00F427A3">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FB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4E8FFB9"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Shares</w:t>
            </w:r>
          </w:p>
        </w:tc>
        <w:tc>
          <w:tcPr>
            <w:tcW w:w="0" w:type="auto"/>
            <w:shd w:val="clear" w:color="auto" w:fill="auto"/>
            <w:tcMar>
              <w:top w:w="40" w:type="dxa"/>
              <w:left w:w="40" w:type="dxa"/>
              <w:bottom w:w="40" w:type="dxa"/>
              <w:right w:w="40" w:type="dxa"/>
            </w:tcMar>
            <w:vAlign w:val="bottom"/>
          </w:tcPr>
          <w:p w14:paraId="54E8FFB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8FFBB"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Par </w:t>
            </w:r>
          </w:p>
          <w:p w14:paraId="54E8FFBC"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Value</w:t>
            </w:r>
          </w:p>
        </w:tc>
        <w:tc>
          <w:tcPr>
            <w:tcW w:w="0" w:type="auto"/>
            <w:shd w:val="clear" w:color="auto" w:fill="auto"/>
            <w:tcMar>
              <w:top w:w="40" w:type="dxa"/>
              <w:left w:w="40" w:type="dxa"/>
              <w:bottom w:w="40" w:type="dxa"/>
              <w:right w:w="40" w:type="dxa"/>
            </w:tcMar>
            <w:vAlign w:val="bottom"/>
          </w:tcPr>
          <w:p w14:paraId="54E8FFB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shd w:val="clear" w:color="auto" w:fill="auto"/>
            <w:tcMar>
              <w:top w:w="40" w:type="dxa"/>
              <w:left w:w="40" w:type="dxa"/>
              <w:bottom w:w="40" w:type="dxa"/>
              <w:right w:w="40" w:type="dxa"/>
            </w:tcMar>
            <w:vAlign w:val="bottom"/>
          </w:tcPr>
          <w:p w14:paraId="54E8FFBE" w14:textId="77777777" w:rsidR="00F427A3" w:rsidRDefault="00F427A3">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4E8FFBF" w14:textId="77777777" w:rsidR="00F427A3" w:rsidRDefault="00F427A3">
            <w:pPr>
              <w:rPr>
                <w:rFonts w:ascii="Times New Roman" w:hAnsi="Times New Roman"/>
                <w:sz w:val="20"/>
                <w:szCs w:val="20"/>
              </w:rPr>
            </w:pPr>
          </w:p>
        </w:tc>
        <w:tc>
          <w:tcPr>
            <w:tcW w:w="0" w:type="auto"/>
            <w:gridSpan w:val="3"/>
            <w:vMerge/>
            <w:shd w:val="clear" w:color="auto" w:fill="auto"/>
            <w:tcMar>
              <w:top w:w="40" w:type="dxa"/>
              <w:left w:w="40" w:type="dxa"/>
              <w:bottom w:w="40" w:type="dxa"/>
              <w:right w:w="40" w:type="dxa"/>
            </w:tcMar>
            <w:vAlign w:val="bottom"/>
          </w:tcPr>
          <w:p w14:paraId="54E8FFC0" w14:textId="77777777" w:rsidR="00F427A3" w:rsidRDefault="00F427A3">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4E8FFC1" w14:textId="77777777" w:rsidR="00F427A3" w:rsidRDefault="00F427A3">
            <w:pPr>
              <w:rPr>
                <w:rFonts w:ascii="Times New Roman" w:hAnsi="Times New Roman"/>
                <w:sz w:val="20"/>
                <w:szCs w:val="20"/>
              </w:rPr>
            </w:pPr>
          </w:p>
        </w:tc>
        <w:tc>
          <w:tcPr>
            <w:tcW w:w="0" w:type="auto"/>
            <w:gridSpan w:val="3"/>
            <w:vMerge/>
            <w:shd w:val="clear" w:color="auto" w:fill="auto"/>
            <w:tcMar>
              <w:top w:w="40" w:type="dxa"/>
              <w:left w:w="40" w:type="dxa"/>
              <w:bottom w:w="40" w:type="dxa"/>
              <w:right w:w="40" w:type="dxa"/>
            </w:tcMar>
            <w:vAlign w:val="bottom"/>
          </w:tcPr>
          <w:p w14:paraId="54E8FFC2" w14:textId="77777777" w:rsidR="00F427A3" w:rsidRDefault="00F427A3">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4E8FFC3" w14:textId="77777777" w:rsidR="00F427A3" w:rsidRDefault="00F427A3">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4E8FFC4" w14:textId="77777777" w:rsidR="00F427A3" w:rsidRDefault="00F427A3">
            <w:pPr>
              <w:rPr>
                <w:rFonts w:ascii="Times New Roman" w:hAnsi="Times New Roman"/>
                <w:sz w:val="20"/>
                <w:szCs w:val="20"/>
              </w:rPr>
            </w:pPr>
          </w:p>
        </w:tc>
      </w:tr>
      <w:tr w:rsidR="0044221F" w14:paraId="54E8FFF4" w14:textId="77777777">
        <w:trPr>
          <w:jc w:val="center"/>
        </w:trPr>
        <w:tc>
          <w:tcPr>
            <w:tcW w:w="0" w:type="auto"/>
            <w:shd w:val="clear" w:color="auto" w:fill="CCEEFF"/>
            <w:tcMar>
              <w:top w:w="40" w:type="dxa"/>
              <w:left w:w="40" w:type="dxa"/>
              <w:bottom w:w="40" w:type="dxa"/>
              <w:right w:w="40" w:type="dxa"/>
            </w:tcMar>
            <w:vAlign w:val="bottom"/>
          </w:tcPr>
          <w:p w14:paraId="54E8FFC6"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Balances at beginning of period</w:t>
            </w:r>
          </w:p>
        </w:tc>
        <w:tc>
          <w:tcPr>
            <w:tcW w:w="0" w:type="auto"/>
            <w:tcBorders>
              <w:top w:val="single" w:sz="8" w:space="0" w:color="000000"/>
            </w:tcBorders>
            <w:shd w:val="clear" w:color="auto" w:fill="CCEEFF"/>
            <w:tcMar>
              <w:top w:w="40" w:type="dxa"/>
              <w:left w:w="40" w:type="dxa"/>
              <w:bottom w:w="40" w:type="dxa"/>
            </w:tcMar>
            <w:vAlign w:val="bottom"/>
          </w:tcPr>
          <w:p w14:paraId="54E8FFC7"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2,850</w:t>
            </w:r>
          </w:p>
        </w:tc>
        <w:tc>
          <w:tcPr>
            <w:tcW w:w="0" w:type="auto"/>
            <w:tcBorders>
              <w:top w:val="single" w:sz="8" w:space="0" w:color="000000"/>
            </w:tcBorders>
            <w:shd w:val="clear" w:color="auto" w:fill="CCEEFF"/>
            <w:vAlign w:val="bottom"/>
          </w:tcPr>
          <w:p w14:paraId="54E8FFC8"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FC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8FFCA"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4E8FFCB"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vAlign w:val="bottom"/>
          </w:tcPr>
          <w:p w14:paraId="54E8FFC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FC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8FFCE"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4E8FFCF"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47,805</w:t>
            </w:r>
          </w:p>
        </w:tc>
        <w:tc>
          <w:tcPr>
            <w:tcW w:w="0" w:type="auto"/>
            <w:tcBorders>
              <w:top w:val="single" w:sz="8" w:space="0" w:color="000000"/>
            </w:tcBorders>
            <w:shd w:val="clear" w:color="auto" w:fill="CCEEFF"/>
            <w:vAlign w:val="bottom"/>
          </w:tcPr>
          <w:p w14:paraId="54E8FFD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FD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8FFD2"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4E8FFD3"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(142</w:t>
            </w:r>
          </w:p>
        </w:tc>
        <w:tc>
          <w:tcPr>
            <w:tcW w:w="0" w:type="auto"/>
            <w:tcBorders>
              <w:top w:val="single" w:sz="8" w:space="0" w:color="000000"/>
            </w:tcBorders>
            <w:shd w:val="clear" w:color="auto" w:fill="CCEEFF"/>
            <w:tcMar>
              <w:top w:w="40" w:type="dxa"/>
              <w:bottom w:w="40" w:type="dxa"/>
              <w:right w:w="40" w:type="dxa"/>
            </w:tcMar>
            <w:vAlign w:val="bottom"/>
          </w:tcPr>
          <w:p w14:paraId="54E8FFD4"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8FFD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8FFD6"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4E8FFD7"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62,784</w:t>
            </w:r>
          </w:p>
        </w:tc>
        <w:tc>
          <w:tcPr>
            <w:tcW w:w="0" w:type="auto"/>
            <w:tcBorders>
              <w:top w:val="single" w:sz="8" w:space="0" w:color="000000"/>
            </w:tcBorders>
            <w:shd w:val="clear" w:color="auto" w:fill="CCEEFF"/>
            <w:vAlign w:val="bottom"/>
          </w:tcPr>
          <w:p w14:paraId="54E8FFD8"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FD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8FFDA"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4E8FFDB"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110,447</w:t>
            </w:r>
          </w:p>
        </w:tc>
        <w:tc>
          <w:tcPr>
            <w:tcW w:w="0" w:type="auto"/>
            <w:tcBorders>
              <w:top w:val="single" w:sz="8" w:space="0" w:color="000000"/>
            </w:tcBorders>
            <w:shd w:val="clear" w:color="auto" w:fill="CCEEFF"/>
            <w:vAlign w:val="bottom"/>
          </w:tcPr>
          <w:p w14:paraId="54E8FFD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FD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8FFDE"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2,854</w:t>
            </w:r>
          </w:p>
        </w:tc>
        <w:tc>
          <w:tcPr>
            <w:tcW w:w="0" w:type="auto"/>
            <w:tcBorders>
              <w:top w:val="single" w:sz="8" w:space="0" w:color="000000"/>
            </w:tcBorders>
            <w:shd w:val="clear" w:color="auto" w:fill="CCEEFF"/>
            <w:vAlign w:val="bottom"/>
          </w:tcPr>
          <w:p w14:paraId="54E8FFDF"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FE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8FFE1"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4E8FFE2"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vAlign w:val="bottom"/>
          </w:tcPr>
          <w:p w14:paraId="54E8FFE3"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FE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8FFE5"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4E8FFE6"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44,277</w:t>
            </w:r>
          </w:p>
        </w:tc>
        <w:tc>
          <w:tcPr>
            <w:tcW w:w="0" w:type="auto"/>
            <w:tcBorders>
              <w:top w:val="single" w:sz="8" w:space="0" w:color="000000"/>
            </w:tcBorders>
            <w:shd w:val="clear" w:color="auto" w:fill="CCEEFF"/>
            <w:vAlign w:val="bottom"/>
          </w:tcPr>
          <w:p w14:paraId="54E8FFE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FE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8FFE9"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4E8FFEA"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(483</w:t>
            </w:r>
          </w:p>
        </w:tc>
        <w:tc>
          <w:tcPr>
            <w:tcW w:w="0" w:type="auto"/>
            <w:tcBorders>
              <w:top w:val="single" w:sz="8" w:space="0" w:color="000000"/>
            </w:tcBorders>
            <w:shd w:val="clear" w:color="auto" w:fill="CCEEFF"/>
            <w:tcMar>
              <w:top w:w="40" w:type="dxa"/>
              <w:bottom w:w="40" w:type="dxa"/>
              <w:right w:w="40" w:type="dxa"/>
            </w:tcMar>
            <w:vAlign w:val="bottom"/>
          </w:tcPr>
          <w:p w14:paraId="54E8FFEB"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8FFE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8FFED"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4E8FFEE"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44,968</w:t>
            </w:r>
          </w:p>
        </w:tc>
        <w:tc>
          <w:tcPr>
            <w:tcW w:w="0" w:type="auto"/>
            <w:tcBorders>
              <w:top w:val="single" w:sz="8" w:space="0" w:color="000000"/>
            </w:tcBorders>
            <w:shd w:val="clear" w:color="auto" w:fill="CCEEFF"/>
            <w:vAlign w:val="bottom"/>
          </w:tcPr>
          <w:p w14:paraId="54E8FFEF"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8FFF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8FFF1"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4E8FFF2"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88,762</w:t>
            </w:r>
          </w:p>
        </w:tc>
        <w:tc>
          <w:tcPr>
            <w:tcW w:w="0" w:type="auto"/>
            <w:tcBorders>
              <w:top w:val="single" w:sz="8" w:space="0" w:color="000000"/>
            </w:tcBorders>
            <w:shd w:val="clear" w:color="auto" w:fill="CCEEFF"/>
            <w:vAlign w:val="bottom"/>
          </w:tcPr>
          <w:p w14:paraId="54E8FFF3" w14:textId="77777777" w:rsidR="00F427A3" w:rsidRDefault="00F427A3">
            <w:pPr>
              <w:textAlignment w:val="bottom"/>
              <w:rPr>
                <w:rFonts w:ascii="Times New Roman" w:hAnsi="Times New Roman"/>
                <w:sz w:val="20"/>
                <w:szCs w:val="20"/>
              </w:rPr>
            </w:pPr>
          </w:p>
        </w:tc>
      </w:tr>
      <w:tr w:rsidR="00F427A3" w14:paraId="54E90019" w14:textId="77777777">
        <w:trPr>
          <w:jc w:val="center"/>
        </w:trPr>
        <w:tc>
          <w:tcPr>
            <w:tcW w:w="0" w:type="auto"/>
            <w:shd w:val="clear" w:color="auto" w:fill="auto"/>
            <w:tcMar>
              <w:top w:w="40" w:type="dxa"/>
              <w:left w:w="40" w:type="dxa"/>
              <w:bottom w:w="40" w:type="dxa"/>
              <w:right w:w="40" w:type="dxa"/>
            </w:tcMar>
            <w:vAlign w:val="bottom"/>
          </w:tcPr>
          <w:p w14:paraId="54E8FFF5"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Issuance of common stock</w:t>
            </w:r>
          </w:p>
        </w:tc>
        <w:tc>
          <w:tcPr>
            <w:tcW w:w="0" w:type="auto"/>
            <w:shd w:val="clear" w:color="auto" w:fill="auto"/>
            <w:tcMar>
              <w:top w:w="40" w:type="dxa"/>
              <w:left w:w="40" w:type="dxa"/>
              <w:bottom w:w="40" w:type="dxa"/>
            </w:tcMar>
            <w:vAlign w:val="bottom"/>
          </w:tcPr>
          <w:p w14:paraId="54E8FFF6"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10</w:t>
            </w:r>
          </w:p>
        </w:tc>
        <w:tc>
          <w:tcPr>
            <w:tcW w:w="0" w:type="auto"/>
            <w:shd w:val="clear" w:color="auto" w:fill="auto"/>
            <w:vAlign w:val="bottom"/>
          </w:tcPr>
          <w:p w14:paraId="54E8FFF7"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FF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8FFF9"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8FFFA"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FF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8FFFC"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8FFF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8FFF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8FFFF"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00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0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02"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00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0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05"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006"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0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008"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9</w:t>
            </w:r>
          </w:p>
        </w:tc>
        <w:tc>
          <w:tcPr>
            <w:tcW w:w="0" w:type="auto"/>
            <w:shd w:val="clear" w:color="auto" w:fill="auto"/>
            <w:vAlign w:val="bottom"/>
          </w:tcPr>
          <w:p w14:paraId="54E90009"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0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0B"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00C"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0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0E"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5</w:t>
            </w:r>
          </w:p>
        </w:tc>
        <w:tc>
          <w:tcPr>
            <w:tcW w:w="0" w:type="auto"/>
            <w:shd w:val="clear" w:color="auto" w:fill="auto"/>
            <w:vAlign w:val="bottom"/>
          </w:tcPr>
          <w:p w14:paraId="54E9000F"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1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11"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012"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1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14"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015"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1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17"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5</w:t>
            </w:r>
          </w:p>
        </w:tc>
        <w:tc>
          <w:tcPr>
            <w:tcW w:w="0" w:type="auto"/>
            <w:shd w:val="clear" w:color="auto" w:fill="auto"/>
            <w:vAlign w:val="bottom"/>
          </w:tcPr>
          <w:p w14:paraId="54E90018" w14:textId="77777777" w:rsidR="00F427A3" w:rsidRDefault="00F427A3">
            <w:pPr>
              <w:textAlignment w:val="bottom"/>
              <w:rPr>
                <w:rFonts w:ascii="Times New Roman" w:hAnsi="Times New Roman"/>
                <w:sz w:val="20"/>
                <w:szCs w:val="20"/>
              </w:rPr>
            </w:pPr>
          </w:p>
        </w:tc>
      </w:tr>
      <w:tr w:rsidR="0044221F" w14:paraId="54E9003E" w14:textId="77777777">
        <w:trPr>
          <w:jc w:val="center"/>
        </w:trPr>
        <w:tc>
          <w:tcPr>
            <w:tcW w:w="0" w:type="auto"/>
            <w:shd w:val="clear" w:color="auto" w:fill="CCEEFF"/>
            <w:tcMar>
              <w:top w:w="40" w:type="dxa"/>
              <w:left w:w="40" w:type="dxa"/>
              <w:bottom w:w="40" w:type="dxa"/>
              <w:right w:w="40" w:type="dxa"/>
            </w:tcMar>
            <w:vAlign w:val="bottom"/>
          </w:tcPr>
          <w:p w14:paraId="54E9001A"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Shares withheld related to net share settlement</w:t>
            </w:r>
          </w:p>
        </w:tc>
        <w:tc>
          <w:tcPr>
            <w:tcW w:w="0" w:type="auto"/>
            <w:shd w:val="clear" w:color="auto" w:fill="CCEEFF"/>
            <w:tcMar>
              <w:top w:w="40" w:type="dxa"/>
              <w:left w:w="40" w:type="dxa"/>
              <w:bottom w:w="40" w:type="dxa"/>
            </w:tcMar>
            <w:vAlign w:val="bottom"/>
          </w:tcPr>
          <w:p w14:paraId="54E9001B"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(3</w:t>
            </w:r>
          </w:p>
        </w:tc>
        <w:tc>
          <w:tcPr>
            <w:tcW w:w="0" w:type="auto"/>
            <w:shd w:val="clear" w:color="auto" w:fill="CCEEFF"/>
            <w:tcMar>
              <w:top w:w="40" w:type="dxa"/>
              <w:bottom w:w="40" w:type="dxa"/>
              <w:right w:w="40" w:type="dxa"/>
            </w:tcMar>
            <w:vAlign w:val="bottom"/>
          </w:tcPr>
          <w:p w14:paraId="54E9001C"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01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01E"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01F"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02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021"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(617</w:t>
            </w:r>
          </w:p>
        </w:tc>
        <w:tc>
          <w:tcPr>
            <w:tcW w:w="0" w:type="auto"/>
            <w:shd w:val="clear" w:color="auto" w:fill="CCEEFF"/>
            <w:tcMar>
              <w:top w:w="40" w:type="dxa"/>
              <w:bottom w:w="40" w:type="dxa"/>
              <w:right w:w="40" w:type="dxa"/>
            </w:tcMar>
            <w:vAlign w:val="bottom"/>
          </w:tcPr>
          <w:p w14:paraId="54E90022"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02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024"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025"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02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027"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(383</w:t>
            </w:r>
          </w:p>
        </w:tc>
        <w:tc>
          <w:tcPr>
            <w:tcW w:w="0" w:type="auto"/>
            <w:shd w:val="clear" w:color="auto" w:fill="CCEEFF"/>
            <w:tcMar>
              <w:top w:w="40" w:type="dxa"/>
              <w:bottom w:w="40" w:type="dxa"/>
              <w:right w:w="40" w:type="dxa"/>
            </w:tcMar>
            <w:vAlign w:val="bottom"/>
          </w:tcPr>
          <w:p w14:paraId="54E90028"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02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02A"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(1,000</w:t>
            </w:r>
          </w:p>
        </w:tc>
        <w:tc>
          <w:tcPr>
            <w:tcW w:w="0" w:type="auto"/>
            <w:shd w:val="clear" w:color="auto" w:fill="CCEEFF"/>
            <w:tcMar>
              <w:top w:w="40" w:type="dxa"/>
              <w:bottom w:w="40" w:type="dxa"/>
              <w:right w:w="40" w:type="dxa"/>
            </w:tcMar>
            <w:vAlign w:val="bottom"/>
          </w:tcPr>
          <w:p w14:paraId="54E9002B"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02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02D"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(3</w:t>
            </w:r>
          </w:p>
        </w:tc>
        <w:tc>
          <w:tcPr>
            <w:tcW w:w="0" w:type="auto"/>
            <w:shd w:val="clear" w:color="auto" w:fill="CCEEFF"/>
            <w:tcMar>
              <w:top w:w="40" w:type="dxa"/>
              <w:bottom w:w="40" w:type="dxa"/>
              <w:right w:w="40" w:type="dxa"/>
            </w:tcMar>
            <w:vAlign w:val="bottom"/>
          </w:tcPr>
          <w:p w14:paraId="54E9002E"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02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030"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031"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03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033"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(472</w:t>
            </w:r>
          </w:p>
        </w:tc>
        <w:tc>
          <w:tcPr>
            <w:tcW w:w="0" w:type="auto"/>
            <w:shd w:val="clear" w:color="auto" w:fill="CCEEFF"/>
            <w:tcMar>
              <w:top w:w="40" w:type="dxa"/>
              <w:bottom w:w="40" w:type="dxa"/>
              <w:right w:w="40" w:type="dxa"/>
            </w:tcMar>
            <w:vAlign w:val="bottom"/>
          </w:tcPr>
          <w:p w14:paraId="54E90034"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03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036"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03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03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039"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(119</w:t>
            </w:r>
          </w:p>
        </w:tc>
        <w:tc>
          <w:tcPr>
            <w:tcW w:w="0" w:type="auto"/>
            <w:shd w:val="clear" w:color="auto" w:fill="CCEEFF"/>
            <w:tcMar>
              <w:top w:w="40" w:type="dxa"/>
              <w:bottom w:w="40" w:type="dxa"/>
              <w:right w:w="40" w:type="dxa"/>
            </w:tcMar>
            <w:vAlign w:val="bottom"/>
          </w:tcPr>
          <w:p w14:paraId="54E9003A"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03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03C"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(591</w:t>
            </w:r>
          </w:p>
        </w:tc>
        <w:tc>
          <w:tcPr>
            <w:tcW w:w="0" w:type="auto"/>
            <w:shd w:val="clear" w:color="auto" w:fill="CCEEFF"/>
            <w:tcMar>
              <w:top w:w="40" w:type="dxa"/>
              <w:bottom w:w="40" w:type="dxa"/>
              <w:right w:w="40" w:type="dxa"/>
            </w:tcMar>
            <w:vAlign w:val="bottom"/>
          </w:tcPr>
          <w:p w14:paraId="54E9003D"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r>
      <w:tr w:rsidR="00F427A3" w14:paraId="54E90063" w14:textId="77777777">
        <w:trPr>
          <w:jc w:val="center"/>
        </w:trPr>
        <w:tc>
          <w:tcPr>
            <w:tcW w:w="0" w:type="auto"/>
            <w:shd w:val="clear" w:color="auto" w:fill="auto"/>
            <w:tcMar>
              <w:top w:w="40" w:type="dxa"/>
              <w:left w:w="40" w:type="dxa"/>
              <w:bottom w:w="40" w:type="dxa"/>
              <w:right w:w="40" w:type="dxa"/>
            </w:tcMar>
            <w:vAlign w:val="bottom"/>
          </w:tcPr>
          <w:p w14:paraId="54E9003F"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Share-based compensation</w:t>
            </w:r>
          </w:p>
        </w:tc>
        <w:tc>
          <w:tcPr>
            <w:tcW w:w="0" w:type="auto"/>
            <w:shd w:val="clear" w:color="auto" w:fill="auto"/>
            <w:tcMar>
              <w:top w:w="40" w:type="dxa"/>
              <w:left w:w="40" w:type="dxa"/>
              <w:bottom w:w="40" w:type="dxa"/>
            </w:tcMar>
            <w:vAlign w:val="bottom"/>
          </w:tcPr>
          <w:p w14:paraId="54E90040"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041"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4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43"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044"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4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46"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1,722</w:t>
            </w:r>
          </w:p>
        </w:tc>
        <w:tc>
          <w:tcPr>
            <w:tcW w:w="0" w:type="auto"/>
            <w:shd w:val="clear" w:color="auto" w:fill="auto"/>
            <w:vAlign w:val="bottom"/>
          </w:tcPr>
          <w:p w14:paraId="54E90047"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4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49"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04A"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4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4C"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04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4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4F"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1,722</w:t>
            </w:r>
          </w:p>
        </w:tc>
        <w:tc>
          <w:tcPr>
            <w:tcW w:w="0" w:type="auto"/>
            <w:shd w:val="clear" w:color="auto" w:fill="auto"/>
            <w:vAlign w:val="bottom"/>
          </w:tcPr>
          <w:p w14:paraId="54E9005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5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052"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05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5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55"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056"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5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58"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1,249</w:t>
            </w:r>
          </w:p>
        </w:tc>
        <w:tc>
          <w:tcPr>
            <w:tcW w:w="0" w:type="auto"/>
            <w:shd w:val="clear" w:color="auto" w:fill="auto"/>
            <w:vAlign w:val="bottom"/>
          </w:tcPr>
          <w:p w14:paraId="54E90059"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5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5B"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05C"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5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5E"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05F"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6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61"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1,249</w:t>
            </w:r>
          </w:p>
        </w:tc>
        <w:tc>
          <w:tcPr>
            <w:tcW w:w="0" w:type="auto"/>
            <w:shd w:val="clear" w:color="auto" w:fill="auto"/>
            <w:vAlign w:val="bottom"/>
          </w:tcPr>
          <w:p w14:paraId="54E90062" w14:textId="77777777" w:rsidR="00F427A3" w:rsidRDefault="00F427A3">
            <w:pPr>
              <w:textAlignment w:val="bottom"/>
              <w:rPr>
                <w:rFonts w:ascii="Times New Roman" w:hAnsi="Times New Roman"/>
                <w:sz w:val="20"/>
                <w:szCs w:val="20"/>
              </w:rPr>
            </w:pPr>
          </w:p>
        </w:tc>
      </w:tr>
      <w:tr w:rsidR="0044221F" w14:paraId="54E90088" w14:textId="77777777">
        <w:trPr>
          <w:jc w:val="center"/>
        </w:trPr>
        <w:tc>
          <w:tcPr>
            <w:tcW w:w="0" w:type="auto"/>
            <w:shd w:val="clear" w:color="auto" w:fill="CCEEFF"/>
            <w:tcMar>
              <w:top w:w="40" w:type="dxa"/>
              <w:left w:w="40" w:type="dxa"/>
              <w:bottom w:w="40" w:type="dxa"/>
              <w:right w:w="40" w:type="dxa"/>
            </w:tcMar>
            <w:vAlign w:val="bottom"/>
          </w:tcPr>
          <w:p w14:paraId="54E90064"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Share repurchases</w:t>
            </w:r>
          </w:p>
        </w:tc>
        <w:tc>
          <w:tcPr>
            <w:tcW w:w="0" w:type="auto"/>
            <w:shd w:val="clear" w:color="auto" w:fill="CCEEFF"/>
            <w:tcMar>
              <w:top w:w="40" w:type="dxa"/>
              <w:left w:w="40" w:type="dxa"/>
              <w:bottom w:w="40" w:type="dxa"/>
            </w:tcMar>
            <w:vAlign w:val="bottom"/>
          </w:tcPr>
          <w:p w14:paraId="54E90065"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(7</w:t>
            </w:r>
          </w:p>
        </w:tc>
        <w:tc>
          <w:tcPr>
            <w:tcW w:w="0" w:type="auto"/>
            <w:shd w:val="clear" w:color="auto" w:fill="CCEEFF"/>
            <w:tcMar>
              <w:top w:w="40" w:type="dxa"/>
              <w:bottom w:w="40" w:type="dxa"/>
              <w:right w:w="40" w:type="dxa"/>
            </w:tcMar>
            <w:vAlign w:val="bottom"/>
          </w:tcPr>
          <w:p w14:paraId="54E90066"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06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068"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069"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06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06B"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06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06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06E"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06F"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07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071"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(1,734</w:t>
            </w:r>
          </w:p>
        </w:tc>
        <w:tc>
          <w:tcPr>
            <w:tcW w:w="0" w:type="auto"/>
            <w:shd w:val="clear" w:color="auto" w:fill="CCEEFF"/>
            <w:tcMar>
              <w:top w:w="40" w:type="dxa"/>
              <w:bottom w:w="40" w:type="dxa"/>
              <w:right w:w="40" w:type="dxa"/>
            </w:tcMar>
            <w:vAlign w:val="bottom"/>
          </w:tcPr>
          <w:p w14:paraId="54E90072"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07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074"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(1,734</w:t>
            </w:r>
          </w:p>
        </w:tc>
        <w:tc>
          <w:tcPr>
            <w:tcW w:w="0" w:type="auto"/>
            <w:shd w:val="clear" w:color="auto" w:fill="CCEEFF"/>
            <w:tcMar>
              <w:top w:w="40" w:type="dxa"/>
              <w:bottom w:w="40" w:type="dxa"/>
              <w:right w:w="40" w:type="dxa"/>
            </w:tcMar>
            <w:vAlign w:val="bottom"/>
          </w:tcPr>
          <w:p w14:paraId="54E90075"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07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077"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(6</w:t>
            </w:r>
          </w:p>
        </w:tc>
        <w:tc>
          <w:tcPr>
            <w:tcW w:w="0" w:type="auto"/>
            <w:shd w:val="clear" w:color="auto" w:fill="CCEEFF"/>
            <w:tcMar>
              <w:top w:w="40" w:type="dxa"/>
              <w:bottom w:w="40" w:type="dxa"/>
              <w:right w:w="40" w:type="dxa"/>
            </w:tcMar>
            <w:vAlign w:val="bottom"/>
          </w:tcPr>
          <w:p w14:paraId="54E90078"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07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07A"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07B"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07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07D"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07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07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080"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081"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08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083"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(1,151</w:t>
            </w:r>
          </w:p>
        </w:tc>
        <w:tc>
          <w:tcPr>
            <w:tcW w:w="0" w:type="auto"/>
            <w:shd w:val="clear" w:color="auto" w:fill="CCEEFF"/>
            <w:tcMar>
              <w:top w:w="40" w:type="dxa"/>
              <w:bottom w:w="40" w:type="dxa"/>
              <w:right w:w="40" w:type="dxa"/>
            </w:tcMar>
            <w:vAlign w:val="bottom"/>
          </w:tcPr>
          <w:p w14:paraId="54E90084"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08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086"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(1,151</w:t>
            </w:r>
          </w:p>
        </w:tc>
        <w:tc>
          <w:tcPr>
            <w:tcW w:w="0" w:type="auto"/>
            <w:shd w:val="clear" w:color="auto" w:fill="CCEEFF"/>
            <w:tcMar>
              <w:top w:w="40" w:type="dxa"/>
              <w:bottom w:w="40" w:type="dxa"/>
              <w:right w:w="40" w:type="dxa"/>
            </w:tcMar>
            <w:vAlign w:val="bottom"/>
          </w:tcPr>
          <w:p w14:paraId="54E90087"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r>
      <w:tr w:rsidR="00F427A3" w14:paraId="54E900AD" w14:textId="77777777">
        <w:trPr>
          <w:jc w:val="center"/>
        </w:trPr>
        <w:tc>
          <w:tcPr>
            <w:tcW w:w="0" w:type="auto"/>
            <w:shd w:val="clear" w:color="auto" w:fill="auto"/>
            <w:tcMar>
              <w:top w:w="40" w:type="dxa"/>
              <w:left w:w="40" w:type="dxa"/>
              <w:bottom w:w="40" w:type="dxa"/>
              <w:right w:w="40" w:type="dxa"/>
            </w:tcMar>
            <w:vAlign w:val="bottom"/>
          </w:tcPr>
          <w:p w14:paraId="54E90089"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Other comprehensive income</w:t>
            </w:r>
            <w:r>
              <w:rPr>
                <w:rFonts w:ascii="Times New Roman" w:eastAsia="宋体" w:hAnsi="Times New Roman"/>
                <w:sz w:val="18"/>
                <w:szCs w:val="18"/>
              </w:rPr>
              <w:t xml:space="preserve"> (loss)</w:t>
            </w:r>
          </w:p>
        </w:tc>
        <w:tc>
          <w:tcPr>
            <w:tcW w:w="0" w:type="auto"/>
            <w:shd w:val="clear" w:color="auto" w:fill="auto"/>
            <w:tcMar>
              <w:top w:w="40" w:type="dxa"/>
              <w:left w:w="40" w:type="dxa"/>
              <w:bottom w:w="40" w:type="dxa"/>
            </w:tcMar>
            <w:vAlign w:val="bottom"/>
          </w:tcPr>
          <w:p w14:paraId="54E9008A"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08B"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8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8D"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08E"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8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90"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091"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9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93"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450</w:t>
            </w:r>
          </w:p>
        </w:tc>
        <w:tc>
          <w:tcPr>
            <w:tcW w:w="0" w:type="auto"/>
            <w:shd w:val="clear" w:color="auto" w:fill="auto"/>
            <w:vAlign w:val="bottom"/>
          </w:tcPr>
          <w:p w14:paraId="54E90094"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9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96"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097"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9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99"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450</w:t>
            </w:r>
          </w:p>
        </w:tc>
        <w:tc>
          <w:tcPr>
            <w:tcW w:w="0" w:type="auto"/>
            <w:shd w:val="clear" w:color="auto" w:fill="auto"/>
            <w:vAlign w:val="bottom"/>
          </w:tcPr>
          <w:p w14:paraId="54E9009A"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9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09C"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09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9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9F"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0A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A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A2"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0A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A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A5"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(366</w:t>
            </w:r>
          </w:p>
        </w:tc>
        <w:tc>
          <w:tcPr>
            <w:tcW w:w="0" w:type="auto"/>
            <w:shd w:val="clear" w:color="auto" w:fill="auto"/>
            <w:tcMar>
              <w:top w:w="40" w:type="dxa"/>
              <w:bottom w:w="40" w:type="dxa"/>
              <w:right w:w="40" w:type="dxa"/>
            </w:tcMar>
            <w:vAlign w:val="bottom"/>
          </w:tcPr>
          <w:p w14:paraId="54E900A6"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4E900A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A8"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0A9"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A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0AB"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(366</w:t>
            </w:r>
          </w:p>
        </w:tc>
        <w:tc>
          <w:tcPr>
            <w:tcW w:w="0" w:type="auto"/>
            <w:shd w:val="clear" w:color="auto" w:fill="auto"/>
            <w:tcMar>
              <w:top w:w="40" w:type="dxa"/>
              <w:bottom w:w="40" w:type="dxa"/>
              <w:right w:w="40" w:type="dxa"/>
            </w:tcMar>
            <w:vAlign w:val="bottom"/>
          </w:tcPr>
          <w:p w14:paraId="54E900AC"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r>
      <w:tr w:rsidR="0044221F" w14:paraId="54E900D2" w14:textId="77777777">
        <w:trPr>
          <w:jc w:val="center"/>
        </w:trPr>
        <w:tc>
          <w:tcPr>
            <w:tcW w:w="0" w:type="auto"/>
            <w:shd w:val="clear" w:color="auto" w:fill="CCEEFF"/>
            <w:tcMar>
              <w:top w:w="40" w:type="dxa"/>
              <w:left w:w="40" w:type="dxa"/>
              <w:bottom w:w="40" w:type="dxa"/>
              <w:right w:w="40" w:type="dxa"/>
            </w:tcMar>
            <w:vAlign w:val="bottom"/>
          </w:tcPr>
          <w:p w14:paraId="54E900AE"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Net income</w:t>
            </w:r>
          </w:p>
        </w:tc>
        <w:tc>
          <w:tcPr>
            <w:tcW w:w="0" w:type="auto"/>
            <w:tcBorders>
              <w:bottom w:val="single" w:sz="8" w:space="0" w:color="000000"/>
            </w:tcBorders>
            <w:shd w:val="clear" w:color="auto" w:fill="CCEEFF"/>
            <w:tcMar>
              <w:top w:w="40" w:type="dxa"/>
              <w:left w:w="40" w:type="dxa"/>
              <w:bottom w:w="40" w:type="dxa"/>
            </w:tcMar>
            <w:vAlign w:val="bottom"/>
          </w:tcPr>
          <w:p w14:paraId="54E900AF"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54E900B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0B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0B2"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54E900B3"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0B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0B5"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54E900B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0B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0B8"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54E900B9"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0B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0BB"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7,846</w:t>
            </w:r>
          </w:p>
        </w:tc>
        <w:tc>
          <w:tcPr>
            <w:tcW w:w="0" w:type="auto"/>
            <w:tcBorders>
              <w:bottom w:val="single" w:sz="8" w:space="0" w:color="000000"/>
            </w:tcBorders>
            <w:shd w:val="clear" w:color="auto" w:fill="CCEEFF"/>
            <w:vAlign w:val="bottom"/>
          </w:tcPr>
          <w:p w14:paraId="54E900B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0B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0BE"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7,846</w:t>
            </w:r>
          </w:p>
        </w:tc>
        <w:tc>
          <w:tcPr>
            <w:tcW w:w="0" w:type="auto"/>
            <w:shd w:val="clear" w:color="auto" w:fill="CCEEFF"/>
            <w:vAlign w:val="bottom"/>
          </w:tcPr>
          <w:p w14:paraId="54E900BF"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0C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4E900C1"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54E900C2"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0C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0C4"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54E900C5"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0C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0C7"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54E900C8"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0C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0CA"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54E900CB"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0C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0CD"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6,091</w:t>
            </w:r>
          </w:p>
        </w:tc>
        <w:tc>
          <w:tcPr>
            <w:tcW w:w="0" w:type="auto"/>
            <w:tcBorders>
              <w:bottom w:val="single" w:sz="8" w:space="0" w:color="000000"/>
            </w:tcBorders>
            <w:shd w:val="clear" w:color="auto" w:fill="CCEEFF"/>
            <w:vAlign w:val="bottom"/>
          </w:tcPr>
          <w:p w14:paraId="54E900C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0C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0D0"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6,091</w:t>
            </w:r>
          </w:p>
        </w:tc>
        <w:tc>
          <w:tcPr>
            <w:tcW w:w="0" w:type="auto"/>
            <w:shd w:val="clear" w:color="auto" w:fill="CCEEFF"/>
            <w:vAlign w:val="bottom"/>
          </w:tcPr>
          <w:p w14:paraId="54E900D1" w14:textId="77777777" w:rsidR="00F427A3" w:rsidRDefault="00F427A3">
            <w:pPr>
              <w:textAlignment w:val="bottom"/>
              <w:rPr>
                <w:rFonts w:ascii="Times New Roman" w:hAnsi="Times New Roman"/>
                <w:sz w:val="20"/>
                <w:szCs w:val="20"/>
              </w:rPr>
            </w:pPr>
          </w:p>
        </w:tc>
      </w:tr>
      <w:tr w:rsidR="00F427A3" w14:paraId="54E90101" w14:textId="77777777">
        <w:trPr>
          <w:jc w:val="center"/>
        </w:trPr>
        <w:tc>
          <w:tcPr>
            <w:tcW w:w="0" w:type="auto"/>
            <w:shd w:val="clear" w:color="auto" w:fill="auto"/>
            <w:tcMar>
              <w:top w:w="40" w:type="dxa"/>
              <w:left w:w="40" w:type="dxa"/>
              <w:bottom w:w="40" w:type="dxa"/>
              <w:right w:w="40" w:type="dxa"/>
            </w:tcMar>
            <w:vAlign w:val="bottom"/>
          </w:tcPr>
          <w:p w14:paraId="54E900D3"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Balances at end of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0D4"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2,850</w:t>
            </w:r>
          </w:p>
        </w:tc>
        <w:tc>
          <w:tcPr>
            <w:tcW w:w="0" w:type="auto"/>
            <w:tcBorders>
              <w:top w:val="single" w:sz="8" w:space="0" w:color="000000"/>
              <w:bottom w:val="double" w:sz="6" w:space="0" w:color="000000"/>
            </w:tcBorders>
            <w:shd w:val="clear" w:color="auto" w:fill="auto"/>
            <w:vAlign w:val="bottom"/>
          </w:tcPr>
          <w:p w14:paraId="54E900D5"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D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0D7"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0D8"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vAlign w:val="bottom"/>
          </w:tcPr>
          <w:p w14:paraId="54E900D9"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D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0DB"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0DC"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48,910</w:t>
            </w:r>
          </w:p>
        </w:tc>
        <w:tc>
          <w:tcPr>
            <w:tcW w:w="0" w:type="auto"/>
            <w:tcBorders>
              <w:top w:val="single" w:sz="8" w:space="0" w:color="000000"/>
              <w:bottom w:val="double" w:sz="6" w:space="0" w:color="000000"/>
            </w:tcBorders>
            <w:shd w:val="clear" w:color="auto" w:fill="auto"/>
            <w:vAlign w:val="bottom"/>
          </w:tcPr>
          <w:p w14:paraId="54E900D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D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0DF"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0E0"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308</w:t>
            </w:r>
          </w:p>
        </w:tc>
        <w:tc>
          <w:tcPr>
            <w:tcW w:w="0" w:type="auto"/>
            <w:tcBorders>
              <w:top w:val="single" w:sz="8" w:space="0" w:color="000000"/>
              <w:bottom w:val="double" w:sz="6" w:space="0" w:color="000000"/>
            </w:tcBorders>
            <w:shd w:val="clear" w:color="auto" w:fill="auto"/>
            <w:vAlign w:val="bottom"/>
          </w:tcPr>
          <w:p w14:paraId="54E900E1"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E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0E3"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0E4"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68,513</w:t>
            </w:r>
          </w:p>
        </w:tc>
        <w:tc>
          <w:tcPr>
            <w:tcW w:w="0" w:type="auto"/>
            <w:tcBorders>
              <w:top w:val="single" w:sz="8" w:space="0" w:color="000000"/>
              <w:bottom w:val="double" w:sz="6" w:space="0" w:color="000000"/>
            </w:tcBorders>
            <w:shd w:val="clear" w:color="auto" w:fill="auto"/>
            <w:vAlign w:val="bottom"/>
          </w:tcPr>
          <w:p w14:paraId="54E900E5"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E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0E7"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0E8"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117,731</w:t>
            </w:r>
          </w:p>
        </w:tc>
        <w:tc>
          <w:tcPr>
            <w:tcW w:w="0" w:type="auto"/>
            <w:tcBorders>
              <w:top w:val="single" w:sz="8" w:space="0" w:color="000000"/>
              <w:bottom w:val="double" w:sz="6" w:space="0" w:color="000000"/>
            </w:tcBorders>
            <w:shd w:val="clear" w:color="auto" w:fill="auto"/>
            <w:vAlign w:val="bottom"/>
          </w:tcPr>
          <w:p w14:paraId="54E900E9"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E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0EB"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2,854</w:t>
            </w:r>
          </w:p>
        </w:tc>
        <w:tc>
          <w:tcPr>
            <w:tcW w:w="0" w:type="auto"/>
            <w:tcBorders>
              <w:top w:val="single" w:sz="8" w:space="0" w:color="000000"/>
              <w:bottom w:val="double" w:sz="6" w:space="0" w:color="000000"/>
            </w:tcBorders>
            <w:shd w:val="clear" w:color="auto" w:fill="auto"/>
            <w:vAlign w:val="bottom"/>
          </w:tcPr>
          <w:p w14:paraId="54E900EC"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E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0EE"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0EF"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vAlign w:val="bottom"/>
          </w:tcPr>
          <w:p w14:paraId="54E900F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F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0F2"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0F3"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45,059</w:t>
            </w:r>
          </w:p>
        </w:tc>
        <w:tc>
          <w:tcPr>
            <w:tcW w:w="0" w:type="auto"/>
            <w:tcBorders>
              <w:top w:val="single" w:sz="8" w:space="0" w:color="000000"/>
              <w:bottom w:val="double" w:sz="6" w:space="0" w:color="000000"/>
            </w:tcBorders>
            <w:shd w:val="clear" w:color="auto" w:fill="auto"/>
            <w:vAlign w:val="bottom"/>
          </w:tcPr>
          <w:p w14:paraId="54E900F4"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F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0F6"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0F7"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(849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4E900F8"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4E900F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0FA"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0FB"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49,789</w:t>
            </w:r>
          </w:p>
        </w:tc>
        <w:tc>
          <w:tcPr>
            <w:tcW w:w="0" w:type="auto"/>
            <w:tcBorders>
              <w:top w:val="single" w:sz="8" w:space="0" w:color="000000"/>
              <w:bottom w:val="double" w:sz="6" w:space="0" w:color="000000"/>
            </w:tcBorders>
            <w:shd w:val="clear" w:color="auto" w:fill="auto"/>
            <w:vAlign w:val="bottom"/>
          </w:tcPr>
          <w:p w14:paraId="54E900FC"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0F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0FE"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0FF"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93,999</w:t>
            </w:r>
          </w:p>
        </w:tc>
        <w:tc>
          <w:tcPr>
            <w:tcW w:w="0" w:type="auto"/>
            <w:tcBorders>
              <w:top w:val="single" w:sz="8" w:space="0" w:color="000000"/>
              <w:bottom w:val="double" w:sz="6" w:space="0" w:color="000000"/>
            </w:tcBorders>
            <w:shd w:val="clear" w:color="auto" w:fill="auto"/>
            <w:vAlign w:val="bottom"/>
          </w:tcPr>
          <w:p w14:paraId="54E90100" w14:textId="77777777" w:rsidR="00F427A3" w:rsidRDefault="00F427A3">
            <w:pPr>
              <w:textAlignment w:val="bottom"/>
              <w:rPr>
                <w:rFonts w:ascii="Times New Roman" w:hAnsi="Times New Roman"/>
                <w:sz w:val="20"/>
                <w:szCs w:val="20"/>
              </w:rPr>
            </w:pPr>
          </w:p>
        </w:tc>
      </w:tr>
      <w:tr w:rsidR="00F427A3" w14:paraId="54E9011A" w14:textId="77777777">
        <w:trPr>
          <w:jc w:val="center"/>
        </w:trPr>
        <w:tc>
          <w:tcPr>
            <w:tcW w:w="0" w:type="auto"/>
            <w:shd w:val="clear" w:color="auto" w:fill="auto"/>
            <w:tcMar>
              <w:top w:w="40" w:type="dxa"/>
              <w:left w:w="40" w:type="dxa"/>
              <w:bottom w:w="40" w:type="dxa"/>
              <w:right w:w="40" w:type="dxa"/>
            </w:tcMar>
            <w:vAlign w:val="bottom"/>
          </w:tcPr>
          <w:p w14:paraId="54E9010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010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10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10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10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10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10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10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10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10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10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10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10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010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11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11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11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11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11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11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11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11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11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11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11F" w14:textId="77777777">
        <w:trPr>
          <w:jc w:val="center"/>
        </w:trPr>
        <w:tc>
          <w:tcPr>
            <w:tcW w:w="0" w:type="auto"/>
            <w:shd w:val="clear" w:color="auto" w:fill="auto"/>
            <w:tcMar>
              <w:top w:w="40" w:type="dxa"/>
              <w:left w:w="40" w:type="dxa"/>
              <w:bottom w:w="40" w:type="dxa"/>
              <w:right w:w="40" w:type="dxa"/>
            </w:tcMar>
            <w:vAlign w:val="bottom"/>
          </w:tcPr>
          <w:p w14:paraId="54E9011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2"/>
            <w:tcBorders>
              <w:bottom w:val="single" w:sz="8" w:space="0" w:color="000000"/>
            </w:tcBorders>
            <w:shd w:val="clear" w:color="auto" w:fill="auto"/>
            <w:tcMar>
              <w:top w:w="40" w:type="dxa"/>
              <w:left w:w="40" w:type="dxa"/>
              <w:bottom w:w="40" w:type="dxa"/>
            </w:tcMar>
            <w:vAlign w:val="bottom"/>
          </w:tcPr>
          <w:p w14:paraId="54E9011C"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Nine Months Ended September 30, 2020</w:t>
            </w:r>
          </w:p>
        </w:tc>
        <w:tc>
          <w:tcPr>
            <w:tcW w:w="0" w:type="auto"/>
            <w:shd w:val="clear" w:color="auto" w:fill="auto"/>
            <w:tcMar>
              <w:top w:w="40" w:type="dxa"/>
              <w:left w:w="40" w:type="dxa"/>
              <w:bottom w:w="40" w:type="dxa"/>
              <w:right w:w="40" w:type="dxa"/>
            </w:tcMar>
            <w:vAlign w:val="bottom"/>
          </w:tcPr>
          <w:p w14:paraId="54E9011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2"/>
            <w:tcBorders>
              <w:bottom w:val="single" w:sz="8" w:space="0" w:color="000000"/>
            </w:tcBorders>
            <w:shd w:val="clear" w:color="auto" w:fill="auto"/>
            <w:tcMar>
              <w:top w:w="40" w:type="dxa"/>
              <w:left w:w="40" w:type="dxa"/>
              <w:bottom w:w="40" w:type="dxa"/>
            </w:tcMar>
            <w:vAlign w:val="bottom"/>
          </w:tcPr>
          <w:p w14:paraId="54E9011E"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Nine Months Ended September 30, 2019</w:t>
            </w:r>
          </w:p>
        </w:tc>
      </w:tr>
      <w:tr w:rsidR="00F427A3" w14:paraId="54E90135" w14:textId="77777777">
        <w:trPr>
          <w:jc w:val="center"/>
        </w:trPr>
        <w:tc>
          <w:tcPr>
            <w:tcW w:w="0" w:type="auto"/>
            <w:shd w:val="clear" w:color="auto" w:fill="auto"/>
            <w:tcMar>
              <w:top w:w="40" w:type="dxa"/>
              <w:left w:w="40" w:type="dxa"/>
              <w:bottom w:w="40" w:type="dxa"/>
              <w:right w:w="40" w:type="dxa"/>
            </w:tcMar>
            <w:vAlign w:val="bottom"/>
          </w:tcPr>
          <w:p w14:paraId="54E9012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54E90121"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Class A and Class B Common Stock</w:t>
            </w:r>
          </w:p>
        </w:tc>
        <w:tc>
          <w:tcPr>
            <w:tcW w:w="0" w:type="auto"/>
            <w:shd w:val="clear" w:color="auto" w:fill="auto"/>
            <w:tcMar>
              <w:top w:w="40" w:type="dxa"/>
              <w:left w:w="40" w:type="dxa"/>
              <w:bottom w:w="40" w:type="dxa"/>
              <w:right w:w="40" w:type="dxa"/>
            </w:tcMar>
            <w:vAlign w:val="bottom"/>
          </w:tcPr>
          <w:p w14:paraId="54E9012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54E90123"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xml:space="preserve">Additional </w:t>
            </w:r>
          </w:p>
          <w:p w14:paraId="54E90124"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Paid-In Capital</w:t>
            </w:r>
          </w:p>
        </w:tc>
        <w:tc>
          <w:tcPr>
            <w:tcW w:w="0" w:type="auto"/>
            <w:vMerge w:val="restart"/>
            <w:shd w:val="clear" w:color="auto" w:fill="auto"/>
            <w:tcMar>
              <w:top w:w="40" w:type="dxa"/>
              <w:left w:w="40" w:type="dxa"/>
              <w:bottom w:w="40" w:type="dxa"/>
              <w:right w:w="40" w:type="dxa"/>
            </w:tcMar>
            <w:vAlign w:val="bottom"/>
          </w:tcPr>
          <w:p w14:paraId="54E9012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54E90126"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Accumulated Other Comprehensive Income (Loss)</w:t>
            </w:r>
          </w:p>
        </w:tc>
        <w:tc>
          <w:tcPr>
            <w:tcW w:w="0" w:type="auto"/>
            <w:vMerge w:val="restart"/>
            <w:shd w:val="clear" w:color="auto" w:fill="auto"/>
            <w:tcMar>
              <w:top w:w="40" w:type="dxa"/>
              <w:left w:w="40" w:type="dxa"/>
              <w:bottom w:w="40" w:type="dxa"/>
              <w:right w:w="40" w:type="dxa"/>
            </w:tcMar>
            <w:vAlign w:val="bottom"/>
          </w:tcPr>
          <w:p w14:paraId="54E9012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54E90128"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Retained Earnings</w:t>
            </w:r>
          </w:p>
        </w:tc>
        <w:tc>
          <w:tcPr>
            <w:tcW w:w="0" w:type="auto"/>
            <w:vMerge w:val="restart"/>
            <w:shd w:val="clear" w:color="auto" w:fill="auto"/>
            <w:tcMar>
              <w:top w:w="40" w:type="dxa"/>
              <w:left w:w="40" w:type="dxa"/>
              <w:bottom w:w="40" w:type="dxa"/>
              <w:right w:w="40" w:type="dxa"/>
            </w:tcMar>
            <w:vAlign w:val="bottom"/>
          </w:tcPr>
          <w:p w14:paraId="54E9012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4E9012A"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xml:space="preserve">Total </w:t>
            </w:r>
            <w:r>
              <w:rPr>
                <w:rFonts w:ascii="Times New Roman" w:eastAsia="宋体" w:hAnsi="Times New Roman"/>
                <w:b/>
                <w:bCs/>
                <w:sz w:val="16"/>
                <w:szCs w:val="16"/>
              </w:rPr>
              <w:t>Stockholders' Equity</w:t>
            </w:r>
          </w:p>
        </w:tc>
        <w:tc>
          <w:tcPr>
            <w:tcW w:w="0" w:type="auto"/>
            <w:shd w:val="clear" w:color="auto" w:fill="auto"/>
            <w:tcMar>
              <w:top w:w="40" w:type="dxa"/>
              <w:left w:w="40" w:type="dxa"/>
              <w:bottom w:w="40" w:type="dxa"/>
              <w:right w:w="40" w:type="dxa"/>
            </w:tcMar>
            <w:vAlign w:val="bottom"/>
          </w:tcPr>
          <w:p w14:paraId="54E9012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54E9012C"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Class A and Class B Common Stock</w:t>
            </w:r>
          </w:p>
        </w:tc>
        <w:tc>
          <w:tcPr>
            <w:tcW w:w="0" w:type="auto"/>
            <w:shd w:val="clear" w:color="auto" w:fill="auto"/>
            <w:tcMar>
              <w:top w:w="40" w:type="dxa"/>
              <w:left w:w="40" w:type="dxa"/>
              <w:bottom w:w="40" w:type="dxa"/>
              <w:right w:w="40" w:type="dxa"/>
            </w:tcMar>
            <w:vAlign w:val="bottom"/>
          </w:tcPr>
          <w:p w14:paraId="54E9012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54E9012E"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Additional Paid-In Capital</w:t>
            </w:r>
          </w:p>
        </w:tc>
        <w:tc>
          <w:tcPr>
            <w:tcW w:w="0" w:type="auto"/>
            <w:vMerge w:val="restart"/>
            <w:shd w:val="clear" w:color="auto" w:fill="auto"/>
            <w:tcMar>
              <w:top w:w="40" w:type="dxa"/>
              <w:left w:w="40" w:type="dxa"/>
              <w:bottom w:w="40" w:type="dxa"/>
              <w:right w:w="40" w:type="dxa"/>
            </w:tcMar>
            <w:vAlign w:val="bottom"/>
          </w:tcPr>
          <w:p w14:paraId="54E9012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54E90130"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Accumulated Other Comprehensive Loss</w:t>
            </w:r>
          </w:p>
        </w:tc>
        <w:tc>
          <w:tcPr>
            <w:tcW w:w="0" w:type="auto"/>
            <w:vMerge w:val="restart"/>
            <w:shd w:val="clear" w:color="auto" w:fill="auto"/>
            <w:tcMar>
              <w:top w:w="40" w:type="dxa"/>
              <w:left w:w="40" w:type="dxa"/>
              <w:bottom w:w="40" w:type="dxa"/>
              <w:right w:w="40" w:type="dxa"/>
            </w:tcMar>
            <w:vAlign w:val="bottom"/>
          </w:tcPr>
          <w:p w14:paraId="54E9013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shd w:val="clear" w:color="auto" w:fill="auto"/>
            <w:tcMar>
              <w:top w:w="40" w:type="dxa"/>
              <w:left w:w="40" w:type="dxa"/>
              <w:bottom w:w="40" w:type="dxa"/>
              <w:right w:w="40" w:type="dxa"/>
            </w:tcMar>
            <w:vAlign w:val="bottom"/>
          </w:tcPr>
          <w:p w14:paraId="54E90132"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Retained Earnings</w:t>
            </w:r>
          </w:p>
        </w:tc>
        <w:tc>
          <w:tcPr>
            <w:tcW w:w="0" w:type="auto"/>
            <w:vMerge w:val="restart"/>
            <w:shd w:val="clear" w:color="auto" w:fill="auto"/>
            <w:tcMar>
              <w:top w:w="40" w:type="dxa"/>
              <w:left w:w="40" w:type="dxa"/>
              <w:bottom w:w="40" w:type="dxa"/>
              <w:right w:w="40" w:type="dxa"/>
            </w:tcMar>
            <w:vAlign w:val="bottom"/>
          </w:tcPr>
          <w:p w14:paraId="54E9013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4E90134"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Total Stockholders' Equity</w:t>
            </w:r>
          </w:p>
        </w:tc>
      </w:tr>
      <w:tr w:rsidR="00F427A3" w14:paraId="54E90150" w14:textId="77777777">
        <w:trPr>
          <w:jc w:val="center"/>
        </w:trPr>
        <w:tc>
          <w:tcPr>
            <w:tcW w:w="0" w:type="auto"/>
            <w:shd w:val="clear" w:color="auto" w:fill="auto"/>
            <w:tcMar>
              <w:top w:w="40" w:type="dxa"/>
              <w:left w:w="40" w:type="dxa"/>
              <w:bottom w:w="40" w:type="dxa"/>
              <w:right w:w="40" w:type="dxa"/>
            </w:tcMar>
            <w:vAlign w:val="bottom"/>
          </w:tcPr>
          <w:p w14:paraId="54E9013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0137"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Shares</w:t>
            </w:r>
          </w:p>
        </w:tc>
        <w:tc>
          <w:tcPr>
            <w:tcW w:w="0" w:type="auto"/>
            <w:shd w:val="clear" w:color="auto" w:fill="auto"/>
            <w:tcMar>
              <w:top w:w="40" w:type="dxa"/>
              <w:left w:w="40" w:type="dxa"/>
              <w:bottom w:w="40" w:type="dxa"/>
              <w:right w:w="40" w:type="dxa"/>
            </w:tcMar>
            <w:vAlign w:val="bottom"/>
          </w:tcPr>
          <w:p w14:paraId="54E9013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139"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Par </w:t>
            </w:r>
          </w:p>
          <w:p w14:paraId="54E9013A"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Value</w:t>
            </w:r>
          </w:p>
        </w:tc>
        <w:tc>
          <w:tcPr>
            <w:tcW w:w="0" w:type="auto"/>
            <w:shd w:val="clear" w:color="auto" w:fill="auto"/>
            <w:tcMar>
              <w:top w:w="40" w:type="dxa"/>
              <w:left w:w="40" w:type="dxa"/>
              <w:bottom w:w="40" w:type="dxa"/>
              <w:right w:w="40" w:type="dxa"/>
            </w:tcMar>
            <w:vAlign w:val="bottom"/>
          </w:tcPr>
          <w:p w14:paraId="54E9013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shd w:val="clear" w:color="auto" w:fill="auto"/>
            <w:tcMar>
              <w:top w:w="40" w:type="dxa"/>
              <w:left w:w="40" w:type="dxa"/>
              <w:bottom w:w="40" w:type="dxa"/>
              <w:right w:w="40" w:type="dxa"/>
            </w:tcMar>
            <w:vAlign w:val="bottom"/>
          </w:tcPr>
          <w:p w14:paraId="54E9013C" w14:textId="77777777" w:rsidR="00F427A3" w:rsidRDefault="00F427A3">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4E9013D" w14:textId="77777777" w:rsidR="00F427A3" w:rsidRDefault="00F427A3">
            <w:pPr>
              <w:rPr>
                <w:rFonts w:ascii="Times New Roman" w:hAnsi="Times New Roman"/>
                <w:sz w:val="20"/>
                <w:szCs w:val="20"/>
              </w:rPr>
            </w:pPr>
          </w:p>
        </w:tc>
        <w:tc>
          <w:tcPr>
            <w:tcW w:w="0" w:type="auto"/>
            <w:gridSpan w:val="3"/>
            <w:vMerge/>
            <w:shd w:val="clear" w:color="auto" w:fill="auto"/>
            <w:tcMar>
              <w:top w:w="40" w:type="dxa"/>
              <w:left w:w="40" w:type="dxa"/>
              <w:bottom w:w="40" w:type="dxa"/>
              <w:right w:w="40" w:type="dxa"/>
            </w:tcMar>
            <w:vAlign w:val="bottom"/>
          </w:tcPr>
          <w:p w14:paraId="54E9013E" w14:textId="77777777" w:rsidR="00F427A3" w:rsidRDefault="00F427A3">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4E9013F" w14:textId="77777777" w:rsidR="00F427A3" w:rsidRDefault="00F427A3">
            <w:pPr>
              <w:rPr>
                <w:rFonts w:ascii="Times New Roman" w:hAnsi="Times New Roman"/>
                <w:sz w:val="20"/>
                <w:szCs w:val="20"/>
              </w:rPr>
            </w:pPr>
          </w:p>
        </w:tc>
        <w:tc>
          <w:tcPr>
            <w:tcW w:w="0" w:type="auto"/>
            <w:gridSpan w:val="3"/>
            <w:vMerge/>
            <w:shd w:val="clear" w:color="auto" w:fill="auto"/>
            <w:tcMar>
              <w:top w:w="40" w:type="dxa"/>
              <w:left w:w="40" w:type="dxa"/>
              <w:bottom w:w="40" w:type="dxa"/>
              <w:right w:w="40" w:type="dxa"/>
            </w:tcMar>
            <w:vAlign w:val="bottom"/>
          </w:tcPr>
          <w:p w14:paraId="54E90140" w14:textId="77777777" w:rsidR="00F427A3" w:rsidRDefault="00F427A3">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4E90141" w14:textId="77777777" w:rsidR="00F427A3" w:rsidRDefault="00F427A3">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4E90142" w14:textId="77777777" w:rsidR="00F427A3" w:rsidRDefault="00F427A3">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14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4E90144"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Shares</w:t>
            </w:r>
          </w:p>
        </w:tc>
        <w:tc>
          <w:tcPr>
            <w:tcW w:w="0" w:type="auto"/>
            <w:shd w:val="clear" w:color="auto" w:fill="auto"/>
            <w:tcMar>
              <w:top w:w="40" w:type="dxa"/>
              <w:left w:w="40" w:type="dxa"/>
              <w:bottom w:w="40" w:type="dxa"/>
              <w:right w:w="40" w:type="dxa"/>
            </w:tcMar>
            <w:vAlign w:val="bottom"/>
          </w:tcPr>
          <w:p w14:paraId="54E9014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0146"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Par </w:t>
            </w:r>
          </w:p>
          <w:p w14:paraId="54E90147"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Value</w:t>
            </w:r>
          </w:p>
        </w:tc>
        <w:tc>
          <w:tcPr>
            <w:tcW w:w="0" w:type="auto"/>
            <w:shd w:val="clear" w:color="auto" w:fill="auto"/>
            <w:tcMar>
              <w:top w:w="40" w:type="dxa"/>
              <w:left w:w="40" w:type="dxa"/>
              <w:bottom w:w="40" w:type="dxa"/>
              <w:right w:w="40" w:type="dxa"/>
            </w:tcMar>
            <w:vAlign w:val="bottom"/>
          </w:tcPr>
          <w:p w14:paraId="54E9014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shd w:val="clear" w:color="auto" w:fill="auto"/>
            <w:tcMar>
              <w:top w:w="40" w:type="dxa"/>
              <w:left w:w="40" w:type="dxa"/>
              <w:bottom w:w="40" w:type="dxa"/>
              <w:right w:w="40" w:type="dxa"/>
            </w:tcMar>
            <w:vAlign w:val="bottom"/>
          </w:tcPr>
          <w:p w14:paraId="54E90149" w14:textId="77777777" w:rsidR="00F427A3" w:rsidRDefault="00F427A3">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4E9014A" w14:textId="77777777" w:rsidR="00F427A3" w:rsidRDefault="00F427A3">
            <w:pPr>
              <w:rPr>
                <w:rFonts w:ascii="Times New Roman" w:hAnsi="Times New Roman"/>
                <w:sz w:val="20"/>
                <w:szCs w:val="20"/>
              </w:rPr>
            </w:pPr>
          </w:p>
        </w:tc>
        <w:tc>
          <w:tcPr>
            <w:tcW w:w="0" w:type="auto"/>
            <w:gridSpan w:val="3"/>
            <w:vMerge/>
            <w:shd w:val="clear" w:color="auto" w:fill="auto"/>
            <w:tcMar>
              <w:top w:w="40" w:type="dxa"/>
              <w:left w:w="40" w:type="dxa"/>
              <w:bottom w:w="40" w:type="dxa"/>
              <w:right w:w="40" w:type="dxa"/>
            </w:tcMar>
            <w:vAlign w:val="bottom"/>
          </w:tcPr>
          <w:p w14:paraId="54E9014B" w14:textId="77777777" w:rsidR="00F427A3" w:rsidRDefault="00F427A3">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4E9014C" w14:textId="77777777" w:rsidR="00F427A3" w:rsidRDefault="00F427A3">
            <w:pPr>
              <w:rPr>
                <w:rFonts w:ascii="Times New Roman" w:hAnsi="Times New Roman"/>
                <w:sz w:val="20"/>
                <w:szCs w:val="20"/>
              </w:rPr>
            </w:pPr>
          </w:p>
        </w:tc>
        <w:tc>
          <w:tcPr>
            <w:tcW w:w="0" w:type="auto"/>
            <w:gridSpan w:val="3"/>
            <w:vMerge/>
            <w:shd w:val="clear" w:color="auto" w:fill="auto"/>
            <w:tcMar>
              <w:top w:w="40" w:type="dxa"/>
              <w:left w:w="40" w:type="dxa"/>
              <w:bottom w:w="40" w:type="dxa"/>
              <w:right w:w="40" w:type="dxa"/>
            </w:tcMar>
            <w:vAlign w:val="bottom"/>
          </w:tcPr>
          <w:p w14:paraId="54E9014D" w14:textId="77777777" w:rsidR="00F427A3" w:rsidRDefault="00F427A3">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4E9014E" w14:textId="77777777" w:rsidR="00F427A3" w:rsidRDefault="00F427A3">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4E9014F" w14:textId="77777777" w:rsidR="00F427A3" w:rsidRDefault="00F427A3">
            <w:pPr>
              <w:rPr>
                <w:rFonts w:ascii="Times New Roman" w:hAnsi="Times New Roman"/>
                <w:sz w:val="20"/>
                <w:szCs w:val="20"/>
              </w:rPr>
            </w:pPr>
          </w:p>
        </w:tc>
      </w:tr>
      <w:tr w:rsidR="0044221F" w14:paraId="54E9017F" w14:textId="77777777">
        <w:trPr>
          <w:jc w:val="center"/>
        </w:trPr>
        <w:tc>
          <w:tcPr>
            <w:tcW w:w="0" w:type="auto"/>
            <w:shd w:val="clear" w:color="auto" w:fill="CCEEFF"/>
            <w:tcMar>
              <w:top w:w="40" w:type="dxa"/>
              <w:left w:w="40" w:type="dxa"/>
              <w:bottom w:w="40" w:type="dxa"/>
              <w:right w:w="40" w:type="dxa"/>
            </w:tcMar>
            <w:vAlign w:val="bottom"/>
          </w:tcPr>
          <w:p w14:paraId="54E90151"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Balances at beginning of period</w:t>
            </w:r>
          </w:p>
        </w:tc>
        <w:tc>
          <w:tcPr>
            <w:tcW w:w="0" w:type="auto"/>
            <w:tcBorders>
              <w:top w:val="single" w:sz="8" w:space="0" w:color="000000"/>
            </w:tcBorders>
            <w:shd w:val="clear" w:color="auto" w:fill="CCEEFF"/>
            <w:tcMar>
              <w:top w:w="40" w:type="dxa"/>
              <w:left w:w="40" w:type="dxa"/>
              <w:bottom w:w="40" w:type="dxa"/>
            </w:tcMar>
            <w:vAlign w:val="bottom"/>
          </w:tcPr>
          <w:p w14:paraId="54E90152"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2,852</w:t>
            </w:r>
          </w:p>
        </w:tc>
        <w:tc>
          <w:tcPr>
            <w:tcW w:w="0" w:type="auto"/>
            <w:tcBorders>
              <w:top w:val="single" w:sz="8" w:space="0" w:color="000000"/>
            </w:tcBorders>
            <w:shd w:val="clear" w:color="auto" w:fill="CCEEFF"/>
            <w:vAlign w:val="bottom"/>
          </w:tcPr>
          <w:p w14:paraId="54E90153"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15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90155"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4E90156"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vAlign w:val="bottom"/>
          </w:tcPr>
          <w:p w14:paraId="54E9015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15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90159"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4E9015A"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45,851</w:t>
            </w:r>
          </w:p>
        </w:tc>
        <w:tc>
          <w:tcPr>
            <w:tcW w:w="0" w:type="auto"/>
            <w:tcBorders>
              <w:top w:val="single" w:sz="8" w:space="0" w:color="000000"/>
            </w:tcBorders>
            <w:shd w:val="clear" w:color="auto" w:fill="CCEEFF"/>
            <w:vAlign w:val="bottom"/>
          </w:tcPr>
          <w:p w14:paraId="54E9015B"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15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9015D"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4E9015E"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(489</w:t>
            </w:r>
          </w:p>
        </w:tc>
        <w:tc>
          <w:tcPr>
            <w:tcW w:w="0" w:type="auto"/>
            <w:tcBorders>
              <w:top w:val="single" w:sz="8" w:space="0" w:color="000000"/>
            </w:tcBorders>
            <w:shd w:val="clear" w:color="auto" w:fill="CCEEFF"/>
            <w:tcMar>
              <w:top w:w="40" w:type="dxa"/>
              <w:bottom w:w="40" w:type="dxa"/>
              <w:right w:w="40" w:type="dxa"/>
            </w:tcMar>
            <w:vAlign w:val="bottom"/>
          </w:tcPr>
          <w:p w14:paraId="54E9015F"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16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90161"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4E90162"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55,692</w:t>
            </w:r>
          </w:p>
        </w:tc>
        <w:tc>
          <w:tcPr>
            <w:tcW w:w="0" w:type="auto"/>
            <w:tcBorders>
              <w:top w:val="single" w:sz="8" w:space="0" w:color="000000"/>
            </w:tcBorders>
            <w:shd w:val="clear" w:color="auto" w:fill="CCEEFF"/>
            <w:vAlign w:val="bottom"/>
          </w:tcPr>
          <w:p w14:paraId="54E90163"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16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90165"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4E90166"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101,054</w:t>
            </w:r>
          </w:p>
        </w:tc>
        <w:tc>
          <w:tcPr>
            <w:tcW w:w="0" w:type="auto"/>
            <w:tcBorders>
              <w:top w:val="single" w:sz="8" w:space="0" w:color="000000"/>
            </w:tcBorders>
            <w:shd w:val="clear" w:color="auto" w:fill="CCEEFF"/>
            <w:vAlign w:val="bottom"/>
          </w:tcPr>
          <w:p w14:paraId="54E9016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16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90169"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2,854</w:t>
            </w:r>
          </w:p>
        </w:tc>
        <w:tc>
          <w:tcPr>
            <w:tcW w:w="0" w:type="auto"/>
            <w:tcBorders>
              <w:top w:val="single" w:sz="8" w:space="0" w:color="000000"/>
            </w:tcBorders>
            <w:shd w:val="clear" w:color="auto" w:fill="CCEEFF"/>
            <w:vAlign w:val="bottom"/>
          </w:tcPr>
          <w:p w14:paraId="54E9016A"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16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9016C"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4E9016D"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vAlign w:val="bottom"/>
          </w:tcPr>
          <w:p w14:paraId="54E9016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16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90170"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4E90171"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42,906</w:t>
            </w:r>
          </w:p>
        </w:tc>
        <w:tc>
          <w:tcPr>
            <w:tcW w:w="0" w:type="auto"/>
            <w:tcBorders>
              <w:top w:val="single" w:sz="8" w:space="0" w:color="000000"/>
            </w:tcBorders>
            <w:shd w:val="clear" w:color="auto" w:fill="CCEEFF"/>
            <w:vAlign w:val="bottom"/>
          </w:tcPr>
          <w:p w14:paraId="54E90172"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17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90174"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4E90175"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(760</w:t>
            </w:r>
          </w:p>
        </w:tc>
        <w:tc>
          <w:tcPr>
            <w:tcW w:w="0" w:type="auto"/>
            <w:tcBorders>
              <w:top w:val="single" w:sz="8" w:space="0" w:color="000000"/>
            </w:tcBorders>
            <w:shd w:val="clear" w:color="auto" w:fill="CCEEFF"/>
            <w:tcMar>
              <w:top w:w="40" w:type="dxa"/>
              <w:bottom w:w="40" w:type="dxa"/>
              <w:right w:w="40" w:type="dxa"/>
            </w:tcMar>
            <w:vAlign w:val="bottom"/>
          </w:tcPr>
          <w:p w14:paraId="54E90176"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17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90178"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4E90179"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41,981</w:t>
            </w:r>
          </w:p>
        </w:tc>
        <w:tc>
          <w:tcPr>
            <w:tcW w:w="0" w:type="auto"/>
            <w:tcBorders>
              <w:top w:val="single" w:sz="8" w:space="0" w:color="000000"/>
            </w:tcBorders>
            <w:shd w:val="clear" w:color="auto" w:fill="CCEEFF"/>
            <w:vAlign w:val="bottom"/>
          </w:tcPr>
          <w:p w14:paraId="54E9017A"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17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9017C"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4E9017D"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84,127</w:t>
            </w:r>
          </w:p>
        </w:tc>
        <w:tc>
          <w:tcPr>
            <w:tcW w:w="0" w:type="auto"/>
            <w:tcBorders>
              <w:top w:val="single" w:sz="8" w:space="0" w:color="000000"/>
            </w:tcBorders>
            <w:shd w:val="clear" w:color="auto" w:fill="CCEEFF"/>
            <w:vAlign w:val="bottom"/>
          </w:tcPr>
          <w:p w14:paraId="54E9017E" w14:textId="77777777" w:rsidR="00F427A3" w:rsidRDefault="00F427A3">
            <w:pPr>
              <w:textAlignment w:val="bottom"/>
              <w:rPr>
                <w:rFonts w:ascii="Times New Roman" w:hAnsi="Times New Roman"/>
                <w:sz w:val="20"/>
                <w:szCs w:val="20"/>
              </w:rPr>
            </w:pPr>
          </w:p>
        </w:tc>
      </w:tr>
      <w:tr w:rsidR="00F427A3" w14:paraId="54E901A4" w14:textId="77777777">
        <w:trPr>
          <w:jc w:val="center"/>
        </w:trPr>
        <w:tc>
          <w:tcPr>
            <w:tcW w:w="0" w:type="auto"/>
            <w:shd w:val="clear" w:color="auto" w:fill="auto"/>
            <w:tcMar>
              <w:top w:w="40" w:type="dxa"/>
              <w:left w:w="40" w:type="dxa"/>
              <w:bottom w:w="40" w:type="dxa"/>
              <w:right w:w="40" w:type="dxa"/>
            </w:tcMar>
            <w:vAlign w:val="bottom"/>
          </w:tcPr>
          <w:p w14:paraId="54E90180"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Issuance of common stock</w:t>
            </w:r>
          </w:p>
        </w:tc>
        <w:tc>
          <w:tcPr>
            <w:tcW w:w="0" w:type="auto"/>
            <w:shd w:val="clear" w:color="auto" w:fill="auto"/>
            <w:tcMar>
              <w:top w:w="40" w:type="dxa"/>
              <w:left w:w="40" w:type="dxa"/>
              <w:bottom w:w="40" w:type="dxa"/>
            </w:tcMar>
            <w:vAlign w:val="bottom"/>
          </w:tcPr>
          <w:p w14:paraId="54E90181"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28</w:t>
            </w:r>
          </w:p>
        </w:tc>
        <w:tc>
          <w:tcPr>
            <w:tcW w:w="0" w:type="auto"/>
            <w:shd w:val="clear" w:color="auto" w:fill="auto"/>
            <w:vAlign w:val="bottom"/>
          </w:tcPr>
          <w:p w14:paraId="54E90182"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18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184"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185"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18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187"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188"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18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18A"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18B"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18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18D"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18E"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18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190"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191"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19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193"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25</w:t>
            </w:r>
          </w:p>
        </w:tc>
        <w:tc>
          <w:tcPr>
            <w:tcW w:w="0" w:type="auto"/>
            <w:shd w:val="clear" w:color="auto" w:fill="auto"/>
            <w:vAlign w:val="bottom"/>
          </w:tcPr>
          <w:p w14:paraId="54E90194"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19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196"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197"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19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199"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14</w:t>
            </w:r>
          </w:p>
        </w:tc>
        <w:tc>
          <w:tcPr>
            <w:tcW w:w="0" w:type="auto"/>
            <w:shd w:val="clear" w:color="auto" w:fill="auto"/>
            <w:vAlign w:val="bottom"/>
          </w:tcPr>
          <w:p w14:paraId="54E9019A"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19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19C"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19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19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19F"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1A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1A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1A2"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14</w:t>
            </w:r>
          </w:p>
        </w:tc>
        <w:tc>
          <w:tcPr>
            <w:tcW w:w="0" w:type="auto"/>
            <w:shd w:val="clear" w:color="auto" w:fill="auto"/>
            <w:vAlign w:val="bottom"/>
          </w:tcPr>
          <w:p w14:paraId="54E901A3" w14:textId="77777777" w:rsidR="00F427A3" w:rsidRDefault="00F427A3">
            <w:pPr>
              <w:textAlignment w:val="bottom"/>
              <w:rPr>
                <w:rFonts w:ascii="Times New Roman" w:hAnsi="Times New Roman"/>
                <w:sz w:val="20"/>
                <w:szCs w:val="20"/>
              </w:rPr>
            </w:pPr>
          </w:p>
        </w:tc>
      </w:tr>
      <w:tr w:rsidR="0044221F" w14:paraId="54E901C9" w14:textId="77777777">
        <w:trPr>
          <w:jc w:val="center"/>
        </w:trPr>
        <w:tc>
          <w:tcPr>
            <w:tcW w:w="0" w:type="auto"/>
            <w:shd w:val="clear" w:color="auto" w:fill="CCEEFF"/>
            <w:tcMar>
              <w:top w:w="40" w:type="dxa"/>
              <w:left w:w="40" w:type="dxa"/>
              <w:bottom w:w="40" w:type="dxa"/>
              <w:right w:w="40" w:type="dxa"/>
            </w:tcMar>
            <w:vAlign w:val="bottom"/>
          </w:tcPr>
          <w:p w14:paraId="54E901A5"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Shares withheld related to net share settlement and other</w:t>
            </w:r>
          </w:p>
        </w:tc>
        <w:tc>
          <w:tcPr>
            <w:tcW w:w="0" w:type="auto"/>
            <w:shd w:val="clear" w:color="auto" w:fill="CCEEFF"/>
            <w:tcMar>
              <w:top w:w="40" w:type="dxa"/>
              <w:left w:w="40" w:type="dxa"/>
              <w:bottom w:w="40" w:type="dxa"/>
            </w:tcMar>
            <w:vAlign w:val="bottom"/>
          </w:tcPr>
          <w:p w14:paraId="54E901A6"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(10</w:t>
            </w:r>
          </w:p>
        </w:tc>
        <w:tc>
          <w:tcPr>
            <w:tcW w:w="0" w:type="auto"/>
            <w:shd w:val="clear" w:color="auto" w:fill="CCEEFF"/>
            <w:tcMar>
              <w:top w:w="40" w:type="dxa"/>
              <w:bottom w:w="40" w:type="dxa"/>
              <w:right w:w="40" w:type="dxa"/>
            </w:tcMar>
            <w:vAlign w:val="bottom"/>
          </w:tcPr>
          <w:p w14:paraId="54E901A7"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1A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1A9"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1AA"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1A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1AC"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(1,693</w:t>
            </w:r>
          </w:p>
        </w:tc>
        <w:tc>
          <w:tcPr>
            <w:tcW w:w="0" w:type="auto"/>
            <w:shd w:val="clear" w:color="auto" w:fill="CCEEFF"/>
            <w:tcMar>
              <w:top w:w="40" w:type="dxa"/>
              <w:bottom w:w="40" w:type="dxa"/>
              <w:right w:w="40" w:type="dxa"/>
            </w:tcMar>
            <w:vAlign w:val="bottom"/>
          </w:tcPr>
          <w:p w14:paraId="54E901AD"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1A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1AF"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1B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1B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1B2"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(751</w:t>
            </w:r>
          </w:p>
        </w:tc>
        <w:tc>
          <w:tcPr>
            <w:tcW w:w="0" w:type="auto"/>
            <w:shd w:val="clear" w:color="auto" w:fill="CCEEFF"/>
            <w:tcMar>
              <w:top w:w="40" w:type="dxa"/>
              <w:bottom w:w="40" w:type="dxa"/>
              <w:right w:w="40" w:type="dxa"/>
            </w:tcMar>
            <w:vAlign w:val="bottom"/>
          </w:tcPr>
          <w:p w14:paraId="54E901B3"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1B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1B5"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(2,444</w:t>
            </w:r>
          </w:p>
        </w:tc>
        <w:tc>
          <w:tcPr>
            <w:tcW w:w="0" w:type="auto"/>
            <w:shd w:val="clear" w:color="auto" w:fill="CCEEFF"/>
            <w:tcMar>
              <w:top w:w="40" w:type="dxa"/>
              <w:bottom w:w="40" w:type="dxa"/>
              <w:right w:w="40" w:type="dxa"/>
            </w:tcMar>
            <w:vAlign w:val="bottom"/>
          </w:tcPr>
          <w:p w14:paraId="54E901B6"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1B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1B8"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(10</w:t>
            </w:r>
          </w:p>
        </w:tc>
        <w:tc>
          <w:tcPr>
            <w:tcW w:w="0" w:type="auto"/>
            <w:shd w:val="clear" w:color="auto" w:fill="CCEEFF"/>
            <w:tcMar>
              <w:top w:w="40" w:type="dxa"/>
              <w:bottom w:w="40" w:type="dxa"/>
              <w:right w:w="40" w:type="dxa"/>
            </w:tcMar>
            <w:vAlign w:val="bottom"/>
          </w:tcPr>
          <w:p w14:paraId="54E901B9"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1B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1BB"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1B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1B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1BE"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(1,423</w:t>
            </w:r>
          </w:p>
        </w:tc>
        <w:tc>
          <w:tcPr>
            <w:tcW w:w="0" w:type="auto"/>
            <w:shd w:val="clear" w:color="auto" w:fill="CCEEFF"/>
            <w:tcMar>
              <w:top w:w="40" w:type="dxa"/>
              <w:bottom w:w="40" w:type="dxa"/>
              <w:right w:w="40" w:type="dxa"/>
            </w:tcMar>
            <w:vAlign w:val="bottom"/>
          </w:tcPr>
          <w:p w14:paraId="54E901BF"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1C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1C1"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1C2"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1C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1C4"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(531</w:t>
            </w:r>
          </w:p>
        </w:tc>
        <w:tc>
          <w:tcPr>
            <w:tcW w:w="0" w:type="auto"/>
            <w:shd w:val="clear" w:color="auto" w:fill="CCEEFF"/>
            <w:tcMar>
              <w:top w:w="40" w:type="dxa"/>
              <w:bottom w:w="40" w:type="dxa"/>
              <w:right w:w="40" w:type="dxa"/>
            </w:tcMar>
            <w:vAlign w:val="bottom"/>
          </w:tcPr>
          <w:p w14:paraId="54E901C5"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1C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1C7"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(1,954</w:t>
            </w:r>
          </w:p>
        </w:tc>
        <w:tc>
          <w:tcPr>
            <w:tcW w:w="0" w:type="auto"/>
            <w:shd w:val="clear" w:color="auto" w:fill="CCEEFF"/>
            <w:tcMar>
              <w:top w:w="40" w:type="dxa"/>
              <w:bottom w:w="40" w:type="dxa"/>
              <w:right w:w="40" w:type="dxa"/>
            </w:tcMar>
            <w:vAlign w:val="bottom"/>
          </w:tcPr>
          <w:p w14:paraId="54E901C8"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r>
      <w:tr w:rsidR="00F427A3" w14:paraId="54E901EE" w14:textId="77777777">
        <w:trPr>
          <w:jc w:val="center"/>
        </w:trPr>
        <w:tc>
          <w:tcPr>
            <w:tcW w:w="0" w:type="auto"/>
            <w:shd w:val="clear" w:color="auto" w:fill="auto"/>
            <w:tcMar>
              <w:top w:w="40" w:type="dxa"/>
              <w:left w:w="40" w:type="dxa"/>
              <w:bottom w:w="40" w:type="dxa"/>
              <w:right w:w="40" w:type="dxa"/>
            </w:tcMar>
            <w:vAlign w:val="bottom"/>
          </w:tcPr>
          <w:p w14:paraId="54E901CA"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Share-based compensation</w:t>
            </w:r>
          </w:p>
        </w:tc>
        <w:tc>
          <w:tcPr>
            <w:tcW w:w="0" w:type="auto"/>
            <w:shd w:val="clear" w:color="auto" w:fill="auto"/>
            <w:tcMar>
              <w:top w:w="40" w:type="dxa"/>
              <w:left w:w="40" w:type="dxa"/>
              <w:bottom w:w="40" w:type="dxa"/>
            </w:tcMar>
            <w:vAlign w:val="bottom"/>
          </w:tcPr>
          <w:p w14:paraId="54E901CB"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1CC"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1C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1CE"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1CF"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1D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1D1"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4,752</w:t>
            </w:r>
          </w:p>
        </w:tc>
        <w:tc>
          <w:tcPr>
            <w:tcW w:w="0" w:type="auto"/>
            <w:shd w:val="clear" w:color="auto" w:fill="auto"/>
            <w:vAlign w:val="bottom"/>
          </w:tcPr>
          <w:p w14:paraId="54E901D2"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1D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1D4"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1D5"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1D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1D7"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1D8"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1D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1DA"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4,752</w:t>
            </w:r>
          </w:p>
        </w:tc>
        <w:tc>
          <w:tcPr>
            <w:tcW w:w="0" w:type="auto"/>
            <w:shd w:val="clear" w:color="auto" w:fill="auto"/>
            <w:vAlign w:val="bottom"/>
          </w:tcPr>
          <w:p w14:paraId="54E901DB"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1D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1DD"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1DE"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1D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1E0"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1E1"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1E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1E3"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3,562</w:t>
            </w:r>
          </w:p>
        </w:tc>
        <w:tc>
          <w:tcPr>
            <w:tcW w:w="0" w:type="auto"/>
            <w:shd w:val="clear" w:color="auto" w:fill="auto"/>
            <w:vAlign w:val="bottom"/>
          </w:tcPr>
          <w:p w14:paraId="54E901E4"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1E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1E6"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1E7"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1E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1E9"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1EA"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1E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1EC"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3,562</w:t>
            </w:r>
          </w:p>
        </w:tc>
        <w:tc>
          <w:tcPr>
            <w:tcW w:w="0" w:type="auto"/>
            <w:shd w:val="clear" w:color="auto" w:fill="auto"/>
            <w:vAlign w:val="bottom"/>
          </w:tcPr>
          <w:p w14:paraId="54E901ED" w14:textId="77777777" w:rsidR="00F427A3" w:rsidRDefault="00F427A3">
            <w:pPr>
              <w:textAlignment w:val="bottom"/>
              <w:rPr>
                <w:rFonts w:ascii="Times New Roman" w:hAnsi="Times New Roman"/>
                <w:sz w:val="20"/>
                <w:szCs w:val="20"/>
              </w:rPr>
            </w:pPr>
          </w:p>
        </w:tc>
      </w:tr>
      <w:tr w:rsidR="0044221F" w14:paraId="54E90213" w14:textId="77777777">
        <w:trPr>
          <w:jc w:val="center"/>
        </w:trPr>
        <w:tc>
          <w:tcPr>
            <w:tcW w:w="0" w:type="auto"/>
            <w:shd w:val="clear" w:color="auto" w:fill="CCEEFF"/>
            <w:tcMar>
              <w:top w:w="40" w:type="dxa"/>
              <w:left w:w="40" w:type="dxa"/>
              <w:bottom w:w="40" w:type="dxa"/>
              <w:right w:w="40" w:type="dxa"/>
            </w:tcMar>
            <w:vAlign w:val="bottom"/>
          </w:tcPr>
          <w:p w14:paraId="54E901EF"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Share repurchases</w:t>
            </w:r>
          </w:p>
        </w:tc>
        <w:tc>
          <w:tcPr>
            <w:tcW w:w="0" w:type="auto"/>
            <w:shd w:val="clear" w:color="auto" w:fill="CCEEFF"/>
            <w:tcMar>
              <w:top w:w="40" w:type="dxa"/>
              <w:left w:w="40" w:type="dxa"/>
              <w:bottom w:w="40" w:type="dxa"/>
            </w:tcMar>
            <w:vAlign w:val="bottom"/>
          </w:tcPr>
          <w:p w14:paraId="54E901F0"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(20</w:t>
            </w:r>
          </w:p>
        </w:tc>
        <w:tc>
          <w:tcPr>
            <w:tcW w:w="0" w:type="auto"/>
            <w:shd w:val="clear" w:color="auto" w:fill="CCEEFF"/>
            <w:tcMar>
              <w:top w:w="40" w:type="dxa"/>
              <w:bottom w:w="40" w:type="dxa"/>
              <w:right w:w="40" w:type="dxa"/>
            </w:tcMar>
            <w:vAlign w:val="bottom"/>
          </w:tcPr>
          <w:p w14:paraId="54E901F1"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1F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1F3"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1F4"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1F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1F6"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1F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1F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1F9"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1FA"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1F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1FC"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(4,355</w:t>
            </w:r>
          </w:p>
        </w:tc>
        <w:tc>
          <w:tcPr>
            <w:tcW w:w="0" w:type="auto"/>
            <w:shd w:val="clear" w:color="auto" w:fill="CCEEFF"/>
            <w:tcMar>
              <w:top w:w="40" w:type="dxa"/>
              <w:bottom w:w="40" w:type="dxa"/>
              <w:right w:w="40" w:type="dxa"/>
            </w:tcMar>
            <w:vAlign w:val="bottom"/>
          </w:tcPr>
          <w:p w14:paraId="54E901FD"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1F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1FF"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(4,355</w:t>
            </w:r>
          </w:p>
        </w:tc>
        <w:tc>
          <w:tcPr>
            <w:tcW w:w="0" w:type="auto"/>
            <w:shd w:val="clear" w:color="auto" w:fill="CCEEFF"/>
            <w:tcMar>
              <w:top w:w="40" w:type="dxa"/>
              <w:bottom w:w="40" w:type="dxa"/>
              <w:right w:w="40" w:type="dxa"/>
            </w:tcMar>
            <w:vAlign w:val="bottom"/>
          </w:tcPr>
          <w:p w14:paraId="54E90200"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20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202"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(15</w:t>
            </w:r>
          </w:p>
        </w:tc>
        <w:tc>
          <w:tcPr>
            <w:tcW w:w="0" w:type="auto"/>
            <w:shd w:val="clear" w:color="auto" w:fill="CCEEFF"/>
            <w:tcMar>
              <w:top w:w="40" w:type="dxa"/>
              <w:bottom w:w="40" w:type="dxa"/>
              <w:right w:w="40" w:type="dxa"/>
            </w:tcMar>
            <w:vAlign w:val="bottom"/>
          </w:tcPr>
          <w:p w14:paraId="54E90203"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20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205"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20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20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208"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209"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20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20B"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20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20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20E"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(2,797</w:t>
            </w:r>
          </w:p>
        </w:tc>
        <w:tc>
          <w:tcPr>
            <w:tcW w:w="0" w:type="auto"/>
            <w:shd w:val="clear" w:color="auto" w:fill="CCEEFF"/>
            <w:tcMar>
              <w:top w:w="40" w:type="dxa"/>
              <w:bottom w:w="40" w:type="dxa"/>
              <w:right w:w="40" w:type="dxa"/>
            </w:tcMar>
            <w:vAlign w:val="bottom"/>
          </w:tcPr>
          <w:p w14:paraId="54E9020F"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4E9021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211"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(2,797</w:t>
            </w:r>
          </w:p>
        </w:tc>
        <w:tc>
          <w:tcPr>
            <w:tcW w:w="0" w:type="auto"/>
            <w:shd w:val="clear" w:color="auto" w:fill="CCEEFF"/>
            <w:tcMar>
              <w:top w:w="40" w:type="dxa"/>
              <w:bottom w:w="40" w:type="dxa"/>
              <w:right w:w="40" w:type="dxa"/>
            </w:tcMar>
            <w:vAlign w:val="bottom"/>
          </w:tcPr>
          <w:p w14:paraId="54E90212"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r>
      <w:tr w:rsidR="00F427A3" w14:paraId="54E90238" w14:textId="77777777">
        <w:trPr>
          <w:jc w:val="center"/>
        </w:trPr>
        <w:tc>
          <w:tcPr>
            <w:tcW w:w="0" w:type="auto"/>
            <w:shd w:val="clear" w:color="auto" w:fill="auto"/>
            <w:tcMar>
              <w:top w:w="40" w:type="dxa"/>
              <w:left w:w="40" w:type="dxa"/>
              <w:bottom w:w="40" w:type="dxa"/>
              <w:right w:w="40" w:type="dxa"/>
            </w:tcMar>
            <w:vAlign w:val="bottom"/>
          </w:tcPr>
          <w:p w14:paraId="54E90214"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Other comprehensive inco</w:t>
            </w:r>
            <w:r>
              <w:rPr>
                <w:rFonts w:ascii="Times New Roman" w:eastAsia="宋体" w:hAnsi="Times New Roman"/>
                <w:sz w:val="18"/>
                <w:szCs w:val="18"/>
              </w:rPr>
              <w:t>me (loss)</w:t>
            </w:r>
          </w:p>
        </w:tc>
        <w:tc>
          <w:tcPr>
            <w:tcW w:w="0" w:type="auto"/>
            <w:shd w:val="clear" w:color="auto" w:fill="auto"/>
            <w:tcMar>
              <w:top w:w="40" w:type="dxa"/>
              <w:left w:w="40" w:type="dxa"/>
              <w:bottom w:w="40" w:type="dxa"/>
            </w:tcMar>
            <w:vAlign w:val="bottom"/>
          </w:tcPr>
          <w:p w14:paraId="54E90215"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216"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21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218"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219"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21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21B"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21C"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21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21E"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797</w:t>
            </w:r>
          </w:p>
        </w:tc>
        <w:tc>
          <w:tcPr>
            <w:tcW w:w="0" w:type="auto"/>
            <w:shd w:val="clear" w:color="auto" w:fill="auto"/>
            <w:vAlign w:val="bottom"/>
          </w:tcPr>
          <w:p w14:paraId="54E9021F"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22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221"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222"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22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224"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797</w:t>
            </w:r>
          </w:p>
        </w:tc>
        <w:tc>
          <w:tcPr>
            <w:tcW w:w="0" w:type="auto"/>
            <w:shd w:val="clear" w:color="auto" w:fill="auto"/>
            <w:vAlign w:val="bottom"/>
          </w:tcPr>
          <w:p w14:paraId="54E90225"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22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227"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228"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22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22A"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22B"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22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22D"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22E"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22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230"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(89</w:t>
            </w:r>
          </w:p>
        </w:tc>
        <w:tc>
          <w:tcPr>
            <w:tcW w:w="0" w:type="auto"/>
            <w:shd w:val="clear" w:color="auto" w:fill="auto"/>
            <w:tcMar>
              <w:top w:w="40" w:type="dxa"/>
              <w:bottom w:w="40" w:type="dxa"/>
              <w:right w:w="40" w:type="dxa"/>
            </w:tcMar>
            <w:vAlign w:val="bottom"/>
          </w:tcPr>
          <w:p w14:paraId="54E90231"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4E9023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233"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4E90234"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23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236"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(89</w:t>
            </w:r>
          </w:p>
        </w:tc>
        <w:tc>
          <w:tcPr>
            <w:tcW w:w="0" w:type="auto"/>
            <w:shd w:val="clear" w:color="auto" w:fill="auto"/>
            <w:tcMar>
              <w:top w:w="40" w:type="dxa"/>
              <w:bottom w:w="40" w:type="dxa"/>
              <w:right w:w="40" w:type="dxa"/>
            </w:tcMar>
            <w:vAlign w:val="bottom"/>
          </w:tcPr>
          <w:p w14:paraId="54E90237"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r>
      <w:tr w:rsidR="0044221F" w14:paraId="54E9025D" w14:textId="77777777">
        <w:trPr>
          <w:jc w:val="center"/>
        </w:trPr>
        <w:tc>
          <w:tcPr>
            <w:tcW w:w="0" w:type="auto"/>
            <w:shd w:val="clear" w:color="auto" w:fill="CCEEFF"/>
            <w:tcMar>
              <w:top w:w="40" w:type="dxa"/>
              <w:left w:w="40" w:type="dxa"/>
              <w:bottom w:w="40" w:type="dxa"/>
              <w:right w:w="40" w:type="dxa"/>
            </w:tcMar>
            <w:vAlign w:val="bottom"/>
          </w:tcPr>
          <w:p w14:paraId="54E90239"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 xml:space="preserve">Net income </w:t>
            </w:r>
          </w:p>
        </w:tc>
        <w:tc>
          <w:tcPr>
            <w:tcW w:w="0" w:type="auto"/>
            <w:shd w:val="clear" w:color="auto" w:fill="CCEEFF"/>
            <w:tcMar>
              <w:top w:w="40" w:type="dxa"/>
              <w:left w:w="40" w:type="dxa"/>
              <w:bottom w:w="40" w:type="dxa"/>
            </w:tcMar>
            <w:vAlign w:val="bottom"/>
          </w:tcPr>
          <w:p w14:paraId="54E9023A"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23B"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23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23D"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23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23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240"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241"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24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243"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244"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24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246"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17,927</w:t>
            </w:r>
          </w:p>
        </w:tc>
        <w:tc>
          <w:tcPr>
            <w:tcW w:w="0" w:type="auto"/>
            <w:shd w:val="clear" w:color="auto" w:fill="CCEEFF"/>
            <w:vAlign w:val="bottom"/>
          </w:tcPr>
          <w:p w14:paraId="54E9024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24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249"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17,927</w:t>
            </w:r>
          </w:p>
        </w:tc>
        <w:tc>
          <w:tcPr>
            <w:tcW w:w="0" w:type="auto"/>
            <w:shd w:val="clear" w:color="auto" w:fill="CCEEFF"/>
            <w:vAlign w:val="bottom"/>
          </w:tcPr>
          <w:p w14:paraId="54E9024A"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24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24C"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24D"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24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24F"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25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25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252"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253"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25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255"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4E9025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25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258"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11,136</w:t>
            </w:r>
          </w:p>
        </w:tc>
        <w:tc>
          <w:tcPr>
            <w:tcW w:w="0" w:type="auto"/>
            <w:shd w:val="clear" w:color="auto" w:fill="CCEEFF"/>
            <w:vAlign w:val="bottom"/>
          </w:tcPr>
          <w:p w14:paraId="54E90259"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25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25B"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11,136</w:t>
            </w:r>
          </w:p>
        </w:tc>
        <w:tc>
          <w:tcPr>
            <w:tcW w:w="0" w:type="auto"/>
            <w:shd w:val="clear" w:color="auto" w:fill="CCEEFF"/>
            <w:vAlign w:val="bottom"/>
          </w:tcPr>
          <w:p w14:paraId="54E9025C" w14:textId="77777777" w:rsidR="00F427A3" w:rsidRDefault="00F427A3">
            <w:pPr>
              <w:textAlignment w:val="bottom"/>
              <w:rPr>
                <w:rFonts w:ascii="Times New Roman" w:hAnsi="Times New Roman"/>
                <w:sz w:val="20"/>
                <w:szCs w:val="20"/>
              </w:rPr>
            </w:pPr>
          </w:p>
        </w:tc>
      </w:tr>
      <w:tr w:rsidR="00F427A3" w14:paraId="54E9028C" w14:textId="77777777">
        <w:trPr>
          <w:jc w:val="center"/>
        </w:trPr>
        <w:tc>
          <w:tcPr>
            <w:tcW w:w="0" w:type="auto"/>
            <w:shd w:val="clear" w:color="auto" w:fill="auto"/>
            <w:tcMar>
              <w:top w:w="40" w:type="dxa"/>
              <w:left w:w="40" w:type="dxa"/>
              <w:bottom w:w="40" w:type="dxa"/>
              <w:right w:w="40" w:type="dxa"/>
            </w:tcMar>
            <w:vAlign w:val="bottom"/>
          </w:tcPr>
          <w:p w14:paraId="54E9025E"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Balances at end of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25F"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2,850</w:t>
            </w:r>
          </w:p>
        </w:tc>
        <w:tc>
          <w:tcPr>
            <w:tcW w:w="0" w:type="auto"/>
            <w:tcBorders>
              <w:top w:val="single" w:sz="8" w:space="0" w:color="000000"/>
              <w:bottom w:val="double" w:sz="6" w:space="0" w:color="000000"/>
            </w:tcBorders>
            <w:shd w:val="clear" w:color="auto" w:fill="auto"/>
            <w:vAlign w:val="bottom"/>
          </w:tcPr>
          <w:p w14:paraId="54E9026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26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262"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263"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vAlign w:val="bottom"/>
          </w:tcPr>
          <w:p w14:paraId="54E90264"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26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266"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267"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48,910</w:t>
            </w:r>
          </w:p>
        </w:tc>
        <w:tc>
          <w:tcPr>
            <w:tcW w:w="0" w:type="auto"/>
            <w:tcBorders>
              <w:top w:val="single" w:sz="8" w:space="0" w:color="000000"/>
              <w:bottom w:val="double" w:sz="6" w:space="0" w:color="000000"/>
            </w:tcBorders>
            <w:shd w:val="clear" w:color="auto" w:fill="auto"/>
            <w:vAlign w:val="bottom"/>
          </w:tcPr>
          <w:p w14:paraId="54E90268"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26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26A"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26B"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30</w:t>
            </w:r>
            <w:r>
              <w:rPr>
                <w:rFonts w:ascii="Times New Roman" w:eastAsia="宋体" w:hAnsi="Times New Roman"/>
                <w:sz w:val="18"/>
                <w:szCs w:val="18"/>
              </w:rPr>
              <w:t>8</w:t>
            </w:r>
          </w:p>
        </w:tc>
        <w:tc>
          <w:tcPr>
            <w:tcW w:w="0" w:type="auto"/>
            <w:tcBorders>
              <w:top w:val="single" w:sz="8" w:space="0" w:color="000000"/>
              <w:bottom w:val="double" w:sz="6" w:space="0" w:color="000000"/>
            </w:tcBorders>
            <w:shd w:val="clear" w:color="auto" w:fill="auto"/>
            <w:vAlign w:val="bottom"/>
          </w:tcPr>
          <w:p w14:paraId="54E9026C"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26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26E"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26F"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68,513</w:t>
            </w:r>
          </w:p>
        </w:tc>
        <w:tc>
          <w:tcPr>
            <w:tcW w:w="0" w:type="auto"/>
            <w:tcBorders>
              <w:top w:val="single" w:sz="8" w:space="0" w:color="000000"/>
              <w:bottom w:val="double" w:sz="6" w:space="0" w:color="000000"/>
            </w:tcBorders>
            <w:shd w:val="clear" w:color="auto" w:fill="auto"/>
            <w:vAlign w:val="bottom"/>
          </w:tcPr>
          <w:p w14:paraId="54E9027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27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272"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273"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117,731</w:t>
            </w:r>
          </w:p>
        </w:tc>
        <w:tc>
          <w:tcPr>
            <w:tcW w:w="0" w:type="auto"/>
            <w:tcBorders>
              <w:top w:val="single" w:sz="8" w:space="0" w:color="000000"/>
              <w:bottom w:val="double" w:sz="6" w:space="0" w:color="000000"/>
            </w:tcBorders>
            <w:shd w:val="clear" w:color="auto" w:fill="auto"/>
            <w:vAlign w:val="bottom"/>
          </w:tcPr>
          <w:p w14:paraId="54E90274"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27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276"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2,854</w:t>
            </w:r>
          </w:p>
        </w:tc>
        <w:tc>
          <w:tcPr>
            <w:tcW w:w="0" w:type="auto"/>
            <w:tcBorders>
              <w:top w:val="single" w:sz="8" w:space="0" w:color="000000"/>
              <w:bottom w:val="double" w:sz="6" w:space="0" w:color="000000"/>
            </w:tcBorders>
            <w:shd w:val="clear" w:color="auto" w:fill="auto"/>
            <w:vAlign w:val="bottom"/>
          </w:tcPr>
          <w:p w14:paraId="54E90277"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27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279"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27A"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vAlign w:val="bottom"/>
          </w:tcPr>
          <w:p w14:paraId="54E9027B"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27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27D"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27E"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45,059</w:t>
            </w:r>
          </w:p>
        </w:tc>
        <w:tc>
          <w:tcPr>
            <w:tcW w:w="0" w:type="auto"/>
            <w:tcBorders>
              <w:top w:val="single" w:sz="8" w:space="0" w:color="000000"/>
              <w:bottom w:val="double" w:sz="6" w:space="0" w:color="000000"/>
            </w:tcBorders>
            <w:shd w:val="clear" w:color="auto" w:fill="auto"/>
            <w:vAlign w:val="bottom"/>
          </w:tcPr>
          <w:p w14:paraId="54E9027F"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28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281"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282"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(849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4E90283"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4E9028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285"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286"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49,789</w:t>
            </w:r>
          </w:p>
        </w:tc>
        <w:tc>
          <w:tcPr>
            <w:tcW w:w="0" w:type="auto"/>
            <w:tcBorders>
              <w:top w:val="single" w:sz="8" w:space="0" w:color="000000"/>
              <w:bottom w:val="double" w:sz="6" w:space="0" w:color="000000"/>
            </w:tcBorders>
            <w:shd w:val="clear" w:color="auto" w:fill="auto"/>
            <w:vAlign w:val="bottom"/>
          </w:tcPr>
          <w:p w14:paraId="54E90287"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28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289" w14:textId="77777777" w:rsidR="00F427A3" w:rsidRDefault="0044221F">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28A" w14:textId="77777777" w:rsidR="00F427A3" w:rsidRDefault="0044221F">
            <w:pPr>
              <w:jc w:val="right"/>
              <w:textAlignment w:val="bottom"/>
              <w:rPr>
                <w:rFonts w:ascii="Times New Roman" w:hAnsi="Times New Roman"/>
                <w:sz w:val="18"/>
                <w:szCs w:val="18"/>
              </w:rPr>
            </w:pPr>
            <w:r>
              <w:rPr>
                <w:rFonts w:ascii="Times New Roman" w:eastAsia="宋体" w:hAnsi="Times New Roman"/>
                <w:sz w:val="18"/>
                <w:szCs w:val="18"/>
              </w:rPr>
              <w:t>93,999</w:t>
            </w:r>
          </w:p>
        </w:tc>
        <w:tc>
          <w:tcPr>
            <w:tcW w:w="0" w:type="auto"/>
            <w:tcBorders>
              <w:top w:val="single" w:sz="8" w:space="0" w:color="000000"/>
              <w:bottom w:val="double" w:sz="6" w:space="0" w:color="000000"/>
            </w:tcBorders>
            <w:shd w:val="clear" w:color="auto" w:fill="auto"/>
            <w:vAlign w:val="bottom"/>
          </w:tcPr>
          <w:p w14:paraId="54E9028B" w14:textId="77777777" w:rsidR="00F427A3" w:rsidRDefault="00F427A3">
            <w:pPr>
              <w:textAlignment w:val="bottom"/>
              <w:rPr>
                <w:rFonts w:ascii="Times New Roman" w:hAnsi="Times New Roman"/>
                <w:sz w:val="20"/>
                <w:szCs w:val="20"/>
              </w:rPr>
            </w:pPr>
          </w:p>
        </w:tc>
      </w:tr>
    </w:tbl>
    <w:p w14:paraId="54E9028D" w14:textId="77777777" w:rsidR="00F427A3" w:rsidRDefault="0044221F">
      <w:pPr>
        <w:spacing w:line="288" w:lineRule="auto"/>
        <w:jc w:val="center"/>
        <w:rPr>
          <w:rFonts w:ascii="Times New Roman" w:hAnsi="Times New Roman"/>
          <w:sz w:val="18"/>
          <w:szCs w:val="18"/>
        </w:rPr>
      </w:pPr>
      <w:r>
        <w:rPr>
          <w:rFonts w:ascii="Times New Roman" w:eastAsia="宋体" w:hAnsi="Times New Roman"/>
          <w:i/>
          <w:iCs/>
          <w:sz w:val="18"/>
          <w:szCs w:val="18"/>
        </w:rPr>
        <w:t xml:space="preserve">See Accompanying Notes to Condensed </w:t>
      </w:r>
      <w:r>
        <w:rPr>
          <w:rFonts w:ascii="Times New Roman" w:eastAsia="宋体" w:hAnsi="Times New Roman"/>
          <w:i/>
          <w:iCs/>
          <w:sz w:val="18"/>
          <w:szCs w:val="18"/>
        </w:rPr>
        <w:t>Consolidated Financial Statements.</w:t>
      </w:r>
    </w:p>
    <w:p w14:paraId="54E9028E" w14:textId="77777777" w:rsidR="00F427A3" w:rsidRDefault="00F427A3">
      <w:pPr>
        <w:rPr>
          <w:rFonts w:ascii="Times New Roman" w:hAnsi="Times New Roman"/>
          <w:sz w:val="20"/>
          <w:szCs w:val="20"/>
        </w:rPr>
      </w:pPr>
    </w:p>
    <w:p w14:paraId="54E9028F"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10</w:t>
      </w:r>
    </w:p>
    <w:p w14:paraId="54E90290" w14:textId="77777777" w:rsidR="00F427A3" w:rsidRDefault="0044221F">
      <w:r>
        <w:rPr>
          <w:rFonts w:ascii="Times New Roman" w:hAnsi="Times New Roman"/>
          <w:sz w:val="20"/>
          <w:szCs w:val="20"/>
        </w:rPr>
        <w:pict w14:anchorId="54E91C2A">
          <v:rect id="_x0000_i1034" style="width:415.3pt;height:1.5pt" o:hralign="center" o:hrstd="t" o:hr="t" fillcolor="#a0a0a0" stroked="f"/>
        </w:pict>
      </w:r>
    </w:p>
    <w:p w14:paraId="54E90291" w14:textId="77777777" w:rsidR="00F427A3" w:rsidRDefault="0044221F">
      <w:pPr>
        <w:spacing w:line="288" w:lineRule="auto"/>
        <w:rPr>
          <w:rFonts w:ascii="Times New Roman" w:hAnsi="Times New Roman"/>
          <w:sz w:val="20"/>
          <w:szCs w:val="20"/>
        </w:rPr>
      </w:pPr>
      <w:hyperlink r:id="rId52" w:anchor="s348EA962CF6D59B599D9921AFA89C381" w:history="1">
        <w:r>
          <w:rPr>
            <w:rStyle w:val="a5"/>
            <w:rFonts w:ascii="Times New Roman" w:eastAsia="宋体" w:hAnsi="Times New Roman"/>
            <w:sz w:val="20"/>
            <w:szCs w:val="20"/>
          </w:rPr>
          <w:t>Table of Contents</w:t>
        </w:r>
      </w:hyperlink>
    </w:p>
    <w:p w14:paraId="54E90292" w14:textId="77777777" w:rsidR="00F427A3" w:rsidRDefault="00F427A3">
      <w:pPr>
        <w:rPr>
          <w:rFonts w:ascii="Times New Roman" w:hAnsi="Times New Roman"/>
          <w:sz w:val="20"/>
          <w:szCs w:val="20"/>
        </w:rPr>
      </w:pPr>
    </w:p>
    <w:p w14:paraId="54E90293"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54E90294"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w:t>
      </w:r>
      <w:r>
        <w:rPr>
          <w:rFonts w:ascii="Times New Roman" w:eastAsia="宋体" w:hAnsi="Times New Roman"/>
          <w:b/>
          <w:bCs/>
          <w:sz w:val="20"/>
          <w:szCs w:val="20"/>
        </w:rPr>
        <w:t>MENTS OF CASH FLOWS</w:t>
      </w:r>
    </w:p>
    <w:p w14:paraId="54E90295" w14:textId="77777777" w:rsidR="00F427A3" w:rsidRDefault="0044221F">
      <w:pPr>
        <w:spacing w:line="288" w:lineRule="auto"/>
        <w:jc w:val="center"/>
        <w:rPr>
          <w:rFonts w:ascii="Times New Roman" w:hAnsi="Times New Roman"/>
          <w:sz w:val="18"/>
          <w:szCs w:val="18"/>
        </w:rPr>
      </w:pPr>
      <w:r>
        <w:rPr>
          <w:rFonts w:ascii="Times New Roman" w:eastAsia="宋体" w:hAnsi="Times New Roman"/>
          <w:i/>
          <w:iCs/>
          <w:sz w:val="18"/>
          <w:szCs w:val="18"/>
        </w:rPr>
        <w:t>(In millions)</w:t>
      </w:r>
    </w:p>
    <w:p w14:paraId="54E90296" w14:textId="77777777" w:rsidR="00F427A3" w:rsidRDefault="0044221F">
      <w:pPr>
        <w:spacing w:line="288" w:lineRule="auto"/>
        <w:jc w:val="center"/>
        <w:rPr>
          <w:rFonts w:ascii="Times New Roman" w:hAnsi="Times New Roman"/>
          <w:sz w:val="20"/>
          <w:szCs w:val="20"/>
        </w:rPr>
      </w:pPr>
      <w:r>
        <w:rPr>
          <w:rFonts w:ascii="Times New Roman" w:eastAsia="宋体" w:hAnsi="Times New Roman"/>
          <w:i/>
          <w:iCs/>
          <w:sz w:val="18"/>
          <w:szCs w:val="18"/>
        </w:rPr>
        <w:t>(Unaudited)</w:t>
      </w:r>
    </w:p>
    <w:tbl>
      <w:tblPr>
        <w:tblW w:w="5000" w:type="pct"/>
        <w:jc w:val="center"/>
        <w:tblCellMar>
          <w:left w:w="0" w:type="dxa"/>
          <w:right w:w="0" w:type="dxa"/>
        </w:tblCellMar>
        <w:tblLook w:val="04A0" w:firstRow="1" w:lastRow="0" w:firstColumn="1" w:lastColumn="0" w:noHBand="0" w:noVBand="1"/>
      </w:tblPr>
      <w:tblGrid>
        <w:gridCol w:w="5993"/>
        <w:gridCol w:w="140"/>
        <w:gridCol w:w="844"/>
        <w:gridCol w:w="107"/>
        <w:gridCol w:w="130"/>
        <w:gridCol w:w="140"/>
        <w:gridCol w:w="845"/>
        <w:gridCol w:w="107"/>
      </w:tblGrid>
      <w:tr w:rsidR="00F427A3" w14:paraId="54E90298" w14:textId="77777777">
        <w:trPr>
          <w:jc w:val="center"/>
        </w:trPr>
        <w:tc>
          <w:tcPr>
            <w:tcW w:w="0" w:type="auto"/>
            <w:gridSpan w:val="8"/>
            <w:shd w:val="clear" w:color="auto" w:fill="auto"/>
            <w:vAlign w:val="center"/>
          </w:tcPr>
          <w:p w14:paraId="54E90297" w14:textId="77777777" w:rsidR="00F427A3" w:rsidRDefault="00F427A3">
            <w:pPr>
              <w:rPr>
                <w:rFonts w:ascii="Times New Roman" w:hAnsi="Times New Roman"/>
                <w:sz w:val="20"/>
                <w:szCs w:val="20"/>
              </w:rPr>
            </w:pPr>
          </w:p>
        </w:tc>
      </w:tr>
      <w:tr w:rsidR="00F427A3" w14:paraId="54E902A1" w14:textId="77777777">
        <w:trPr>
          <w:jc w:val="center"/>
        </w:trPr>
        <w:tc>
          <w:tcPr>
            <w:tcW w:w="3650" w:type="pct"/>
            <w:shd w:val="clear" w:color="auto" w:fill="auto"/>
            <w:vAlign w:val="center"/>
          </w:tcPr>
          <w:p w14:paraId="54E90299" w14:textId="77777777" w:rsidR="00F427A3" w:rsidRDefault="00F427A3">
            <w:pPr>
              <w:rPr>
                <w:rFonts w:ascii="Times New Roman" w:hAnsi="Times New Roman"/>
                <w:sz w:val="20"/>
                <w:szCs w:val="20"/>
              </w:rPr>
            </w:pPr>
          </w:p>
        </w:tc>
        <w:tc>
          <w:tcPr>
            <w:tcW w:w="50" w:type="pct"/>
            <w:shd w:val="clear" w:color="auto" w:fill="auto"/>
            <w:vAlign w:val="center"/>
          </w:tcPr>
          <w:p w14:paraId="54E9029A" w14:textId="77777777" w:rsidR="00F427A3" w:rsidRDefault="00F427A3">
            <w:pPr>
              <w:rPr>
                <w:rFonts w:ascii="Times New Roman" w:hAnsi="Times New Roman"/>
                <w:sz w:val="20"/>
                <w:szCs w:val="20"/>
              </w:rPr>
            </w:pPr>
          </w:p>
        </w:tc>
        <w:tc>
          <w:tcPr>
            <w:tcW w:w="550" w:type="pct"/>
            <w:shd w:val="clear" w:color="auto" w:fill="auto"/>
            <w:vAlign w:val="center"/>
          </w:tcPr>
          <w:p w14:paraId="54E9029B" w14:textId="77777777" w:rsidR="00F427A3" w:rsidRDefault="00F427A3">
            <w:pPr>
              <w:rPr>
                <w:rFonts w:ascii="Times New Roman" w:hAnsi="Times New Roman"/>
                <w:sz w:val="20"/>
                <w:szCs w:val="20"/>
              </w:rPr>
            </w:pPr>
          </w:p>
        </w:tc>
        <w:tc>
          <w:tcPr>
            <w:tcW w:w="50" w:type="pct"/>
            <w:shd w:val="clear" w:color="auto" w:fill="auto"/>
            <w:vAlign w:val="center"/>
          </w:tcPr>
          <w:p w14:paraId="54E9029C" w14:textId="77777777" w:rsidR="00F427A3" w:rsidRDefault="00F427A3">
            <w:pPr>
              <w:rPr>
                <w:rFonts w:ascii="Times New Roman" w:hAnsi="Times New Roman"/>
                <w:sz w:val="20"/>
                <w:szCs w:val="20"/>
              </w:rPr>
            </w:pPr>
          </w:p>
        </w:tc>
        <w:tc>
          <w:tcPr>
            <w:tcW w:w="50" w:type="pct"/>
            <w:shd w:val="clear" w:color="auto" w:fill="auto"/>
            <w:vAlign w:val="center"/>
          </w:tcPr>
          <w:p w14:paraId="54E9029D" w14:textId="77777777" w:rsidR="00F427A3" w:rsidRDefault="00F427A3">
            <w:pPr>
              <w:rPr>
                <w:rFonts w:ascii="Times New Roman" w:hAnsi="Times New Roman"/>
                <w:sz w:val="20"/>
                <w:szCs w:val="20"/>
              </w:rPr>
            </w:pPr>
          </w:p>
        </w:tc>
        <w:tc>
          <w:tcPr>
            <w:tcW w:w="50" w:type="pct"/>
            <w:shd w:val="clear" w:color="auto" w:fill="auto"/>
            <w:vAlign w:val="center"/>
          </w:tcPr>
          <w:p w14:paraId="54E9029E" w14:textId="77777777" w:rsidR="00F427A3" w:rsidRDefault="00F427A3">
            <w:pPr>
              <w:rPr>
                <w:rFonts w:ascii="Times New Roman" w:hAnsi="Times New Roman"/>
                <w:sz w:val="20"/>
                <w:szCs w:val="20"/>
              </w:rPr>
            </w:pPr>
          </w:p>
        </w:tc>
        <w:tc>
          <w:tcPr>
            <w:tcW w:w="550" w:type="pct"/>
            <w:shd w:val="clear" w:color="auto" w:fill="auto"/>
            <w:vAlign w:val="center"/>
          </w:tcPr>
          <w:p w14:paraId="54E9029F" w14:textId="77777777" w:rsidR="00F427A3" w:rsidRDefault="00F427A3">
            <w:pPr>
              <w:rPr>
                <w:rFonts w:ascii="Times New Roman" w:hAnsi="Times New Roman"/>
                <w:sz w:val="20"/>
                <w:szCs w:val="20"/>
              </w:rPr>
            </w:pPr>
          </w:p>
        </w:tc>
        <w:tc>
          <w:tcPr>
            <w:tcW w:w="50" w:type="pct"/>
            <w:shd w:val="clear" w:color="auto" w:fill="auto"/>
            <w:vAlign w:val="center"/>
          </w:tcPr>
          <w:p w14:paraId="54E902A0" w14:textId="77777777" w:rsidR="00F427A3" w:rsidRDefault="00F427A3">
            <w:pPr>
              <w:rPr>
                <w:rFonts w:ascii="Times New Roman" w:hAnsi="Times New Roman"/>
                <w:sz w:val="20"/>
                <w:szCs w:val="20"/>
              </w:rPr>
            </w:pPr>
          </w:p>
        </w:tc>
      </w:tr>
      <w:tr w:rsidR="00F427A3" w14:paraId="54E902A4" w14:textId="77777777">
        <w:trPr>
          <w:jc w:val="center"/>
        </w:trPr>
        <w:tc>
          <w:tcPr>
            <w:tcW w:w="0" w:type="auto"/>
            <w:shd w:val="clear" w:color="auto" w:fill="auto"/>
            <w:tcMar>
              <w:top w:w="40" w:type="dxa"/>
              <w:left w:w="40" w:type="dxa"/>
              <w:bottom w:w="40" w:type="dxa"/>
              <w:right w:w="40" w:type="dxa"/>
            </w:tcMar>
            <w:vAlign w:val="bottom"/>
          </w:tcPr>
          <w:p w14:paraId="54E902A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02A3"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Nine Months Ended September 30,</w:t>
            </w:r>
          </w:p>
        </w:tc>
      </w:tr>
      <w:tr w:rsidR="00F427A3" w14:paraId="54E902A9" w14:textId="77777777">
        <w:trPr>
          <w:jc w:val="center"/>
        </w:trPr>
        <w:tc>
          <w:tcPr>
            <w:tcW w:w="0" w:type="auto"/>
            <w:shd w:val="clear" w:color="auto" w:fill="auto"/>
            <w:tcMar>
              <w:top w:w="40" w:type="dxa"/>
              <w:left w:w="40" w:type="dxa"/>
              <w:bottom w:w="40" w:type="dxa"/>
              <w:right w:w="40" w:type="dxa"/>
            </w:tcMar>
            <w:vAlign w:val="bottom"/>
          </w:tcPr>
          <w:p w14:paraId="54E902A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02A6"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54E902A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02A8"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F427A3" w14:paraId="54E902AE" w14:textId="77777777">
        <w:trPr>
          <w:jc w:val="center"/>
        </w:trPr>
        <w:tc>
          <w:tcPr>
            <w:tcW w:w="0" w:type="auto"/>
            <w:shd w:val="clear" w:color="auto" w:fill="CCEEFF"/>
            <w:tcMar>
              <w:top w:w="40" w:type="dxa"/>
              <w:left w:w="40" w:type="dxa"/>
              <w:bottom w:w="40" w:type="dxa"/>
              <w:right w:w="40" w:type="dxa"/>
            </w:tcMar>
          </w:tcPr>
          <w:p w14:paraId="54E902AA"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Cash flows from operating activities</w:t>
            </w:r>
          </w:p>
        </w:tc>
        <w:tc>
          <w:tcPr>
            <w:tcW w:w="0" w:type="auto"/>
            <w:gridSpan w:val="3"/>
            <w:shd w:val="clear" w:color="auto" w:fill="CCEEFF"/>
            <w:tcMar>
              <w:top w:w="40" w:type="dxa"/>
              <w:left w:w="40" w:type="dxa"/>
              <w:bottom w:w="40" w:type="dxa"/>
              <w:right w:w="40" w:type="dxa"/>
            </w:tcMar>
            <w:vAlign w:val="bottom"/>
          </w:tcPr>
          <w:p w14:paraId="54E902A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2A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2A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2B7" w14:textId="77777777">
        <w:trPr>
          <w:jc w:val="center"/>
        </w:trPr>
        <w:tc>
          <w:tcPr>
            <w:tcW w:w="0" w:type="auto"/>
            <w:shd w:val="clear" w:color="auto" w:fill="auto"/>
            <w:tcMar>
              <w:top w:w="40" w:type="dxa"/>
              <w:left w:w="560" w:type="dxa"/>
              <w:bottom w:w="40" w:type="dxa"/>
              <w:right w:w="40" w:type="dxa"/>
            </w:tcMar>
          </w:tcPr>
          <w:p w14:paraId="54E902AF"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Net income</w:t>
            </w:r>
          </w:p>
        </w:tc>
        <w:tc>
          <w:tcPr>
            <w:tcW w:w="0" w:type="auto"/>
            <w:shd w:val="clear" w:color="auto" w:fill="auto"/>
            <w:tcMar>
              <w:top w:w="40" w:type="dxa"/>
              <w:left w:w="40" w:type="dxa"/>
              <w:bottom w:w="40" w:type="dxa"/>
            </w:tcMar>
            <w:vAlign w:val="bottom"/>
          </w:tcPr>
          <w:p w14:paraId="54E902B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902B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17,927</w:t>
            </w:r>
          </w:p>
        </w:tc>
        <w:tc>
          <w:tcPr>
            <w:tcW w:w="0" w:type="auto"/>
            <w:shd w:val="clear" w:color="auto" w:fill="auto"/>
            <w:vAlign w:val="bottom"/>
          </w:tcPr>
          <w:p w14:paraId="54E902B2"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2B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2B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902B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11,136</w:t>
            </w:r>
          </w:p>
        </w:tc>
        <w:tc>
          <w:tcPr>
            <w:tcW w:w="0" w:type="auto"/>
            <w:shd w:val="clear" w:color="auto" w:fill="auto"/>
            <w:vAlign w:val="bottom"/>
          </w:tcPr>
          <w:p w14:paraId="54E902B6" w14:textId="77777777" w:rsidR="00F427A3" w:rsidRDefault="00F427A3">
            <w:pPr>
              <w:textAlignment w:val="bottom"/>
              <w:rPr>
                <w:rFonts w:ascii="Times New Roman" w:hAnsi="Times New Roman"/>
                <w:sz w:val="20"/>
                <w:szCs w:val="20"/>
              </w:rPr>
            </w:pPr>
          </w:p>
        </w:tc>
      </w:tr>
      <w:tr w:rsidR="00F427A3" w14:paraId="54E902BC" w14:textId="77777777">
        <w:trPr>
          <w:jc w:val="center"/>
        </w:trPr>
        <w:tc>
          <w:tcPr>
            <w:tcW w:w="0" w:type="auto"/>
            <w:shd w:val="clear" w:color="auto" w:fill="CCEEFF"/>
            <w:tcMar>
              <w:top w:w="40" w:type="dxa"/>
              <w:left w:w="560" w:type="dxa"/>
              <w:bottom w:w="40" w:type="dxa"/>
              <w:right w:w="40" w:type="dxa"/>
            </w:tcMar>
          </w:tcPr>
          <w:p w14:paraId="54E902B8"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xml:space="preserve">Adjustments to reconcile net income to net cash provided by </w:t>
            </w:r>
            <w:r>
              <w:rPr>
                <w:rFonts w:ascii="Times New Roman" w:eastAsia="宋体" w:hAnsi="Times New Roman"/>
                <w:sz w:val="20"/>
                <w:szCs w:val="20"/>
              </w:rPr>
              <w:t>operating activities:</w:t>
            </w:r>
          </w:p>
        </w:tc>
        <w:tc>
          <w:tcPr>
            <w:tcW w:w="0" w:type="auto"/>
            <w:gridSpan w:val="3"/>
            <w:shd w:val="clear" w:color="auto" w:fill="CCEEFF"/>
            <w:tcMar>
              <w:top w:w="40" w:type="dxa"/>
              <w:left w:w="40" w:type="dxa"/>
              <w:bottom w:w="40" w:type="dxa"/>
              <w:right w:w="40" w:type="dxa"/>
            </w:tcMar>
            <w:vAlign w:val="bottom"/>
          </w:tcPr>
          <w:p w14:paraId="54E902B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2B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2B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2C3" w14:textId="77777777">
        <w:trPr>
          <w:jc w:val="center"/>
        </w:trPr>
        <w:tc>
          <w:tcPr>
            <w:tcW w:w="0" w:type="auto"/>
            <w:shd w:val="clear" w:color="auto" w:fill="auto"/>
            <w:tcMar>
              <w:top w:w="40" w:type="dxa"/>
              <w:left w:w="720" w:type="dxa"/>
              <w:bottom w:w="40" w:type="dxa"/>
              <w:right w:w="40" w:type="dxa"/>
            </w:tcMar>
          </w:tcPr>
          <w:p w14:paraId="54E902BD"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Depreciation and amortization</w:t>
            </w:r>
          </w:p>
        </w:tc>
        <w:tc>
          <w:tcPr>
            <w:tcW w:w="0" w:type="auto"/>
            <w:gridSpan w:val="2"/>
            <w:shd w:val="clear" w:color="auto" w:fill="auto"/>
            <w:tcMar>
              <w:top w:w="40" w:type="dxa"/>
              <w:left w:w="40" w:type="dxa"/>
              <w:bottom w:w="40" w:type="dxa"/>
            </w:tcMar>
            <w:vAlign w:val="bottom"/>
          </w:tcPr>
          <w:p w14:paraId="54E902B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4,999</w:t>
            </w:r>
          </w:p>
        </w:tc>
        <w:tc>
          <w:tcPr>
            <w:tcW w:w="0" w:type="auto"/>
            <w:shd w:val="clear" w:color="auto" w:fill="auto"/>
            <w:vAlign w:val="bottom"/>
          </w:tcPr>
          <w:p w14:paraId="54E902BF"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2C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2C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4,273</w:t>
            </w:r>
          </w:p>
        </w:tc>
        <w:tc>
          <w:tcPr>
            <w:tcW w:w="0" w:type="auto"/>
            <w:shd w:val="clear" w:color="auto" w:fill="auto"/>
            <w:vAlign w:val="bottom"/>
          </w:tcPr>
          <w:p w14:paraId="54E902C2" w14:textId="77777777" w:rsidR="00F427A3" w:rsidRDefault="00F427A3">
            <w:pPr>
              <w:textAlignment w:val="bottom"/>
              <w:rPr>
                <w:rFonts w:ascii="Times New Roman" w:hAnsi="Times New Roman"/>
                <w:sz w:val="20"/>
                <w:szCs w:val="20"/>
              </w:rPr>
            </w:pPr>
          </w:p>
        </w:tc>
      </w:tr>
      <w:tr w:rsidR="00F427A3" w14:paraId="54E902CA" w14:textId="77777777">
        <w:trPr>
          <w:jc w:val="center"/>
        </w:trPr>
        <w:tc>
          <w:tcPr>
            <w:tcW w:w="0" w:type="auto"/>
            <w:shd w:val="clear" w:color="auto" w:fill="CCEEFF"/>
            <w:tcMar>
              <w:top w:w="40" w:type="dxa"/>
              <w:left w:w="720" w:type="dxa"/>
              <w:bottom w:w="40" w:type="dxa"/>
              <w:right w:w="40" w:type="dxa"/>
            </w:tcMar>
          </w:tcPr>
          <w:p w14:paraId="54E902C4"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Share-based compensation</w:t>
            </w:r>
          </w:p>
        </w:tc>
        <w:tc>
          <w:tcPr>
            <w:tcW w:w="0" w:type="auto"/>
            <w:gridSpan w:val="2"/>
            <w:shd w:val="clear" w:color="auto" w:fill="CCEEFF"/>
            <w:tcMar>
              <w:top w:w="40" w:type="dxa"/>
              <w:left w:w="40" w:type="dxa"/>
              <w:bottom w:w="40" w:type="dxa"/>
            </w:tcMar>
            <w:vAlign w:val="bottom"/>
          </w:tcPr>
          <w:p w14:paraId="54E902C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4,752</w:t>
            </w:r>
          </w:p>
        </w:tc>
        <w:tc>
          <w:tcPr>
            <w:tcW w:w="0" w:type="auto"/>
            <w:shd w:val="clear" w:color="auto" w:fill="CCEEFF"/>
            <w:vAlign w:val="bottom"/>
          </w:tcPr>
          <w:p w14:paraId="54E902C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2C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2C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3,562</w:t>
            </w:r>
          </w:p>
        </w:tc>
        <w:tc>
          <w:tcPr>
            <w:tcW w:w="0" w:type="auto"/>
            <w:shd w:val="clear" w:color="auto" w:fill="CCEEFF"/>
            <w:vAlign w:val="bottom"/>
          </w:tcPr>
          <w:p w14:paraId="54E902C9" w14:textId="77777777" w:rsidR="00F427A3" w:rsidRDefault="00F427A3">
            <w:pPr>
              <w:textAlignment w:val="bottom"/>
              <w:rPr>
                <w:rFonts w:ascii="Times New Roman" w:hAnsi="Times New Roman"/>
                <w:sz w:val="20"/>
                <w:szCs w:val="20"/>
              </w:rPr>
            </w:pPr>
          </w:p>
        </w:tc>
      </w:tr>
      <w:tr w:rsidR="00F427A3" w14:paraId="54E902D1" w14:textId="77777777">
        <w:trPr>
          <w:jc w:val="center"/>
        </w:trPr>
        <w:tc>
          <w:tcPr>
            <w:tcW w:w="0" w:type="auto"/>
            <w:shd w:val="clear" w:color="auto" w:fill="auto"/>
            <w:tcMar>
              <w:top w:w="40" w:type="dxa"/>
              <w:left w:w="720" w:type="dxa"/>
              <w:bottom w:w="40" w:type="dxa"/>
              <w:right w:w="40" w:type="dxa"/>
            </w:tcMar>
          </w:tcPr>
          <w:p w14:paraId="54E902CB"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Deferred income taxes</w:t>
            </w:r>
          </w:p>
        </w:tc>
        <w:tc>
          <w:tcPr>
            <w:tcW w:w="0" w:type="auto"/>
            <w:gridSpan w:val="2"/>
            <w:shd w:val="clear" w:color="auto" w:fill="auto"/>
            <w:tcMar>
              <w:top w:w="40" w:type="dxa"/>
              <w:left w:w="40" w:type="dxa"/>
              <w:bottom w:w="40" w:type="dxa"/>
            </w:tcMar>
            <w:vAlign w:val="bottom"/>
          </w:tcPr>
          <w:p w14:paraId="54E902C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(816</w:t>
            </w:r>
          </w:p>
        </w:tc>
        <w:tc>
          <w:tcPr>
            <w:tcW w:w="0" w:type="auto"/>
            <w:shd w:val="clear" w:color="auto" w:fill="auto"/>
            <w:tcMar>
              <w:top w:w="40" w:type="dxa"/>
              <w:bottom w:w="40" w:type="dxa"/>
              <w:right w:w="40" w:type="dxa"/>
            </w:tcMar>
            <w:vAlign w:val="bottom"/>
          </w:tcPr>
          <w:p w14:paraId="54E902C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02C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2C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358</w:t>
            </w:r>
          </w:p>
        </w:tc>
        <w:tc>
          <w:tcPr>
            <w:tcW w:w="0" w:type="auto"/>
            <w:shd w:val="clear" w:color="auto" w:fill="auto"/>
            <w:vAlign w:val="bottom"/>
          </w:tcPr>
          <w:p w14:paraId="54E902D0" w14:textId="77777777" w:rsidR="00F427A3" w:rsidRDefault="00F427A3">
            <w:pPr>
              <w:textAlignment w:val="bottom"/>
              <w:rPr>
                <w:rFonts w:ascii="Times New Roman" w:hAnsi="Times New Roman"/>
                <w:sz w:val="20"/>
                <w:szCs w:val="20"/>
              </w:rPr>
            </w:pPr>
          </w:p>
        </w:tc>
      </w:tr>
      <w:tr w:rsidR="00F427A3" w14:paraId="54E902D8" w14:textId="77777777">
        <w:trPr>
          <w:jc w:val="center"/>
        </w:trPr>
        <w:tc>
          <w:tcPr>
            <w:tcW w:w="0" w:type="auto"/>
            <w:shd w:val="clear" w:color="auto" w:fill="CCEEFF"/>
            <w:tcMar>
              <w:top w:w="40" w:type="dxa"/>
              <w:left w:w="720" w:type="dxa"/>
              <w:bottom w:w="40" w:type="dxa"/>
              <w:right w:w="40" w:type="dxa"/>
            </w:tcMar>
          </w:tcPr>
          <w:p w14:paraId="54E902D2"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Other</w:t>
            </w:r>
          </w:p>
        </w:tc>
        <w:tc>
          <w:tcPr>
            <w:tcW w:w="0" w:type="auto"/>
            <w:gridSpan w:val="2"/>
            <w:shd w:val="clear" w:color="auto" w:fill="CCEEFF"/>
            <w:tcMar>
              <w:top w:w="40" w:type="dxa"/>
              <w:left w:w="40" w:type="dxa"/>
              <w:bottom w:w="40" w:type="dxa"/>
            </w:tcMar>
            <w:vAlign w:val="bottom"/>
          </w:tcPr>
          <w:p w14:paraId="54E902D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56</w:t>
            </w:r>
          </w:p>
        </w:tc>
        <w:tc>
          <w:tcPr>
            <w:tcW w:w="0" w:type="auto"/>
            <w:shd w:val="clear" w:color="auto" w:fill="CCEEFF"/>
            <w:vAlign w:val="bottom"/>
          </w:tcPr>
          <w:p w14:paraId="54E902D4"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2D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2D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44</w:t>
            </w:r>
          </w:p>
        </w:tc>
        <w:tc>
          <w:tcPr>
            <w:tcW w:w="0" w:type="auto"/>
            <w:shd w:val="clear" w:color="auto" w:fill="CCEEFF"/>
            <w:vAlign w:val="bottom"/>
          </w:tcPr>
          <w:p w14:paraId="54E902D7" w14:textId="77777777" w:rsidR="00F427A3" w:rsidRDefault="00F427A3">
            <w:pPr>
              <w:textAlignment w:val="bottom"/>
              <w:rPr>
                <w:rFonts w:ascii="Times New Roman" w:hAnsi="Times New Roman"/>
                <w:sz w:val="20"/>
                <w:szCs w:val="20"/>
              </w:rPr>
            </w:pPr>
          </w:p>
        </w:tc>
      </w:tr>
      <w:tr w:rsidR="00F427A3" w14:paraId="54E902DD" w14:textId="77777777">
        <w:trPr>
          <w:jc w:val="center"/>
        </w:trPr>
        <w:tc>
          <w:tcPr>
            <w:tcW w:w="0" w:type="auto"/>
            <w:shd w:val="clear" w:color="auto" w:fill="auto"/>
            <w:tcMar>
              <w:top w:w="40" w:type="dxa"/>
              <w:left w:w="560" w:type="dxa"/>
              <w:bottom w:w="40" w:type="dxa"/>
              <w:right w:w="40" w:type="dxa"/>
            </w:tcMar>
          </w:tcPr>
          <w:p w14:paraId="54E902D9"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Changes in assets and liabilities:</w:t>
            </w:r>
          </w:p>
        </w:tc>
        <w:tc>
          <w:tcPr>
            <w:tcW w:w="0" w:type="auto"/>
            <w:gridSpan w:val="3"/>
            <w:shd w:val="clear" w:color="auto" w:fill="auto"/>
            <w:tcMar>
              <w:top w:w="40" w:type="dxa"/>
              <w:left w:w="40" w:type="dxa"/>
              <w:bottom w:w="40" w:type="dxa"/>
              <w:right w:w="40" w:type="dxa"/>
            </w:tcMar>
            <w:vAlign w:val="bottom"/>
          </w:tcPr>
          <w:p w14:paraId="54E902D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2D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2D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2E4" w14:textId="77777777">
        <w:trPr>
          <w:jc w:val="center"/>
        </w:trPr>
        <w:tc>
          <w:tcPr>
            <w:tcW w:w="0" w:type="auto"/>
            <w:shd w:val="clear" w:color="auto" w:fill="CCEEFF"/>
            <w:tcMar>
              <w:top w:w="40" w:type="dxa"/>
              <w:left w:w="720" w:type="dxa"/>
              <w:bottom w:w="40" w:type="dxa"/>
              <w:right w:w="40" w:type="dxa"/>
            </w:tcMar>
          </w:tcPr>
          <w:p w14:paraId="54E902DE"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xml:space="preserve">   Accounts </w:t>
            </w:r>
            <w:r>
              <w:rPr>
                <w:rFonts w:ascii="Times New Roman" w:eastAsia="宋体" w:hAnsi="Times New Roman"/>
                <w:sz w:val="20"/>
                <w:szCs w:val="20"/>
              </w:rPr>
              <w:t>receivable</w:t>
            </w:r>
          </w:p>
        </w:tc>
        <w:tc>
          <w:tcPr>
            <w:tcW w:w="0" w:type="auto"/>
            <w:gridSpan w:val="2"/>
            <w:shd w:val="clear" w:color="auto" w:fill="CCEEFF"/>
            <w:tcMar>
              <w:top w:w="40" w:type="dxa"/>
              <w:left w:w="40" w:type="dxa"/>
              <w:bottom w:w="40" w:type="dxa"/>
            </w:tcMar>
            <w:vAlign w:val="bottom"/>
          </w:tcPr>
          <w:p w14:paraId="54E902D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1,547</w:t>
            </w:r>
          </w:p>
        </w:tc>
        <w:tc>
          <w:tcPr>
            <w:tcW w:w="0" w:type="auto"/>
            <w:shd w:val="clear" w:color="auto" w:fill="CCEEFF"/>
            <w:vAlign w:val="bottom"/>
          </w:tcPr>
          <w:p w14:paraId="54E902E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2E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2E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(264</w:t>
            </w:r>
          </w:p>
        </w:tc>
        <w:tc>
          <w:tcPr>
            <w:tcW w:w="0" w:type="auto"/>
            <w:shd w:val="clear" w:color="auto" w:fill="CCEEFF"/>
            <w:tcMar>
              <w:top w:w="40" w:type="dxa"/>
              <w:bottom w:w="40" w:type="dxa"/>
              <w:right w:w="40" w:type="dxa"/>
            </w:tcMar>
            <w:vAlign w:val="bottom"/>
          </w:tcPr>
          <w:p w14:paraId="54E902E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02EB" w14:textId="77777777">
        <w:trPr>
          <w:jc w:val="center"/>
        </w:trPr>
        <w:tc>
          <w:tcPr>
            <w:tcW w:w="0" w:type="auto"/>
            <w:shd w:val="clear" w:color="auto" w:fill="auto"/>
            <w:tcMar>
              <w:top w:w="40" w:type="dxa"/>
              <w:left w:w="720" w:type="dxa"/>
              <w:bottom w:w="40" w:type="dxa"/>
              <w:right w:w="40" w:type="dxa"/>
            </w:tcMar>
          </w:tcPr>
          <w:p w14:paraId="54E902E5"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Prepaid expenses and other current assets</w:t>
            </w:r>
          </w:p>
        </w:tc>
        <w:tc>
          <w:tcPr>
            <w:tcW w:w="0" w:type="auto"/>
            <w:gridSpan w:val="2"/>
            <w:shd w:val="clear" w:color="auto" w:fill="auto"/>
            <w:tcMar>
              <w:top w:w="40" w:type="dxa"/>
              <w:left w:w="40" w:type="dxa"/>
              <w:bottom w:w="40" w:type="dxa"/>
            </w:tcMar>
            <w:vAlign w:val="bottom"/>
          </w:tcPr>
          <w:p w14:paraId="54E902E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(89</w:t>
            </w:r>
          </w:p>
        </w:tc>
        <w:tc>
          <w:tcPr>
            <w:tcW w:w="0" w:type="auto"/>
            <w:shd w:val="clear" w:color="auto" w:fill="auto"/>
            <w:tcMar>
              <w:top w:w="40" w:type="dxa"/>
              <w:bottom w:w="40" w:type="dxa"/>
              <w:right w:w="40" w:type="dxa"/>
            </w:tcMar>
            <w:vAlign w:val="bottom"/>
          </w:tcPr>
          <w:p w14:paraId="54E902E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02E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2E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(527</w:t>
            </w:r>
          </w:p>
        </w:tc>
        <w:tc>
          <w:tcPr>
            <w:tcW w:w="0" w:type="auto"/>
            <w:shd w:val="clear" w:color="auto" w:fill="auto"/>
            <w:tcMar>
              <w:top w:w="40" w:type="dxa"/>
              <w:bottom w:w="40" w:type="dxa"/>
              <w:right w:w="40" w:type="dxa"/>
            </w:tcMar>
            <w:vAlign w:val="bottom"/>
          </w:tcPr>
          <w:p w14:paraId="54E902E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02F2" w14:textId="77777777">
        <w:trPr>
          <w:jc w:val="center"/>
        </w:trPr>
        <w:tc>
          <w:tcPr>
            <w:tcW w:w="0" w:type="auto"/>
            <w:shd w:val="clear" w:color="auto" w:fill="CCEEFF"/>
            <w:tcMar>
              <w:top w:w="40" w:type="dxa"/>
              <w:left w:w="720" w:type="dxa"/>
              <w:bottom w:w="40" w:type="dxa"/>
              <w:right w:w="40" w:type="dxa"/>
            </w:tcMar>
          </w:tcPr>
          <w:p w14:paraId="54E902EC"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Other assets</w:t>
            </w:r>
          </w:p>
        </w:tc>
        <w:tc>
          <w:tcPr>
            <w:tcW w:w="0" w:type="auto"/>
            <w:gridSpan w:val="2"/>
            <w:shd w:val="clear" w:color="auto" w:fill="CCEEFF"/>
            <w:tcMar>
              <w:top w:w="40" w:type="dxa"/>
              <w:left w:w="40" w:type="dxa"/>
              <w:bottom w:w="40" w:type="dxa"/>
            </w:tcMar>
            <w:vAlign w:val="bottom"/>
          </w:tcPr>
          <w:p w14:paraId="54E902E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CCEEFF"/>
            <w:tcMar>
              <w:top w:w="40" w:type="dxa"/>
              <w:bottom w:w="40" w:type="dxa"/>
              <w:right w:w="40" w:type="dxa"/>
            </w:tcMar>
            <w:vAlign w:val="bottom"/>
          </w:tcPr>
          <w:p w14:paraId="54E902E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2E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2F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66</w:t>
            </w:r>
          </w:p>
        </w:tc>
        <w:tc>
          <w:tcPr>
            <w:tcW w:w="0" w:type="auto"/>
            <w:shd w:val="clear" w:color="auto" w:fill="CCEEFF"/>
            <w:vAlign w:val="bottom"/>
          </w:tcPr>
          <w:p w14:paraId="54E902F1" w14:textId="77777777" w:rsidR="00F427A3" w:rsidRDefault="00F427A3">
            <w:pPr>
              <w:textAlignment w:val="bottom"/>
              <w:rPr>
                <w:rFonts w:ascii="Times New Roman" w:hAnsi="Times New Roman"/>
                <w:sz w:val="20"/>
                <w:szCs w:val="20"/>
              </w:rPr>
            </w:pPr>
          </w:p>
        </w:tc>
      </w:tr>
      <w:tr w:rsidR="00F427A3" w14:paraId="54E902F9" w14:textId="77777777">
        <w:trPr>
          <w:jc w:val="center"/>
        </w:trPr>
        <w:tc>
          <w:tcPr>
            <w:tcW w:w="0" w:type="auto"/>
            <w:shd w:val="clear" w:color="auto" w:fill="auto"/>
            <w:tcMar>
              <w:top w:w="40" w:type="dxa"/>
              <w:left w:w="720" w:type="dxa"/>
              <w:bottom w:w="40" w:type="dxa"/>
              <w:right w:w="40" w:type="dxa"/>
            </w:tcMar>
          </w:tcPr>
          <w:p w14:paraId="54E902F3"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Accounts payable</w:t>
            </w:r>
          </w:p>
        </w:tc>
        <w:tc>
          <w:tcPr>
            <w:tcW w:w="0" w:type="auto"/>
            <w:gridSpan w:val="2"/>
            <w:shd w:val="clear" w:color="auto" w:fill="auto"/>
            <w:tcMar>
              <w:top w:w="40" w:type="dxa"/>
              <w:left w:w="40" w:type="dxa"/>
              <w:bottom w:w="40" w:type="dxa"/>
            </w:tcMar>
            <w:vAlign w:val="bottom"/>
          </w:tcPr>
          <w:p w14:paraId="54E902F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shd w:val="clear" w:color="auto" w:fill="auto"/>
            <w:vAlign w:val="bottom"/>
          </w:tcPr>
          <w:p w14:paraId="54E902F5"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2F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2F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vAlign w:val="bottom"/>
          </w:tcPr>
          <w:p w14:paraId="54E902F8" w14:textId="77777777" w:rsidR="00F427A3" w:rsidRDefault="00F427A3">
            <w:pPr>
              <w:textAlignment w:val="bottom"/>
              <w:rPr>
                <w:rFonts w:ascii="Times New Roman" w:hAnsi="Times New Roman"/>
                <w:sz w:val="20"/>
                <w:szCs w:val="20"/>
              </w:rPr>
            </w:pPr>
          </w:p>
        </w:tc>
      </w:tr>
      <w:tr w:rsidR="00F427A3" w14:paraId="54E90300" w14:textId="77777777">
        <w:trPr>
          <w:jc w:val="center"/>
        </w:trPr>
        <w:tc>
          <w:tcPr>
            <w:tcW w:w="0" w:type="auto"/>
            <w:shd w:val="clear" w:color="auto" w:fill="CCEEFF"/>
            <w:tcMar>
              <w:top w:w="40" w:type="dxa"/>
              <w:left w:w="720" w:type="dxa"/>
              <w:bottom w:w="40" w:type="dxa"/>
              <w:right w:w="40" w:type="dxa"/>
            </w:tcMar>
          </w:tcPr>
          <w:p w14:paraId="54E902F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Partners payable</w:t>
            </w:r>
          </w:p>
        </w:tc>
        <w:tc>
          <w:tcPr>
            <w:tcW w:w="0" w:type="auto"/>
            <w:gridSpan w:val="2"/>
            <w:shd w:val="clear" w:color="auto" w:fill="CCEEFF"/>
            <w:tcMar>
              <w:top w:w="40" w:type="dxa"/>
              <w:left w:w="40" w:type="dxa"/>
              <w:bottom w:w="40" w:type="dxa"/>
            </w:tcMar>
            <w:vAlign w:val="bottom"/>
          </w:tcPr>
          <w:p w14:paraId="54E902F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shd w:val="clear" w:color="auto" w:fill="CCEEFF"/>
            <w:tcMar>
              <w:top w:w="40" w:type="dxa"/>
              <w:bottom w:w="40" w:type="dxa"/>
              <w:right w:w="40" w:type="dxa"/>
            </w:tcMar>
            <w:vAlign w:val="bottom"/>
          </w:tcPr>
          <w:p w14:paraId="54E902F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2F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2F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59</w:t>
            </w:r>
          </w:p>
        </w:tc>
        <w:tc>
          <w:tcPr>
            <w:tcW w:w="0" w:type="auto"/>
            <w:shd w:val="clear" w:color="auto" w:fill="CCEEFF"/>
            <w:vAlign w:val="bottom"/>
          </w:tcPr>
          <w:p w14:paraId="54E902FF" w14:textId="77777777" w:rsidR="00F427A3" w:rsidRDefault="00F427A3">
            <w:pPr>
              <w:textAlignment w:val="bottom"/>
              <w:rPr>
                <w:rFonts w:ascii="Times New Roman" w:hAnsi="Times New Roman"/>
                <w:sz w:val="20"/>
                <w:szCs w:val="20"/>
              </w:rPr>
            </w:pPr>
          </w:p>
        </w:tc>
      </w:tr>
      <w:tr w:rsidR="00F427A3" w14:paraId="54E90307" w14:textId="77777777">
        <w:trPr>
          <w:jc w:val="center"/>
        </w:trPr>
        <w:tc>
          <w:tcPr>
            <w:tcW w:w="0" w:type="auto"/>
            <w:shd w:val="clear" w:color="auto" w:fill="auto"/>
            <w:tcMar>
              <w:top w:w="40" w:type="dxa"/>
              <w:left w:w="720" w:type="dxa"/>
              <w:bottom w:w="40" w:type="dxa"/>
              <w:right w:w="40" w:type="dxa"/>
            </w:tcMar>
          </w:tcPr>
          <w:p w14:paraId="54E90301"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Accrued expenses and other current liabilities</w:t>
            </w:r>
          </w:p>
        </w:tc>
        <w:tc>
          <w:tcPr>
            <w:tcW w:w="0" w:type="auto"/>
            <w:gridSpan w:val="2"/>
            <w:shd w:val="clear" w:color="auto" w:fill="auto"/>
            <w:tcMar>
              <w:top w:w="40" w:type="dxa"/>
              <w:left w:w="40" w:type="dxa"/>
              <w:bottom w:w="40" w:type="dxa"/>
            </w:tcMar>
            <w:vAlign w:val="bottom"/>
          </w:tcPr>
          <w:p w14:paraId="54E9030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(3,273</w:t>
            </w:r>
          </w:p>
        </w:tc>
        <w:tc>
          <w:tcPr>
            <w:tcW w:w="0" w:type="auto"/>
            <w:shd w:val="clear" w:color="auto" w:fill="auto"/>
            <w:tcMar>
              <w:top w:w="40" w:type="dxa"/>
              <w:bottom w:w="40" w:type="dxa"/>
              <w:right w:w="40" w:type="dxa"/>
            </w:tcMar>
            <w:vAlign w:val="bottom"/>
          </w:tcPr>
          <w:p w14:paraId="54E9030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030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30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6,439</w:t>
            </w:r>
          </w:p>
        </w:tc>
        <w:tc>
          <w:tcPr>
            <w:tcW w:w="0" w:type="auto"/>
            <w:shd w:val="clear" w:color="auto" w:fill="auto"/>
            <w:vAlign w:val="bottom"/>
          </w:tcPr>
          <w:p w14:paraId="54E90306" w14:textId="77777777" w:rsidR="00F427A3" w:rsidRDefault="00F427A3">
            <w:pPr>
              <w:textAlignment w:val="bottom"/>
              <w:rPr>
                <w:rFonts w:ascii="Times New Roman" w:hAnsi="Times New Roman"/>
                <w:sz w:val="20"/>
                <w:szCs w:val="20"/>
              </w:rPr>
            </w:pPr>
          </w:p>
        </w:tc>
      </w:tr>
      <w:tr w:rsidR="00F427A3" w14:paraId="54E9030E" w14:textId="77777777">
        <w:trPr>
          <w:jc w:val="center"/>
        </w:trPr>
        <w:tc>
          <w:tcPr>
            <w:tcW w:w="0" w:type="auto"/>
            <w:shd w:val="clear" w:color="auto" w:fill="CCEEFF"/>
            <w:tcMar>
              <w:top w:w="40" w:type="dxa"/>
              <w:left w:w="720" w:type="dxa"/>
              <w:bottom w:w="40" w:type="dxa"/>
              <w:right w:w="40" w:type="dxa"/>
            </w:tcMar>
          </w:tcPr>
          <w:p w14:paraId="54E90308"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Deferred revenue and deposits</w:t>
            </w:r>
          </w:p>
        </w:tc>
        <w:tc>
          <w:tcPr>
            <w:tcW w:w="0" w:type="auto"/>
            <w:gridSpan w:val="2"/>
            <w:shd w:val="clear" w:color="auto" w:fill="CCEEFF"/>
            <w:tcMar>
              <w:top w:w="40" w:type="dxa"/>
              <w:left w:w="40" w:type="dxa"/>
              <w:bottom w:w="40" w:type="dxa"/>
            </w:tcMar>
            <w:vAlign w:val="bottom"/>
          </w:tcPr>
          <w:p w14:paraId="54E9030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111</w:t>
            </w:r>
          </w:p>
        </w:tc>
        <w:tc>
          <w:tcPr>
            <w:tcW w:w="0" w:type="auto"/>
            <w:shd w:val="clear" w:color="auto" w:fill="CCEEFF"/>
            <w:vAlign w:val="bottom"/>
          </w:tcPr>
          <w:p w14:paraId="54E9030A"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30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30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82</w:t>
            </w:r>
          </w:p>
        </w:tc>
        <w:tc>
          <w:tcPr>
            <w:tcW w:w="0" w:type="auto"/>
            <w:shd w:val="clear" w:color="auto" w:fill="CCEEFF"/>
            <w:vAlign w:val="bottom"/>
          </w:tcPr>
          <w:p w14:paraId="54E9030D" w14:textId="77777777" w:rsidR="00F427A3" w:rsidRDefault="00F427A3">
            <w:pPr>
              <w:textAlignment w:val="bottom"/>
              <w:rPr>
                <w:rFonts w:ascii="Times New Roman" w:hAnsi="Times New Roman"/>
                <w:sz w:val="20"/>
                <w:szCs w:val="20"/>
              </w:rPr>
            </w:pPr>
          </w:p>
        </w:tc>
      </w:tr>
      <w:tr w:rsidR="00F427A3" w14:paraId="54E90315" w14:textId="77777777">
        <w:trPr>
          <w:jc w:val="center"/>
        </w:trPr>
        <w:tc>
          <w:tcPr>
            <w:tcW w:w="0" w:type="auto"/>
            <w:shd w:val="clear" w:color="auto" w:fill="auto"/>
            <w:tcMar>
              <w:top w:w="40" w:type="dxa"/>
              <w:left w:w="720" w:type="dxa"/>
              <w:bottom w:w="40" w:type="dxa"/>
              <w:right w:w="40" w:type="dxa"/>
            </w:tcMar>
          </w:tcPr>
          <w:p w14:paraId="54E9030F"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Other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54E9031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(438</w:t>
            </w:r>
          </w:p>
        </w:tc>
        <w:tc>
          <w:tcPr>
            <w:tcW w:w="0" w:type="auto"/>
            <w:tcBorders>
              <w:bottom w:val="single" w:sz="8" w:space="0" w:color="000000"/>
            </w:tcBorders>
            <w:shd w:val="clear" w:color="auto" w:fill="auto"/>
            <w:tcMar>
              <w:top w:w="40" w:type="dxa"/>
              <w:bottom w:w="40" w:type="dxa"/>
              <w:right w:w="40" w:type="dxa"/>
            </w:tcMar>
            <w:vAlign w:val="bottom"/>
          </w:tcPr>
          <w:p w14:paraId="54E9031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031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031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2,001</w:t>
            </w:r>
          </w:p>
        </w:tc>
        <w:tc>
          <w:tcPr>
            <w:tcW w:w="0" w:type="auto"/>
            <w:tcBorders>
              <w:bottom w:val="single" w:sz="8" w:space="0" w:color="000000"/>
            </w:tcBorders>
            <w:shd w:val="clear" w:color="auto" w:fill="auto"/>
            <w:vAlign w:val="bottom"/>
          </w:tcPr>
          <w:p w14:paraId="54E90314" w14:textId="77777777" w:rsidR="00F427A3" w:rsidRDefault="00F427A3">
            <w:pPr>
              <w:textAlignment w:val="bottom"/>
              <w:rPr>
                <w:rFonts w:ascii="Times New Roman" w:hAnsi="Times New Roman"/>
                <w:sz w:val="20"/>
                <w:szCs w:val="20"/>
              </w:rPr>
            </w:pPr>
          </w:p>
        </w:tc>
      </w:tr>
      <w:tr w:rsidR="00F427A3" w14:paraId="54E9031C" w14:textId="77777777">
        <w:trPr>
          <w:jc w:val="center"/>
        </w:trPr>
        <w:tc>
          <w:tcPr>
            <w:tcW w:w="0" w:type="auto"/>
            <w:shd w:val="clear" w:color="auto" w:fill="CCEEFF"/>
            <w:tcMar>
              <w:top w:w="40" w:type="dxa"/>
              <w:left w:w="560" w:type="dxa"/>
              <w:bottom w:w="40" w:type="dxa"/>
              <w:right w:w="40" w:type="dxa"/>
            </w:tcMar>
          </w:tcPr>
          <w:p w14:paraId="54E90316"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Net cash provided by operating activities</w:t>
            </w:r>
          </w:p>
        </w:tc>
        <w:tc>
          <w:tcPr>
            <w:tcW w:w="0" w:type="auto"/>
            <w:gridSpan w:val="2"/>
            <w:shd w:val="clear" w:color="auto" w:fill="CCEEFF"/>
            <w:tcMar>
              <w:top w:w="40" w:type="dxa"/>
              <w:left w:w="40" w:type="dxa"/>
              <w:bottom w:w="40" w:type="dxa"/>
            </w:tcMar>
            <w:vAlign w:val="bottom"/>
          </w:tcPr>
          <w:p w14:paraId="54E9031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24,707</w:t>
            </w:r>
          </w:p>
        </w:tc>
        <w:tc>
          <w:tcPr>
            <w:tcW w:w="0" w:type="auto"/>
            <w:shd w:val="clear" w:color="auto" w:fill="CCEEFF"/>
            <w:vAlign w:val="bottom"/>
          </w:tcPr>
          <w:p w14:paraId="54E90318"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31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31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27,231</w:t>
            </w:r>
          </w:p>
        </w:tc>
        <w:tc>
          <w:tcPr>
            <w:tcW w:w="0" w:type="auto"/>
            <w:shd w:val="clear" w:color="auto" w:fill="CCEEFF"/>
            <w:vAlign w:val="bottom"/>
          </w:tcPr>
          <w:p w14:paraId="54E9031B" w14:textId="77777777" w:rsidR="00F427A3" w:rsidRDefault="00F427A3">
            <w:pPr>
              <w:textAlignment w:val="bottom"/>
              <w:rPr>
                <w:rFonts w:ascii="Times New Roman" w:hAnsi="Times New Roman"/>
                <w:sz w:val="20"/>
                <w:szCs w:val="20"/>
              </w:rPr>
            </w:pPr>
          </w:p>
        </w:tc>
      </w:tr>
      <w:tr w:rsidR="00F427A3" w14:paraId="54E90321" w14:textId="77777777">
        <w:trPr>
          <w:jc w:val="center"/>
        </w:trPr>
        <w:tc>
          <w:tcPr>
            <w:tcW w:w="0" w:type="auto"/>
            <w:shd w:val="clear" w:color="auto" w:fill="auto"/>
            <w:tcMar>
              <w:top w:w="40" w:type="dxa"/>
              <w:left w:w="40" w:type="dxa"/>
              <w:bottom w:w="40" w:type="dxa"/>
              <w:right w:w="40" w:type="dxa"/>
            </w:tcMar>
          </w:tcPr>
          <w:p w14:paraId="54E9031D"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Cash flows from investing activities</w:t>
            </w:r>
          </w:p>
        </w:tc>
        <w:tc>
          <w:tcPr>
            <w:tcW w:w="0" w:type="auto"/>
            <w:gridSpan w:val="3"/>
            <w:shd w:val="clear" w:color="auto" w:fill="auto"/>
            <w:tcMar>
              <w:top w:w="40" w:type="dxa"/>
              <w:left w:w="40" w:type="dxa"/>
              <w:bottom w:w="40" w:type="dxa"/>
              <w:right w:w="40" w:type="dxa"/>
            </w:tcMar>
            <w:vAlign w:val="bottom"/>
          </w:tcPr>
          <w:p w14:paraId="54E9031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31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32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328" w14:textId="77777777">
        <w:trPr>
          <w:jc w:val="center"/>
        </w:trPr>
        <w:tc>
          <w:tcPr>
            <w:tcW w:w="0" w:type="auto"/>
            <w:shd w:val="clear" w:color="auto" w:fill="CCEEFF"/>
            <w:tcMar>
              <w:top w:w="40" w:type="dxa"/>
              <w:left w:w="560" w:type="dxa"/>
              <w:bottom w:w="40" w:type="dxa"/>
              <w:right w:w="40" w:type="dxa"/>
            </w:tcMar>
          </w:tcPr>
          <w:p w14:paraId="54E90322"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Purchases of property and equipment, net</w:t>
            </w:r>
          </w:p>
        </w:tc>
        <w:tc>
          <w:tcPr>
            <w:tcW w:w="0" w:type="auto"/>
            <w:gridSpan w:val="2"/>
            <w:shd w:val="clear" w:color="auto" w:fill="CCEEFF"/>
            <w:tcMar>
              <w:top w:w="40" w:type="dxa"/>
              <w:left w:w="40" w:type="dxa"/>
              <w:bottom w:w="40" w:type="dxa"/>
            </w:tcMar>
            <w:vAlign w:val="bottom"/>
          </w:tcPr>
          <w:p w14:paraId="54E9032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(10,502</w:t>
            </w:r>
          </w:p>
        </w:tc>
        <w:tc>
          <w:tcPr>
            <w:tcW w:w="0" w:type="auto"/>
            <w:shd w:val="clear" w:color="auto" w:fill="CCEEFF"/>
            <w:tcMar>
              <w:top w:w="40" w:type="dxa"/>
              <w:bottom w:w="40" w:type="dxa"/>
              <w:right w:w="40" w:type="dxa"/>
            </w:tcMar>
            <w:vAlign w:val="bottom"/>
          </w:tcPr>
          <w:p w14:paraId="54E9032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32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32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(11,002</w:t>
            </w:r>
          </w:p>
        </w:tc>
        <w:tc>
          <w:tcPr>
            <w:tcW w:w="0" w:type="auto"/>
            <w:shd w:val="clear" w:color="auto" w:fill="CCEEFF"/>
            <w:tcMar>
              <w:top w:w="40" w:type="dxa"/>
              <w:bottom w:w="40" w:type="dxa"/>
              <w:right w:w="40" w:type="dxa"/>
            </w:tcMar>
            <w:vAlign w:val="bottom"/>
          </w:tcPr>
          <w:p w14:paraId="54E9032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032F" w14:textId="77777777">
        <w:trPr>
          <w:jc w:val="center"/>
        </w:trPr>
        <w:tc>
          <w:tcPr>
            <w:tcW w:w="0" w:type="auto"/>
            <w:shd w:val="clear" w:color="auto" w:fill="auto"/>
            <w:tcMar>
              <w:top w:w="40" w:type="dxa"/>
              <w:left w:w="560" w:type="dxa"/>
              <w:bottom w:w="40" w:type="dxa"/>
              <w:right w:w="40" w:type="dxa"/>
            </w:tcMar>
          </w:tcPr>
          <w:p w14:paraId="54E90329"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Purchases of marketable securities</w:t>
            </w:r>
          </w:p>
        </w:tc>
        <w:tc>
          <w:tcPr>
            <w:tcW w:w="0" w:type="auto"/>
            <w:gridSpan w:val="2"/>
            <w:shd w:val="clear" w:color="auto" w:fill="auto"/>
            <w:tcMar>
              <w:top w:w="40" w:type="dxa"/>
              <w:left w:w="40" w:type="dxa"/>
              <w:bottom w:w="40" w:type="dxa"/>
            </w:tcMar>
            <w:vAlign w:val="bottom"/>
          </w:tcPr>
          <w:p w14:paraId="54E9032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(28,193</w:t>
            </w:r>
          </w:p>
        </w:tc>
        <w:tc>
          <w:tcPr>
            <w:tcW w:w="0" w:type="auto"/>
            <w:shd w:val="clear" w:color="auto" w:fill="auto"/>
            <w:tcMar>
              <w:top w:w="40" w:type="dxa"/>
              <w:bottom w:w="40" w:type="dxa"/>
              <w:right w:w="40" w:type="dxa"/>
            </w:tcMar>
            <w:vAlign w:val="bottom"/>
          </w:tcPr>
          <w:p w14:paraId="54E9032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032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32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(19,152</w:t>
            </w:r>
          </w:p>
        </w:tc>
        <w:tc>
          <w:tcPr>
            <w:tcW w:w="0" w:type="auto"/>
            <w:shd w:val="clear" w:color="auto" w:fill="auto"/>
            <w:tcMar>
              <w:top w:w="40" w:type="dxa"/>
              <w:bottom w:w="40" w:type="dxa"/>
              <w:right w:w="40" w:type="dxa"/>
            </w:tcMar>
            <w:vAlign w:val="bottom"/>
          </w:tcPr>
          <w:p w14:paraId="54E9032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0336" w14:textId="77777777">
        <w:trPr>
          <w:jc w:val="center"/>
        </w:trPr>
        <w:tc>
          <w:tcPr>
            <w:tcW w:w="0" w:type="auto"/>
            <w:shd w:val="clear" w:color="auto" w:fill="CCEEFF"/>
            <w:tcMar>
              <w:top w:w="40" w:type="dxa"/>
              <w:left w:w="560" w:type="dxa"/>
              <w:bottom w:w="40" w:type="dxa"/>
              <w:right w:w="40" w:type="dxa"/>
            </w:tcMar>
          </w:tcPr>
          <w:p w14:paraId="54E90330"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Sales of marketable securities</w:t>
            </w:r>
          </w:p>
        </w:tc>
        <w:tc>
          <w:tcPr>
            <w:tcW w:w="0" w:type="auto"/>
            <w:gridSpan w:val="2"/>
            <w:shd w:val="clear" w:color="auto" w:fill="CCEEFF"/>
            <w:tcMar>
              <w:top w:w="40" w:type="dxa"/>
              <w:left w:w="40" w:type="dxa"/>
              <w:bottom w:w="40" w:type="dxa"/>
            </w:tcMar>
            <w:vAlign w:val="bottom"/>
          </w:tcPr>
          <w:p w14:paraId="54E9033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9,779</w:t>
            </w:r>
          </w:p>
        </w:tc>
        <w:tc>
          <w:tcPr>
            <w:tcW w:w="0" w:type="auto"/>
            <w:shd w:val="clear" w:color="auto" w:fill="CCEEFF"/>
            <w:vAlign w:val="bottom"/>
          </w:tcPr>
          <w:p w14:paraId="54E90332"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33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33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7,402</w:t>
            </w:r>
          </w:p>
        </w:tc>
        <w:tc>
          <w:tcPr>
            <w:tcW w:w="0" w:type="auto"/>
            <w:shd w:val="clear" w:color="auto" w:fill="CCEEFF"/>
            <w:vAlign w:val="bottom"/>
          </w:tcPr>
          <w:p w14:paraId="54E90335" w14:textId="77777777" w:rsidR="00F427A3" w:rsidRDefault="00F427A3">
            <w:pPr>
              <w:textAlignment w:val="bottom"/>
              <w:rPr>
                <w:rFonts w:ascii="Times New Roman" w:hAnsi="Times New Roman"/>
                <w:sz w:val="20"/>
                <w:szCs w:val="20"/>
              </w:rPr>
            </w:pPr>
          </w:p>
        </w:tc>
      </w:tr>
      <w:tr w:rsidR="00F427A3" w14:paraId="54E9033D" w14:textId="77777777">
        <w:trPr>
          <w:jc w:val="center"/>
        </w:trPr>
        <w:tc>
          <w:tcPr>
            <w:tcW w:w="0" w:type="auto"/>
            <w:shd w:val="clear" w:color="auto" w:fill="auto"/>
            <w:tcMar>
              <w:top w:w="40" w:type="dxa"/>
              <w:left w:w="560" w:type="dxa"/>
              <w:bottom w:w="40" w:type="dxa"/>
              <w:right w:w="40" w:type="dxa"/>
            </w:tcMar>
          </w:tcPr>
          <w:p w14:paraId="54E90337"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Maturities of marketable securities</w:t>
            </w:r>
          </w:p>
        </w:tc>
        <w:tc>
          <w:tcPr>
            <w:tcW w:w="0" w:type="auto"/>
            <w:gridSpan w:val="2"/>
            <w:shd w:val="clear" w:color="auto" w:fill="auto"/>
            <w:tcMar>
              <w:top w:w="40" w:type="dxa"/>
              <w:left w:w="40" w:type="dxa"/>
              <w:bottom w:w="40" w:type="dxa"/>
            </w:tcMar>
            <w:vAlign w:val="bottom"/>
          </w:tcPr>
          <w:p w14:paraId="54E9033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10,725</w:t>
            </w:r>
          </w:p>
        </w:tc>
        <w:tc>
          <w:tcPr>
            <w:tcW w:w="0" w:type="auto"/>
            <w:shd w:val="clear" w:color="auto" w:fill="auto"/>
            <w:vAlign w:val="bottom"/>
          </w:tcPr>
          <w:p w14:paraId="54E90339"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33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33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7,048</w:t>
            </w:r>
          </w:p>
        </w:tc>
        <w:tc>
          <w:tcPr>
            <w:tcW w:w="0" w:type="auto"/>
            <w:shd w:val="clear" w:color="auto" w:fill="auto"/>
            <w:vAlign w:val="bottom"/>
          </w:tcPr>
          <w:p w14:paraId="54E9033C" w14:textId="77777777" w:rsidR="00F427A3" w:rsidRDefault="00F427A3">
            <w:pPr>
              <w:textAlignment w:val="bottom"/>
              <w:rPr>
                <w:rFonts w:ascii="Times New Roman" w:hAnsi="Times New Roman"/>
                <w:sz w:val="20"/>
                <w:szCs w:val="20"/>
              </w:rPr>
            </w:pPr>
          </w:p>
        </w:tc>
      </w:tr>
      <w:tr w:rsidR="00F427A3" w14:paraId="54E90344" w14:textId="77777777">
        <w:trPr>
          <w:jc w:val="center"/>
        </w:trPr>
        <w:tc>
          <w:tcPr>
            <w:tcW w:w="0" w:type="auto"/>
            <w:shd w:val="clear" w:color="auto" w:fill="CCEEFF"/>
            <w:tcMar>
              <w:top w:w="40" w:type="dxa"/>
              <w:left w:w="560" w:type="dxa"/>
              <w:bottom w:w="40" w:type="dxa"/>
              <w:right w:w="40" w:type="dxa"/>
            </w:tcMar>
          </w:tcPr>
          <w:p w14:paraId="54E9033E"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Purchases of equity investments</w:t>
            </w:r>
          </w:p>
        </w:tc>
        <w:tc>
          <w:tcPr>
            <w:tcW w:w="0" w:type="auto"/>
            <w:gridSpan w:val="2"/>
            <w:shd w:val="clear" w:color="auto" w:fill="CCEEFF"/>
            <w:tcMar>
              <w:top w:w="40" w:type="dxa"/>
              <w:left w:w="40" w:type="dxa"/>
              <w:bottom w:w="40" w:type="dxa"/>
            </w:tcMar>
            <w:vAlign w:val="bottom"/>
          </w:tcPr>
          <w:p w14:paraId="54E9033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(6,302</w:t>
            </w:r>
          </w:p>
        </w:tc>
        <w:tc>
          <w:tcPr>
            <w:tcW w:w="0" w:type="auto"/>
            <w:shd w:val="clear" w:color="auto" w:fill="CCEEFF"/>
            <w:tcMar>
              <w:top w:w="40" w:type="dxa"/>
              <w:bottom w:w="40" w:type="dxa"/>
              <w:right w:w="40" w:type="dxa"/>
            </w:tcMar>
            <w:vAlign w:val="bottom"/>
          </w:tcPr>
          <w:p w14:paraId="54E9034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34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34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(61</w:t>
            </w:r>
          </w:p>
        </w:tc>
        <w:tc>
          <w:tcPr>
            <w:tcW w:w="0" w:type="auto"/>
            <w:shd w:val="clear" w:color="auto" w:fill="CCEEFF"/>
            <w:tcMar>
              <w:top w:w="40" w:type="dxa"/>
              <w:bottom w:w="40" w:type="dxa"/>
              <w:right w:w="40" w:type="dxa"/>
            </w:tcMar>
            <w:vAlign w:val="bottom"/>
          </w:tcPr>
          <w:p w14:paraId="54E9034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034B" w14:textId="77777777">
        <w:trPr>
          <w:jc w:val="center"/>
        </w:trPr>
        <w:tc>
          <w:tcPr>
            <w:tcW w:w="0" w:type="auto"/>
            <w:shd w:val="clear" w:color="auto" w:fill="auto"/>
            <w:tcMar>
              <w:top w:w="40" w:type="dxa"/>
              <w:left w:w="560" w:type="dxa"/>
              <w:bottom w:w="40" w:type="dxa"/>
              <w:right w:w="40" w:type="dxa"/>
            </w:tcMar>
          </w:tcPr>
          <w:p w14:paraId="54E90345"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xml:space="preserve">Acquisitions of businesses, net of cash </w:t>
            </w:r>
            <w:r>
              <w:rPr>
                <w:rFonts w:ascii="Times New Roman" w:eastAsia="宋体" w:hAnsi="Times New Roman"/>
                <w:sz w:val="20"/>
                <w:szCs w:val="20"/>
              </w:rPr>
              <w:t>acquired, and purchases of intangible assets</w:t>
            </w:r>
          </w:p>
        </w:tc>
        <w:tc>
          <w:tcPr>
            <w:tcW w:w="0" w:type="auto"/>
            <w:gridSpan w:val="2"/>
            <w:shd w:val="clear" w:color="auto" w:fill="auto"/>
            <w:tcMar>
              <w:top w:w="40" w:type="dxa"/>
              <w:left w:w="40" w:type="dxa"/>
              <w:bottom w:w="40" w:type="dxa"/>
            </w:tcMar>
            <w:vAlign w:val="bottom"/>
          </w:tcPr>
          <w:p w14:paraId="54E9034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(384</w:t>
            </w:r>
          </w:p>
        </w:tc>
        <w:tc>
          <w:tcPr>
            <w:tcW w:w="0" w:type="auto"/>
            <w:shd w:val="clear" w:color="auto" w:fill="auto"/>
            <w:tcMar>
              <w:top w:w="40" w:type="dxa"/>
              <w:bottom w:w="40" w:type="dxa"/>
              <w:right w:w="40" w:type="dxa"/>
            </w:tcMar>
            <w:vAlign w:val="bottom"/>
          </w:tcPr>
          <w:p w14:paraId="54E9034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034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34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(63</w:t>
            </w:r>
          </w:p>
        </w:tc>
        <w:tc>
          <w:tcPr>
            <w:tcW w:w="0" w:type="auto"/>
            <w:shd w:val="clear" w:color="auto" w:fill="auto"/>
            <w:tcMar>
              <w:top w:w="40" w:type="dxa"/>
              <w:bottom w:w="40" w:type="dxa"/>
              <w:right w:w="40" w:type="dxa"/>
            </w:tcMar>
            <w:vAlign w:val="bottom"/>
          </w:tcPr>
          <w:p w14:paraId="54E9034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0352" w14:textId="77777777">
        <w:trPr>
          <w:jc w:val="center"/>
        </w:trPr>
        <w:tc>
          <w:tcPr>
            <w:tcW w:w="0" w:type="auto"/>
            <w:shd w:val="clear" w:color="auto" w:fill="CCEEFF"/>
            <w:tcMar>
              <w:top w:w="40" w:type="dxa"/>
              <w:left w:w="560" w:type="dxa"/>
              <w:bottom w:w="40" w:type="dxa"/>
              <w:right w:w="40" w:type="dxa"/>
            </w:tcMar>
          </w:tcPr>
          <w:p w14:paraId="54E9034C"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Other investing activities, net</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34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bottom w:val="single" w:sz="8" w:space="0" w:color="000000"/>
            </w:tcBorders>
            <w:shd w:val="clear" w:color="auto" w:fill="CCEEFF"/>
            <w:tcMar>
              <w:top w:w="40" w:type="dxa"/>
              <w:bottom w:w="40" w:type="dxa"/>
              <w:right w:w="40" w:type="dxa"/>
            </w:tcMar>
            <w:vAlign w:val="bottom"/>
          </w:tcPr>
          <w:p w14:paraId="54E9034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34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35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4E90351" w14:textId="77777777" w:rsidR="00F427A3" w:rsidRDefault="00F427A3">
            <w:pPr>
              <w:textAlignment w:val="bottom"/>
              <w:rPr>
                <w:rFonts w:ascii="Times New Roman" w:hAnsi="Times New Roman"/>
                <w:sz w:val="20"/>
                <w:szCs w:val="20"/>
              </w:rPr>
            </w:pPr>
          </w:p>
        </w:tc>
      </w:tr>
      <w:tr w:rsidR="00F427A3" w14:paraId="54E90359" w14:textId="77777777">
        <w:trPr>
          <w:jc w:val="center"/>
        </w:trPr>
        <w:tc>
          <w:tcPr>
            <w:tcW w:w="0" w:type="auto"/>
            <w:shd w:val="clear" w:color="auto" w:fill="auto"/>
            <w:tcMar>
              <w:top w:w="40" w:type="dxa"/>
              <w:left w:w="560" w:type="dxa"/>
              <w:bottom w:w="40" w:type="dxa"/>
              <w:right w:w="40" w:type="dxa"/>
            </w:tcMar>
          </w:tcPr>
          <w:p w14:paraId="54E90353"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Net cash used in investing activities</w:t>
            </w:r>
          </w:p>
        </w:tc>
        <w:tc>
          <w:tcPr>
            <w:tcW w:w="0" w:type="auto"/>
            <w:gridSpan w:val="2"/>
            <w:shd w:val="clear" w:color="auto" w:fill="auto"/>
            <w:tcMar>
              <w:top w:w="40" w:type="dxa"/>
              <w:left w:w="40" w:type="dxa"/>
              <w:bottom w:w="40" w:type="dxa"/>
            </w:tcMar>
            <w:vAlign w:val="bottom"/>
          </w:tcPr>
          <w:p w14:paraId="54E9035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(24,886</w:t>
            </w:r>
          </w:p>
        </w:tc>
        <w:tc>
          <w:tcPr>
            <w:tcW w:w="0" w:type="auto"/>
            <w:shd w:val="clear" w:color="auto" w:fill="auto"/>
            <w:tcMar>
              <w:top w:w="40" w:type="dxa"/>
              <w:bottom w:w="40" w:type="dxa"/>
              <w:right w:w="40" w:type="dxa"/>
            </w:tcMar>
            <w:vAlign w:val="bottom"/>
          </w:tcPr>
          <w:p w14:paraId="54E9035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035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35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(15,828</w:t>
            </w:r>
          </w:p>
        </w:tc>
        <w:tc>
          <w:tcPr>
            <w:tcW w:w="0" w:type="auto"/>
            <w:shd w:val="clear" w:color="auto" w:fill="auto"/>
            <w:tcMar>
              <w:top w:w="40" w:type="dxa"/>
              <w:bottom w:w="40" w:type="dxa"/>
              <w:right w:w="40" w:type="dxa"/>
            </w:tcMar>
            <w:vAlign w:val="bottom"/>
          </w:tcPr>
          <w:p w14:paraId="54E9035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035E" w14:textId="77777777">
        <w:trPr>
          <w:jc w:val="center"/>
        </w:trPr>
        <w:tc>
          <w:tcPr>
            <w:tcW w:w="0" w:type="auto"/>
            <w:shd w:val="clear" w:color="auto" w:fill="CCEEFF"/>
            <w:tcMar>
              <w:top w:w="40" w:type="dxa"/>
              <w:left w:w="40" w:type="dxa"/>
              <w:bottom w:w="40" w:type="dxa"/>
              <w:right w:w="40" w:type="dxa"/>
            </w:tcMar>
          </w:tcPr>
          <w:p w14:paraId="54E9035A"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Cash flows from financing activities</w:t>
            </w:r>
          </w:p>
        </w:tc>
        <w:tc>
          <w:tcPr>
            <w:tcW w:w="0" w:type="auto"/>
            <w:gridSpan w:val="3"/>
            <w:shd w:val="clear" w:color="auto" w:fill="CCEEFF"/>
            <w:tcMar>
              <w:top w:w="40" w:type="dxa"/>
              <w:left w:w="40" w:type="dxa"/>
              <w:bottom w:w="40" w:type="dxa"/>
              <w:right w:w="40" w:type="dxa"/>
            </w:tcMar>
            <w:vAlign w:val="bottom"/>
          </w:tcPr>
          <w:p w14:paraId="54E9035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35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35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365" w14:textId="77777777">
        <w:trPr>
          <w:jc w:val="center"/>
        </w:trPr>
        <w:tc>
          <w:tcPr>
            <w:tcW w:w="0" w:type="auto"/>
            <w:shd w:val="clear" w:color="auto" w:fill="auto"/>
            <w:tcMar>
              <w:top w:w="40" w:type="dxa"/>
              <w:left w:w="560" w:type="dxa"/>
              <w:bottom w:w="40" w:type="dxa"/>
              <w:right w:w="40" w:type="dxa"/>
            </w:tcMar>
          </w:tcPr>
          <w:p w14:paraId="54E9035F"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xml:space="preserve">Taxes paid related to net share </w:t>
            </w:r>
            <w:r>
              <w:rPr>
                <w:rFonts w:ascii="Times New Roman" w:eastAsia="宋体" w:hAnsi="Times New Roman"/>
                <w:sz w:val="20"/>
                <w:szCs w:val="20"/>
              </w:rPr>
              <w:t>settlement of equity awards</w:t>
            </w:r>
          </w:p>
        </w:tc>
        <w:tc>
          <w:tcPr>
            <w:tcW w:w="0" w:type="auto"/>
            <w:gridSpan w:val="2"/>
            <w:shd w:val="clear" w:color="auto" w:fill="auto"/>
            <w:tcMar>
              <w:top w:w="40" w:type="dxa"/>
              <w:left w:w="40" w:type="dxa"/>
              <w:bottom w:w="40" w:type="dxa"/>
            </w:tcMar>
            <w:vAlign w:val="bottom"/>
          </w:tcPr>
          <w:p w14:paraId="54E9036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(2,444</w:t>
            </w:r>
          </w:p>
        </w:tc>
        <w:tc>
          <w:tcPr>
            <w:tcW w:w="0" w:type="auto"/>
            <w:shd w:val="clear" w:color="auto" w:fill="auto"/>
            <w:tcMar>
              <w:top w:w="40" w:type="dxa"/>
              <w:bottom w:w="40" w:type="dxa"/>
              <w:right w:w="40" w:type="dxa"/>
            </w:tcMar>
            <w:vAlign w:val="bottom"/>
          </w:tcPr>
          <w:p w14:paraId="54E9036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036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36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(1,710</w:t>
            </w:r>
          </w:p>
        </w:tc>
        <w:tc>
          <w:tcPr>
            <w:tcW w:w="0" w:type="auto"/>
            <w:shd w:val="clear" w:color="auto" w:fill="auto"/>
            <w:tcMar>
              <w:top w:w="40" w:type="dxa"/>
              <w:bottom w:w="40" w:type="dxa"/>
              <w:right w:w="40" w:type="dxa"/>
            </w:tcMar>
            <w:vAlign w:val="bottom"/>
          </w:tcPr>
          <w:p w14:paraId="54E9036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036C" w14:textId="77777777">
        <w:trPr>
          <w:jc w:val="center"/>
        </w:trPr>
        <w:tc>
          <w:tcPr>
            <w:tcW w:w="0" w:type="auto"/>
            <w:shd w:val="clear" w:color="auto" w:fill="CCEEFF"/>
            <w:tcMar>
              <w:top w:w="40" w:type="dxa"/>
              <w:left w:w="560" w:type="dxa"/>
              <w:bottom w:w="40" w:type="dxa"/>
              <w:right w:w="40" w:type="dxa"/>
            </w:tcMar>
          </w:tcPr>
          <w:p w14:paraId="54E90366"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Repurchases of Class A common stock</w:t>
            </w:r>
          </w:p>
        </w:tc>
        <w:tc>
          <w:tcPr>
            <w:tcW w:w="0" w:type="auto"/>
            <w:gridSpan w:val="2"/>
            <w:shd w:val="clear" w:color="auto" w:fill="CCEEFF"/>
            <w:tcMar>
              <w:top w:w="40" w:type="dxa"/>
              <w:left w:w="40" w:type="dxa"/>
              <w:bottom w:w="40" w:type="dxa"/>
            </w:tcMar>
            <w:vAlign w:val="bottom"/>
          </w:tcPr>
          <w:p w14:paraId="54E9036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(4,343</w:t>
            </w:r>
          </w:p>
        </w:tc>
        <w:tc>
          <w:tcPr>
            <w:tcW w:w="0" w:type="auto"/>
            <w:shd w:val="clear" w:color="auto" w:fill="CCEEFF"/>
            <w:tcMar>
              <w:top w:w="40" w:type="dxa"/>
              <w:bottom w:w="40" w:type="dxa"/>
              <w:right w:w="40" w:type="dxa"/>
            </w:tcMar>
            <w:vAlign w:val="bottom"/>
          </w:tcPr>
          <w:p w14:paraId="54E9036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36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36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(2,906</w:t>
            </w:r>
          </w:p>
        </w:tc>
        <w:tc>
          <w:tcPr>
            <w:tcW w:w="0" w:type="auto"/>
            <w:shd w:val="clear" w:color="auto" w:fill="CCEEFF"/>
            <w:tcMar>
              <w:top w:w="40" w:type="dxa"/>
              <w:bottom w:w="40" w:type="dxa"/>
              <w:right w:w="40" w:type="dxa"/>
            </w:tcMar>
            <w:vAlign w:val="bottom"/>
          </w:tcPr>
          <w:p w14:paraId="54E9036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0373" w14:textId="77777777">
        <w:trPr>
          <w:jc w:val="center"/>
        </w:trPr>
        <w:tc>
          <w:tcPr>
            <w:tcW w:w="0" w:type="auto"/>
            <w:shd w:val="clear" w:color="auto" w:fill="auto"/>
            <w:tcMar>
              <w:top w:w="40" w:type="dxa"/>
              <w:left w:w="560" w:type="dxa"/>
              <w:bottom w:w="40" w:type="dxa"/>
              <w:right w:w="40" w:type="dxa"/>
            </w:tcMar>
          </w:tcPr>
          <w:p w14:paraId="54E9036D"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Principal payments on finance leases</w:t>
            </w:r>
          </w:p>
        </w:tc>
        <w:tc>
          <w:tcPr>
            <w:tcW w:w="0" w:type="auto"/>
            <w:gridSpan w:val="2"/>
            <w:shd w:val="clear" w:color="auto" w:fill="auto"/>
            <w:tcMar>
              <w:top w:w="40" w:type="dxa"/>
              <w:left w:w="40" w:type="dxa"/>
              <w:bottom w:w="40" w:type="dxa"/>
            </w:tcMar>
            <w:vAlign w:val="bottom"/>
          </w:tcPr>
          <w:p w14:paraId="54E9036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(398</w:t>
            </w:r>
          </w:p>
        </w:tc>
        <w:tc>
          <w:tcPr>
            <w:tcW w:w="0" w:type="auto"/>
            <w:shd w:val="clear" w:color="auto" w:fill="auto"/>
            <w:tcMar>
              <w:top w:w="40" w:type="dxa"/>
              <w:bottom w:w="40" w:type="dxa"/>
              <w:right w:w="40" w:type="dxa"/>
            </w:tcMar>
            <w:vAlign w:val="bottom"/>
          </w:tcPr>
          <w:p w14:paraId="54E9036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037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37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(411</w:t>
            </w:r>
          </w:p>
        </w:tc>
        <w:tc>
          <w:tcPr>
            <w:tcW w:w="0" w:type="auto"/>
            <w:shd w:val="clear" w:color="auto" w:fill="auto"/>
            <w:tcMar>
              <w:top w:w="40" w:type="dxa"/>
              <w:bottom w:w="40" w:type="dxa"/>
              <w:right w:w="40" w:type="dxa"/>
            </w:tcMar>
            <w:vAlign w:val="bottom"/>
          </w:tcPr>
          <w:p w14:paraId="54E9037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037A" w14:textId="77777777">
        <w:trPr>
          <w:jc w:val="center"/>
        </w:trPr>
        <w:tc>
          <w:tcPr>
            <w:tcW w:w="0" w:type="auto"/>
            <w:shd w:val="clear" w:color="auto" w:fill="CCEEFF"/>
            <w:tcMar>
              <w:top w:w="40" w:type="dxa"/>
              <w:left w:w="560" w:type="dxa"/>
              <w:bottom w:w="40" w:type="dxa"/>
              <w:right w:w="40" w:type="dxa"/>
            </w:tcMar>
          </w:tcPr>
          <w:p w14:paraId="54E90374"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Net change in overdraft in cash pooling entities</w:t>
            </w:r>
          </w:p>
        </w:tc>
        <w:tc>
          <w:tcPr>
            <w:tcW w:w="0" w:type="auto"/>
            <w:gridSpan w:val="2"/>
            <w:shd w:val="clear" w:color="auto" w:fill="CCEEFF"/>
            <w:tcMar>
              <w:top w:w="40" w:type="dxa"/>
              <w:left w:w="40" w:type="dxa"/>
              <w:bottom w:w="40" w:type="dxa"/>
            </w:tcMar>
            <w:vAlign w:val="bottom"/>
          </w:tcPr>
          <w:p w14:paraId="54E9037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(24</w:t>
            </w:r>
          </w:p>
        </w:tc>
        <w:tc>
          <w:tcPr>
            <w:tcW w:w="0" w:type="auto"/>
            <w:shd w:val="clear" w:color="auto" w:fill="CCEEFF"/>
            <w:tcMar>
              <w:top w:w="40" w:type="dxa"/>
              <w:bottom w:w="40" w:type="dxa"/>
              <w:right w:w="40" w:type="dxa"/>
            </w:tcMar>
            <w:vAlign w:val="bottom"/>
          </w:tcPr>
          <w:p w14:paraId="54E9037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37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37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(260</w:t>
            </w:r>
          </w:p>
        </w:tc>
        <w:tc>
          <w:tcPr>
            <w:tcW w:w="0" w:type="auto"/>
            <w:shd w:val="clear" w:color="auto" w:fill="CCEEFF"/>
            <w:tcMar>
              <w:top w:w="40" w:type="dxa"/>
              <w:bottom w:w="40" w:type="dxa"/>
              <w:right w:w="40" w:type="dxa"/>
            </w:tcMar>
            <w:vAlign w:val="bottom"/>
          </w:tcPr>
          <w:p w14:paraId="54E9037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0381" w14:textId="77777777">
        <w:trPr>
          <w:jc w:val="center"/>
        </w:trPr>
        <w:tc>
          <w:tcPr>
            <w:tcW w:w="0" w:type="auto"/>
            <w:shd w:val="clear" w:color="auto" w:fill="auto"/>
            <w:tcMar>
              <w:top w:w="40" w:type="dxa"/>
              <w:left w:w="560" w:type="dxa"/>
              <w:bottom w:w="40" w:type="dxa"/>
              <w:right w:w="40" w:type="dxa"/>
            </w:tcMar>
          </w:tcPr>
          <w:p w14:paraId="54E9037B"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xml:space="preserve">Other financing </w:t>
            </w:r>
            <w:r>
              <w:rPr>
                <w:rFonts w:ascii="Times New Roman" w:eastAsia="宋体" w:hAnsi="Times New Roman"/>
                <w:sz w:val="20"/>
                <w:szCs w:val="20"/>
              </w:rPr>
              <w:t>activities, net</w:t>
            </w:r>
          </w:p>
        </w:tc>
        <w:tc>
          <w:tcPr>
            <w:tcW w:w="0" w:type="auto"/>
            <w:gridSpan w:val="2"/>
            <w:tcBorders>
              <w:bottom w:val="single" w:sz="8" w:space="0" w:color="000000"/>
            </w:tcBorders>
            <w:shd w:val="clear" w:color="auto" w:fill="auto"/>
            <w:tcMar>
              <w:top w:w="40" w:type="dxa"/>
              <w:left w:w="40" w:type="dxa"/>
              <w:bottom w:w="40" w:type="dxa"/>
            </w:tcMar>
            <w:vAlign w:val="bottom"/>
          </w:tcPr>
          <w:p w14:paraId="54E9037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124</w:t>
            </w:r>
          </w:p>
        </w:tc>
        <w:tc>
          <w:tcPr>
            <w:tcW w:w="0" w:type="auto"/>
            <w:tcBorders>
              <w:bottom w:val="single" w:sz="8" w:space="0" w:color="000000"/>
            </w:tcBorders>
            <w:shd w:val="clear" w:color="auto" w:fill="auto"/>
            <w:vAlign w:val="bottom"/>
          </w:tcPr>
          <w:p w14:paraId="54E9037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37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037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tcBorders>
              <w:bottom w:val="single" w:sz="8" w:space="0" w:color="000000"/>
            </w:tcBorders>
            <w:shd w:val="clear" w:color="auto" w:fill="auto"/>
            <w:vAlign w:val="bottom"/>
          </w:tcPr>
          <w:p w14:paraId="54E90380" w14:textId="77777777" w:rsidR="00F427A3" w:rsidRDefault="00F427A3">
            <w:pPr>
              <w:textAlignment w:val="bottom"/>
              <w:rPr>
                <w:rFonts w:ascii="Times New Roman" w:hAnsi="Times New Roman"/>
                <w:sz w:val="20"/>
                <w:szCs w:val="20"/>
              </w:rPr>
            </w:pPr>
          </w:p>
        </w:tc>
      </w:tr>
      <w:tr w:rsidR="00F427A3" w14:paraId="54E90388" w14:textId="77777777">
        <w:trPr>
          <w:jc w:val="center"/>
        </w:trPr>
        <w:tc>
          <w:tcPr>
            <w:tcW w:w="0" w:type="auto"/>
            <w:shd w:val="clear" w:color="auto" w:fill="CCEEFF"/>
            <w:tcMar>
              <w:top w:w="40" w:type="dxa"/>
              <w:left w:w="560" w:type="dxa"/>
              <w:bottom w:w="40" w:type="dxa"/>
              <w:right w:w="40" w:type="dxa"/>
            </w:tcMar>
          </w:tcPr>
          <w:p w14:paraId="54E90382"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Net cash used in financing activities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38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(7,085</w:t>
            </w:r>
          </w:p>
        </w:tc>
        <w:tc>
          <w:tcPr>
            <w:tcW w:w="0" w:type="auto"/>
            <w:tcBorders>
              <w:bottom w:val="single" w:sz="8" w:space="0" w:color="000000"/>
            </w:tcBorders>
            <w:shd w:val="clear" w:color="auto" w:fill="CCEEFF"/>
            <w:tcMar>
              <w:top w:w="40" w:type="dxa"/>
              <w:bottom w:w="40" w:type="dxa"/>
              <w:right w:w="40" w:type="dxa"/>
            </w:tcMar>
            <w:vAlign w:val="bottom"/>
          </w:tcPr>
          <w:p w14:paraId="54E9038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38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4E9038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(5,273</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4E9038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038F" w14:textId="77777777">
        <w:trPr>
          <w:jc w:val="center"/>
        </w:trPr>
        <w:tc>
          <w:tcPr>
            <w:tcW w:w="0" w:type="auto"/>
            <w:shd w:val="clear" w:color="auto" w:fill="auto"/>
            <w:tcMar>
              <w:top w:w="40" w:type="dxa"/>
              <w:left w:w="40" w:type="dxa"/>
              <w:bottom w:w="40" w:type="dxa"/>
              <w:right w:w="40" w:type="dxa"/>
            </w:tcMar>
          </w:tcPr>
          <w:p w14:paraId="54E90389"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Effect of exchange rate changes on cash, cash equivalents, and restricted cash</w:t>
            </w:r>
          </w:p>
        </w:tc>
        <w:tc>
          <w:tcPr>
            <w:tcW w:w="0" w:type="auto"/>
            <w:gridSpan w:val="2"/>
            <w:tcBorders>
              <w:bottom w:val="single" w:sz="8" w:space="0" w:color="000000"/>
            </w:tcBorders>
            <w:shd w:val="clear" w:color="auto" w:fill="auto"/>
            <w:tcMar>
              <w:top w:w="40" w:type="dxa"/>
              <w:left w:w="40" w:type="dxa"/>
              <w:bottom w:w="40" w:type="dxa"/>
            </w:tcMar>
            <w:vAlign w:val="bottom"/>
          </w:tcPr>
          <w:p w14:paraId="54E9038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(36</w:t>
            </w:r>
          </w:p>
        </w:tc>
        <w:tc>
          <w:tcPr>
            <w:tcW w:w="0" w:type="auto"/>
            <w:tcBorders>
              <w:bottom w:val="single" w:sz="8" w:space="0" w:color="000000"/>
            </w:tcBorders>
            <w:shd w:val="clear" w:color="auto" w:fill="auto"/>
            <w:tcMar>
              <w:top w:w="40" w:type="dxa"/>
              <w:bottom w:w="40" w:type="dxa"/>
              <w:right w:w="40" w:type="dxa"/>
            </w:tcMar>
            <w:vAlign w:val="bottom"/>
          </w:tcPr>
          <w:p w14:paraId="54E9038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038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038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(174</w:t>
            </w:r>
          </w:p>
        </w:tc>
        <w:tc>
          <w:tcPr>
            <w:tcW w:w="0" w:type="auto"/>
            <w:tcBorders>
              <w:bottom w:val="single" w:sz="8" w:space="0" w:color="000000"/>
            </w:tcBorders>
            <w:shd w:val="clear" w:color="auto" w:fill="auto"/>
            <w:tcMar>
              <w:top w:w="40" w:type="dxa"/>
              <w:bottom w:w="40" w:type="dxa"/>
              <w:right w:w="40" w:type="dxa"/>
            </w:tcMar>
            <w:vAlign w:val="bottom"/>
          </w:tcPr>
          <w:p w14:paraId="54E9038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0396" w14:textId="77777777">
        <w:trPr>
          <w:jc w:val="center"/>
        </w:trPr>
        <w:tc>
          <w:tcPr>
            <w:tcW w:w="0" w:type="auto"/>
            <w:shd w:val="clear" w:color="auto" w:fill="CCEEFF"/>
            <w:tcMar>
              <w:top w:w="40" w:type="dxa"/>
              <w:left w:w="40" w:type="dxa"/>
              <w:bottom w:w="40" w:type="dxa"/>
              <w:right w:w="40" w:type="dxa"/>
            </w:tcMar>
          </w:tcPr>
          <w:p w14:paraId="54E90390"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xml:space="preserve">Net increase (decrease) in cash, cash equivalents, and </w:t>
            </w:r>
            <w:r>
              <w:rPr>
                <w:rFonts w:ascii="Times New Roman" w:eastAsia="宋体" w:hAnsi="Times New Roman"/>
                <w:sz w:val="20"/>
                <w:szCs w:val="20"/>
              </w:rPr>
              <w:t>restricted cash</w:t>
            </w:r>
          </w:p>
        </w:tc>
        <w:tc>
          <w:tcPr>
            <w:tcW w:w="0" w:type="auto"/>
            <w:gridSpan w:val="2"/>
            <w:shd w:val="clear" w:color="auto" w:fill="CCEEFF"/>
            <w:tcMar>
              <w:top w:w="40" w:type="dxa"/>
              <w:left w:w="40" w:type="dxa"/>
              <w:bottom w:w="40" w:type="dxa"/>
            </w:tcMar>
            <w:vAlign w:val="bottom"/>
          </w:tcPr>
          <w:p w14:paraId="54E9039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(7,300</w:t>
            </w:r>
          </w:p>
        </w:tc>
        <w:tc>
          <w:tcPr>
            <w:tcW w:w="0" w:type="auto"/>
            <w:shd w:val="clear" w:color="auto" w:fill="CCEEFF"/>
            <w:tcMar>
              <w:top w:w="40" w:type="dxa"/>
              <w:bottom w:w="40" w:type="dxa"/>
              <w:right w:w="40" w:type="dxa"/>
            </w:tcMar>
            <w:vAlign w:val="bottom"/>
          </w:tcPr>
          <w:p w14:paraId="54E9039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39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39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5,956</w:t>
            </w:r>
          </w:p>
        </w:tc>
        <w:tc>
          <w:tcPr>
            <w:tcW w:w="0" w:type="auto"/>
            <w:shd w:val="clear" w:color="auto" w:fill="CCEEFF"/>
            <w:vAlign w:val="bottom"/>
          </w:tcPr>
          <w:p w14:paraId="54E90395" w14:textId="77777777" w:rsidR="00F427A3" w:rsidRDefault="00F427A3">
            <w:pPr>
              <w:textAlignment w:val="bottom"/>
              <w:rPr>
                <w:rFonts w:ascii="Times New Roman" w:hAnsi="Times New Roman"/>
                <w:sz w:val="20"/>
                <w:szCs w:val="20"/>
              </w:rPr>
            </w:pPr>
          </w:p>
        </w:tc>
      </w:tr>
      <w:tr w:rsidR="00F427A3" w14:paraId="54E9039D" w14:textId="77777777">
        <w:trPr>
          <w:jc w:val="center"/>
        </w:trPr>
        <w:tc>
          <w:tcPr>
            <w:tcW w:w="0" w:type="auto"/>
            <w:shd w:val="clear" w:color="auto" w:fill="auto"/>
            <w:tcMar>
              <w:top w:w="40" w:type="dxa"/>
              <w:left w:w="40" w:type="dxa"/>
              <w:bottom w:w="40" w:type="dxa"/>
              <w:right w:w="40" w:type="dxa"/>
            </w:tcMar>
          </w:tcPr>
          <w:p w14:paraId="54E90397"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Cash, cash equivalents, and restricted cash at beginning of the period</w:t>
            </w:r>
          </w:p>
        </w:tc>
        <w:tc>
          <w:tcPr>
            <w:tcW w:w="0" w:type="auto"/>
            <w:gridSpan w:val="2"/>
            <w:tcBorders>
              <w:bottom w:val="single" w:sz="8" w:space="0" w:color="000000"/>
            </w:tcBorders>
            <w:shd w:val="clear" w:color="auto" w:fill="auto"/>
            <w:tcMar>
              <w:top w:w="40" w:type="dxa"/>
              <w:left w:w="40" w:type="dxa"/>
              <w:bottom w:w="40" w:type="dxa"/>
            </w:tcMar>
            <w:vAlign w:val="bottom"/>
          </w:tcPr>
          <w:p w14:paraId="54E9039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19,279</w:t>
            </w:r>
          </w:p>
        </w:tc>
        <w:tc>
          <w:tcPr>
            <w:tcW w:w="0" w:type="auto"/>
            <w:tcBorders>
              <w:bottom w:val="single" w:sz="8" w:space="0" w:color="000000"/>
            </w:tcBorders>
            <w:shd w:val="clear" w:color="auto" w:fill="auto"/>
            <w:vAlign w:val="bottom"/>
          </w:tcPr>
          <w:p w14:paraId="54E90399"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39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039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10,124</w:t>
            </w:r>
          </w:p>
        </w:tc>
        <w:tc>
          <w:tcPr>
            <w:tcW w:w="0" w:type="auto"/>
            <w:tcBorders>
              <w:bottom w:val="single" w:sz="8" w:space="0" w:color="000000"/>
            </w:tcBorders>
            <w:shd w:val="clear" w:color="auto" w:fill="auto"/>
            <w:vAlign w:val="bottom"/>
          </w:tcPr>
          <w:p w14:paraId="54E9039C" w14:textId="77777777" w:rsidR="00F427A3" w:rsidRDefault="00F427A3">
            <w:pPr>
              <w:textAlignment w:val="bottom"/>
              <w:rPr>
                <w:rFonts w:ascii="Times New Roman" w:hAnsi="Times New Roman"/>
                <w:sz w:val="20"/>
                <w:szCs w:val="20"/>
              </w:rPr>
            </w:pPr>
          </w:p>
        </w:tc>
      </w:tr>
      <w:tr w:rsidR="00F427A3" w14:paraId="54E903A6" w14:textId="77777777">
        <w:trPr>
          <w:jc w:val="center"/>
        </w:trPr>
        <w:tc>
          <w:tcPr>
            <w:tcW w:w="0" w:type="auto"/>
            <w:shd w:val="clear" w:color="auto" w:fill="CCEEFF"/>
            <w:tcMar>
              <w:top w:w="40" w:type="dxa"/>
              <w:left w:w="40" w:type="dxa"/>
              <w:bottom w:w="40" w:type="dxa"/>
              <w:right w:w="40" w:type="dxa"/>
            </w:tcMar>
          </w:tcPr>
          <w:p w14:paraId="54E9039E"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Cash, cash equivalents, and restricted cash at end of the period</w:t>
            </w:r>
          </w:p>
        </w:tc>
        <w:tc>
          <w:tcPr>
            <w:tcW w:w="0" w:type="auto"/>
            <w:tcBorders>
              <w:bottom w:val="double" w:sz="6" w:space="0" w:color="000000"/>
            </w:tcBorders>
            <w:shd w:val="clear" w:color="auto" w:fill="CCEEFF"/>
            <w:tcMar>
              <w:top w:w="40" w:type="dxa"/>
              <w:left w:w="40" w:type="dxa"/>
              <w:bottom w:w="40" w:type="dxa"/>
            </w:tcMar>
            <w:vAlign w:val="bottom"/>
          </w:tcPr>
          <w:p w14:paraId="54E9039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903A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11,979</w:t>
            </w:r>
          </w:p>
        </w:tc>
        <w:tc>
          <w:tcPr>
            <w:tcW w:w="0" w:type="auto"/>
            <w:tcBorders>
              <w:bottom w:val="double" w:sz="6" w:space="0" w:color="000000"/>
            </w:tcBorders>
            <w:shd w:val="clear" w:color="auto" w:fill="CCEEFF"/>
            <w:vAlign w:val="bottom"/>
          </w:tcPr>
          <w:p w14:paraId="54E903A1"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3A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4E903A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903A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16,080</w:t>
            </w:r>
          </w:p>
        </w:tc>
        <w:tc>
          <w:tcPr>
            <w:tcW w:w="0" w:type="auto"/>
            <w:tcBorders>
              <w:bottom w:val="double" w:sz="6" w:space="0" w:color="000000"/>
            </w:tcBorders>
            <w:shd w:val="clear" w:color="auto" w:fill="CCEEFF"/>
            <w:vAlign w:val="bottom"/>
          </w:tcPr>
          <w:p w14:paraId="54E903A5" w14:textId="77777777" w:rsidR="00F427A3" w:rsidRDefault="00F427A3">
            <w:pPr>
              <w:textAlignment w:val="bottom"/>
              <w:rPr>
                <w:rFonts w:ascii="Times New Roman" w:hAnsi="Times New Roman"/>
                <w:sz w:val="20"/>
                <w:szCs w:val="20"/>
              </w:rPr>
            </w:pPr>
          </w:p>
        </w:tc>
      </w:tr>
      <w:tr w:rsidR="00F427A3" w14:paraId="54E903AB" w14:textId="77777777">
        <w:trPr>
          <w:jc w:val="center"/>
        </w:trPr>
        <w:tc>
          <w:tcPr>
            <w:tcW w:w="0" w:type="auto"/>
            <w:shd w:val="clear" w:color="auto" w:fill="auto"/>
            <w:tcMar>
              <w:top w:w="40" w:type="dxa"/>
              <w:left w:w="40" w:type="dxa"/>
              <w:bottom w:w="40" w:type="dxa"/>
              <w:right w:w="40" w:type="dxa"/>
            </w:tcMar>
            <w:vAlign w:val="bottom"/>
          </w:tcPr>
          <w:p w14:paraId="54E903A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3A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3A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3A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3B0" w14:textId="77777777">
        <w:trPr>
          <w:jc w:val="center"/>
        </w:trPr>
        <w:tc>
          <w:tcPr>
            <w:tcW w:w="0" w:type="auto"/>
            <w:shd w:val="clear" w:color="auto" w:fill="CCEEFF"/>
            <w:tcMar>
              <w:top w:w="40" w:type="dxa"/>
              <w:left w:w="40" w:type="dxa"/>
              <w:bottom w:w="40" w:type="dxa"/>
              <w:right w:w="40" w:type="dxa"/>
            </w:tcMar>
            <w:vAlign w:val="bottom"/>
          </w:tcPr>
          <w:p w14:paraId="54E903AC" w14:textId="77777777" w:rsidR="00F427A3" w:rsidRDefault="0044221F">
            <w:pPr>
              <w:textAlignment w:val="bottom"/>
              <w:rPr>
                <w:rFonts w:ascii="Times New Roman" w:hAnsi="Times New Roman"/>
                <w:sz w:val="20"/>
                <w:szCs w:val="20"/>
              </w:rPr>
            </w:pPr>
            <w:r>
              <w:rPr>
                <w:rFonts w:ascii="Times New Roman" w:eastAsia="宋体" w:hAnsi="Times New Roman"/>
                <w:b/>
                <w:bCs/>
                <w:sz w:val="20"/>
                <w:szCs w:val="20"/>
              </w:rPr>
              <w:t xml:space="preserve">Reconciliation of cash, cash </w:t>
            </w:r>
            <w:r>
              <w:rPr>
                <w:rFonts w:ascii="Times New Roman" w:eastAsia="宋体" w:hAnsi="Times New Roman"/>
                <w:b/>
                <w:bCs/>
                <w:sz w:val="20"/>
                <w:szCs w:val="20"/>
              </w:rPr>
              <w:t>equivalents, and restricted cash to the condensed consolidated balance sheets</w:t>
            </w:r>
          </w:p>
        </w:tc>
        <w:tc>
          <w:tcPr>
            <w:tcW w:w="0" w:type="auto"/>
            <w:gridSpan w:val="3"/>
            <w:shd w:val="clear" w:color="auto" w:fill="CCEEFF"/>
            <w:tcMar>
              <w:top w:w="40" w:type="dxa"/>
              <w:left w:w="40" w:type="dxa"/>
              <w:bottom w:w="40" w:type="dxa"/>
              <w:right w:w="40" w:type="dxa"/>
            </w:tcMar>
            <w:vAlign w:val="bottom"/>
          </w:tcPr>
          <w:p w14:paraId="54E903A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3A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3A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3B9" w14:textId="77777777">
        <w:trPr>
          <w:jc w:val="center"/>
        </w:trPr>
        <w:tc>
          <w:tcPr>
            <w:tcW w:w="0" w:type="auto"/>
            <w:shd w:val="clear" w:color="auto" w:fill="auto"/>
            <w:tcMar>
              <w:top w:w="40" w:type="dxa"/>
              <w:left w:w="560" w:type="dxa"/>
              <w:bottom w:w="40" w:type="dxa"/>
              <w:right w:w="40" w:type="dxa"/>
            </w:tcMar>
          </w:tcPr>
          <w:p w14:paraId="54E903B1"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Cash and cash equivalents</w:t>
            </w:r>
          </w:p>
        </w:tc>
        <w:tc>
          <w:tcPr>
            <w:tcW w:w="0" w:type="auto"/>
            <w:shd w:val="clear" w:color="auto" w:fill="auto"/>
            <w:tcMar>
              <w:top w:w="40" w:type="dxa"/>
              <w:left w:w="40" w:type="dxa"/>
              <w:bottom w:w="40" w:type="dxa"/>
            </w:tcMar>
            <w:vAlign w:val="bottom"/>
          </w:tcPr>
          <w:p w14:paraId="54E903B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903B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11,617</w:t>
            </w:r>
          </w:p>
        </w:tc>
        <w:tc>
          <w:tcPr>
            <w:tcW w:w="0" w:type="auto"/>
            <w:shd w:val="clear" w:color="auto" w:fill="auto"/>
            <w:vAlign w:val="bottom"/>
          </w:tcPr>
          <w:p w14:paraId="54E903B4"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3B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3B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903B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15,979</w:t>
            </w:r>
          </w:p>
        </w:tc>
        <w:tc>
          <w:tcPr>
            <w:tcW w:w="0" w:type="auto"/>
            <w:shd w:val="clear" w:color="auto" w:fill="auto"/>
            <w:vAlign w:val="bottom"/>
          </w:tcPr>
          <w:p w14:paraId="54E903B8" w14:textId="77777777" w:rsidR="00F427A3" w:rsidRDefault="00F427A3">
            <w:pPr>
              <w:textAlignment w:val="bottom"/>
              <w:rPr>
                <w:rFonts w:ascii="Times New Roman" w:hAnsi="Times New Roman"/>
                <w:sz w:val="20"/>
                <w:szCs w:val="20"/>
              </w:rPr>
            </w:pPr>
          </w:p>
        </w:tc>
      </w:tr>
      <w:tr w:rsidR="00F427A3" w14:paraId="54E903C0" w14:textId="77777777">
        <w:trPr>
          <w:jc w:val="center"/>
        </w:trPr>
        <w:tc>
          <w:tcPr>
            <w:tcW w:w="0" w:type="auto"/>
            <w:shd w:val="clear" w:color="auto" w:fill="CCEEFF"/>
            <w:tcMar>
              <w:top w:w="40" w:type="dxa"/>
              <w:left w:w="560" w:type="dxa"/>
              <w:bottom w:w="40" w:type="dxa"/>
              <w:right w:w="40" w:type="dxa"/>
            </w:tcMar>
          </w:tcPr>
          <w:p w14:paraId="54E903B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Restricted cash, included in prepaid expenses and other current assets</w:t>
            </w:r>
          </w:p>
        </w:tc>
        <w:tc>
          <w:tcPr>
            <w:tcW w:w="0" w:type="auto"/>
            <w:gridSpan w:val="2"/>
            <w:shd w:val="clear" w:color="auto" w:fill="CCEEFF"/>
            <w:tcMar>
              <w:top w:w="40" w:type="dxa"/>
              <w:left w:w="40" w:type="dxa"/>
              <w:bottom w:w="40" w:type="dxa"/>
            </w:tcMar>
            <w:vAlign w:val="bottom"/>
          </w:tcPr>
          <w:p w14:paraId="54E903B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222</w:t>
            </w:r>
          </w:p>
        </w:tc>
        <w:tc>
          <w:tcPr>
            <w:tcW w:w="0" w:type="auto"/>
            <w:shd w:val="clear" w:color="auto" w:fill="CCEEFF"/>
            <w:vAlign w:val="bottom"/>
          </w:tcPr>
          <w:p w14:paraId="54E903B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3B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3B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CCEEFF"/>
            <w:vAlign w:val="bottom"/>
          </w:tcPr>
          <w:p w14:paraId="54E903BF" w14:textId="77777777" w:rsidR="00F427A3" w:rsidRDefault="00F427A3">
            <w:pPr>
              <w:textAlignment w:val="bottom"/>
              <w:rPr>
                <w:rFonts w:ascii="Times New Roman" w:hAnsi="Times New Roman"/>
                <w:sz w:val="20"/>
                <w:szCs w:val="20"/>
              </w:rPr>
            </w:pPr>
          </w:p>
        </w:tc>
      </w:tr>
      <w:tr w:rsidR="00F427A3" w14:paraId="54E903C7" w14:textId="77777777">
        <w:trPr>
          <w:jc w:val="center"/>
        </w:trPr>
        <w:tc>
          <w:tcPr>
            <w:tcW w:w="0" w:type="auto"/>
            <w:shd w:val="clear" w:color="auto" w:fill="auto"/>
            <w:tcMar>
              <w:top w:w="40" w:type="dxa"/>
              <w:left w:w="560" w:type="dxa"/>
              <w:bottom w:w="40" w:type="dxa"/>
              <w:right w:w="40" w:type="dxa"/>
            </w:tcMar>
          </w:tcPr>
          <w:p w14:paraId="54E903C1"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xml:space="preserve">Restricted cash, included in other </w:t>
            </w:r>
            <w:r>
              <w:rPr>
                <w:rFonts w:ascii="Times New Roman" w:eastAsia="宋体" w:hAnsi="Times New Roman"/>
                <w:sz w:val="20"/>
                <w:szCs w:val="20"/>
              </w:rPr>
              <w:t>assets</w:t>
            </w:r>
          </w:p>
        </w:tc>
        <w:tc>
          <w:tcPr>
            <w:tcW w:w="0" w:type="auto"/>
            <w:gridSpan w:val="2"/>
            <w:tcBorders>
              <w:bottom w:val="single" w:sz="8" w:space="0" w:color="000000"/>
            </w:tcBorders>
            <w:shd w:val="clear" w:color="auto" w:fill="auto"/>
            <w:tcMar>
              <w:top w:w="40" w:type="dxa"/>
              <w:left w:w="40" w:type="dxa"/>
              <w:bottom w:w="40" w:type="dxa"/>
            </w:tcMar>
            <w:vAlign w:val="bottom"/>
          </w:tcPr>
          <w:p w14:paraId="54E903C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140</w:t>
            </w:r>
          </w:p>
        </w:tc>
        <w:tc>
          <w:tcPr>
            <w:tcW w:w="0" w:type="auto"/>
            <w:tcBorders>
              <w:bottom w:val="single" w:sz="8" w:space="0" w:color="000000"/>
            </w:tcBorders>
            <w:shd w:val="clear" w:color="auto" w:fill="auto"/>
            <w:vAlign w:val="bottom"/>
          </w:tcPr>
          <w:p w14:paraId="54E903C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3C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3C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94</w:t>
            </w:r>
          </w:p>
        </w:tc>
        <w:tc>
          <w:tcPr>
            <w:tcW w:w="0" w:type="auto"/>
            <w:shd w:val="clear" w:color="auto" w:fill="auto"/>
            <w:vAlign w:val="bottom"/>
          </w:tcPr>
          <w:p w14:paraId="54E903C6" w14:textId="77777777" w:rsidR="00F427A3" w:rsidRDefault="00F427A3">
            <w:pPr>
              <w:textAlignment w:val="bottom"/>
              <w:rPr>
                <w:rFonts w:ascii="Times New Roman" w:hAnsi="Times New Roman"/>
                <w:sz w:val="20"/>
                <w:szCs w:val="20"/>
              </w:rPr>
            </w:pPr>
          </w:p>
        </w:tc>
      </w:tr>
      <w:tr w:rsidR="00F427A3" w14:paraId="54E903D0" w14:textId="77777777">
        <w:trPr>
          <w:jc w:val="center"/>
        </w:trPr>
        <w:tc>
          <w:tcPr>
            <w:tcW w:w="0" w:type="auto"/>
            <w:shd w:val="clear" w:color="auto" w:fill="CCEEFF"/>
            <w:tcMar>
              <w:top w:w="40" w:type="dxa"/>
              <w:left w:w="40" w:type="dxa"/>
              <w:bottom w:w="40" w:type="dxa"/>
              <w:right w:w="40" w:type="dxa"/>
            </w:tcMar>
            <w:vAlign w:val="bottom"/>
          </w:tcPr>
          <w:p w14:paraId="54E903C8" w14:textId="77777777" w:rsidR="00F427A3" w:rsidRDefault="0044221F">
            <w:pPr>
              <w:textAlignment w:val="bottom"/>
              <w:rPr>
                <w:rFonts w:ascii="Times New Roman" w:hAnsi="Times New Roman"/>
                <w:sz w:val="20"/>
                <w:szCs w:val="20"/>
              </w:rPr>
            </w:pPr>
            <w:r>
              <w:rPr>
                <w:rFonts w:ascii="Times New Roman" w:eastAsia="宋体" w:hAnsi="Times New Roman"/>
                <w:b/>
                <w:bCs/>
                <w:sz w:val="20"/>
                <w:szCs w:val="20"/>
              </w:rPr>
              <w:t>Total cash, cash equivalents, and restricted cash</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03C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03C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11,979</w:t>
            </w:r>
          </w:p>
        </w:tc>
        <w:tc>
          <w:tcPr>
            <w:tcW w:w="0" w:type="auto"/>
            <w:tcBorders>
              <w:top w:val="single" w:sz="8" w:space="0" w:color="000000"/>
              <w:bottom w:val="double" w:sz="6" w:space="0" w:color="000000"/>
            </w:tcBorders>
            <w:shd w:val="clear" w:color="auto" w:fill="CCEEFF"/>
            <w:vAlign w:val="bottom"/>
          </w:tcPr>
          <w:p w14:paraId="54E903CB"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3C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03C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03C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16,080</w:t>
            </w:r>
          </w:p>
        </w:tc>
        <w:tc>
          <w:tcPr>
            <w:tcW w:w="0" w:type="auto"/>
            <w:tcBorders>
              <w:top w:val="single" w:sz="8" w:space="0" w:color="000000"/>
              <w:bottom w:val="double" w:sz="6" w:space="0" w:color="000000"/>
            </w:tcBorders>
            <w:shd w:val="clear" w:color="auto" w:fill="CCEEFF"/>
            <w:vAlign w:val="bottom"/>
          </w:tcPr>
          <w:p w14:paraId="54E903CF" w14:textId="77777777" w:rsidR="00F427A3" w:rsidRDefault="00F427A3">
            <w:pPr>
              <w:textAlignment w:val="bottom"/>
              <w:rPr>
                <w:rFonts w:ascii="Times New Roman" w:hAnsi="Times New Roman"/>
                <w:sz w:val="20"/>
                <w:szCs w:val="20"/>
              </w:rPr>
            </w:pPr>
          </w:p>
        </w:tc>
      </w:tr>
    </w:tbl>
    <w:p w14:paraId="54E903D1" w14:textId="77777777" w:rsidR="00F427A3" w:rsidRDefault="0044221F">
      <w:r>
        <w:rPr>
          <w:rFonts w:ascii="Times New Roman" w:eastAsia="宋体" w:hAnsi="Times New Roman"/>
          <w:i/>
          <w:iCs/>
          <w:sz w:val="18"/>
          <w:szCs w:val="18"/>
        </w:rPr>
        <w:t>See Accompanying Notes to Condensed Consolidated Financial Statements.</w:t>
      </w:r>
    </w:p>
    <w:p w14:paraId="54E903D2" w14:textId="77777777" w:rsidR="00F427A3" w:rsidRDefault="00F427A3">
      <w:pPr>
        <w:rPr>
          <w:rFonts w:ascii="Times New Roman" w:hAnsi="Times New Roman"/>
          <w:sz w:val="20"/>
          <w:szCs w:val="20"/>
        </w:rPr>
      </w:pPr>
    </w:p>
    <w:p w14:paraId="54E903D3"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11</w:t>
      </w:r>
    </w:p>
    <w:p w14:paraId="54E903D4" w14:textId="77777777" w:rsidR="00F427A3" w:rsidRDefault="0044221F">
      <w:r>
        <w:rPr>
          <w:rFonts w:ascii="Times New Roman" w:hAnsi="Times New Roman"/>
          <w:sz w:val="20"/>
          <w:szCs w:val="20"/>
        </w:rPr>
        <w:pict w14:anchorId="54E91C2B">
          <v:rect id="_x0000_i1035" style="width:415.3pt;height:1.5pt" o:hralign="center" o:hrstd="t" o:hr="t" fillcolor="#a0a0a0" stroked="f"/>
        </w:pict>
      </w:r>
    </w:p>
    <w:p w14:paraId="54E903D5" w14:textId="77777777" w:rsidR="00F427A3" w:rsidRDefault="0044221F">
      <w:pPr>
        <w:spacing w:line="288" w:lineRule="auto"/>
        <w:rPr>
          <w:rFonts w:ascii="Times New Roman" w:hAnsi="Times New Roman"/>
          <w:sz w:val="20"/>
          <w:szCs w:val="20"/>
        </w:rPr>
      </w:pPr>
      <w:hyperlink r:id="rId53" w:anchor="s348EA962CF6D59B599D9921AFA89C381" w:history="1">
        <w:r>
          <w:rPr>
            <w:rStyle w:val="a5"/>
            <w:rFonts w:ascii="Times New Roman" w:eastAsia="宋体" w:hAnsi="Times New Roman"/>
            <w:sz w:val="20"/>
            <w:szCs w:val="20"/>
          </w:rPr>
          <w:t>Table of Contents</w:t>
        </w:r>
      </w:hyperlink>
    </w:p>
    <w:p w14:paraId="54E903D6" w14:textId="77777777" w:rsidR="00F427A3" w:rsidRDefault="00F427A3">
      <w:pPr>
        <w:rPr>
          <w:rFonts w:ascii="Times New Roman" w:hAnsi="Times New Roman"/>
          <w:sz w:val="20"/>
          <w:szCs w:val="20"/>
        </w:rPr>
      </w:pPr>
    </w:p>
    <w:p w14:paraId="54E903D7"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54E903D8"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CASH FLOWS</w:t>
      </w:r>
    </w:p>
    <w:p w14:paraId="54E903D9" w14:textId="77777777" w:rsidR="00F427A3" w:rsidRDefault="0044221F">
      <w:pPr>
        <w:spacing w:line="288" w:lineRule="auto"/>
        <w:jc w:val="center"/>
        <w:rPr>
          <w:rFonts w:ascii="Times New Roman" w:hAnsi="Times New Roman"/>
          <w:sz w:val="18"/>
          <w:szCs w:val="18"/>
        </w:rPr>
      </w:pPr>
      <w:r>
        <w:rPr>
          <w:rFonts w:ascii="Times New Roman" w:eastAsia="宋体" w:hAnsi="Times New Roman"/>
          <w:i/>
          <w:iCs/>
          <w:sz w:val="18"/>
          <w:szCs w:val="18"/>
        </w:rPr>
        <w:t xml:space="preserve">(In </w:t>
      </w:r>
      <w:r>
        <w:rPr>
          <w:rFonts w:ascii="Times New Roman" w:eastAsia="宋体" w:hAnsi="Times New Roman"/>
          <w:i/>
          <w:iCs/>
          <w:sz w:val="18"/>
          <w:szCs w:val="18"/>
        </w:rPr>
        <w:t>millions)</w:t>
      </w:r>
    </w:p>
    <w:p w14:paraId="54E903DA" w14:textId="77777777" w:rsidR="00F427A3" w:rsidRDefault="0044221F">
      <w:pPr>
        <w:spacing w:line="288" w:lineRule="auto"/>
        <w:jc w:val="center"/>
        <w:rPr>
          <w:rFonts w:ascii="Times New Roman" w:hAnsi="Times New Roman"/>
          <w:sz w:val="20"/>
          <w:szCs w:val="20"/>
        </w:rPr>
      </w:pPr>
      <w:r>
        <w:rPr>
          <w:rFonts w:ascii="Times New Roman" w:eastAsia="宋体" w:hAnsi="Times New Roman"/>
          <w:i/>
          <w:iCs/>
          <w:sz w:val="18"/>
          <w:szCs w:val="18"/>
        </w:rPr>
        <w:t>(Unaudited)</w:t>
      </w:r>
    </w:p>
    <w:tbl>
      <w:tblPr>
        <w:tblW w:w="5000" w:type="pct"/>
        <w:jc w:val="center"/>
        <w:tblCellMar>
          <w:left w:w="0" w:type="dxa"/>
          <w:right w:w="0" w:type="dxa"/>
        </w:tblCellMar>
        <w:tblLook w:val="04A0" w:firstRow="1" w:lastRow="0" w:firstColumn="1" w:lastColumn="0" w:noHBand="0" w:noVBand="1"/>
      </w:tblPr>
      <w:tblGrid>
        <w:gridCol w:w="6030"/>
        <w:gridCol w:w="140"/>
        <w:gridCol w:w="882"/>
        <w:gridCol w:w="51"/>
        <w:gridCol w:w="130"/>
        <w:gridCol w:w="140"/>
        <w:gridCol w:w="882"/>
        <w:gridCol w:w="51"/>
      </w:tblGrid>
      <w:tr w:rsidR="00F427A3" w14:paraId="54E903DC" w14:textId="77777777">
        <w:trPr>
          <w:jc w:val="center"/>
        </w:trPr>
        <w:tc>
          <w:tcPr>
            <w:tcW w:w="0" w:type="auto"/>
            <w:gridSpan w:val="8"/>
            <w:shd w:val="clear" w:color="auto" w:fill="auto"/>
            <w:vAlign w:val="center"/>
          </w:tcPr>
          <w:p w14:paraId="54E903DB" w14:textId="77777777" w:rsidR="00F427A3" w:rsidRDefault="00F427A3">
            <w:pPr>
              <w:rPr>
                <w:rFonts w:ascii="Times New Roman" w:hAnsi="Times New Roman"/>
                <w:sz w:val="20"/>
                <w:szCs w:val="20"/>
              </w:rPr>
            </w:pPr>
          </w:p>
        </w:tc>
      </w:tr>
      <w:tr w:rsidR="00F427A3" w14:paraId="54E903E5" w14:textId="77777777">
        <w:trPr>
          <w:jc w:val="center"/>
        </w:trPr>
        <w:tc>
          <w:tcPr>
            <w:tcW w:w="3650" w:type="pct"/>
            <w:shd w:val="clear" w:color="auto" w:fill="auto"/>
            <w:vAlign w:val="center"/>
          </w:tcPr>
          <w:p w14:paraId="54E903DD" w14:textId="77777777" w:rsidR="00F427A3" w:rsidRDefault="00F427A3">
            <w:pPr>
              <w:rPr>
                <w:rFonts w:ascii="Times New Roman" w:hAnsi="Times New Roman"/>
                <w:sz w:val="20"/>
                <w:szCs w:val="20"/>
              </w:rPr>
            </w:pPr>
          </w:p>
        </w:tc>
        <w:tc>
          <w:tcPr>
            <w:tcW w:w="50" w:type="pct"/>
            <w:shd w:val="clear" w:color="auto" w:fill="auto"/>
            <w:vAlign w:val="center"/>
          </w:tcPr>
          <w:p w14:paraId="54E903DE" w14:textId="77777777" w:rsidR="00F427A3" w:rsidRDefault="00F427A3">
            <w:pPr>
              <w:rPr>
                <w:rFonts w:ascii="Times New Roman" w:hAnsi="Times New Roman"/>
                <w:sz w:val="20"/>
                <w:szCs w:val="20"/>
              </w:rPr>
            </w:pPr>
          </w:p>
        </w:tc>
        <w:tc>
          <w:tcPr>
            <w:tcW w:w="550" w:type="pct"/>
            <w:shd w:val="clear" w:color="auto" w:fill="auto"/>
            <w:vAlign w:val="center"/>
          </w:tcPr>
          <w:p w14:paraId="54E903DF" w14:textId="77777777" w:rsidR="00F427A3" w:rsidRDefault="00F427A3">
            <w:pPr>
              <w:rPr>
                <w:rFonts w:ascii="Times New Roman" w:hAnsi="Times New Roman"/>
                <w:sz w:val="20"/>
                <w:szCs w:val="20"/>
              </w:rPr>
            </w:pPr>
          </w:p>
        </w:tc>
        <w:tc>
          <w:tcPr>
            <w:tcW w:w="50" w:type="pct"/>
            <w:shd w:val="clear" w:color="auto" w:fill="auto"/>
            <w:vAlign w:val="center"/>
          </w:tcPr>
          <w:p w14:paraId="54E903E0" w14:textId="77777777" w:rsidR="00F427A3" w:rsidRDefault="00F427A3">
            <w:pPr>
              <w:rPr>
                <w:rFonts w:ascii="Times New Roman" w:hAnsi="Times New Roman"/>
                <w:sz w:val="20"/>
                <w:szCs w:val="20"/>
              </w:rPr>
            </w:pPr>
          </w:p>
        </w:tc>
        <w:tc>
          <w:tcPr>
            <w:tcW w:w="50" w:type="pct"/>
            <w:shd w:val="clear" w:color="auto" w:fill="auto"/>
            <w:vAlign w:val="center"/>
          </w:tcPr>
          <w:p w14:paraId="54E903E1" w14:textId="77777777" w:rsidR="00F427A3" w:rsidRDefault="00F427A3">
            <w:pPr>
              <w:rPr>
                <w:rFonts w:ascii="Times New Roman" w:hAnsi="Times New Roman"/>
                <w:sz w:val="20"/>
                <w:szCs w:val="20"/>
              </w:rPr>
            </w:pPr>
          </w:p>
        </w:tc>
        <w:tc>
          <w:tcPr>
            <w:tcW w:w="50" w:type="pct"/>
            <w:shd w:val="clear" w:color="auto" w:fill="auto"/>
            <w:vAlign w:val="center"/>
          </w:tcPr>
          <w:p w14:paraId="54E903E2" w14:textId="77777777" w:rsidR="00F427A3" w:rsidRDefault="00F427A3">
            <w:pPr>
              <w:rPr>
                <w:rFonts w:ascii="Times New Roman" w:hAnsi="Times New Roman"/>
                <w:sz w:val="20"/>
                <w:szCs w:val="20"/>
              </w:rPr>
            </w:pPr>
          </w:p>
        </w:tc>
        <w:tc>
          <w:tcPr>
            <w:tcW w:w="550" w:type="pct"/>
            <w:shd w:val="clear" w:color="auto" w:fill="auto"/>
            <w:vAlign w:val="center"/>
          </w:tcPr>
          <w:p w14:paraId="54E903E3" w14:textId="77777777" w:rsidR="00F427A3" w:rsidRDefault="00F427A3">
            <w:pPr>
              <w:rPr>
                <w:rFonts w:ascii="Times New Roman" w:hAnsi="Times New Roman"/>
                <w:sz w:val="20"/>
                <w:szCs w:val="20"/>
              </w:rPr>
            </w:pPr>
          </w:p>
        </w:tc>
        <w:tc>
          <w:tcPr>
            <w:tcW w:w="50" w:type="pct"/>
            <w:shd w:val="clear" w:color="auto" w:fill="auto"/>
            <w:vAlign w:val="center"/>
          </w:tcPr>
          <w:p w14:paraId="54E903E4" w14:textId="77777777" w:rsidR="00F427A3" w:rsidRDefault="00F427A3">
            <w:pPr>
              <w:rPr>
                <w:rFonts w:ascii="Times New Roman" w:hAnsi="Times New Roman"/>
                <w:sz w:val="20"/>
                <w:szCs w:val="20"/>
              </w:rPr>
            </w:pPr>
          </w:p>
        </w:tc>
      </w:tr>
      <w:tr w:rsidR="00F427A3" w14:paraId="54E903E8" w14:textId="77777777">
        <w:trPr>
          <w:jc w:val="center"/>
        </w:trPr>
        <w:tc>
          <w:tcPr>
            <w:tcW w:w="0" w:type="auto"/>
            <w:shd w:val="clear" w:color="auto" w:fill="auto"/>
            <w:tcMar>
              <w:top w:w="40" w:type="dxa"/>
              <w:left w:w="40" w:type="dxa"/>
              <w:bottom w:w="40" w:type="dxa"/>
              <w:right w:w="40" w:type="dxa"/>
            </w:tcMar>
            <w:vAlign w:val="bottom"/>
          </w:tcPr>
          <w:p w14:paraId="54E903E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03E7"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Nine Months Ended September 30,</w:t>
            </w:r>
          </w:p>
        </w:tc>
      </w:tr>
      <w:tr w:rsidR="00F427A3" w14:paraId="54E903ED" w14:textId="77777777">
        <w:trPr>
          <w:jc w:val="center"/>
        </w:trPr>
        <w:tc>
          <w:tcPr>
            <w:tcW w:w="0" w:type="auto"/>
            <w:shd w:val="clear" w:color="auto" w:fill="auto"/>
            <w:tcMar>
              <w:top w:w="40" w:type="dxa"/>
              <w:left w:w="40" w:type="dxa"/>
              <w:bottom w:w="40" w:type="dxa"/>
              <w:right w:w="40" w:type="dxa"/>
            </w:tcMar>
            <w:vAlign w:val="bottom"/>
          </w:tcPr>
          <w:p w14:paraId="54E903E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03EA"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54E903E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03EC"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F427A3" w14:paraId="54E903F2" w14:textId="77777777">
        <w:trPr>
          <w:jc w:val="center"/>
        </w:trPr>
        <w:tc>
          <w:tcPr>
            <w:tcW w:w="0" w:type="auto"/>
            <w:shd w:val="clear" w:color="auto" w:fill="CCEEFF"/>
            <w:tcMar>
              <w:top w:w="40" w:type="dxa"/>
              <w:left w:w="40" w:type="dxa"/>
              <w:bottom w:w="40" w:type="dxa"/>
              <w:right w:w="40" w:type="dxa"/>
            </w:tcMar>
          </w:tcPr>
          <w:p w14:paraId="54E903EE" w14:textId="77777777" w:rsidR="00F427A3" w:rsidRDefault="0044221F">
            <w:pPr>
              <w:textAlignment w:val="top"/>
              <w:rPr>
                <w:rFonts w:ascii="Times New Roman" w:hAnsi="Times New Roman"/>
                <w:sz w:val="20"/>
                <w:szCs w:val="20"/>
              </w:rPr>
            </w:pPr>
            <w:r>
              <w:rPr>
                <w:rFonts w:ascii="Times New Roman" w:eastAsia="宋体" w:hAnsi="Times New Roman"/>
                <w:b/>
                <w:bCs/>
                <w:sz w:val="20"/>
                <w:szCs w:val="20"/>
              </w:rPr>
              <w:t>Supplemental cash flow data</w:t>
            </w:r>
          </w:p>
        </w:tc>
        <w:tc>
          <w:tcPr>
            <w:tcW w:w="0" w:type="auto"/>
            <w:gridSpan w:val="3"/>
            <w:shd w:val="clear" w:color="auto" w:fill="CCEEFF"/>
            <w:tcMar>
              <w:top w:w="40" w:type="dxa"/>
              <w:left w:w="40" w:type="dxa"/>
              <w:bottom w:w="40" w:type="dxa"/>
              <w:right w:w="40" w:type="dxa"/>
            </w:tcMar>
            <w:vAlign w:val="bottom"/>
          </w:tcPr>
          <w:p w14:paraId="54E903E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3F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3F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3FB" w14:textId="77777777">
        <w:trPr>
          <w:jc w:val="center"/>
        </w:trPr>
        <w:tc>
          <w:tcPr>
            <w:tcW w:w="0" w:type="auto"/>
            <w:shd w:val="clear" w:color="auto" w:fill="auto"/>
            <w:tcMar>
              <w:top w:w="40" w:type="dxa"/>
              <w:left w:w="560" w:type="dxa"/>
              <w:bottom w:w="40" w:type="dxa"/>
              <w:right w:w="40" w:type="dxa"/>
            </w:tcMar>
          </w:tcPr>
          <w:p w14:paraId="54E903F3"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Cash paid for income taxes, net</w:t>
            </w:r>
          </w:p>
        </w:tc>
        <w:tc>
          <w:tcPr>
            <w:tcW w:w="0" w:type="auto"/>
            <w:shd w:val="clear" w:color="auto" w:fill="auto"/>
            <w:tcMar>
              <w:top w:w="40" w:type="dxa"/>
              <w:left w:w="40" w:type="dxa"/>
              <w:bottom w:w="40" w:type="dxa"/>
            </w:tcMar>
            <w:vAlign w:val="bottom"/>
          </w:tcPr>
          <w:p w14:paraId="54E903F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903F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3,122</w:t>
            </w:r>
          </w:p>
        </w:tc>
        <w:tc>
          <w:tcPr>
            <w:tcW w:w="0" w:type="auto"/>
            <w:shd w:val="clear" w:color="auto" w:fill="auto"/>
            <w:vAlign w:val="bottom"/>
          </w:tcPr>
          <w:p w14:paraId="54E903F6"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3F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3F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903F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2,528</w:t>
            </w:r>
          </w:p>
        </w:tc>
        <w:tc>
          <w:tcPr>
            <w:tcW w:w="0" w:type="auto"/>
            <w:shd w:val="clear" w:color="auto" w:fill="auto"/>
            <w:vAlign w:val="bottom"/>
          </w:tcPr>
          <w:p w14:paraId="54E903FA" w14:textId="77777777" w:rsidR="00F427A3" w:rsidRDefault="00F427A3">
            <w:pPr>
              <w:textAlignment w:val="bottom"/>
              <w:rPr>
                <w:rFonts w:ascii="Times New Roman" w:hAnsi="Times New Roman"/>
                <w:sz w:val="20"/>
                <w:szCs w:val="20"/>
              </w:rPr>
            </w:pPr>
          </w:p>
        </w:tc>
      </w:tr>
      <w:tr w:rsidR="00F427A3" w14:paraId="54E90400" w14:textId="77777777">
        <w:trPr>
          <w:jc w:val="center"/>
        </w:trPr>
        <w:tc>
          <w:tcPr>
            <w:tcW w:w="0" w:type="auto"/>
            <w:shd w:val="clear" w:color="auto" w:fill="CCEEFF"/>
            <w:tcMar>
              <w:top w:w="40" w:type="dxa"/>
              <w:left w:w="560" w:type="dxa"/>
              <w:bottom w:w="40" w:type="dxa"/>
              <w:right w:w="40" w:type="dxa"/>
            </w:tcMar>
          </w:tcPr>
          <w:p w14:paraId="54E903FC"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Non-cash investing activities:</w:t>
            </w:r>
          </w:p>
        </w:tc>
        <w:tc>
          <w:tcPr>
            <w:tcW w:w="0" w:type="auto"/>
            <w:gridSpan w:val="3"/>
            <w:shd w:val="clear" w:color="auto" w:fill="CCEEFF"/>
            <w:tcMar>
              <w:top w:w="40" w:type="dxa"/>
              <w:left w:w="40" w:type="dxa"/>
              <w:bottom w:w="40" w:type="dxa"/>
              <w:right w:w="40" w:type="dxa"/>
            </w:tcMar>
            <w:vAlign w:val="bottom"/>
          </w:tcPr>
          <w:p w14:paraId="54E903F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3F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3F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409" w14:textId="77777777">
        <w:trPr>
          <w:jc w:val="center"/>
        </w:trPr>
        <w:tc>
          <w:tcPr>
            <w:tcW w:w="0" w:type="auto"/>
            <w:shd w:val="clear" w:color="auto" w:fill="auto"/>
            <w:tcMar>
              <w:top w:w="40" w:type="dxa"/>
              <w:left w:w="1040" w:type="dxa"/>
              <w:bottom w:w="40" w:type="dxa"/>
              <w:right w:w="40" w:type="dxa"/>
            </w:tcMar>
          </w:tcPr>
          <w:p w14:paraId="54E90401"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xml:space="preserve">Acquisition of businesses and other </w:t>
            </w:r>
            <w:r>
              <w:rPr>
                <w:rFonts w:ascii="Times New Roman" w:eastAsia="宋体" w:hAnsi="Times New Roman"/>
                <w:sz w:val="20"/>
                <w:szCs w:val="20"/>
              </w:rPr>
              <w:t>investments in accrued expenses and other liabilities</w:t>
            </w:r>
          </w:p>
        </w:tc>
        <w:tc>
          <w:tcPr>
            <w:tcW w:w="0" w:type="auto"/>
            <w:shd w:val="clear" w:color="auto" w:fill="auto"/>
            <w:tcMar>
              <w:top w:w="40" w:type="dxa"/>
              <w:left w:w="40" w:type="dxa"/>
              <w:bottom w:w="40" w:type="dxa"/>
            </w:tcMar>
            <w:vAlign w:val="bottom"/>
          </w:tcPr>
          <w:p w14:paraId="54E9040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9040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118</w:t>
            </w:r>
          </w:p>
        </w:tc>
        <w:tc>
          <w:tcPr>
            <w:tcW w:w="0" w:type="auto"/>
            <w:shd w:val="clear" w:color="auto" w:fill="auto"/>
            <w:vAlign w:val="bottom"/>
          </w:tcPr>
          <w:p w14:paraId="54E90404"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40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40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9040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4E90408" w14:textId="77777777" w:rsidR="00F427A3" w:rsidRDefault="00F427A3">
            <w:pPr>
              <w:textAlignment w:val="bottom"/>
              <w:rPr>
                <w:rFonts w:ascii="Times New Roman" w:hAnsi="Times New Roman"/>
                <w:sz w:val="20"/>
                <w:szCs w:val="20"/>
              </w:rPr>
            </w:pPr>
          </w:p>
        </w:tc>
      </w:tr>
      <w:tr w:rsidR="00F427A3" w14:paraId="54E90412" w14:textId="77777777">
        <w:trPr>
          <w:jc w:val="center"/>
        </w:trPr>
        <w:tc>
          <w:tcPr>
            <w:tcW w:w="0" w:type="auto"/>
            <w:shd w:val="clear" w:color="auto" w:fill="CCEEFF"/>
            <w:tcMar>
              <w:top w:w="40" w:type="dxa"/>
              <w:left w:w="1040" w:type="dxa"/>
              <w:bottom w:w="40" w:type="dxa"/>
              <w:right w:w="40" w:type="dxa"/>
            </w:tcMar>
          </w:tcPr>
          <w:p w14:paraId="54E9040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Property and equipment in accounts payable and accrued expenses and other liabilities</w:t>
            </w:r>
          </w:p>
        </w:tc>
        <w:tc>
          <w:tcPr>
            <w:tcW w:w="0" w:type="auto"/>
            <w:shd w:val="clear" w:color="auto" w:fill="CCEEFF"/>
            <w:tcMar>
              <w:top w:w="40" w:type="dxa"/>
              <w:left w:w="40" w:type="dxa"/>
              <w:bottom w:w="40" w:type="dxa"/>
            </w:tcMar>
            <w:vAlign w:val="bottom"/>
          </w:tcPr>
          <w:p w14:paraId="54E9040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40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2,137</w:t>
            </w:r>
          </w:p>
        </w:tc>
        <w:tc>
          <w:tcPr>
            <w:tcW w:w="0" w:type="auto"/>
            <w:shd w:val="clear" w:color="auto" w:fill="CCEEFF"/>
            <w:vAlign w:val="bottom"/>
          </w:tcPr>
          <w:p w14:paraId="54E9040D"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40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40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41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1,850</w:t>
            </w:r>
          </w:p>
        </w:tc>
        <w:tc>
          <w:tcPr>
            <w:tcW w:w="0" w:type="auto"/>
            <w:shd w:val="clear" w:color="auto" w:fill="CCEEFF"/>
            <w:vAlign w:val="bottom"/>
          </w:tcPr>
          <w:p w14:paraId="54E90411" w14:textId="77777777" w:rsidR="00F427A3" w:rsidRDefault="00F427A3">
            <w:pPr>
              <w:textAlignment w:val="bottom"/>
              <w:rPr>
                <w:rFonts w:ascii="Times New Roman" w:hAnsi="Times New Roman"/>
                <w:sz w:val="20"/>
                <w:szCs w:val="20"/>
              </w:rPr>
            </w:pPr>
          </w:p>
        </w:tc>
      </w:tr>
    </w:tbl>
    <w:p w14:paraId="54E90413" w14:textId="77777777" w:rsidR="00F427A3" w:rsidRDefault="0044221F">
      <w:pPr>
        <w:spacing w:line="288" w:lineRule="auto"/>
        <w:jc w:val="center"/>
        <w:rPr>
          <w:rFonts w:ascii="Times New Roman" w:hAnsi="Times New Roman"/>
          <w:sz w:val="18"/>
          <w:szCs w:val="18"/>
        </w:rPr>
      </w:pPr>
      <w:r>
        <w:rPr>
          <w:rFonts w:ascii="Times New Roman" w:eastAsia="宋体" w:hAnsi="Times New Roman"/>
          <w:i/>
          <w:iCs/>
          <w:sz w:val="18"/>
          <w:szCs w:val="18"/>
        </w:rPr>
        <w:t xml:space="preserve">See Accompanying Notes to Condensed Consolidated Financial </w:t>
      </w:r>
      <w:r>
        <w:rPr>
          <w:rFonts w:ascii="Times New Roman" w:eastAsia="宋体" w:hAnsi="Times New Roman"/>
          <w:i/>
          <w:iCs/>
          <w:sz w:val="18"/>
          <w:szCs w:val="18"/>
        </w:rPr>
        <w:t>Statements.</w:t>
      </w:r>
    </w:p>
    <w:p w14:paraId="54E90414" w14:textId="77777777" w:rsidR="00F427A3" w:rsidRDefault="00F427A3">
      <w:pPr>
        <w:rPr>
          <w:rFonts w:ascii="Times New Roman" w:hAnsi="Times New Roman"/>
          <w:sz w:val="20"/>
          <w:szCs w:val="20"/>
        </w:rPr>
      </w:pPr>
    </w:p>
    <w:p w14:paraId="54E90415"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12</w:t>
      </w:r>
    </w:p>
    <w:p w14:paraId="54E90416" w14:textId="77777777" w:rsidR="00F427A3" w:rsidRDefault="0044221F">
      <w:r>
        <w:rPr>
          <w:rFonts w:ascii="Times New Roman" w:hAnsi="Times New Roman"/>
          <w:sz w:val="20"/>
          <w:szCs w:val="20"/>
        </w:rPr>
        <w:pict w14:anchorId="54E91C2C">
          <v:rect id="_x0000_i1036" style="width:415.3pt;height:1.5pt" o:hralign="center" o:hrstd="t" o:hr="t" fillcolor="#a0a0a0" stroked="f"/>
        </w:pict>
      </w:r>
    </w:p>
    <w:p w14:paraId="54E90417" w14:textId="77777777" w:rsidR="00F427A3" w:rsidRDefault="0044221F">
      <w:pPr>
        <w:spacing w:line="288" w:lineRule="auto"/>
        <w:rPr>
          <w:rFonts w:ascii="Times New Roman" w:hAnsi="Times New Roman"/>
          <w:sz w:val="20"/>
          <w:szCs w:val="20"/>
        </w:rPr>
      </w:pPr>
      <w:hyperlink r:id="rId54" w:anchor="s348EA962CF6D59B599D9921AFA89C381" w:history="1">
        <w:r>
          <w:rPr>
            <w:rStyle w:val="a5"/>
            <w:rFonts w:ascii="Times New Roman" w:eastAsia="宋体" w:hAnsi="Times New Roman"/>
            <w:sz w:val="20"/>
            <w:szCs w:val="20"/>
          </w:rPr>
          <w:t>Table of Contents</w:t>
        </w:r>
      </w:hyperlink>
    </w:p>
    <w:p w14:paraId="54E90418" w14:textId="77777777" w:rsidR="00F427A3" w:rsidRDefault="00F427A3">
      <w:pPr>
        <w:rPr>
          <w:rFonts w:ascii="Times New Roman" w:hAnsi="Times New Roman"/>
          <w:sz w:val="20"/>
          <w:szCs w:val="20"/>
        </w:rPr>
      </w:pPr>
    </w:p>
    <w:p w14:paraId="54E90419"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FACEBOOK, INC.</w:t>
      </w:r>
    </w:p>
    <w:p w14:paraId="54E9041A"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NOTES TO CONDENSED CONSOLIDATED FINANCIAL STATEMENT</w:t>
      </w:r>
      <w:r>
        <w:rPr>
          <w:rFonts w:ascii="Times New Roman" w:eastAsia="宋体" w:hAnsi="Times New Roman"/>
          <w:b/>
          <w:bCs/>
          <w:sz w:val="20"/>
          <w:szCs w:val="20"/>
        </w:rPr>
        <w:t>S</w:t>
      </w:r>
    </w:p>
    <w:p w14:paraId="54E9041B" w14:textId="77777777" w:rsidR="00F427A3" w:rsidRDefault="0044221F">
      <w:pPr>
        <w:spacing w:line="288" w:lineRule="auto"/>
        <w:jc w:val="center"/>
        <w:rPr>
          <w:rFonts w:ascii="Times New Roman" w:hAnsi="Times New Roman"/>
          <w:sz w:val="20"/>
          <w:szCs w:val="20"/>
        </w:rPr>
      </w:pPr>
      <w:r>
        <w:rPr>
          <w:rFonts w:ascii="Times New Roman" w:eastAsia="宋体" w:hAnsi="Times New Roman"/>
          <w:i/>
          <w:iCs/>
          <w:sz w:val="20"/>
          <w:szCs w:val="20"/>
        </w:rPr>
        <w:t>(Unaudited)</w:t>
      </w:r>
    </w:p>
    <w:p w14:paraId="54E9041C"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Note 1. Summary of Significant Accounting Policies</w:t>
      </w:r>
    </w:p>
    <w:p w14:paraId="54E9041D"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Basis of Presentation</w:t>
      </w:r>
    </w:p>
    <w:p w14:paraId="54E9041E"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accompanying unaudited condensed consolidated financial statements have been prepared in accordance with generally accepted accounting principles in the United </w:t>
      </w:r>
      <w:r>
        <w:rPr>
          <w:rFonts w:ascii="Times New Roman" w:eastAsia="宋体" w:hAnsi="Times New Roman"/>
          <w:sz w:val="20"/>
          <w:szCs w:val="20"/>
        </w:rPr>
        <w:t>States (GAAP) and applicable rules and regulations of the Securities and Exchange Commission (SEC) regarding interim financial reporting. Certain information and note disclosures normally included in the financial statements prepared in accordance with GAA</w:t>
      </w:r>
      <w:r>
        <w:rPr>
          <w:rFonts w:ascii="Times New Roman" w:eastAsia="宋体" w:hAnsi="Times New Roman"/>
          <w:sz w:val="20"/>
          <w:szCs w:val="20"/>
        </w:rPr>
        <w:t>P have been condensed or omitted pursuant to such rules and regulations. As such, the information included in this quarterly report on Form 10-Q should be read in conjunction with the consolidated financial statements and accompanying notes included in our</w:t>
      </w:r>
      <w:r>
        <w:rPr>
          <w:rFonts w:ascii="Times New Roman" w:eastAsia="宋体" w:hAnsi="Times New Roman"/>
          <w:sz w:val="20"/>
          <w:szCs w:val="20"/>
        </w:rPr>
        <w:t xml:space="preserve"> Annual Report on Form 10-K for the year ended December 31, 2019.</w:t>
      </w:r>
    </w:p>
    <w:p w14:paraId="54E9041F"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condensed consolidated balance sheet as of December 31, 2019 included herein was derived from the audited financial statements as of that date, but does not include all disclosures inclu</w:t>
      </w:r>
      <w:r>
        <w:rPr>
          <w:rFonts w:ascii="Times New Roman" w:eastAsia="宋体" w:hAnsi="Times New Roman"/>
          <w:sz w:val="20"/>
          <w:szCs w:val="20"/>
        </w:rPr>
        <w:t>ding notes required by GAAP.</w:t>
      </w:r>
    </w:p>
    <w:p w14:paraId="54E90420"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condensed consolidated financial statements include the accounts of Facebook, Inc., subsidiaries where we have controlling financial interests, and any variable interest entities for which we are deemed to be the primary be</w:t>
      </w:r>
      <w:r>
        <w:rPr>
          <w:rFonts w:ascii="Times New Roman" w:eastAsia="宋体" w:hAnsi="Times New Roman"/>
          <w:sz w:val="20"/>
          <w:szCs w:val="20"/>
        </w:rPr>
        <w:t>neficiary. All intercompany balances and transactions have been eliminated.</w:t>
      </w:r>
    </w:p>
    <w:p w14:paraId="54E90421"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accompanying condensed consolidated financial statements reflect all normal recurring adjustments that are necessary to present fairly the results for the interim periods prese</w:t>
      </w:r>
      <w:r>
        <w:rPr>
          <w:rFonts w:ascii="Times New Roman" w:eastAsia="宋体" w:hAnsi="Times New Roman"/>
          <w:sz w:val="20"/>
          <w:szCs w:val="20"/>
        </w:rPr>
        <w:t>nted. Interim results are not necessarily indicative of the results for the full year ending December 31, 2020.</w:t>
      </w:r>
    </w:p>
    <w:p w14:paraId="54E90422"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Reclassifications</w:t>
      </w:r>
    </w:p>
    <w:p w14:paraId="54E90423"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Certain prior year amounts on the condensed consolidated statements of cash flow have been reclassified to conform to the curr</w:t>
      </w:r>
      <w:r>
        <w:rPr>
          <w:rFonts w:ascii="Times New Roman" w:eastAsia="宋体" w:hAnsi="Times New Roman"/>
          <w:sz w:val="20"/>
          <w:szCs w:val="20"/>
        </w:rPr>
        <w:t>ent year presentation. A reclassification was made to net the changes in operating lease right-of use assets with operating lease liabilities. This net change was not material and was included within the changes in other liabilities in cash flows from oper</w:t>
      </w:r>
      <w:r>
        <w:rPr>
          <w:rFonts w:ascii="Times New Roman" w:eastAsia="宋体" w:hAnsi="Times New Roman"/>
          <w:sz w:val="20"/>
          <w:szCs w:val="20"/>
        </w:rPr>
        <w:t>ating activities on the condensed consolidated statement of cash flow for the nine months ended September 30, 2019. This change does not affect previously reported cash flows from operating activities in the condensed consolidated statements of cash flows.</w:t>
      </w:r>
      <w:r>
        <w:rPr>
          <w:rFonts w:ascii="Times New Roman" w:eastAsia="宋体" w:hAnsi="Times New Roman"/>
          <w:sz w:val="20"/>
          <w:szCs w:val="20"/>
        </w:rPr>
        <w:t xml:space="preserve"> This reclassification had no effect on our other condensed consolidated financial statements for the periods ended September 30, 2020 and 2019. </w:t>
      </w:r>
    </w:p>
    <w:p w14:paraId="54E90424"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Use of Estimates</w:t>
      </w:r>
    </w:p>
    <w:p w14:paraId="54E90425"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Conformity with GAAP requires the use of estimates and judgments that affect the </w:t>
      </w:r>
      <w:r>
        <w:rPr>
          <w:rFonts w:ascii="Times New Roman" w:eastAsia="宋体" w:hAnsi="Times New Roman"/>
          <w:sz w:val="20"/>
          <w:szCs w:val="20"/>
        </w:rPr>
        <w:t xml:space="preserve">reported amounts in the condensed consolidated financial statements and accompanying notes. These estimates form the basis for judgments we make about the carrying values of our assets and liabilities, which are not readily apparent from other sources. We </w:t>
      </w:r>
      <w:r>
        <w:rPr>
          <w:rFonts w:ascii="Times New Roman" w:eastAsia="宋体" w:hAnsi="Times New Roman"/>
          <w:sz w:val="20"/>
          <w:szCs w:val="20"/>
        </w:rPr>
        <w:t>base our estimates and judgments on historical information and on various other assumptions that we believe are reasonable under the circumstances. GAAP requires us to make estimates and judgments in several areas, including, but not limited to, those rela</w:t>
      </w:r>
      <w:r>
        <w:rPr>
          <w:rFonts w:ascii="Times New Roman" w:eastAsia="宋体" w:hAnsi="Times New Roman"/>
          <w:sz w:val="20"/>
          <w:szCs w:val="20"/>
        </w:rPr>
        <w:t>ted to income taxes, loss contingencies, fair value of acquired intangible assets and goodwill, collectibility of accounts receivable, fair value of financial instruments, credit losses of available-for-sale (AFS) debt securities, leases, useful lives of i</w:t>
      </w:r>
      <w:r>
        <w:rPr>
          <w:rFonts w:ascii="Times New Roman" w:eastAsia="宋体" w:hAnsi="Times New Roman"/>
          <w:sz w:val="20"/>
          <w:szCs w:val="20"/>
        </w:rPr>
        <w:t xml:space="preserve">ntangible assets and property and equipment, and revenue recognition. These estimates are based on management's knowledge about current events and expectations about actions we may undertake in the future. Actual results could differ materially from those </w:t>
      </w:r>
      <w:r>
        <w:rPr>
          <w:rFonts w:ascii="Times New Roman" w:eastAsia="宋体" w:hAnsi="Times New Roman"/>
          <w:sz w:val="20"/>
          <w:szCs w:val="20"/>
        </w:rPr>
        <w:t>estimates.</w:t>
      </w:r>
    </w:p>
    <w:p w14:paraId="54E90426"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COVID-19 pandemic has created and may continue to create significant uncertainty in macroeconomic conditions, which </w:t>
      </w:r>
      <w:r>
        <w:rPr>
          <w:rFonts w:ascii="Times New Roman" w:eastAsia="宋体" w:hAnsi="Times New Roman"/>
          <w:color w:val="181717"/>
          <w:sz w:val="20"/>
          <w:szCs w:val="20"/>
        </w:rPr>
        <w:t>may cause further business slowdowns or shutdowns, depress demand for our advertising business, and adversely impact our resu</w:t>
      </w:r>
      <w:r>
        <w:rPr>
          <w:rFonts w:ascii="Times New Roman" w:eastAsia="宋体" w:hAnsi="Times New Roman"/>
          <w:color w:val="181717"/>
          <w:sz w:val="20"/>
          <w:szCs w:val="20"/>
        </w:rPr>
        <w:t>lts of operations.</w:t>
      </w:r>
      <w:r>
        <w:rPr>
          <w:rFonts w:ascii="Times New Roman" w:eastAsia="宋体" w:hAnsi="Times New Roman"/>
          <w:sz w:val="20"/>
          <w:szCs w:val="20"/>
        </w:rPr>
        <w:t xml:space="preserve"> During the three and nine months ended September 30, 2020, we faced uncertainties around our estimates of revenue collectibility and accounts receivable credit losses. We expect uncertainties around our key accounting estimates to contin</w:t>
      </w:r>
      <w:r>
        <w:rPr>
          <w:rFonts w:ascii="Times New Roman" w:eastAsia="宋体" w:hAnsi="Times New Roman"/>
          <w:sz w:val="20"/>
          <w:szCs w:val="20"/>
        </w:rPr>
        <w:t>ue to evolve depending on the duration and degree of impact associated with the COVID-19 pandemic</w:t>
      </w:r>
      <w:r>
        <w:rPr>
          <w:rFonts w:ascii="Times New Roman" w:eastAsia="宋体" w:hAnsi="Times New Roman"/>
          <w:color w:val="181717"/>
          <w:sz w:val="20"/>
          <w:szCs w:val="20"/>
        </w:rPr>
        <w:t>. Our estimates may change as new events occur and additional information emerges, and such changes are recognized or disclosed in our condensed consolidated f</w:t>
      </w:r>
      <w:r>
        <w:rPr>
          <w:rFonts w:ascii="Times New Roman" w:eastAsia="宋体" w:hAnsi="Times New Roman"/>
          <w:color w:val="181717"/>
          <w:sz w:val="20"/>
          <w:szCs w:val="20"/>
        </w:rPr>
        <w:t xml:space="preserve">inancial statements. </w:t>
      </w:r>
    </w:p>
    <w:p w14:paraId="54E90427" w14:textId="77777777" w:rsidR="00F427A3" w:rsidRDefault="00F427A3">
      <w:pPr>
        <w:rPr>
          <w:rFonts w:ascii="Times New Roman" w:hAnsi="Times New Roman"/>
          <w:sz w:val="20"/>
          <w:szCs w:val="20"/>
        </w:rPr>
      </w:pPr>
    </w:p>
    <w:p w14:paraId="54E90428"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13</w:t>
      </w:r>
    </w:p>
    <w:p w14:paraId="54E90429" w14:textId="77777777" w:rsidR="00F427A3" w:rsidRDefault="0044221F">
      <w:r>
        <w:rPr>
          <w:rFonts w:ascii="Times New Roman" w:hAnsi="Times New Roman"/>
          <w:sz w:val="20"/>
          <w:szCs w:val="20"/>
        </w:rPr>
        <w:pict w14:anchorId="54E91C2D">
          <v:rect id="_x0000_i1037" style="width:415.3pt;height:1.5pt" o:hralign="center" o:hrstd="t" o:hr="t" fillcolor="#a0a0a0" stroked="f"/>
        </w:pict>
      </w:r>
    </w:p>
    <w:p w14:paraId="54E9042A" w14:textId="77777777" w:rsidR="00F427A3" w:rsidRDefault="0044221F">
      <w:pPr>
        <w:spacing w:line="288" w:lineRule="auto"/>
        <w:rPr>
          <w:rFonts w:ascii="Times New Roman" w:hAnsi="Times New Roman"/>
          <w:sz w:val="20"/>
          <w:szCs w:val="20"/>
        </w:rPr>
      </w:pPr>
      <w:hyperlink r:id="rId55" w:anchor="s348EA962CF6D59B599D9921AFA89C381" w:history="1">
        <w:r>
          <w:rPr>
            <w:rStyle w:val="a5"/>
            <w:rFonts w:ascii="Times New Roman" w:eastAsia="宋体" w:hAnsi="Times New Roman"/>
            <w:sz w:val="20"/>
            <w:szCs w:val="20"/>
          </w:rPr>
          <w:t>Table of Contents</w:t>
        </w:r>
      </w:hyperlink>
    </w:p>
    <w:p w14:paraId="54E9042B" w14:textId="77777777" w:rsidR="00F427A3" w:rsidRDefault="00F427A3">
      <w:pPr>
        <w:rPr>
          <w:rFonts w:ascii="Times New Roman" w:hAnsi="Times New Roman"/>
          <w:sz w:val="20"/>
          <w:szCs w:val="20"/>
        </w:rPr>
      </w:pPr>
    </w:p>
    <w:p w14:paraId="54E9042C"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Recently Adopted Accounting Pronouncements</w:t>
      </w:r>
    </w:p>
    <w:p w14:paraId="54E9042D"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Fair Value Me</w:t>
      </w:r>
      <w:r>
        <w:rPr>
          <w:rFonts w:ascii="Times New Roman" w:eastAsia="宋体" w:hAnsi="Times New Roman"/>
          <w:b/>
          <w:bCs/>
          <w:i/>
          <w:iCs/>
          <w:sz w:val="20"/>
          <w:szCs w:val="20"/>
        </w:rPr>
        <w:t>asurements</w:t>
      </w:r>
    </w:p>
    <w:p w14:paraId="54E9042E"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On January 1, 2020, we adopted Accounting Standards Update No. 2018-13, </w:t>
      </w:r>
      <w:r>
        <w:rPr>
          <w:rFonts w:ascii="Times New Roman" w:eastAsia="宋体" w:hAnsi="Times New Roman"/>
          <w:i/>
          <w:iCs/>
          <w:sz w:val="20"/>
          <w:szCs w:val="20"/>
        </w:rPr>
        <w:t>Changes to Disclosure Requirements for Fair Value Measurements (Topic 820)</w:t>
      </w:r>
      <w:r>
        <w:rPr>
          <w:rFonts w:ascii="Times New Roman" w:eastAsia="宋体" w:hAnsi="Times New Roman"/>
          <w:sz w:val="20"/>
          <w:szCs w:val="20"/>
        </w:rPr>
        <w:t>, which improved the effectiveness of disclosure requirements for recurring and nonrecurring fair v</w:t>
      </w:r>
      <w:r>
        <w:rPr>
          <w:rFonts w:ascii="Times New Roman" w:eastAsia="宋体" w:hAnsi="Times New Roman"/>
          <w:sz w:val="20"/>
          <w:szCs w:val="20"/>
        </w:rPr>
        <w:t>alue measurements. The standard removes, modifies, and adds certain disclosure requirements. The adoption of this new standard did not have a material impact on our condensed consolidated financial statements.</w:t>
      </w:r>
    </w:p>
    <w:p w14:paraId="54E9042F"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Credit Losses</w:t>
      </w:r>
    </w:p>
    <w:p w14:paraId="54E90430"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On January 1, 2020, we adopted A</w:t>
      </w:r>
      <w:r>
        <w:rPr>
          <w:rFonts w:ascii="Times New Roman" w:eastAsia="宋体" w:hAnsi="Times New Roman"/>
          <w:sz w:val="20"/>
          <w:szCs w:val="20"/>
        </w:rPr>
        <w:t xml:space="preserve">ccounting Standards Update No. 2016-13, </w:t>
      </w:r>
      <w:r>
        <w:rPr>
          <w:rFonts w:ascii="Times New Roman" w:eastAsia="宋体" w:hAnsi="Times New Roman"/>
          <w:i/>
          <w:iCs/>
          <w:sz w:val="20"/>
          <w:szCs w:val="20"/>
        </w:rPr>
        <w:t>Financial Instruments-Credit Losses (Topic 326): Measurement of Credit Losses on Financial Instruments</w:t>
      </w:r>
      <w:r>
        <w:rPr>
          <w:rFonts w:ascii="Times New Roman" w:eastAsia="宋体" w:hAnsi="Times New Roman"/>
          <w:sz w:val="20"/>
          <w:szCs w:val="20"/>
        </w:rPr>
        <w:t xml:space="preserve">, using the modified retrospective transition method. Upon adoption, we changed our impairment model to utilize a </w:t>
      </w:r>
      <w:r>
        <w:rPr>
          <w:rFonts w:ascii="Times New Roman" w:eastAsia="宋体" w:hAnsi="Times New Roman"/>
          <w:sz w:val="20"/>
          <w:szCs w:val="20"/>
        </w:rPr>
        <w:t>forward-looking current expected credit losses (CECL) model in place of the incurred loss methodology for financial instruments measured at amortized cost, including our accounts receivable. In addition, we modified our impairment model to the CECL model f</w:t>
      </w:r>
      <w:r>
        <w:rPr>
          <w:rFonts w:ascii="Times New Roman" w:eastAsia="宋体" w:hAnsi="Times New Roman"/>
          <w:sz w:val="20"/>
          <w:szCs w:val="20"/>
        </w:rPr>
        <w:t>or AFS debt securities and discontinued using the concept of "other than temporary" impairment on AFS debt securities. CECL estimates on accounts receivable are</w:t>
      </w:r>
      <w:r>
        <w:rPr>
          <w:rFonts w:ascii="Times New Roman" w:eastAsia="宋体" w:hAnsi="Times New Roman"/>
          <w:color w:val="212529"/>
          <w:sz w:val="20"/>
          <w:szCs w:val="20"/>
        </w:rPr>
        <w:t xml:space="preserve"> recorded as general and administrative expenses on our condensed consolidated statements of inc</w:t>
      </w:r>
      <w:r>
        <w:rPr>
          <w:rFonts w:ascii="Times New Roman" w:eastAsia="宋体" w:hAnsi="Times New Roman"/>
          <w:color w:val="212529"/>
          <w:sz w:val="20"/>
          <w:szCs w:val="20"/>
        </w:rPr>
        <w:t xml:space="preserve">ome. </w:t>
      </w:r>
      <w:r>
        <w:rPr>
          <w:rFonts w:ascii="Times New Roman" w:eastAsia="宋体" w:hAnsi="Times New Roman"/>
          <w:sz w:val="20"/>
          <w:szCs w:val="20"/>
        </w:rPr>
        <w:t xml:space="preserve">CECL estimates on AFS debt securities are recognized in interest and other income (expense), net on our condensed consolidated statements of income. The cumulative effect adjustment from adoption was immaterial to our condensed consolidated financial </w:t>
      </w:r>
      <w:r>
        <w:rPr>
          <w:rFonts w:ascii="Times New Roman" w:eastAsia="宋体" w:hAnsi="Times New Roman"/>
          <w:sz w:val="20"/>
          <w:szCs w:val="20"/>
        </w:rPr>
        <w:t>statements. We continue to monitor the financial implications of the COVID-19 pandemic on expected credit losses.</w:t>
      </w:r>
    </w:p>
    <w:p w14:paraId="54E90431"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Significant Accounting Policies</w:t>
      </w:r>
    </w:p>
    <w:p w14:paraId="54E90432"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There have been no material changes to our significant accounting policies from our Annual Report on Form 10-K</w:t>
      </w:r>
      <w:r>
        <w:rPr>
          <w:rFonts w:ascii="Times New Roman" w:eastAsia="宋体" w:hAnsi="Times New Roman"/>
          <w:sz w:val="20"/>
          <w:szCs w:val="20"/>
        </w:rPr>
        <w:t xml:space="preserve"> for the fiscal year ended December 31, 2019, except for the policies noted below.</w:t>
      </w:r>
    </w:p>
    <w:p w14:paraId="54E90433"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Cash and Cash Equivalents and Marketable Securities</w:t>
      </w:r>
    </w:p>
    <w:p w14:paraId="54E90434"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Cash and cash equivalents consist of cash on deposit with banks and highly liquid investments with maturities of 90 days </w:t>
      </w:r>
      <w:r>
        <w:rPr>
          <w:rFonts w:ascii="Times New Roman" w:eastAsia="宋体" w:hAnsi="Times New Roman"/>
          <w:sz w:val="20"/>
          <w:szCs w:val="20"/>
        </w:rPr>
        <w:t>or less from the date of purchase.</w:t>
      </w:r>
    </w:p>
    <w:p w14:paraId="54E90435"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hold investments in marketable securities, consisting of U.S. government securities, U.S. government agency securities, and investment grade corporate debt securities. We classify our marketable securities as AFS inves</w:t>
      </w:r>
      <w:r>
        <w:rPr>
          <w:rFonts w:ascii="Times New Roman" w:eastAsia="宋体" w:hAnsi="Times New Roman"/>
          <w:sz w:val="20"/>
          <w:szCs w:val="20"/>
        </w:rPr>
        <w:t>tments in our current assets because they represent investments of cash available for current operations. Our AFS investments are carried at estimated fair value with any unrealized gains and losses, net of taxes, included in accumulated other comprehensiv</w:t>
      </w:r>
      <w:r>
        <w:rPr>
          <w:rFonts w:ascii="Times New Roman" w:eastAsia="宋体" w:hAnsi="Times New Roman"/>
          <w:sz w:val="20"/>
          <w:szCs w:val="20"/>
        </w:rPr>
        <w:t>e income (loss) in stockholders' equity. AFS debt securities with an amortized cost basis in excess of estimated fair value are assessed to determine what amount of that difference, if any, is caused by expected credit losses. Expected credit losses on AFS</w:t>
      </w:r>
      <w:r>
        <w:rPr>
          <w:rFonts w:ascii="Times New Roman" w:eastAsia="宋体" w:hAnsi="Times New Roman"/>
          <w:sz w:val="20"/>
          <w:szCs w:val="20"/>
        </w:rPr>
        <w:t xml:space="preserve"> debt securities are recognized in interest and other income (expense), net on our condensed consolidated statements of income, and any remaining unrealized losses, net of taxes, are included in accumulated other comprehensive income (loss) in stockholders</w:t>
      </w:r>
      <w:r>
        <w:rPr>
          <w:rFonts w:ascii="Times New Roman" w:eastAsia="宋体" w:hAnsi="Times New Roman"/>
          <w:sz w:val="20"/>
          <w:szCs w:val="20"/>
        </w:rPr>
        <w:t xml:space="preserve">' equity. The amount of credit losses recorded for the three and nine months ended September 30, 2020 was not material. We have not recorded any impairment charge for unrealized losses in the periods </w:t>
      </w:r>
      <w:r>
        <w:rPr>
          <w:rFonts w:ascii="Times New Roman" w:eastAsia="宋体" w:hAnsi="Times New Roman"/>
          <w:color w:val="212529"/>
          <w:sz w:val="20"/>
          <w:szCs w:val="20"/>
        </w:rPr>
        <w:t xml:space="preserve">presented. We determine realized gains or losses on </w:t>
      </w:r>
      <w:r>
        <w:rPr>
          <w:rFonts w:ascii="Times New Roman" w:eastAsia="宋体" w:hAnsi="Times New Roman"/>
          <w:color w:val="212529"/>
          <w:sz w:val="20"/>
          <w:szCs w:val="20"/>
        </w:rPr>
        <w:t>sale of marketable securities on a specific identification method, and record such gains or losses as interest and other income (expense), net.</w:t>
      </w:r>
    </w:p>
    <w:p w14:paraId="54E90436"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b/>
          <w:bCs/>
          <w:i/>
          <w:iCs/>
          <w:color w:val="212529"/>
          <w:sz w:val="20"/>
          <w:szCs w:val="20"/>
        </w:rPr>
        <w:t>Equity Investments</w:t>
      </w:r>
    </w:p>
    <w:p w14:paraId="54E90437"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equity investments are investments in equity securities of privately-held </w:t>
      </w:r>
      <w:r>
        <w:rPr>
          <w:rFonts w:ascii="Times New Roman" w:eastAsia="宋体" w:hAnsi="Times New Roman"/>
          <w:sz w:val="20"/>
          <w:szCs w:val="20"/>
        </w:rPr>
        <w:t xml:space="preserve">companies without readily determinable market values. We elected to account for most of our equity investments using the measurement alternative, which is cost, less any impairment, adjusted for changes in fair value resulting from observable transactions </w:t>
      </w:r>
      <w:r>
        <w:rPr>
          <w:rFonts w:ascii="Times New Roman" w:eastAsia="宋体" w:hAnsi="Times New Roman"/>
          <w:sz w:val="20"/>
          <w:szCs w:val="20"/>
        </w:rPr>
        <w:t>for identical or similar investments of the same issuer. The change in carrying value, if any, is recognized in interest and other income (expense), net on our condensed consolidated statements of income. We periodically review our equity investments for i</w:t>
      </w:r>
      <w:r>
        <w:rPr>
          <w:rFonts w:ascii="Times New Roman" w:eastAsia="宋体" w:hAnsi="Times New Roman"/>
          <w:sz w:val="20"/>
          <w:szCs w:val="20"/>
        </w:rPr>
        <w:t>mpairment. If indicators exist and the estimated fair value of an investment is below the carrying amount, we will write down the investment to fair value. Equity investments accounted for under the equity method were immaterial as of September 30, 2020 an</w:t>
      </w:r>
      <w:r>
        <w:rPr>
          <w:rFonts w:ascii="Times New Roman" w:eastAsia="宋体" w:hAnsi="Times New Roman"/>
          <w:sz w:val="20"/>
          <w:szCs w:val="20"/>
        </w:rPr>
        <w:t>d December 31, 2019. As of September 30, 2020, our equity investments had a carrying value of $6.16 billion. There was no material impairment in the three and nine months ended September 30, 2020.</w:t>
      </w:r>
    </w:p>
    <w:p w14:paraId="54E90438" w14:textId="77777777" w:rsidR="00F427A3" w:rsidRDefault="00F427A3">
      <w:pPr>
        <w:spacing w:line="288" w:lineRule="auto"/>
        <w:ind w:firstLine="720"/>
        <w:jc w:val="both"/>
        <w:rPr>
          <w:rFonts w:ascii="Times New Roman" w:hAnsi="Times New Roman"/>
          <w:sz w:val="20"/>
          <w:szCs w:val="20"/>
        </w:rPr>
      </w:pPr>
    </w:p>
    <w:p w14:paraId="54E90439" w14:textId="77777777" w:rsidR="00F427A3" w:rsidRDefault="00F427A3">
      <w:pPr>
        <w:rPr>
          <w:rFonts w:ascii="Times New Roman" w:hAnsi="Times New Roman"/>
          <w:sz w:val="20"/>
          <w:szCs w:val="20"/>
        </w:rPr>
      </w:pPr>
    </w:p>
    <w:p w14:paraId="54E9043A"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14</w:t>
      </w:r>
    </w:p>
    <w:p w14:paraId="54E9043B" w14:textId="77777777" w:rsidR="00F427A3" w:rsidRDefault="0044221F">
      <w:r>
        <w:rPr>
          <w:rFonts w:ascii="Times New Roman" w:hAnsi="Times New Roman"/>
          <w:sz w:val="20"/>
          <w:szCs w:val="20"/>
        </w:rPr>
        <w:pict w14:anchorId="54E91C2E">
          <v:rect id="_x0000_i1038" style="width:415.3pt;height:1.5pt" o:hralign="center" o:hrstd="t" o:hr="t" fillcolor="#a0a0a0" stroked="f"/>
        </w:pict>
      </w:r>
    </w:p>
    <w:p w14:paraId="54E9043C" w14:textId="77777777" w:rsidR="00F427A3" w:rsidRDefault="0044221F">
      <w:pPr>
        <w:spacing w:line="288" w:lineRule="auto"/>
        <w:rPr>
          <w:rFonts w:ascii="Times New Roman" w:hAnsi="Times New Roman"/>
          <w:sz w:val="20"/>
          <w:szCs w:val="20"/>
        </w:rPr>
      </w:pPr>
      <w:hyperlink r:id="rId56" w:anchor="s348EA962CF6D59B599D9921AFA89C381" w:history="1">
        <w:r>
          <w:rPr>
            <w:rStyle w:val="a5"/>
            <w:rFonts w:ascii="Times New Roman" w:eastAsia="宋体" w:hAnsi="Times New Roman"/>
            <w:sz w:val="20"/>
            <w:szCs w:val="20"/>
          </w:rPr>
          <w:t>Table of Contents</w:t>
        </w:r>
      </w:hyperlink>
    </w:p>
    <w:p w14:paraId="54E9043D" w14:textId="77777777" w:rsidR="00F427A3" w:rsidRDefault="00F427A3">
      <w:pPr>
        <w:rPr>
          <w:rFonts w:ascii="Times New Roman" w:hAnsi="Times New Roman"/>
          <w:sz w:val="20"/>
          <w:szCs w:val="20"/>
        </w:rPr>
      </w:pPr>
    </w:p>
    <w:p w14:paraId="54E9043E"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b/>
          <w:bCs/>
          <w:i/>
          <w:iCs/>
          <w:color w:val="212529"/>
          <w:sz w:val="20"/>
          <w:szCs w:val="20"/>
        </w:rPr>
        <w:t>Accounts Receivable and Allowances</w:t>
      </w:r>
    </w:p>
    <w:p w14:paraId="54E9043F"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color w:val="212529"/>
          <w:sz w:val="20"/>
          <w:szCs w:val="20"/>
        </w:rPr>
        <w:t>Accounts receivable are recorded and carried at the original invoiced amount less an allowance for an</w:t>
      </w:r>
      <w:r>
        <w:rPr>
          <w:rFonts w:ascii="Times New Roman" w:eastAsia="宋体" w:hAnsi="Times New Roman"/>
          <w:color w:val="212529"/>
          <w:sz w:val="20"/>
          <w:szCs w:val="20"/>
        </w:rPr>
        <w:t xml:space="preserve">y potential uncollectible amounts. We make estimates of expected credit and collectibility trends for the allowance for credit losses and allowance for unbilled receivables based upon our assessment of various factors, including historical experience, the </w:t>
      </w:r>
      <w:r>
        <w:rPr>
          <w:rFonts w:ascii="Times New Roman" w:eastAsia="宋体" w:hAnsi="Times New Roman"/>
          <w:color w:val="212529"/>
          <w:sz w:val="20"/>
          <w:szCs w:val="20"/>
        </w:rPr>
        <w:t>age of the accounts receivable balances, credit quality of our customers, current economic conditions, reasonable and supportable forecasts of future economic conditions, and other factors that may affect our ability to collect from customers. Expected cre</w:t>
      </w:r>
      <w:r>
        <w:rPr>
          <w:rFonts w:ascii="Times New Roman" w:eastAsia="宋体" w:hAnsi="Times New Roman"/>
          <w:color w:val="212529"/>
          <w:sz w:val="20"/>
          <w:szCs w:val="20"/>
        </w:rPr>
        <w:t xml:space="preserve">dit losses are recorded as general and administrative expenses on our condensed consolidated statements of income. As of </w:t>
      </w:r>
      <w:r>
        <w:rPr>
          <w:rFonts w:ascii="Times New Roman" w:eastAsia="宋体" w:hAnsi="Times New Roman"/>
          <w:sz w:val="20"/>
          <w:szCs w:val="20"/>
        </w:rPr>
        <w:t>September 30, 2020</w:t>
      </w:r>
      <w:r>
        <w:rPr>
          <w:rFonts w:ascii="Times New Roman" w:eastAsia="宋体" w:hAnsi="Times New Roman"/>
          <w:color w:val="212529"/>
          <w:sz w:val="20"/>
          <w:szCs w:val="20"/>
        </w:rPr>
        <w:t xml:space="preserve">, we reported </w:t>
      </w:r>
      <w:r>
        <w:rPr>
          <w:rFonts w:ascii="Times New Roman" w:eastAsia="宋体" w:hAnsi="Times New Roman"/>
          <w:sz w:val="20"/>
          <w:szCs w:val="20"/>
        </w:rPr>
        <w:t>$8.02 billion</w:t>
      </w:r>
      <w:r>
        <w:rPr>
          <w:rFonts w:ascii="Times New Roman" w:eastAsia="宋体" w:hAnsi="Times New Roman"/>
          <w:color w:val="212529"/>
          <w:sz w:val="20"/>
          <w:szCs w:val="20"/>
        </w:rPr>
        <w:t xml:space="preserve"> of accounts receivable, net of an allowance of $311 million.</w:t>
      </w:r>
    </w:p>
    <w:p w14:paraId="54E90440"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b/>
          <w:bCs/>
          <w:i/>
          <w:iCs/>
          <w:color w:val="212529"/>
          <w:sz w:val="20"/>
          <w:szCs w:val="20"/>
        </w:rPr>
        <w:t>Credit Risk and Concentratio</w:t>
      </w:r>
      <w:r>
        <w:rPr>
          <w:rFonts w:ascii="Times New Roman" w:eastAsia="宋体" w:hAnsi="Times New Roman"/>
          <w:b/>
          <w:bCs/>
          <w:i/>
          <w:iCs/>
          <w:color w:val="212529"/>
          <w:sz w:val="20"/>
          <w:szCs w:val="20"/>
        </w:rPr>
        <w:t>n</w:t>
      </w:r>
    </w:p>
    <w:p w14:paraId="54E90441"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color w:val="212529"/>
          <w:sz w:val="20"/>
          <w:szCs w:val="20"/>
        </w:rPr>
        <w:t>Our financial instruments that are potentially subject to concentrations of credit risk consist primarily of cash, cash equivalents, restricted cash, marketable securities, and accounts receivable. The majority of cash equivalents consists of money marke</w:t>
      </w:r>
      <w:r>
        <w:rPr>
          <w:rFonts w:ascii="Times New Roman" w:eastAsia="宋体" w:hAnsi="Times New Roman"/>
          <w:color w:val="212529"/>
          <w:sz w:val="20"/>
          <w:szCs w:val="20"/>
        </w:rPr>
        <w:t xml:space="preserve">t funds that primarily invest in U.S. government and agency securities. Marketable securities consist of investments in U.S. government securities, U.S. government agency securities, and investment grade corporate debt securities. Our investment portfolio </w:t>
      </w:r>
      <w:r>
        <w:rPr>
          <w:rFonts w:ascii="Times New Roman" w:eastAsia="宋体" w:hAnsi="Times New Roman"/>
          <w:color w:val="212529"/>
          <w:sz w:val="20"/>
          <w:szCs w:val="20"/>
        </w:rPr>
        <w:t>in corporate debt securities is highly liquid and diversified among individual issuers.</w:t>
      </w:r>
    </w:p>
    <w:p w14:paraId="54E90442"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AFS debt securities with an amortized cost basis in excess of estimated fair value are assessed using the CECL model to determine what amount of that difference, if any</w:t>
      </w:r>
      <w:r>
        <w:rPr>
          <w:rFonts w:ascii="Times New Roman" w:eastAsia="宋体" w:hAnsi="Times New Roman"/>
          <w:sz w:val="20"/>
          <w:szCs w:val="20"/>
        </w:rPr>
        <w:t>, is caused by expected credit losses. Expected credit losses on AFS debt securities are recognized in interest and other income (expense), net on our condensed consolidated statements of income and were not material for the three and nine months ended Sep</w:t>
      </w:r>
      <w:r>
        <w:rPr>
          <w:rFonts w:ascii="Times New Roman" w:eastAsia="宋体" w:hAnsi="Times New Roman"/>
          <w:sz w:val="20"/>
          <w:szCs w:val="20"/>
        </w:rPr>
        <w:t>tember 30, 2020.</w:t>
      </w:r>
    </w:p>
    <w:p w14:paraId="54E90443"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color w:val="212529"/>
          <w:sz w:val="20"/>
          <w:szCs w:val="20"/>
        </w:rPr>
        <w:t>Accounts receivable are typically unsecured and are derived from revenue earned from customers across different industries and countries. We generated 41%</w:t>
      </w:r>
      <w:r>
        <w:rPr>
          <w:rFonts w:ascii="Times New Roman" w:eastAsia="宋体" w:hAnsi="Times New Roman"/>
          <w:sz w:val="20"/>
          <w:szCs w:val="20"/>
        </w:rPr>
        <w:t xml:space="preserve"> and </w:t>
      </w:r>
      <w:r>
        <w:rPr>
          <w:rFonts w:ascii="Times New Roman" w:eastAsia="宋体" w:hAnsi="Times New Roman"/>
          <w:color w:val="212529"/>
          <w:sz w:val="20"/>
          <w:szCs w:val="20"/>
        </w:rPr>
        <w:t xml:space="preserve">43% of our revenue for the </w:t>
      </w:r>
      <w:r>
        <w:rPr>
          <w:rFonts w:ascii="Times New Roman" w:eastAsia="宋体" w:hAnsi="Times New Roman"/>
          <w:sz w:val="20"/>
          <w:szCs w:val="20"/>
        </w:rPr>
        <w:t>three months ended September 30, 2020</w:t>
      </w:r>
      <w:r>
        <w:rPr>
          <w:rFonts w:ascii="Times New Roman" w:eastAsia="宋体" w:hAnsi="Times New Roman"/>
          <w:color w:val="212529"/>
          <w:sz w:val="20"/>
          <w:szCs w:val="20"/>
        </w:rPr>
        <w:t xml:space="preserve"> and </w:t>
      </w:r>
      <w:r>
        <w:rPr>
          <w:rFonts w:ascii="Times New Roman" w:eastAsia="宋体" w:hAnsi="Times New Roman"/>
          <w:sz w:val="20"/>
          <w:szCs w:val="20"/>
        </w:rPr>
        <w:t>2019</w:t>
      </w:r>
      <w:r>
        <w:rPr>
          <w:rFonts w:ascii="Times New Roman" w:eastAsia="宋体" w:hAnsi="Times New Roman"/>
          <w:color w:val="212529"/>
          <w:sz w:val="20"/>
          <w:szCs w:val="20"/>
        </w:rPr>
        <w:t>, respe</w:t>
      </w:r>
      <w:r>
        <w:rPr>
          <w:rFonts w:ascii="Times New Roman" w:eastAsia="宋体" w:hAnsi="Times New Roman"/>
          <w:color w:val="212529"/>
          <w:sz w:val="20"/>
          <w:szCs w:val="20"/>
        </w:rPr>
        <w:t>ctively, and 42% of our revenue for each of the nine months ended September 30, 2020 and 2019 from marketers and developers based in the United States, with the majority of revenue outside of the United States coming from customers located in western Europ</w:t>
      </w:r>
      <w:r>
        <w:rPr>
          <w:rFonts w:ascii="Times New Roman" w:eastAsia="宋体" w:hAnsi="Times New Roman"/>
          <w:color w:val="212529"/>
          <w:sz w:val="20"/>
          <w:szCs w:val="20"/>
        </w:rPr>
        <w:t>e, China, Canada, Vietnam, Japan, Australia and Brazil.</w:t>
      </w:r>
    </w:p>
    <w:p w14:paraId="54E90444"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color w:val="212529"/>
          <w:sz w:val="20"/>
          <w:szCs w:val="20"/>
        </w:rPr>
        <w:t xml:space="preserve">We perform ongoing credit evaluations of our customers and generally do not require collateral. We maintain an allowance for estimated credit losses. Bad debt expense was immaterial during the </w:t>
      </w:r>
      <w:r>
        <w:rPr>
          <w:rFonts w:ascii="Times New Roman" w:eastAsia="宋体" w:hAnsi="Times New Roman"/>
          <w:sz w:val="20"/>
          <w:szCs w:val="20"/>
        </w:rPr>
        <w:t>three a</w:t>
      </w:r>
      <w:r>
        <w:rPr>
          <w:rFonts w:ascii="Times New Roman" w:eastAsia="宋体" w:hAnsi="Times New Roman"/>
          <w:sz w:val="20"/>
          <w:szCs w:val="20"/>
        </w:rPr>
        <w:t>nd nine months ended September 30, 2020</w:t>
      </w:r>
      <w:r>
        <w:rPr>
          <w:rFonts w:ascii="Times New Roman" w:eastAsia="宋体" w:hAnsi="Times New Roman"/>
          <w:color w:val="212529"/>
          <w:sz w:val="20"/>
          <w:szCs w:val="20"/>
        </w:rPr>
        <w:t xml:space="preserve"> and </w:t>
      </w:r>
      <w:r>
        <w:rPr>
          <w:rFonts w:ascii="Times New Roman" w:eastAsia="宋体" w:hAnsi="Times New Roman"/>
          <w:sz w:val="20"/>
          <w:szCs w:val="20"/>
        </w:rPr>
        <w:t>2019</w:t>
      </w:r>
      <w:r>
        <w:rPr>
          <w:rFonts w:ascii="Times New Roman" w:eastAsia="宋体" w:hAnsi="Times New Roman"/>
          <w:color w:val="212529"/>
          <w:sz w:val="20"/>
          <w:szCs w:val="20"/>
        </w:rPr>
        <w:t>. In the event that accounts receivable collection cycles deteriorate, our operating results and financial position could be adversely affected.</w:t>
      </w:r>
    </w:p>
    <w:p w14:paraId="54E90445" w14:textId="77777777" w:rsidR="00F427A3" w:rsidRDefault="0044221F">
      <w:pPr>
        <w:spacing w:line="288" w:lineRule="auto"/>
        <w:rPr>
          <w:rFonts w:ascii="Times New Roman" w:hAnsi="Times New Roman"/>
          <w:sz w:val="20"/>
          <w:szCs w:val="20"/>
        </w:rPr>
      </w:pPr>
      <w:r>
        <w:rPr>
          <w:rFonts w:ascii="Times New Roman" w:eastAsia="宋体" w:hAnsi="Times New Roman"/>
          <w:b/>
          <w:bCs/>
          <w:i/>
          <w:iCs/>
          <w:sz w:val="20"/>
          <w:szCs w:val="20"/>
        </w:rPr>
        <w:t xml:space="preserve">Accounting Pronouncements Not Yet Adopted </w:t>
      </w:r>
    </w:p>
    <w:p w14:paraId="54E90446"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In December 2019, th</w:t>
      </w:r>
      <w:r>
        <w:rPr>
          <w:rFonts w:ascii="Times New Roman" w:eastAsia="宋体" w:hAnsi="Times New Roman"/>
          <w:sz w:val="20"/>
          <w:szCs w:val="20"/>
        </w:rPr>
        <w:t>e Financial Accounting Standards Board (FASB) issued Accounting Standard Update No. 2019-12, </w:t>
      </w:r>
      <w:r>
        <w:rPr>
          <w:rFonts w:ascii="Times New Roman" w:eastAsia="宋体" w:hAnsi="Times New Roman"/>
          <w:i/>
          <w:iCs/>
          <w:sz w:val="20"/>
          <w:szCs w:val="20"/>
        </w:rPr>
        <w:t>Income Taxes</w:t>
      </w:r>
      <w:r>
        <w:rPr>
          <w:rFonts w:ascii="Times New Roman" w:eastAsia="宋体" w:hAnsi="Times New Roman"/>
          <w:sz w:val="20"/>
          <w:szCs w:val="20"/>
        </w:rPr>
        <w:t xml:space="preserve"> </w:t>
      </w:r>
      <w:r>
        <w:rPr>
          <w:rFonts w:ascii="Times New Roman" w:eastAsia="宋体" w:hAnsi="Times New Roman"/>
          <w:i/>
          <w:iCs/>
          <w:sz w:val="20"/>
          <w:szCs w:val="20"/>
        </w:rPr>
        <w:t>(Topic 740):</w:t>
      </w:r>
      <w:r>
        <w:rPr>
          <w:rFonts w:ascii="Times New Roman" w:eastAsia="宋体" w:hAnsi="Times New Roman"/>
          <w:sz w:val="20"/>
          <w:szCs w:val="20"/>
        </w:rPr>
        <w:t xml:space="preserve"> </w:t>
      </w:r>
      <w:r>
        <w:rPr>
          <w:rFonts w:ascii="Times New Roman" w:eastAsia="宋体" w:hAnsi="Times New Roman"/>
          <w:i/>
          <w:iCs/>
          <w:sz w:val="20"/>
          <w:szCs w:val="20"/>
        </w:rPr>
        <w:t>Simplifying the Accounting for Income Taxes</w:t>
      </w:r>
      <w:r>
        <w:rPr>
          <w:rFonts w:ascii="Times New Roman" w:eastAsia="宋体" w:hAnsi="Times New Roman"/>
          <w:sz w:val="20"/>
          <w:szCs w:val="20"/>
        </w:rPr>
        <w:t xml:space="preserve"> (ASU 2019-12), which simplifies the accounting for income taxes. This guidance will be effective for us in the first quarter of 2021 on a prospective basis, with early adoption permitted. We will adopt the new standard effective January 1, 2021 and do not</w:t>
      </w:r>
      <w:r>
        <w:rPr>
          <w:rFonts w:ascii="Times New Roman" w:eastAsia="宋体" w:hAnsi="Times New Roman"/>
          <w:sz w:val="20"/>
          <w:szCs w:val="20"/>
        </w:rPr>
        <w:t xml:space="preserve"> expect the adoption of this guidance to have a material impact on our consolidated financial statements.</w:t>
      </w:r>
    </w:p>
    <w:p w14:paraId="54E90447"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January 2020, the FASB issued Accounting Standards Update No. 2020-01, </w:t>
      </w:r>
      <w:r>
        <w:rPr>
          <w:rFonts w:ascii="Times New Roman" w:eastAsia="宋体" w:hAnsi="Times New Roman"/>
          <w:i/>
          <w:iCs/>
          <w:sz w:val="20"/>
          <w:szCs w:val="20"/>
        </w:rPr>
        <w:t>Investments—Equity Securities (Topic 321), Investments—Equity Method and Joi</w:t>
      </w:r>
      <w:r>
        <w:rPr>
          <w:rFonts w:ascii="Times New Roman" w:eastAsia="宋体" w:hAnsi="Times New Roman"/>
          <w:i/>
          <w:iCs/>
          <w:sz w:val="20"/>
          <w:szCs w:val="20"/>
        </w:rPr>
        <w:t xml:space="preserve">nt Ventures (Topic 323), and Derivatives and Hedging (Topic 815) </w:t>
      </w:r>
      <w:r>
        <w:rPr>
          <w:rFonts w:ascii="Times New Roman" w:eastAsia="宋体" w:hAnsi="Times New Roman"/>
          <w:sz w:val="20"/>
          <w:szCs w:val="20"/>
        </w:rPr>
        <w:t>(ASU 2020-01), which clarifies the interaction of the accounting for equity securities under Topic 321, the accounting for equity method investments in Topic 323, and the accounting for certa</w:t>
      </w:r>
      <w:r>
        <w:rPr>
          <w:rFonts w:ascii="Times New Roman" w:eastAsia="宋体" w:hAnsi="Times New Roman"/>
          <w:sz w:val="20"/>
          <w:szCs w:val="20"/>
        </w:rPr>
        <w:t>in forward contracts and purchased options in Topic 815. This guidance will be effective for us in the first quarter of 2021 on a prospective basis, with early adoption permitted. We are currently evaluating the impact of the new guidance, but based upon o</w:t>
      </w:r>
      <w:r>
        <w:rPr>
          <w:rFonts w:ascii="Times New Roman" w:eastAsia="宋体" w:hAnsi="Times New Roman"/>
          <w:sz w:val="20"/>
          <w:szCs w:val="20"/>
        </w:rPr>
        <w:t>ur current portfolio of investments, we do not expect the adoption of this guidance to have a material impact on our consolidated financial statements.</w:t>
      </w:r>
    </w:p>
    <w:p w14:paraId="54E90448"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In August 2020, the FASB issued Accounting Standards Update No. 2020-06,</w:t>
      </w:r>
      <w:r>
        <w:rPr>
          <w:rFonts w:ascii="Times New Roman" w:eastAsia="宋体" w:hAnsi="Times New Roman"/>
          <w:i/>
          <w:iCs/>
          <w:sz w:val="20"/>
          <w:szCs w:val="20"/>
        </w:rPr>
        <w:t xml:space="preserve"> Debt—Debt with Conversion and O</w:t>
      </w:r>
      <w:r>
        <w:rPr>
          <w:rFonts w:ascii="Times New Roman" w:eastAsia="宋体" w:hAnsi="Times New Roman"/>
          <w:i/>
          <w:iCs/>
          <w:sz w:val="20"/>
          <w:szCs w:val="20"/>
        </w:rPr>
        <w:t xml:space="preserve">ther Options (Subtopic 470-20) and Derivatives and Hedging—Contracts in Entity's Own Equity (Subtopic 815-40): Accounting for Convertible Instruments and Contracts in an Entity’s Own Equity </w:t>
      </w:r>
      <w:r>
        <w:rPr>
          <w:rFonts w:ascii="Times New Roman" w:eastAsia="宋体" w:hAnsi="Times New Roman"/>
          <w:sz w:val="20"/>
          <w:szCs w:val="20"/>
        </w:rPr>
        <w:t>(ASU 2020-06), which simplifies the accounting for convertible ins</w:t>
      </w:r>
      <w:r>
        <w:rPr>
          <w:rFonts w:ascii="Times New Roman" w:eastAsia="宋体" w:hAnsi="Times New Roman"/>
          <w:sz w:val="20"/>
          <w:szCs w:val="20"/>
        </w:rPr>
        <w:t>truments by reducing the number of accounting models available for convertible debt instruments. This guidance also eliminates the treasury stock method to calculate diluted earnings per share for convertible instruments and requires the use of the if-conv</w:t>
      </w:r>
      <w:r>
        <w:rPr>
          <w:rFonts w:ascii="Times New Roman" w:eastAsia="宋体" w:hAnsi="Times New Roman"/>
          <w:sz w:val="20"/>
          <w:szCs w:val="20"/>
        </w:rPr>
        <w:t>erted method. This guidance will be effective for us in the first quarter of 2022 on a full or modified retrospective basis, with early adoption permitted. We do not expect the adoption of this guidance to have a material impact on our consolidated financi</w:t>
      </w:r>
      <w:r>
        <w:rPr>
          <w:rFonts w:ascii="Times New Roman" w:eastAsia="宋体" w:hAnsi="Times New Roman"/>
          <w:sz w:val="20"/>
          <w:szCs w:val="20"/>
        </w:rPr>
        <w:t>al statements.</w:t>
      </w:r>
    </w:p>
    <w:p w14:paraId="54E90449" w14:textId="77777777" w:rsidR="00F427A3" w:rsidRDefault="00F427A3">
      <w:pPr>
        <w:rPr>
          <w:rFonts w:ascii="Times New Roman" w:hAnsi="Times New Roman"/>
          <w:sz w:val="20"/>
          <w:szCs w:val="20"/>
        </w:rPr>
      </w:pPr>
    </w:p>
    <w:p w14:paraId="54E9044A"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15</w:t>
      </w:r>
    </w:p>
    <w:p w14:paraId="54E9044B" w14:textId="77777777" w:rsidR="00F427A3" w:rsidRDefault="0044221F">
      <w:r>
        <w:rPr>
          <w:rFonts w:ascii="Times New Roman" w:hAnsi="Times New Roman"/>
          <w:sz w:val="20"/>
          <w:szCs w:val="20"/>
        </w:rPr>
        <w:pict w14:anchorId="54E91C2F">
          <v:rect id="_x0000_i1039" style="width:415.3pt;height:1.5pt" o:hralign="center" o:hrstd="t" o:hr="t" fillcolor="#a0a0a0" stroked="f"/>
        </w:pict>
      </w:r>
    </w:p>
    <w:p w14:paraId="54E9044C" w14:textId="77777777" w:rsidR="00F427A3" w:rsidRDefault="00F427A3">
      <w:pPr>
        <w:rPr>
          <w:rFonts w:ascii="Times New Roman" w:hAnsi="Times New Roman"/>
          <w:sz w:val="20"/>
          <w:szCs w:val="20"/>
        </w:rPr>
      </w:pPr>
    </w:p>
    <w:p w14:paraId="54E9044D"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Note 2. Revenue</w:t>
      </w:r>
    </w:p>
    <w:p w14:paraId="54E9044E" w14:textId="77777777" w:rsidR="00F427A3" w:rsidRDefault="00F427A3">
      <w:pPr>
        <w:spacing w:line="288" w:lineRule="auto"/>
        <w:ind w:firstLine="720"/>
        <w:rPr>
          <w:rFonts w:ascii="Times New Roman" w:hAnsi="Times New Roman"/>
          <w:sz w:val="20"/>
          <w:szCs w:val="20"/>
        </w:rPr>
      </w:pPr>
    </w:p>
    <w:p w14:paraId="54E9044F" w14:textId="77777777" w:rsidR="00F427A3" w:rsidRDefault="0044221F">
      <w:pPr>
        <w:spacing w:line="288" w:lineRule="auto"/>
        <w:ind w:firstLine="720"/>
        <w:rPr>
          <w:rFonts w:ascii="Times New Roman" w:hAnsi="Times New Roman"/>
          <w:sz w:val="20"/>
          <w:szCs w:val="20"/>
        </w:rPr>
      </w:pPr>
      <w:r>
        <w:rPr>
          <w:rFonts w:ascii="Times New Roman" w:eastAsia="宋体" w:hAnsi="Times New Roman"/>
          <w:sz w:val="20"/>
          <w:szCs w:val="20"/>
        </w:rPr>
        <w:t>Revenue disaggregated by revenue source consists of the following (in millions):</w:t>
      </w:r>
    </w:p>
    <w:tbl>
      <w:tblPr>
        <w:tblW w:w="5000" w:type="pct"/>
        <w:tblCellMar>
          <w:left w:w="0" w:type="dxa"/>
          <w:right w:w="0" w:type="dxa"/>
        </w:tblCellMar>
        <w:tblLook w:val="04A0" w:firstRow="1" w:lastRow="0" w:firstColumn="1" w:lastColumn="0" w:noHBand="0" w:noVBand="1"/>
      </w:tblPr>
      <w:tblGrid>
        <w:gridCol w:w="3198"/>
        <w:gridCol w:w="140"/>
        <w:gridCol w:w="956"/>
        <w:gridCol w:w="42"/>
        <w:gridCol w:w="130"/>
        <w:gridCol w:w="140"/>
        <w:gridCol w:w="1039"/>
        <w:gridCol w:w="42"/>
        <w:gridCol w:w="130"/>
        <w:gridCol w:w="140"/>
        <w:gridCol w:w="956"/>
        <w:gridCol w:w="42"/>
        <w:gridCol w:w="130"/>
        <w:gridCol w:w="140"/>
        <w:gridCol w:w="1039"/>
        <w:gridCol w:w="42"/>
      </w:tblGrid>
      <w:tr w:rsidR="00F427A3" w14:paraId="54E90451" w14:textId="77777777">
        <w:tc>
          <w:tcPr>
            <w:tcW w:w="0" w:type="auto"/>
            <w:gridSpan w:val="16"/>
            <w:shd w:val="clear" w:color="auto" w:fill="auto"/>
            <w:vAlign w:val="center"/>
          </w:tcPr>
          <w:p w14:paraId="54E90450" w14:textId="77777777" w:rsidR="00F427A3" w:rsidRDefault="00F427A3">
            <w:pPr>
              <w:rPr>
                <w:rFonts w:ascii="Times New Roman" w:hAnsi="Times New Roman"/>
                <w:sz w:val="20"/>
                <w:szCs w:val="20"/>
              </w:rPr>
            </w:pPr>
          </w:p>
        </w:tc>
      </w:tr>
      <w:tr w:rsidR="00F427A3" w14:paraId="54E90462" w14:textId="77777777">
        <w:tc>
          <w:tcPr>
            <w:tcW w:w="1950" w:type="pct"/>
            <w:shd w:val="clear" w:color="auto" w:fill="auto"/>
            <w:vAlign w:val="center"/>
          </w:tcPr>
          <w:p w14:paraId="54E90452" w14:textId="77777777" w:rsidR="00F427A3" w:rsidRDefault="00F427A3">
            <w:pPr>
              <w:rPr>
                <w:rFonts w:ascii="Times New Roman" w:hAnsi="Times New Roman"/>
                <w:sz w:val="20"/>
                <w:szCs w:val="20"/>
              </w:rPr>
            </w:pPr>
          </w:p>
        </w:tc>
        <w:tc>
          <w:tcPr>
            <w:tcW w:w="50" w:type="pct"/>
            <w:shd w:val="clear" w:color="auto" w:fill="auto"/>
            <w:vAlign w:val="center"/>
          </w:tcPr>
          <w:p w14:paraId="54E90453" w14:textId="77777777" w:rsidR="00F427A3" w:rsidRDefault="00F427A3">
            <w:pPr>
              <w:rPr>
                <w:rFonts w:ascii="Times New Roman" w:hAnsi="Times New Roman"/>
                <w:sz w:val="20"/>
                <w:szCs w:val="20"/>
              </w:rPr>
            </w:pPr>
          </w:p>
        </w:tc>
        <w:tc>
          <w:tcPr>
            <w:tcW w:w="600" w:type="pct"/>
            <w:shd w:val="clear" w:color="auto" w:fill="auto"/>
            <w:vAlign w:val="center"/>
          </w:tcPr>
          <w:p w14:paraId="54E90454" w14:textId="77777777" w:rsidR="00F427A3" w:rsidRDefault="00F427A3">
            <w:pPr>
              <w:rPr>
                <w:rFonts w:ascii="Times New Roman" w:hAnsi="Times New Roman"/>
                <w:sz w:val="20"/>
                <w:szCs w:val="20"/>
              </w:rPr>
            </w:pPr>
          </w:p>
        </w:tc>
        <w:tc>
          <w:tcPr>
            <w:tcW w:w="50" w:type="pct"/>
            <w:shd w:val="clear" w:color="auto" w:fill="auto"/>
            <w:vAlign w:val="center"/>
          </w:tcPr>
          <w:p w14:paraId="54E90455" w14:textId="77777777" w:rsidR="00F427A3" w:rsidRDefault="00F427A3">
            <w:pPr>
              <w:rPr>
                <w:rFonts w:ascii="Times New Roman" w:hAnsi="Times New Roman"/>
                <w:sz w:val="20"/>
                <w:szCs w:val="20"/>
              </w:rPr>
            </w:pPr>
          </w:p>
        </w:tc>
        <w:tc>
          <w:tcPr>
            <w:tcW w:w="50" w:type="pct"/>
            <w:shd w:val="clear" w:color="auto" w:fill="auto"/>
            <w:vAlign w:val="center"/>
          </w:tcPr>
          <w:p w14:paraId="54E90456" w14:textId="77777777" w:rsidR="00F427A3" w:rsidRDefault="00F427A3">
            <w:pPr>
              <w:rPr>
                <w:rFonts w:ascii="Times New Roman" w:hAnsi="Times New Roman"/>
                <w:sz w:val="20"/>
                <w:szCs w:val="20"/>
              </w:rPr>
            </w:pPr>
          </w:p>
        </w:tc>
        <w:tc>
          <w:tcPr>
            <w:tcW w:w="50" w:type="pct"/>
            <w:shd w:val="clear" w:color="auto" w:fill="auto"/>
            <w:vAlign w:val="center"/>
          </w:tcPr>
          <w:p w14:paraId="54E90457" w14:textId="77777777" w:rsidR="00F427A3" w:rsidRDefault="00F427A3">
            <w:pPr>
              <w:rPr>
                <w:rFonts w:ascii="Times New Roman" w:hAnsi="Times New Roman"/>
                <w:sz w:val="20"/>
                <w:szCs w:val="20"/>
              </w:rPr>
            </w:pPr>
          </w:p>
        </w:tc>
        <w:tc>
          <w:tcPr>
            <w:tcW w:w="650" w:type="pct"/>
            <w:shd w:val="clear" w:color="auto" w:fill="auto"/>
            <w:vAlign w:val="center"/>
          </w:tcPr>
          <w:p w14:paraId="54E90458" w14:textId="77777777" w:rsidR="00F427A3" w:rsidRDefault="00F427A3">
            <w:pPr>
              <w:rPr>
                <w:rFonts w:ascii="Times New Roman" w:hAnsi="Times New Roman"/>
                <w:sz w:val="20"/>
                <w:szCs w:val="20"/>
              </w:rPr>
            </w:pPr>
          </w:p>
        </w:tc>
        <w:tc>
          <w:tcPr>
            <w:tcW w:w="50" w:type="pct"/>
            <w:shd w:val="clear" w:color="auto" w:fill="auto"/>
            <w:vAlign w:val="center"/>
          </w:tcPr>
          <w:p w14:paraId="54E90459" w14:textId="77777777" w:rsidR="00F427A3" w:rsidRDefault="00F427A3">
            <w:pPr>
              <w:rPr>
                <w:rFonts w:ascii="Times New Roman" w:hAnsi="Times New Roman"/>
                <w:sz w:val="20"/>
                <w:szCs w:val="20"/>
              </w:rPr>
            </w:pPr>
          </w:p>
        </w:tc>
        <w:tc>
          <w:tcPr>
            <w:tcW w:w="50" w:type="pct"/>
            <w:shd w:val="clear" w:color="auto" w:fill="auto"/>
            <w:vAlign w:val="center"/>
          </w:tcPr>
          <w:p w14:paraId="54E9045A" w14:textId="77777777" w:rsidR="00F427A3" w:rsidRDefault="00F427A3">
            <w:pPr>
              <w:rPr>
                <w:rFonts w:ascii="Times New Roman" w:hAnsi="Times New Roman"/>
                <w:sz w:val="20"/>
                <w:szCs w:val="20"/>
              </w:rPr>
            </w:pPr>
          </w:p>
        </w:tc>
        <w:tc>
          <w:tcPr>
            <w:tcW w:w="50" w:type="pct"/>
            <w:shd w:val="clear" w:color="auto" w:fill="auto"/>
            <w:vAlign w:val="center"/>
          </w:tcPr>
          <w:p w14:paraId="54E9045B" w14:textId="77777777" w:rsidR="00F427A3" w:rsidRDefault="00F427A3">
            <w:pPr>
              <w:rPr>
                <w:rFonts w:ascii="Times New Roman" w:hAnsi="Times New Roman"/>
                <w:sz w:val="20"/>
                <w:szCs w:val="20"/>
              </w:rPr>
            </w:pPr>
          </w:p>
        </w:tc>
        <w:tc>
          <w:tcPr>
            <w:tcW w:w="600" w:type="pct"/>
            <w:shd w:val="clear" w:color="auto" w:fill="auto"/>
            <w:vAlign w:val="center"/>
          </w:tcPr>
          <w:p w14:paraId="54E9045C" w14:textId="77777777" w:rsidR="00F427A3" w:rsidRDefault="00F427A3">
            <w:pPr>
              <w:rPr>
                <w:rFonts w:ascii="Times New Roman" w:hAnsi="Times New Roman"/>
                <w:sz w:val="20"/>
                <w:szCs w:val="20"/>
              </w:rPr>
            </w:pPr>
          </w:p>
        </w:tc>
        <w:tc>
          <w:tcPr>
            <w:tcW w:w="50" w:type="pct"/>
            <w:shd w:val="clear" w:color="auto" w:fill="auto"/>
            <w:vAlign w:val="center"/>
          </w:tcPr>
          <w:p w14:paraId="54E9045D" w14:textId="77777777" w:rsidR="00F427A3" w:rsidRDefault="00F427A3">
            <w:pPr>
              <w:rPr>
                <w:rFonts w:ascii="Times New Roman" w:hAnsi="Times New Roman"/>
                <w:sz w:val="20"/>
                <w:szCs w:val="20"/>
              </w:rPr>
            </w:pPr>
          </w:p>
        </w:tc>
        <w:tc>
          <w:tcPr>
            <w:tcW w:w="50" w:type="pct"/>
            <w:shd w:val="clear" w:color="auto" w:fill="auto"/>
            <w:vAlign w:val="center"/>
          </w:tcPr>
          <w:p w14:paraId="54E9045E" w14:textId="77777777" w:rsidR="00F427A3" w:rsidRDefault="00F427A3">
            <w:pPr>
              <w:rPr>
                <w:rFonts w:ascii="Times New Roman" w:hAnsi="Times New Roman"/>
                <w:sz w:val="20"/>
                <w:szCs w:val="20"/>
              </w:rPr>
            </w:pPr>
          </w:p>
        </w:tc>
        <w:tc>
          <w:tcPr>
            <w:tcW w:w="50" w:type="pct"/>
            <w:shd w:val="clear" w:color="auto" w:fill="auto"/>
            <w:vAlign w:val="center"/>
          </w:tcPr>
          <w:p w14:paraId="54E9045F" w14:textId="77777777" w:rsidR="00F427A3" w:rsidRDefault="00F427A3">
            <w:pPr>
              <w:rPr>
                <w:rFonts w:ascii="Times New Roman" w:hAnsi="Times New Roman"/>
                <w:sz w:val="20"/>
                <w:szCs w:val="20"/>
              </w:rPr>
            </w:pPr>
          </w:p>
        </w:tc>
        <w:tc>
          <w:tcPr>
            <w:tcW w:w="650" w:type="pct"/>
            <w:shd w:val="clear" w:color="auto" w:fill="auto"/>
            <w:vAlign w:val="center"/>
          </w:tcPr>
          <w:p w14:paraId="54E90460" w14:textId="77777777" w:rsidR="00F427A3" w:rsidRDefault="00F427A3">
            <w:pPr>
              <w:rPr>
                <w:rFonts w:ascii="Times New Roman" w:hAnsi="Times New Roman"/>
                <w:sz w:val="20"/>
                <w:szCs w:val="20"/>
              </w:rPr>
            </w:pPr>
          </w:p>
        </w:tc>
        <w:tc>
          <w:tcPr>
            <w:tcW w:w="50" w:type="pct"/>
            <w:shd w:val="clear" w:color="auto" w:fill="auto"/>
            <w:vAlign w:val="center"/>
          </w:tcPr>
          <w:p w14:paraId="54E90461" w14:textId="77777777" w:rsidR="00F427A3" w:rsidRDefault="00F427A3">
            <w:pPr>
              <w:rPr>
                <w:rFonts w:ascii="Times New Roman" w:hAnsi="Times New Roman"/>
                <w:sz w:val="20"/>
                <w:szCs w:val="20"/>
              </w:rPr>
            </w:pPr>
          </w:p>
        </w:tc>
      </w:tr>
      <w:tr w:rsidR="00F427A3" w14:paraId="54E90467" w14:textId="77777777">
        <w:tc>
          <w:tcPr>
            <w:tcW w:w="0" w:type="auto"/>
            <w:shd w:val="clear" w:color="auto" w:fill="auto"/>
            <w:tcMar>
              <w:top w:w="40" w:type="dxa"/>
              <w:left w:w="40" w:type="dxa"/>
              <w:bottom w:w="40" w:type="dxa"/>
              <w:right w:w="40" w:type="dxa"/>
            </w:tcMar>
            <w:vAlign w:val="bottom"/>
          </w:tcPr>
          <w:p w14:paraId="54E90463"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0464"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Three Months Ended September 30,</w:t>
            </w:r>
          </w:p>
        </w:tc>
        <w:tc>
          <w:tcPr>
            <w:tcW w:w="0" w:type="auto"/>
            <w:shd w:val="clear" w:color="auto" w:fill="auto"/>
            <w:tcMar>
              <w:top w:w="40" w:type="dxa"/>
              <w:left w:w="40" w:type="dxa"/>
              <w:bottom w:w="40" w:type="dxa"/>
              <w:right w:w="40" w:type="dxa"/>
            </w:tcMar>
            <w:vAlign w:val="bottom"/>
          </w:tcPr>
          <w:p w14:paraId="54E9046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0466"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Nine Months Ended September 30,</w:t>
            </w:r>
          </w:p>
        </w:tc>
      </w:tr>
      <w:tr w:rsidR="00F427A3" w14:paraId="54E90470" w14:textId="77777777">
        <w:tc>
          <w:tcPr>
            <w:tcW w:w="0" w:type="auto"/>
            <w:shd w:val="clear" w:color="auto" w:fill="auto"/>
            <w:tcMar>
              <w:top w:w="40" w:type="dxa"/>
              <w:left w:w="40" w:type="dxa"/>
              <w:bottom w:w="40" w:type="dxa"/>
              <w:right w:w="40" w:type="dxa"/>
            </w:tcMar>
            <w:vAlign w:val="bottom"/>
          </w:tcPr>
          <w:p w14:paraId="54E90468"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0469"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4E9046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046B"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9046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046D"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4E9046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046F"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F427A3" w14:paraId="54E90481" w14:textId="77777777">
        <w:tc>
          <w:tcPr>
            <w:tcW w:w="0" w:type="auto"/>
            <w:shd w:val="clear" w:color="auto" w:fill="CCEEFF"/>
            <w:tcMar>
              <w:top w:w="40" w:type="dxa"/>
              <w:left w:w="40" w:type="dxa"/>
              <w:bottom w:w="40" w:type="dxa"/>
              <w:right w:w="40" w:type="dxa"/>
            </w:tcMar>
            <w:vAlign w:val="bottom"/>
          </w:tcPr>
          <w:p w14:paraId="54E9047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Advertising</w:t>
            </w:r>
          </w:p>
        </w:tc>
        <w:tc>
          <w:tcPr>
            <w:tcW w:w="0" w:type="auto"/>
            <w:tcBorders>
              <w:top w:val="single" w:sz="8" w:space="0" w:color="000000"/>
            </w:tcBorders>
            <w:shd w:val="clear" w:color="auto" w:fill="CCEEFF"/>
            <w:tcMar>
              <w:top w:w="40" w:type="dxa"/>
              <w:left w:w="40" w:type="dxa"/>
              <w:bottom w:w="40" w:type="dxa"/>
            </w:tcMar>
            <w:vAlign w:val="bottom"/>
          </w:tcPr>
          <w:p w14:paraId="54E9047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4E9047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21,221</w:t>
            </w:r>
          </w:p>
        </w:tc>
        <w:tc>
          <w:tcPr>
            <w:tcW w:w="0" w:type="auto"/>
            <w:tcBorders>
              <w:top w:val="single" w:sz="8" w:space="0" w:color="000000"/>
            </w:tcBorders>
            <w:shd w:val="clear" w:color="auto" w:fill="CCEEFF"/>
            <w:vAlign w:val="bottom"/>
          </w:tcPr>
          <w:p w14:paraId="54E90474"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47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9047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4E9047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17,383</w:t>
            </w:r>
          </w:p>
        </w:tc>
        <w:tc>
          <w:tcPr>
            <w:tcW w:w="0" w:type="auto"/>
            <w:tcBorders>
              <w:top w:val="single" w:sz="8" w:space="0" w:color="000000"/>
            </w:tcBorders>
            <w:shd w:val="clear" w:color="auto" w:fill="CCEEFF"/>
            <w:vAlign w:val="bottom"/>
          </w:tcPr>
          <w:p w14:paraId="54E90478"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47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9047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4E9047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56,981</w:t>
            </w:r>
          </w:p>
        </w:tc>
        <w:tc>
          <w:tcPr>
            <w:tcW w:w="0" w:type="auto"/>
            <w:tcBorders>
              <w:top w:val="single" w:sz="8" w:space="0" w:color="000000"/>
            </w:tcBorders>
            <w:shd w:val="clear" w:color="auto" w:fill="CCEEFF"/>
            <w:vAlign w:val="bottom"/>
          </w:tcPr>
          <w:p w14:paraId="54E9047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47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9047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4E9047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48,919</w:t>
            </w:r>
          </w:p>
        </w:tc>
        <w:tc>
          <w:tcPr>
            <w:tcW w:w="0" w:type="auto"/>
            <w:tcBorders>
              <w:top w:val="single" w:sz="8" w:space="0" w:color="000000"/>
            </w:tcBorders>
            <w:shd w:val="clear" w:color="auto" w:fill="CCEEFF"/>
            <w:vAlign w:val="bottom"/>
          </w:tcPr>
          <w:p w14:paraId="54E90480" w14:textId="77777777" w:rsidR="00F427A3" w:rsidRDefault="00F427A3">
            <w:pPr>
              <w:textAlignment w:val="bottom"/>
              <w:rPr>
                <w:rFonts w:ascii="Times New Roman" w:hAnsi="Times New Roman"/>
                <w:sz w:val="20"/>
                <w:szCs w:val="20"/>
              </w:rPr>
            </w:pPr>
          </w:p>
        </w:tc>
      </w:tr>
      <w:tr w:rsidR="00F427A3" w14:paraId="54E9048E" w14:textId="77777777">
        <w:tc>
          <w:tcPr>
            <w:tcW w:w="0" w:type="auto"/>
            <w:shd w:val="clear" w:color="auto" w:fill="auto"/>
            <w:tcMar>
              <w:top w:w="40" w:type="dxa"/>
              <w:left w:w="40" w:type="dxa"/>
              <w:bottom w:w="40" w:type="dxa"/>
              <w:right w:w="40" w:type="dxa"/>
            </w:tcMar>
            <w:vAlign w:val="bottom"/>
          </w:tcPr>
          <w:p w14:paraId="54E9048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Other revenue</w:t>
            </w:r>
          </w:p>
        </w:tc>
        <w:tc>
          <w:tcPr>
            <w:tcW w:w="0" w:type="auto"/>
            <w:gridSpan w:val="2"/>
            <w:tcBorders>
              <w:bottom w:val="single" w:sz="8" w:space="0" w:color="000000"/>
            </w:tcBorders>
            <w:shd w:val="clear" w:color="auto" w:fill="auto"/>
            <w:tcMar>
              <w:top w:w="40" w:type="dxa"/>
              <w:left w:w="40" w:type="dxa"/>
              <w:bottom w:w="40" w:type="dxa"/>
            </w:tcMar>
            <w:vAlign w:val="bottom"/>
          </w:tcPr>
          <w:p w14:paraId="54E9048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249</w:t>
            </w:r>
          </w:p>
        </w:tc>
        <w:tc>
          <w:tcPr>
            <w:tcW w:w="0" w:type="auto"/>
            <w:tcBorders>
              <w:bottom w:val="single" w:sz="8" w:space="0" w:color="000000"/>
            </w:tcBorders>
            <w:shd w:val="clear" w:color="auto" w:fill="auto"/>
            <w:vAlign w:val="bottom"/>
          </w:tcPr>
          <w:p w14:paraId="54E90484"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48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048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269</w:t>
            </w:r>
          </w:p>
        </w:tc>
        <w:tc>
          <w:tcPr>
            <w:tcW w:w="0" w:type="auto"/>
            <w:tcBorders>
              <w:bottom w:val="single" w:sz="8" w:space="0" w:color="000000"/>
            </w:tcBorders>
            <w:shd w:val="clear" w:color="auto" w:fill="auto"/>
            <w:vAlign w:val="bottom"/>
          </w:tcPr>
          <w:p w14:paraId="54E90487"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48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048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912</w:t>
            </w:r>
          </w:p>
        </w:tc>
        <w:tc>
          <w:tcPr>
            <w:tcW w:w="0" w:type="auto"/>
            <w:tcBorders>
              <w:bottom w:val="single" w:sz="8" w:space="0" w:color="000000"/>
            </w:tcBorders>
            <w:shd w:val="clear" w:color="auto" w:fill="auto"/>
            <w:vAlign w:val="bottom"/>
          </w:tcPr>
          <w:p w14:paraId="54E9048A"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48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048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696</w:t>
            </w:r>
          </w:p>
        </w:tc>
        <w:tc>
          <w:tcPr>
            <w:tcW w:w="0" w:type="auto"/>
            <w:tcBorders>
              <w:bottom w:val="single" w:sz="8" w:space="0" w:color="000000"/>
            </w:tcBorders>
            <w:shd w:val="clear" w:color="auto" w:fill="auto"/>
            <w:vAlign w:val="bottom"/>
          </w:tcPr>
          <w:p w14:paraId="54E9048D" w14:textId="77777777" w:rsidR="00F427A3" w:rsidRDefault="00F427A3">
            <w:pPr>
              <w:textAlignment w:val="bottom"/>
              <w:rPr>
                <w:rFonts w:ascii="Times New Roman" w:hAnsi="Times New Roman"/>
                <w:sz w:val="20"/>
                <w:szCs w:val="20"/>
              </w:rPr>
            </w:pPr>
          </w:p>
        </w:tc>
      </w:tr>
      <w:tr w:rsidR="00F427A3" w14:paraId="54E9049F" w14:textId="77777777">
        <w:tc>
          <w:tcPr>
            <w:tcW w:w="0" w:type="auto"/>
            <w:shd w:val="clear" w:color="auto" w:fill="CCEEFF"/>
            <w:tcMar>
              <w:top w:w="40" w:type="dxa"/>
              <w:left w:w="400" w:type="dxa"/>
              <w:bottom w:w="40" w:type="dxa"/>
              <w:right w:w="40" w:type="dxa"/>
            </w:tcMar>
          </w:tcPr>
          <w:p w14:paraId="54E9048F"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Total revenue</w:t>
            </w:r>
          </w:p>
        </w:tc>
        <w:tc>
          <w:tcPr>
            <w:tcW w:w="0" w:type="auto"/>
            <w:tcBorders>
              <w:bottom w:val="double" w:sz="6" w:space="0" w:color="000000"/>
            </w:tcBorders>
            <w:shd w:val="clear" w:color="auto" w:fill="CCEEFF"/>
            <w:tcMar>
              <w:top w:w="40" w:type="dxa"/>
              <w:left w:w="40" w:type="dxa"/>
              <w:bottom w:w="40" w:type="dxa"/>
            </w:tcMar>
            <w:vAlign w:val="bottom"/>
          </w:tcPr>
          <w:p w14:paraId="54E9049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9049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21,470</w:t>
            </w:r>
          </w:p>
        </w:tc>
        <w:tc>
          <w:tcPr>
            <w:tcW w:w="0" w:type="auto"/>
            <w:tcBorders>
              <w:bottom w:val="double" w:sz="6" w:space="0" w:color="000000"/>
            </w:tcBorders>
            <w:shd w:val="clear" w:color="auto" w:fill="CCEEFF"/>
            <w:vAlign w:val="bottom"/>
          </w:tcPr>
          <w:p w14:paraId="54E90492"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49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4E9049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9049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17,652</w:t>
            </w:r>
          </w:p>
        </w:tc>
        <w:tc>
          <w:tcPr>
            <w:tcW w:w="0" w:type="auto"/>
            <w:tcBorders>
              <w:bottom w:val="double" w:sz="6" w:space="0" w:color="000000"/>
            </w:tcBorders>
            <w:shd w:val="clear" w:color="auto" w:fill="CCEEFF"/>
            <w:vAlign w:val="bottom"/>
          </w:tcPr>
          <w:p w14:paraId="54E9049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49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4E9049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9049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57,893</w:t>
            </w:r>
          </w:p>
        </w:tc>
        <w:tc>
          <w:tcPr>
            <w:tcW w:w="0" w:type="auto"/>
            <w:tcBorders>
              <w:bottom w:val="double" w:sz="6" w:space="0" w:color="000000"/>
            </w:tcBorders>
            <w:shd w:val="clear" w:color="auto" w:fill="CCEEFF"/>
            <w:vAlign w:val="bottom"/>
          </w:tcPr>
          <w:p w14:paraId="54E9049A"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49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4E9049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9049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49,615</w:t>
            </w:r>
          </w:p>
        </w:tc>
        <w:tc>
          <w:tcPr>
            <w:tcW w:w="0" w:type="auto"/>
            <w:tcBorders>
              <w:bottom w:val="double" w:sz="6" w:space="0" w:color="000000"/>
            </w:tcBorders>
            <w:shd w:val="clear" w:color="auto" w:fill="CCEEFF"/>
            <w:vAlign w:val="bottom"/>
          </w:tcPr>
          <w:p w14:paraId="54E9049E" w14:textId="77777777" w:rsidR="00F427A3" w:rsidRDefault="00F427A3">
            <w:pPr>
              <w:textAlignment w:val="bottom"/>
              <w:rPr>
                <w:rFonts w:ascii="Times New Roman" w:hAnsi="Times New Roman"/>
                <w:sz w:val="20"/>
                <w:szCs w:val="20"/>
              </w:rPr>
            </w:pPr>
          </w:p>
        </w:tc>
      </w:tr>
    </w:tbl>
    <w:p w14:paraId="54E904A0" w14:textId="77777777" w:rsidR="00F427A3" w:rsidRDefault="00F427A3">
      <w:pPr>
        <w:spacing w:line="288" w:lineRule="auto"/>
        <w:ind w:firstLine="720"/>
        <w:jc w:val="both"/>
        <w:rPr>
          <w:rFonts w:ascii="Times New Roman" w:hAnsi="Times New Roman"/>
          <w:sz w:val="20"/>
          <w:szCs w:val="20"/>
        </w:rPr>
      </w:pPr>
    </w:p>
    <w:p w14:paraId="54E904A1"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Revenue</w:t>
      </w:r>
      <w:r>
        <w:rPr>
          <w:rFonts w:ascii="Times New Roman" w:eastAsia="宋体" w:hAnsi="Times New Roman"/>
          <w:sz w:val="20"/>
          <w:szCs w:val="20"/>
        </w:rPr>
        <w:t xml:space="preserve"> disaggregated by geography, based on the addresses of our customers, consists of the following (in millions):</w:t>
      </w:r>
    </w:p>
    <w:tbl>
      <w:tblPr>
        <w:tblW w:w="5000" w:type="pct"/>
        <w:tblCellMar>
          <w:left w:w="0" w:type="dxa"/>
          <w:right w:w="0" w:type="dxa"/>
        </w:tblCellMar>
        <w:tblLook w:val="04A0" w:firstRow="1" w:lastRow="0" w:firstColumn="1" w:lastColumn="0" w:noHBand="0" w:noVBand="1"/>
      </w:tblPr>
      <w:tblGrid>
        <w:gridCol w:w="3198"/>
        <w:gridCol w:w="140"/>
        <w:gridCol w:w="956"/>
        <w:gridCol w:w="42"/>
        <w:gridCol w:w="130"/>
        <w:gridCol w:w="140"/>
        <w:gridCol w:w="1039"/>
        <w:gridCol w:w="42"/>
        <w:gridCol w:w="130"/>
        <w:gridCol w:w="140"/>
        <w:gridCol w:w="956"/>
        <w:gridCol w:w="42"/>
        <w:gridCol w:w="130"/>
        <w:gridCol w:w="140"/>
        <w:gridCol w:w="1039"/>
        <w:gridCol w:w="42"/>
      </w:tblGrid>
      <w:tr w:rsidR="00F427A3" w14:paraId="54E904A3" w14:textId="77777777">
        <w:tc>
          <w:tcPr>
            <w:tcW w:w="0" w:type="auto"/>
            <w:gridSpan w:val="16"/>
            <w:shd w:val="clear" w:color="auto" w:fill="auto"/>
            <w:vAlign w:val="center"/>
          </w:tcPr>
          <w:p w14:paraId="54E904A2" w14:textId="77777777" w:rsidR="00F427A3" w:rsidRDefault="00F427A3">
            <w:pPr>
              <w:rPr>
                <w:rFonts w:ascii="Times New Roman" w:hAnsi="Times New Roman"/>
                <w:sz w:val="20"/>
                <w:szCs w:val="20"/>
              </w:rPr>
            </w:pPr>
          </w:p>
        </w:tc>
      </w:tr>
      <w:tr w:rsidR="00F427A3" w14:paraId="54E904B4" w14:textId="77777777">
        <w:tc>
          <w:tcPr>
            <w:tcW w:w="1950" w:type="pct"/>
            <w:shd w:val="clear" w:color="auto" w:fill="auto"/>
            <w:vAlign w:val="center"/>
          </w:tcPr>
          <w:p w14:paraId="54E904A4" w14:textId="77777777" w:rsidR="00F427A3" w:rsidRDefault="00F427A3">
            <w:pPr>
              <w:rPr>
                <w:rFonts w:ascii="Times New Roman" w:hAnsi="Times New Roman"/>
                <w:sz w:val="20"/>
                <w:szCs w:val="20"/>
              </w:rPr>
            </w:pPr>
          </w:p>
        </w:tc>
        <w:tc>
          <w:tcPr>
            <w:tcW w:w="50" w:type="pct"/>
            <w:shd w:val="clear" w:color="auto" w:fill="auto"/>
            <w:vAlign w:val="center"/>
          </w:tcPr>
          <w:p w14:paraId="54E904A5" w14:textId="77777777" w:rsidR="00F427A3" w:rsidRDefault="00F427A3">
            <w:pPr>
              <w:rPr>
                <w:rFonts w:ascii="Times New Roman" w:hAnsi="Times New Roman"/>
                <w:sz w:val="20"/>
                <w:szCs w:val="20"/>
              </w:rPr>
            </w:pPr>
          </w:p>
        </w:tc>
        <w:tc>
          <w:tcPr>
            <w:tcW w:w="600" w:type="pct"/>
            <w:shd w:val="clear" w:color="auto" w:fill="auto"/>
            <w:vAlign w:val="center"/>
          </w:tcPr>
          <w:p w14:paraId="54E904A6" w14:textId="77777777" w:rsidR="00F427A3" w:rsidRDefault="00F427A3">
            <w:pPr>
              <w:rPr>
                <w:rFonts w:ascii="Times New Roman" w:hAnsi="Times New Roman"/>
                <w:sz w:val="20"/>
                <w:szCs w:val="20"/>
              </w:rPr>
            </w:pPr>
          </w:p>
        </w:tc>
        <w:tc>
          <w:tcPr>
            <w:tcW w:w="50" w:type="pct"/>
            <w:shd w:val="clear" w:color="auto" w:fill="auto"/>
            <w:vAlign w:val="center"/>
          </w:tcPr>
          <w:p w14:paraId="54E904A7" w14:textId="77777777" w:rsidR="00F427A3" w:rsidRDefault="00F427A3">
            <w:pPr>
              <w:rPr>
                <w:rFonts w:ascii="Times New Roman" w:hAnsi="Times New Roman"/>
                <w:sz w:val="20"/>
                <w:szCs w:val="20"/>
              </w:rPr>
            </w:pPr>
          </w:p>
        </w:tc>
        <w:tc>
          <w:tcPr>
            <w:tcW w:w="50" w:type="pct"/>
            <w:shd w:val="clear" w:color="auto" w:fill="auto"/>
            <w:vAlign w:val="center"/>
          </w:tcPr>
          <w:p w14:paraId="54E904A8" w14:textId="77777777" w:rsidR="00F427A3" w:rsidRDefault="00F427A3">
            <w:pPr>
              <w:rPr>
                <w:rFonts w:ascii="Times New Roman" w:hAnsi="Times New Roman"/>
                <w:sz w:val="20"/>
                <w:szCs w:val="20"/>
              </w:rPr>
            </w:pPr>
          </w:p>
        </w:tc>
        <w:tc>
          <w:tcPr>
            <w:tcW w:w="50" w:type="pct"/>
            <w:shd w:val="clear" w:color="auto" w:fill="auto"/>
            <w:vAlign w:val="center"/>
          </w:tcPr>
          <w:p w14:paraId="54E904A9" w14:textId="77777777" w:rsidR="00F427A3" w:rsidRDefault="00F427A3">
            <w:pPr>
              <w:rPr>
                <w:rFonts w:ascii="Times New Roman" w:hAnsi="Times New Roman"/>
                <w:sz w:val="20"/>
                <w:szCs w:val="20"/>
              </w:rPr>
            </w:pPr>
          </w:p>
        </w:tc>
        <w:tc>
          <w:tcPr>
            <w:tcW w:w="650" w:type="pct"/>
            <w:shd w:val="clear" w:color="auto" w:fill="auto"/>
            <w:vAlign w:val="center"/>
          </w:tcPr>
          <w:p w14:paraId="54E904AA" w14:textId="77777777" w:rsidR="00F427A3" w:rsidRDefault="00F427A3">
            <w:pPr>
              <w:rPr>
                <w:rFonts w:ascii="Times New Roman" w:hAnsi="Times New Roman"/>
                <w:sz w:val="20"/>
                <w:szCs w:val="20"/>
              </w:rPr>
            </w:pPr>
          </w:p>
        </w:tc>
        <w:tc>
          <w:tcPr>
            <w:tcW w:w="50" w:type="pct"/>
            <w:shd w:val="clear" w:color="auto" w:fill="auto"/>
            <w:vAlign w:val="center"/>
          </w:tcPr>
          <w:p w14:paraId="54E904AB" w14:textId="77777777" w:rsidR="00F427A3" w:rsidRDefault="00F427A3">
            <w:pPr>
              <w:rPr>
                <w:rFonts w:ascii="Times New Roman" w:hAnsi="Times New Roman"/>
                <w:sz w:val="20"/>
                <w:szCs w:val="20"/>
              </w:rPr>
            </w:pPr>
          </w:p>
        </w:tc>
        <w:tc>
          <w:tcPr>
            <w:tcW w:w="50" w:type="pct"/>
            <w:shd w:val="clear" w:color="auto" w:fill="auto"/>
            <w:vAlign w:val="center"/>
          </w:tcPr>
          <w:p w14:paraId="54E904AC" w14:textId="77777777" w:rsidR="00F427A3" w:rsidRDefault="00F427A3">
            <w:pPr>
              <w:rPr>
                <w:rFonts w:ascii="Times New Roman" w:hAnsi="Times New Roman"/>
                <w:sz w:val="20"/>
                <w:szCs w:val="20"/>
              </w:rPr>
            </w:pPr>
          </w:p>
        </w:tc>
        <w:tc>
          <w:tcPr>
            <w:tcW w:w="50" w:type="pct"/>
            <w:shd w:val="clear" w:color="auto" w:fill="auto"/>
            <w:vAlign w:val="center"/>
          </w:tcPr>
          <w:p w14:paraId="54E904AD" w14:textId="77777777" w:rsidR="00F427A3" w:rsidRDefault="00F427A3">
            <w:pPr>
              <w:rPr>
                <w:rFonts w:ascii="Times New Roman" w:hAnsi="Times New Roman"/>
                <w:sz w:val="20"/>
                <w:szCs w:val="20"/>
              </w:rPr>
            </w:pPr>
          </w:p>
        </w:tc>
        <w:tc>
          <w:tcPr>
            <w:tcW w:w="600" w:type="pct"/>
            <w:shd w:val="clear" w:color="auto" w:fill="auto"/>
            <w:vAlign w:val="center"/>
          </w:tcPr>
          <w:p w14:paraId="54E904AE" w14:textId="77777777" w:rsidR="00F427A3" w:rsidRDefault="00F427A3">
            <w:pPr>
              <w:rPr>
                <w:rFonts w:ascii="Times New Roman" w:hAnsi="Times New Roman"/>
                <w:sz w:val="20"/>
                <w:szCs w:val="20"/>
              </w:rPr>
            </w:pPr>
          </w:p>
        </w:tc>
        <w:tc>
          <w:tcPr>
            <w:tcW w:w="50" w:type="pct"/>
            <w:shd w:val="clear" w:color="auto" w:fill="auto"/>
            <w:vAlign w:val="center"/>
          </w:tcPr>
          <w:p w14:paraId="54E904AF" w14:textId="77777777" w:rsidR="00F427A3" w:rsidRDefault="00F427A3">
            <w:pPr>
              <w:rPr>
                <w:rFonts w:ascii="Times New Roman" w:hAnsi="Times New Roman"/>
                <w:sz w:val="20"/>
                <w:szCs w:val="20"/>
              </w:rPr>
            </w:pPr>
          </w:p>
        </w:tc>
        <w:tc>
          <w:tcPr>
            <w:tcW w:w="50" w:type="pct"/>
            <w:shd w:val="clear" w:color="auto" w:fill="auto"/>
            <w:vAlign w:val="center"/>
          </w:tcPr>
          <w:p w14:paraId="54E904B0" w14:textId="77777777" w:rsidR="00F427A3" w:rsidRDefault="00F427A3">
            <w:pPr>
              <w:rPr>
                <w:rFonts w:ascii="Times New Roman" w:hAnsi="Times New Roman"/>
                <w:sz w:val="20"/>
                <w:szCs w:val="20"/>
              </w:rPr>
            </w:pPr>
          </w:p>
        </w:tc>
        <w:tc>
          <w:tcPr>
            <w:tcW w:w="50" w:type="pct"/>
            <w:shd w:val="clear" w:color="auto" w:fill="auto"/>
            <w:vAlign w:val="center"/>
          </w:tcPr>
          <w:p w14:paraId="54E904B1" w14:textId="77777777" w:rsidR="00F427A3" w:rsidRDefault="00F427A3">
            <w:pPr>
              <w:rPr>
                <w:rFonts w:ascii="Times New Roman" w:hAnsi="Times New Roman"/>
                <w:sz w:val="20"/>
                <w:szCs w:val="20"/>
              </w:rPr>
            </w:pPr>
          </w:p>
        </w:tc>
        <w:tc>
          <w:tcPr>
            <w:tcW w:w="650" w:type="pct"/>
            <w:shd w:val="clear" w:color="auto" w:fill="auto"/>
            <w:vAlign w:val="center"/>
          </w:tcPr>
          <w:p w14:paraId="54E904B2" w14:textId="77777777" w:rsidR="00F427A3" w:rsidRDefault="00F427A3">
            <w:pPr>
              <w:rPr>
                <w:rFonts w:ascii="Times New Roman" w:hAnsi="Times New Roman"/>
                <w:sz w:val="20"/>
                <w:szCs w:val="20"/>
              </w:rPr>
            </w:pPr>
          </w:p>
        </w:tc>
        <w:tc>
          <w:tcPr>
            <w:tcW w:w="50" w:type="pct"/>
            <w:shd w:val="clear" w:color="auto" w:fill="auto"/>
            <w:vAlign w:val="center"/>
          </w:tcPr>
          <w:p w14:paraId="54E904B3" w14:textId="77777777" w:rsidR="00F427A3" w:rsidRDefault="00F427A3">
            <w:pPr>
              <w:rPr>
                <w:rFonts w:ascii="Times New Roman" w:hAnsi="Times New Roman"/>
                <w:sz w:val="20"/>
                <w:szCs w:val="20"/>
              </w:rPr>
            </w:pPr>
          </w:p>
        </w:tc>
      </w:tr>
      <w:tr w:rsidR="00F427A3" w14:paraId="54E904B9" w14:textId="77777777">
        <w:tc>
          <w:tcPr>
            <w:tcW w:w="0" w:type="auto"/>
            <w:shd w:val="clear" w:color="auto" w:fill="auto"/>
            <w:tcMar>
              <w:top w:w="40" w:type="dxa"/>
              <w:left w:w="40" w:type="dxa"/>
              <w:bottom w:w="40" w:type="dxa"/>
              <w:right w:w="40" w:type="dxa"/>
            </w:tcMar>
            <w:vAlign w:val="bottom"/>
          </w:tcPr>
          <w:p w14:paraId="54E904B5"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04B6"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Three Months Ended September 30,</w:t>
            </w:r>
          </w:p>
        </w:tc>
        <w:tc>
          <w:tcPr>
            <w:tcW w:w="0" w:type="auto"/>
            <w:shd w:val="clear" w:color="auto" w:fill="auto"/>
            <w:tcMar>
              <w:top w:w="40" w:type="dxa"/>
              <w:left w:w="40" w:type="dxa"/>
              <w:bottom w:w="40" w:type="dxa"/>
              <w:right w:w="40" w:type="dxa"/>
            </w:tcMar>
            <w:vAlign w:val="bottom"/>
          </w:tcPr>
          <w:p w14:paraId="54E904B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04B8"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Nine Months Ended September 30,</w:t>
            </w:r>
          </w:p>
        </w:tc>
      </w:tr>
      <w:tr w:rsidR="00F427A3" w14:paraId="54E904C2" w14:textId="77777777">
        <w:tc>
          <w:tcPr>
            <w:tcW w:w="0" w:type="auto"/>
            <w:shd w:val="clear" w:color="auto" w:fill="auto"/>
            <w:tcMar>
              <w:top w:w="40" w:type="dxa"/>
              <w:left w:w="40" w:type="dxa"/>
              <w:bottom w:w="40" w:type="dxa"/>
              <w:right w:w="40" w:type="dxa"/>
            </w:tcMar>
            <w:vAlign w:val="bottom"/>
          </w:tcPr>
          <w:p w14:paraId="54E904BA"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04BB"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54E904B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04BD"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904B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04BF"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54E904C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04C1"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F427A3" w14:paraId="54E904D3" w14:textId="77777777">
        <w:tc>
          <w:tcPr>
            <w:tcW w:w="0" w:type="auto"/>
            <w:shd w:val="clear" w:color="auto" w:fill="CCEEFF"/>
            <w:tcMar>
              <w:top w:w="40" w:type="dxa"/>
              <w:left w:w="40" w:type="dxa"/>
              <w:bottom w:w="40" w:type="dxa"/>
              <w:right w:w="40" w:type="dxa"/>
            </w:tcMar>
          </w:tcPr>
          <w:p w14:paraId="54E904C3"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xml:space="preserve">United States and </w:t>
            </w:r>
            <w:r>
              <w:rPr>
                <w:rFonts w:ascii="Times New Roman" w:eastAsia="宋体" w:hAnsi="Times New Roman"/>
                <w:sz w:val="20"/>
                <w:szCs w:val="20"/>
              </w:rPr>
              <w:t>Canada</w:t>
            </w:r>
            <w:r>
              <w:rPr>
                <w:rFonts w:ascii="Times New Roman" w:eastAsia="宋体" w:hAnsi="Times New Roman"/>
                <w:sz w:val="14"/>
                <w:szCs w:val="14"/>
              </w:rPr>
              <w:t>(1)</w:t>
            </w:r>
          </w:p>
        </w:tc>
        <w:tc>
          <w:tcPr>
            <w:tcW w:w="0" w:type="auto"/>
            <w:shd w:val="clear" w:color="auto" w:fill="CCEEFF"/>
            <w:tcMar>
              <w:top w:w="40" w:type="dxa"/>
              <w:left w:w="40" w:type="dxa"/>
              <w:bottom w:w="40" w:type="dxa"/>
            </w:tcMar>
            <w:vAlign w:val="bottom"/>
          </w:tcPr>
          <w:p w14:paraId="54E904C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4C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9,229</w:t>
            </w:r>
          </w:p>
        </w:tc>
        <w:tc>
          <w:tcPr>
            <w:tcW w:w="0" w:type="auto"/>
            <w:shd w:val="clear" w:color="auto" w:fill="CCEEFF"/>
            <w:vAlign w:val="bottom"/>
          </w:tcPr>
          <w:p w14:paraId="54E904C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4C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4C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4C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8,026</w:t>
            </w:r>
          </w:p>
        </w:tc>
        <w:tc>
          <w:tcPr>
            <w:tcW w:w="0" w:type="auto"/>
            <w:shd w:val="clear" w:color="auto" w:fill="CCEEFF"/>
            <w:vAlign w:val="bottom"/>
          </w:tcPr>
          <w:p w14:paraId="54E904CA"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4C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4C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4C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25,534</w:t>
            </w:r>
          </w:p>
        </w:tc>
        <w:tc>
          <w:tcPr>
            <w:tcW w:w="0" w:type="auto"/>
            <w:shd w:val="clear" w:color="auto" w:fill="CCEEFF"/>
            <w:vAlign w:val="bottom"/>
          </w:tcPr>
          <w:p w14:paraId="54E904C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4C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4D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4D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22,435</w:t>
            </w:r>
          </w:p>
        </w:tc>
        <w:tc>
          <w:tcPr>
            <w:tcW w:w="0" w:type="auto"/>
            <w:shd w:val="clear" w:color="auto" w:fill="CCEEFF"/>
            <w:vAlign w:val="bottom"/>
          </w:tcPr>
          <w:p w14:paraId="54E904D2" w14:textId="77777777" w:rsidR="00F427A3" w:rsidRDefault="00F427A3">
            <w:pPr>
              <w:textAlignment w:val="bottom"/>
              <w:rPr>
                <w:rFonts w:ascii="Times New Roman" w:hAnsi="Times New Roman"/>
                <w:sz w:val="20"/>
                <w:szCs w:val="20"/>
              </w:rPr>
            </w:pPr>
          </w:p>
        </w:tc>
      </w:tr>
      <w:tr w:rsidR="00F427A3" w14:paraId="54E904E0" w14:textId="77777777">
        <w:tc>
          <w:tcPr>
            <w:tcW w:w="0" w:type="auto"/>
            <w:shd w:val="clear" w:color="auto" w:fill="auto"/>
            <w:tcMar>
              <w:top w:w="40" w:type="dxa"/>
              <w:left w:w="40" w:type="dxa"/>
              <w:bottom w:w="40" w:type="dxa"/>
              <w:right w:w="40" w:type="dxa"/>
            </w:tcMar>
          </w:tcPr>
          <w:p w14:paraId="54E904D4"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Europe</w:t>
            </w:r>
            <w:r>
              <w:rPr>
                <w:rFonts w:ascii="Times New Roman" w:eastAsia="宋体" w:hAnsi="Times New Roman"/>
                <w:sz w:val="14"/>
                <w:szCs w:val="14"/>
              </w:rPr>
              <w:t>(2)</w:t>
            </w:r>
          </w:p>
        </w:tc>
        <w:tc>
          <w:tcPr>
            <w:tcW w:w="0" w:type="auto"/>
            <w:gridSpan w:val="2"/>
            <w:shd w:val="clear" w:color="auto" w:fill="auto"/>
            <w:tcMar>
              <w:top w:w="40" w:type="dxa"/>
              <w:left w:w="40" w:type="dxa"/>
              <w:bottom w:w="40" w:type="dxa"/>
            </w:tcMar>
            <w:vAlign w:val="bottom"/>
          </w:tcPr>
          <w:p w14:paraId="54E904D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5,055</w:t>
            </w:r>
          </w:p>
        </w:tc>
        <w:tc>
          <w:tcPr>
            <w:tcW w:w="0" w:type="auto"/>
            <w:shd w:val="clear" w:color="auto" w:fill="auto"/>
            <w:vAlign w:val="bottom"/>
          </w:tcPr>
          <w:p w14:paraId="54E904D6"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4D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4D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4,053</w:t>
            </w:r>
          </w:p>
        </w:tc>
        <w:tc>
          <w:tcPr>
            <w:tcW w:w="0" w:type="auto"/>
            <w:shd w:val="clear" w:color="auto" w:fill="auto"/>
            <w:vAlign w:val="bottom"/>
          </w:tcPr>
          <w:p w14:paraId="54E904D9"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4D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4D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13,453</w:t>
            </w:r>
          </w:p>
        </w:tc>
        <w:tc>
          <w:tcPr>
            <w:tcW w:w="0" w:type="auto"/>
            <w:shd w:val="clear" w:color="auto" w:fill="auto"/>
            <w:vAlign w:val="bottom"/>
          </w:tcPr>
          <w:p w14:paraId="54E904DC"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4D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4D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11,774</w:t>
            </w:r>
          </w:p>
        </w:tc>
        <w:tc>
          <w:tcPr>
            <w:tcW w:w="0" w:type="auto"/>
            <w:shd w:val="clear" w:color="auto" w:fill="auto"/>
            <w:vAlign w:val="bottom"/>
          </w:tcPr>
          <w:p w14:paraId="54E904DF" w14:textId="77777777" w:rsidR="00F427A3" w:rsidRDefault="00F427A3">
            <w:pPr>
              <w:textAlignment w:val="bottom"/>
              <w:rPr>
                <w:rFonts w:ascii="Times New Roman" w:hAnsi="Times New Roman"/>
                <w:sz w:val="20"/>
                <w:szCs w:val="20"/>
              </w:rPr>
            </w:pPr>
          </w:p>
        </w:tc>
      </w:tr>
      <w:tr w:rsidR="00F427A3" w14:paraId="54E904ED" w14:textId="77777777">
        <w:tc>
          <w:tcPr>
            <w:tcW w:w="0" w:type="auto"/>
            <w:shd w:val="clear" w:color="auto" w:fill="CCEEFF"/>
            <w:tcMar>
              <w:top w:w="40" w:type="dxa"/>
              <w:left w:w="40" w:type="dxa"/>
              <w:bottom w:w="40" w:type="dxa"/>
              <w:right w:w="40" w:type="dxa"/>
            </w:tcMar>
          </w:tcPr>
          <w:p w14:paraId="54E904E1"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Asia-Pacific</w:t>
            </w:r>
          </w:p>
        </w:tc>
        <w:tc>
          <w:tcPr>
            <w:tcW w:w="0" w:type="auto"/>
            <w:gridSpan w:val="2"/>
            <w:shd w:val="clear" w:color="auto" w:fill="CCEEFF"/>
            <w:tcMar>
              <w:top w:w="40" w:type="dxa"/>
              <w:left w:w="40" w:type="dxa"/>
              <w:bottom w:w="40" w:type="dxa"/>
            </w:tcMar>
            <w:vAlign w:val="bottom"/>
          </w:tcPr>
          <w:p w14:paraId="54E904E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5,311</w:t>
            </w:r>
          </w:p>
        </w:tc>
        <w:tc>
          <w:tcPr>
            <w:tcW w:w="0" w:type="auto"/>
            <w:shd w:val="clear" w:color="auto" w:fill="CCEEFF"/>
            <w:vAlign w:val="bottom"/>
          </w:tcPr>
          <w:p w14:paraId="54E904E3"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4E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4E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3,958</w:t>
            </w:r>
          </w:p>
        </w:tc>
        <w:tc>
          <w:tcPr>
            <w:tcW w:w="0" w:type="auto"/>
            <w:shd w:val="clear" w:color="auto" w:fill="CCEEFF"/>
            <w:vAlign w:val="bottom"/>
          </w:tcPr>
          <w:p w14:paraId="54E904E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4E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4E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13,893</w:t>
            </w:r>
          </w:p>
        </w:tc>
        <w:tc>
          <w:tcPr>
            <w:tcW w:w="0" w:type="auto"/>
            <w:shd w:val="clear" w:color="auto" w:fill="CCEEFF"/>
            <w:vAlign w:val="bottom"/>
          </w:tcPr>
          <w:p w14:paraId="54E904E9"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4E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4E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10,923</w:t>
            </w:r>
          </w:p>
        </w:tc>
        <w:tc>
          <w:tcPr>
            <w:tcW w:w="0" w:type="auto"/>
            <w:shd w:val="clear" w:color="auto" w:fill="CCEEFF"/>
            <w:vAlign w:val="bottom"/>
          </w:tcPr>
          <w:p w14:paraId="54E904EC" w14:textId="77777777" w:rsidR="00F427A3" w:rsidRDefault="00F427A3">
            <w:pPr>
              <w:textAlignment w:val="bottom"/>
              <w:rPr>
                <w:rFonts w:ascii="Times New Roman" w:hAnsi="Times New Roman"/>
                <w:sz w:val="20"/>
                <w:szCs w:val="20"/>
              </w:rPr>
            </w:pPr>
          </w:p>
        </w:tc>
      </w:tr>
      <w:tr w:rsidR="00F427A3" w14:paraId="54E904FA" w14:textId="77777777">
        <w:tc>
          <w:tcPr>
            <w:tcW w:w="0" w:type="auto"/>
            <w:shd w:val="clear" w:color="auto" w:fill="auto"/>
            <w:tcMar>
              <w:top w:w="40" w:type="dxa"/>
              <w:left w:w="40" w:type="dxa"/>
              <w:bottom w:w="40" w:type="dxa"/>
              <w:right w:w="40" w:type="dxa"/>
            </w:tcMar>
          </w:tcPr>
          <w:p w14:paraId="54E904EE"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Rest of World</w:t>
            </w:r>
            <w:r>
              <w:rPr>
                <w:rFonts w:ascii="Times New Roman" w:eastAsia="宋体" w:hAnsi="Times New Roman"/>
                <w:sz w:val="14"/>
                <w:szCs w:val="14"/>
              </w:rPr>
              <w:t>(2)</w:t>
            </w:r>
          </w:p>
        </w:tc>
        <w:tc>
          <w:tcPr>
            <w:tcW w:w="0" w:type="auto"/>
            <w:gridSpan w:val="2"/>
            <w:tcBorders>
              <w:bottom w:val="single" w:sz="8" w:space="0" w:color="000000"/>
            </w:tcBorders>
            <w:shd w:val="clear" w:color="auto" w:fill="auto"/>
            <w:tcMar>
              <w:top w:w="40" w:type="dxa"/>
              <w:left w:w="40" w:type="dxa"/>
              <w:bottom w:w="40" w:type="dxa"/>
            </w:tcMar>
            <w:vAlign w:val="bottom"/>
          </w:tcPr>
          <w:p w14:paraId="54E904E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1,875</w:t>
            </w:r>
          </w:p>
        </w:tc>
        <w:tc>
          <w:tcPr>
            <w:tcW w:w="0" w:type="auto"/>
            <w:tcBorders>
              <w:bottom w:val="single" w:sz="8" w:space="0" w:color="000000"/>
            </w:tcBorders>
            <w:shd w:val="clear" w:color="auto" w:fill="auto"/>
            <w:vAlign w:val="bottom"/>
          </w:tcPr>
          <w:p w14:paraId="54E904F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4F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04F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1,615</w:t>
            </w:r>
          </w:p>
        </w:tc>
        <w:tc>
          <w:tcPr>
            <w:tcW w:w="0" w:type="auto"/>
            <w:tcBorders>
              <w:bottom w:val="single" w:sz="8" w:space="0" w:color="000000"/>
            </w:tcBorders>
            <w:shd w:val="clear" w:color="auto" w:fill="auto"/>
            <w:vAlign w:val="bottom"/>
          </w:tcPr>
          <w:p w14:paraId="54E904F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4F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04F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5,013</w:t>
            </w:r>
          </w:p>
        </w:tc>
        <w:tc>
          <w:tcPr>
            <w:tcW w:w="0" w:type="auto"/>
            <w:tcBorders>
              <w:bottom w:val="single" w:sz="8" w:space="0" w:color="000000"/>
            </w:tcBorders>
            <w:shd w:val="clear" w:color="auto" w:fill="auto"/>
            <w:vAlign w:val="bottom"/>
          </w:tcPr>
          <w:p w14:paraId="54E904F6"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4F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04F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4,483</w:t>
            </w:r>
          </w:p>
        </w:tc>
        <w:tc>
          <w:tcPr>
            <w:tcW w:w="0" w:type="auto"/>
            <w:tcBorders>
              <w:bottom w:val="single" w:sz="8" w:space="0" w:color="000000"/>
            </w:tcBorders>
            <w:shd w:val="clear" w:color="auto" w:fill="auto"/>
            <w:vAlign w:val="bottom"/>
          </w:tcPr>
          <w:p w14:paraId="54E904F9" w14:textId="77777777" w:rsidR="00F427A3" w:rsidRDefault="00F427A3">
            <w:pPr>
              <w:textAlignment w:val="bottom"/>
              <w:rPr>
                <w:rFonts w:ascii="Times New Roman" w:hAnsi="Times New Roman"/>
                <w:sz w:val="20"/>
                <w:szCs w:val="20"/>
              </w:rPr>
            </w:pPr>
          </w:p>
        </w:tc>
      </w:tr>
      <w:tr w:rsidR="00F427A3" w14:paraId="54E9050B" w14:textId="77777777">
        <w:tc>
          <w:tcPr>
            <w:tcW w:w="0" w:type="auto"/>
            <w:shd w:val="clear" w:color="auto" w:fill="CCEEFF"/>
            <w:tcMar>
              <w:top w:w="40" w:type="dxa"/>
              <w:left w:w="400" w:type="dxa"/>
              <w:bottom w:w="40" w:type="dxa"/>
              <w:right w:w="40" w:type="dxa"/>
            </w:tcMar>
          </w:tcPr>
          <w:p w14:paraId="54E904FB"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Total revenue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04F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04F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21,470</w:t>
            </w:r>
          </w:p>
        </w:tc>
        <w:tc>
          <w:tcPr>
            <w:tcW w:w="0" w:type="auto"/>
            <w:tcBorders>
              <w:top w:val="single" w:sz="8" w:space="0" w:color="000000"/>
              <w:bottom w:val="double" w:sz="6" w:space="0" w:color="000000"/>
            </w:tcBorders>
            <w:shd w:val="clear" w:color="auto" w:fill="CCEEFF"/>
            <w:vAlign w:val="bottom"/>
          </w:tcPr>
          <w:p w14:paraId="54E904F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4F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050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050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17,652</w:t>
            </w:r>
          </w:p>
        </w:tc>
        <w:tc>
          <w:tcPr>
            <w:tcW w:w="0" w:type="auto"/>
            <w:tcBorders>
              <w:top w:val="single" w:sz="8" w:space="0" w:color="000000"/>
              <w:bottom w:val="double" w:sz="6" w:space="0" w:color="000000"/>
            </w:tcBorders>
            <w:shd w:val="clear" w:color="auto" w:fill="CCEEFF"/>
            <w:vAlign w:val="bottom"/>
          </w:tcPr>
          <w:p w14:paraId="54E90502"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50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4E9050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9050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57,893</w:t>
            </w:r>
          </w:p>
        </w:tc>
        <w:tc>
          <w:tcPr>
            <w:tcW w:w="0" w:type="auto"/>
            <w:tcBorders>
              <w:bottom w:val="double" w:sz="6" w:space="0" w:color="000000"/>
            </w:tcBorders>
            <w:shd w:val="clear" w:color="auto" w:fill="CCEEFF"/>
            <w:vAlign w:val="bottom"/>
          </w:tcPr>
          <w:p w14:paraId="54E9050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50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4E9050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9050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49,615</w:t>
            </w:r>
          </w:p>
        </w:tc>
        <w:tc>
          <w:tcPr>
            <w:tcW w:w="0" w:type="auto"/>
            <w:tcBorders>
              <w:bottom w:val="double" w:sz="6" w:space="0" w:color="000000"/>
            </w:tcBorders>
            <w:shd w:val="clear" w:color="auto" w:fill="CCEEFF"/>
            <w:vAlign w:val="bottom"/>
          </w:tcPr>
          <w:p w14:paraId="54E9050A" w14:textId="77777777" w:rsidR="00F427A3" w:rsidRDefault="00F427A3">
            <w:pPr>
              <w:textAlignment w:val="bottom"/>
              <w:rPr>
                <w:rFonts w:ascii="Times New Roman" w:hAnsi="Times New Roman"/>
                <w:sz w:val="20"/>
                <w:szCs w:val="20"/>
              </w:rPr>
            </w:pPr>
          </w:p>
        </w:tc>
      </w:tr>
    </w:tbl>
    <w:p w14:paraId="54E9050C" w14:textId="77777777" w:rsidR="00F427A3" w:rsidRDefault="0044221F">
      <w:pPr>
        <w:spacing w:line="288" w:lineRule="auto"/>
        <w:jc w:val="both"/>
        <w:rPr>
          <w:rFonts w:ascii="Times New Roman" w:hAnsi="Times New Roman"/>
          <w:sz w:val="12"/>
          <w:szCs w:val="12"/>
        </w:rPr>
      </w:pPr>
      <w:r>
        <w:rPr>
          <w:rFonts w:ascii="Times New Roman" w:eastAsia="宋体" w:hAnsi="Times New Roman"/>
          <w:sz w:val="12"/>
          <w:szCs w:val="12"/>
        </w:rPr>
        <w:t>____________________________________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427A3" w14:paraId="54E9050F" w14:textId="77777777">
        <w:trPr>
          <w:tblCellSpacing w:w="0" w:type="dxa"/>
        </w:trPr>
        <w:tc>
          <w:tcPr>
            <w:tcW w:w="480" w:type="dxa"/>
            <w:shd w:val="clear" w:color="auto" w:fill="auto"/>
            <w:vAlign w:val="center"/>
          </w:tcPr>
          <w:p w14:paraId="54E9050D" w14:textId="77777777" w:rsidR="00F427A3" w:rsidRDefault="00F427A3">
            <w:pPr>
              <w:rPr>
                <w:rFonts w:ascii="Times New Roman" w:hAnsi="Times New Roman"/>
                <w:sz w:val="20"/>
                <w:szCs w:val="20"/>
              </w:rPr>
            </w:pPr>
          </w:p>
        </w:tc>
        <w:tc>
          <w:tcPr>
            <w:tcW w:w="0" w:type="auto"/>
            <w:shd w:val="clear" w:color="auto" w:fill="auto"/>
            <w:vAlign w:val="center"/>
          </w:tcPr>
          <w:p w14:paraId="54E9050E" w14:textId="77777777" w:rsidR="00F427A3" w:rsidRDefault="00F427A3">
            <w:pPr>
              <w:rPr>
                <w:rFonts w:ascii="Times New Roman" w:hAnsi="Times New Roman"/>
                <w:sz w:val="20"/>
                <w:szCs w:val="20"/>
              </w:rPr>
            </w:pPr>
          </w:p>
        </w:tc>
      </w:tr>
      <w:tr w:rsidR="00F427A3" w14:paraId="54E90512" w14:textId="77777777">
        <w:trPr>
          <w:tblCellSpacing w:w="0" w:type="dxa"/>
        </w:trPr>
        <w:tc>
          <w:tcPr>
            <w:tcW w:w="0" w:type="auto"/>
            <w:shd w:val="clear" w:color="auto" w:fill="auto"/>
          </w:tcPr>
          <w:p w14:paraId="54E90510" w14:textId="77777777" w:rsidR="00F427A3" w:rsidRDefault="0044221F">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54E90511" w14:textId="77777777" w:rsidR="00F427A3" w:rsidRDefault="0044221F">
            <w:pPr>
              <w:spacing w:line="288" w:lineRule="auto"/>
              <w:jc w:val="both"/>
              <w:textAlignment w:val="top"/>
              <w:rPr>
                <w:rFonts w:ascii="Times New Roman" w:hAnsi="Times New Roman"/>
                <w:sz w:val="18"/>
                <w:szCs w:val="18"/>
              </w:rPr>
            </w:pPr>
            <w:r>
              <w:rPr>
                <w:rFonts w:ascii="Times New Roman" w:eastAsia="宋体" w:hAnsi="Times New Roman"/>
                <w:sz w:val="18"/>
                <w:szCs w:val="18"/>
              </w:rPr>
              <w:t xml:space="preserve">United States revenue was $8.71 billion and $7.54 billion for the three months ended September 30, 2020 and 2019, respectively, and $24.10 billion and $21.05 billion for the nine months ended September 30, 2020 and 2019, respectively. </w:t>
            </w:r>
          </w:p>
        </w:tc>
      </w:tr>
    </w:tbl>
    <w:p w14:paraId="54E90513" w14:textId="77777777" w:rsidR="00F427A3" w:rsidRDefault="00F427A3">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427A3" w14:paraId="54E90516" w14:textId="77777777">
        <w:trPr>
          <w:tblCellSpacing w:w="0" w:type="dxa"/>
        </w:trPr>
        <w:tc>
          <w:tcPr>
            <w:tcW w:w="480" w:type="dxa"/>
            <w:shd w:val="clear" w:color="auto" w:fill="auto"/>
            <w:vAlign w:val="center"/>
          </w:tcPr>
          <w:p w14:paraId="54E90514" w14:textId="77777777" w:rsidR="00F427A3" w:rsidRDefault="00F427A3">
            <w:pPr>
              <w:rPr>
                <w:rFonts w:ascii="Times New Roman" w:hAnsi="Times New Roman"/>
                <w:sz w:val="20"/>
                <w:szCs w:val="20"/>
              </w:rPr>
            </w:pPr>
          </w:p>
        </w:tc>
        <w:tc>
          <w:tcPr>
            <w:tcW w:w="0" w:type="auto"/>
            <w:shd w:val="clear" w:color="auto" w:fill="auto"/>
            <w:vAlign w:val="center"/>
          </w:tcPr>
          <w:p w14:paraId="54E90515" w14:textId="77777777" w:rsidR="00F427A3" w:rsidRDefault="00F427A3">
            <w:pPr>
              <w:rPr>
                <w:rFonts w:ascii="Times New Roman" w:hAnsi="Times New Roman"/>
                <w:sz w:val="20"/>
                <w:szCs w:val="20"/>
              </w:rPr>
            </w:pPr>
          </w:p>
        </w:tc>
      </w:tr>
      <w:tr w:rsidR="00F427A3" w14:paraId="54E90519" w14:textId="77777777">
        <w:trPr>
          <w:tblCellSpacing w:w="0" w:type="dxa"/>
        </w:trPr>
        <w:tc>
          <w:tcPr>
            <w:tcW w:w="0" w:type="auto"/>
            <w:shd w:val="clear" w:color="auto" w:fill="auto"/>
          </w:tcPr>
          <w:p w14:paraId="54E90517" w14:textId="77777777" w:rsidR="00F427A3" w:rsidRDefault="0044221F">
            <w:pPr>
              <w:spacing w:line="288" w:lineRule="auto"/>
              <w:textAlignment w:val="top"/>
              <w:rPr>
                <w:rFonts w:ascii="Times New Roman" w:hAnsi="Times New Roman"/>
                <w:sz w:val="18"/>
                <w:szCs w:val="18"/>
              </w:rPr>
            </w:pPr>
            <w:r>
              <w:rPr>
                <w:rFonts w:ascii="Times New Roman" w:eastAsia="宋体" w:hAnsi="Times New Roman"/>
                <w:sz w:val="18"/>
                <w:szCs w:val="18"/>
              </w:rPr>
              <w:t>(2)</w:t>
            </w:r>
          </w:p>
        </w:tc>
        <w:tc>
          <w:tcPr>
            <w:tcW w:w="0" w:type="auto"/>
            <w:shd w:val="clear" w:color="auto" w:fill="auto"/>
          </w:tcPr>
          <w:p w14:paraId="54E90518" w14:textId="77777777" w:rsidR="00F427A3" w:rsidRDefault="0044221F">
            <w:pPr>
              <w:spacing w:line="288" w:lineRule="auto"/>
              <w:jc w:val="both"/>
              <w:textAlignment w:val="top"/>
              <w:rPr>
                <w:rFonts w:ascii="Times New Roman" w:hAnsi="Times New Roman"/>
                <w:sz w:val="18"/>
                <w:szCs w:val="18"/>
              </w:rPr>
            </w:pPr>
            <w:r>
              <w:rPr>
                <w:rFonts w:ascii="Times New Roman" w:eastAsia="宋体" w:hAnsi="Times New Roman"/>
                <w:sz w:val="18"/>
                <w:szCs w:val="18"/>
              </w:rPr>
              <w:t>Europe incl</w:t>
            </w:r>
            <w:r>
              <w:rPr>
                <w:rFonts w:ascii="Times New Roman" w:eastAsia="宋体" w:hAnsi="Times New Roman"/>
                <w:sz w:val="18"/>
                <w:szCs w:val="18"/>
              </w:rPr>
              <w:t>udes Russia and Turkey, and Rest of World includes Africa, Latin America, and the Middle East.</w:t>
            </w:r>
          </w:p>
        </w:tc>
      </w:tr>
    </w:tbl>
    <w:p w14:paraId="54E9051A" w14:textId="77777777" w:rsidR="00F427A3" w:rsidRDefault="00F427A3">
      <w:pPr>
        <w:spacing w:line="288" w:lineRule="auto"/>
        <w:ind w:firstLine="720"/>
        <w:rPr>
          <w:rFonts w:ascii="Times New Roman" w:hAnsi="Times New Roman"/>
          <w:sz w:val="20"/>
          <w:szCs w:val="20"/>
        </w:rPr>
      </w:pPr>
    </w:p>
    <w:p w14:paraId="54E9051B" w14:textId="77777777" w:rsidR="00F427A3" w:rsidRDefault="0044221F">
      <w:pPr>
        <w:spacing w:line="288" w:lineRule="auto"/>
        <w:ind w:firstLine="720"/>
        <w:rPr>
          <w:rFonts w:ascii="Times New Roman" w:hAnsi="Times New Roman"/>
          <w:sz w:val="20"/>
          <w:szCs w:val="20"/>
        </w:rPr>
      </w:pPr>
      <w:r>
        <w:rPr>
          <w:rFonts w:ascii="Times New Roman" w:eastAsia="宋体" w:hAnsi="Times New Roman"/>
          <w:sz w:val="20"/>
          <w:szCs w:val="20"/>
        </w:rPr>
        <w:t>Deferred revenue and deposits consists of the following (in millions):</w:t>
      </w:r>
    </w:p>
    <w:tbl>
      <w:tblPr>
        <w:tblW w:w="5000" w:type="pct"/>
        <w:tblCellMar>
          <w:left w:w="0" w:type="dxa"/>
          <w:right w:w="0" w:type="dxa"/>
        </w:tblCellMar>
        <w:tblLook w:val="04A0" w:firstRow="1" w:lastRow="0" w:firstColumn="1" w:lastColumn="0" w:noHBand="0" w:noVBand="1"/>
      </w:tblPr>
      <w:tblGrid>
        <w:gridCol w:w="5692"/>
        <w:gridCol w:w="141"/>
        <w:gridCol w:w="1042"/>
        <w:gridCol w:w="70"/>
        <w:gridCol w:w="130"/>
        <w:gridCol w:w="141"/>
        <w:gridCol w:w="1023"/>
        <w:gridCol w:w="67"/>
      </w:tblGrid>
      <w:tr w:rsidR="00F427A3" w14:paraId="54E9051D" w14:textId="77777777">
        <w:tc>
          <w:tcPr>
            <w:tcW w:w="0" w:type="auto"/>
            <w:gridSpan w:val="8"/>
            <w:shd w:val="clear" w:color="auto" w:fill="auto"/>
            <w:vAlign w:val="center"/>
          </w:tcPr>
          <w:p w14:paraId="54E9051C" w14:textId="77777777" w:rsidR="00F427A3" w:rsidRDefault="00F427A3">
            <w:pPr>
              <w:rPr>
                <w:rFonts w:ascii="Times New Roman" w:hAnsi="Times New Roman"/>
                <w:sz w:val="20"/>
                <w:szCs w:val="20"/>
              </w:rPr>
            </w:pPr>
          </w:p>
        </w:tc>
      </w:tr>
      <w:tr w:rsidR="00F427A3" w14:paraId="54E90526" w14:textId="77777777">
        <w:tc>
          <w:tcPr>
            <w:tcW w:w="3449" w:type="pct"/>
            <w:shd w:val="clear" w:color="auto" w:fill="auto"/>
            <w:vAlign w:val="center"/>
          </w:tcPr>
          <w:p w14:paraId="54E9051E" w14:textId="77777777" w:rsidR="00F427A3" w:rsidRDefault="00F427A3">
            <w:pPr>
              <w:rPr>
                <w:rFonts w:ascii="Times New Roman" w:hAnsi="Times New Roman"/>
                <w:sz w:val="20"/>
                <w:szCs w:val="20"/>
              </w:rPr>
            </w:pPr>
          </w:p>
        </w:tc>
        <w:tc>
          <w:tcPr>
            <w:tcW w:w="50" w:type="pct"/>
            <w:shd w:val="clear" w:color="auto" w:fill="auto"/>
            <w:vAlign w:val="center"/>
          </w:tcPr>
          <w:p w14:paraId="54E9051F" w14:textId="77777777" w:rsidR="00F427A3" w:rsidRDefault="00F427A3">
            <w:pPr>
              <w:rPr>
                <w:rFonts w:ascii="Times New Roman" w:hAnsi="Times New Roman"/>
                <w:sz w:val="20"/>
                <w:szCs w:val="20"/>
              </w:rPr>
            </w:pPr>
          </w:p>
        </w:tc>
        <w:tc>
          <w:tcPr>
            <w:tcW w:w="650" w:type="pct"/>
            <w:shd w:val="clear" w:color="auto" w:fill="auto"/>
            <w:vAlign w:val="center"/>
          </w:tcPr>
          <w:p w14:paraId="54E90520" w14:textId="77777777" w:rsidR="00F427A3" w:rsidRDefault="00F427A3">
            <w:pPr>
              <w:rPr>
                <w:rFonts w:ascii="Times New Roman" w:hAnsi="Times New Roman"/>
                <w:sz w:val="20"/>
                <w:szCs w:val="20"/>
              </w:rPr>
            </w:pPr>
          </w:p>
        </w:tc>
        <w:tc>
          <w:tcPr>
            <w:tcW w:w="50" w:type="pct"/>
            <w:shd w:val="clear" w:color="auto" w:fill="auto"/>
            <w:vAlign w:val="center"/>
          </w:tcPr>
          <w:p w14:paraId="54E90521" w14:textId="77777777" w:rsidR="00F427A3" w:rsidRDefault="00F427A3">
            <w:pPr>
              <w:rPr>
                <w:rFonts w:ascii="Times New Roman" w:hAnsi="Times New Roman"/>
                <w:sz w:val="20"/>
                <w:szCs w:val="20"/>
              </w:rPr>
            </w:pPr>
          </w:p>
        </w:tc>
        <w:tc>
          <w:tcPr>
            <w:tcW w:w="50" w:type="pct"/>
            <w:shd w:val="clear" w:color="auto" w:fill="auto"/>
            <w:vAlign w:val="center"/>
          </w:tcPr>
          <w:p w14:paraId="54E90522" w14:textId="77777777" w:rsidR="00F427A3" w:rsidRDefault="00F427A3">
            <w:pPr>
              <w:rPr>
                <w:rFonts w:ascii="Times New Roman" w:hAnsi="Times New Roman"/>
                <w:sz w:val="20"/>
                <w:szCs w:val="20"/>
              </w:rPr>
            </w:pPr>
          </w:p>
        </w:tc>
        <w:tc>
          <w:tcPr>
            <w:tcW w:w="50" w:type="pct"/>
            <w:shd w:val="clear" w:color="auto" w:fill="auto"/>
            <w:vAlign w:val="center"/>
          </w:tcPr>
          <w:p w14:paraId="54E90523" w14:textId="77777777" w:rsidR="00F427A3" w:rsidRDefault="00F427A3">
            <w:pPr>
              <w:rPr>
                <w:rFonts w:ascii="Times New Roman" w:hAnsi="Times New Roman"/>
                <w:sz w:val="20"/>
                <w:szCs w:val="20"/>
              </w:rPr>
            </w:pPr>
          </w:p>
        </w:tc>
        <w:tc>
          <w:tcPr>
            <w:tcW w:w="650" w:type="pct"/>
            <w:shd w:val="clear" w:color="auto" w:fill="auto"/>
            <w:vAlign w:val="center"/>
          </w:tcPr>
          <w:p w14:paraId="54E90524" w14:textId="77777777" w:rsidR="00F427A3" w:rsidRDefault="00F427A3">
            <w:pPr>
              <w:rPr>
                <w:rFonts w:ascii="Times New Roman" w:hAnsi="Times New Roman"/>
                <w:sz w:val="20"/>
                <w:szCs w:val="20"/>
              </w:rPr>
            </w:pPr>
          </w:p>
        </w:tc>
        <w:tc>
          <w:tcPr>
            <w:tcW w:w="50" w:type="pct"/>
            <w:shd w:val="clear" w:color="auto" w:fill="auto"/>
            <w:vAlign w:val="center"/>
          </w:tcPr>
          <w:p w14:paraId="54E90525" w14:textId="77777777" w:rsidR="00F427A3" w:rsidRDefault="00F427A3">
            <w:pPr>
              <w:rPr>
                <w:rFonts w:ascii="Times New Roman" w:hAnsi="Times New Roman"/>
                <w:sz w:val="20"/>
                <w:szCs w:val="20"/>
              </w:rPr>
            </w:pPr>
          </w:p>
        </w:tc>
      </w:tr>
      <w:tr w:rsidR="00F427A3" w14:paraId="54E9052B" w14:textId="77777777">
        <w:tc>
          <w:tcPr>
            <w:tcW w:w="0" w:type="auto"/>
            <w:shd w:val="clear" w:color="auto" w:fill="auto"/>
            <w:tcMar>
              <w:top w:w="40" w:type="dxa"/>
              <w:left w:w="40" w:type="dxa"/>
              <w:bottom w:w="40" w:type="dxa"/>
              <w:right w:w="40" w:type="dxa"/>
            </w:tcMar>
            <w:vAlign w:val="bottom"/>
          </w:tcPr>
          <w:p w14:paraId="54E90527"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528"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September 30, 2020</w:t>
            </w:r>
          </w:p>
        </w:tc>
        <w:tc>
          <w:tcPr>
            <w:tcW w:w="0" w:type="auto"/>
            <w:shd w:val="clear" w:color="auto" w:fill="auto"/>
            <w:tcMar>
              <w:top w:w="40" w:type="dxa"/>
              <w:left w:w="40" w:type="dxa"/>
              <w:bottom w:w="40" w:type="dxa"/>
              <w:right w:w="40" w:type="dxa"/>
            </w:tcMar>
            <w:vAlign w:val="bottom"/>
          </w:tcPr>
          <w:p w14:paraId="54E9052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52A"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December 31, 2019</w:t>
            </w:r>
          </w:p>
        </w:tc>
      </w:tr>
      <w:tr w:rsidR="00F427A3" w14:paraId="54E90534" w14:textId="77777777">
        <w:tc>
          <w:tcPr>
            <w:tcW w:w="0" w:type="auto"/>
            <w:shd w:val="clear" w:color="auto" w:fill="CCEEFF"/>
            <w:tcMar>
              <w:top w:w="40" w:type="dxa"/>
              <w:left w:w="40" w:type="dxa"/>
              <w:bottom w:w="40" w:type="dxa"/>
              <w:right w:w="40" w:type="dxa"/>
            </w:tcMar>
          </w:tcPr>
          <w:p w14:paraId="54E9052C"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Deferred revenue</w:t>
            </w:r>
          </w:p>
        </w:tc>
        <w:tc>
          <w:tcPr>
            <w:tcW w:w="0" w:type="auto"/>
            <w:tcBorders>
              <w:top w:val="single" w:sz="8" w:space="0" w:color="000000"/>
            </w:tcBorders>
            <w:shd w:val="clear" w:color="auto" w:fill="CCEEFF"/>
            <w:tcMar>
              <w:top w:w="40" w:type="dxa"/>
              <w:left w:w="40" w:type="dxa"/>
              <w:bottom w:w="40" w:type="dxa"/>
            </w:tcMar>
            <w:vAlign w:val="bottom"/>
          </w:tcPr>
          <w:p w14:paraId="54E9052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4E9052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332</w:t>
            </w:r>
          </w:p>
        </w:tc>
        <w:tc>
          <w:tcPr>
            <w:tcW w:w="0" w:type="auto"/>
            <w:tcBorders>
              <w:top w:val="single" w:sz="8" w:space="0" w:color="000000"/>
            </w:tcBorders>
            <w:shd w:val="clear" w:color="auto" w:fill="CCEEFF"/>
            <w:vAlign w:val="bottom"/>
          </w:tcPr>
          <w:p w14:paraId="54E9052F"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53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9053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4E9053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234</w:t>
            </w:r>
          </w:p>
        </w:tc>
        <w:tc>
          <w:tcPr>
            <w:tcW w:w="0" w:type="auto"/>
            <w:tcBorders>
              <w:top w:val="single" w:sz="8" w:space="0" w:color="000000"/>
            </w:tcBorders>
            <w:shd w:val="clear" w:color="auto" w:fill="CCEEFF"/>
            <w:vAlign w:val="bottom"/>
          </w:tcPr>
          <w:p w14:paraId="54E90533" w14:textId="77777777" w:rsidR="00F427A3" w:rsidRDefault="00F427A3">
            <w:pPr>
              <w:textAlignment w:val="bottom"/>
              <w:rPr>
                <w:rFonts w:ascii="Times New Roman" w:hAnsi="Times New Roman"/>
                <w:sz w:val="20"/>
                <w:szCs w:val="20"/>
              </w:rPr>
            </w:pPr>
          </w:p>
        </w:tc>
      </w:tr>
      <w:tr w:rsidR="00F427A3" w14:paraId="54E9053B" w14:textId="77777777">
        <w:tc>
          <w:tcPr>
            <w:tcW w:w="0" w:type="auto"/>
            <w:shd w:val="clear" w:color="auto" w:fill="auto"/>
            <w:tcMar>
              <w:top w:w="40" w:type="dxa"/>
              <w:left w:w="40" w:type="dxa"/>
              <w:bottom w:w="40" w:type="dxa"/>
              <w:right w:w="40" w:type="dxa"/>
            </w:tcMar>
          </w:tcPr>
          <w:p w14:paraId="54E90535"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Deposits</w:t>
            </w:r>
          </w:p>
        </w:tc>
        <w:tc>
          <w:tcPr>
            <w:tcW w:w="0" w:type="auto"/>
            <w:gridSpan w:val="2"/>
            <w:shd w:val="clear" w:color="auto" w:fill="auto"/>
            <w:tcMar>
              <w:top w:w="40" w:type="dxa"/>
              <w:left w:w="40" w:type="dxa"/>
              <w:bottom w:w="40" w:type="dxa"/>
            </w:tcMar>
            <w:vAlign w:val="bottom"/>
          </w:tcPr>
          <w:p w14:paraId="54E9053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47</w:t>
            </w:r>
          </w:p>
        </w:tc>
        <w:tc>
          <w:tcPr>
            <w:tcW w:w="0" w:type="auto"/>
            <w:shd w:val="clear" w:color="auto" w:fill="auto"/>
            <w:vAlign w:val="bottom"/>
          </w:tcPr>
          <w:p w14:paraId="54E90537"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53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053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tcBorders>
              <w:bottom w:val="single" w:sz="8" w:space="0" w:color="000000"/>
            </w:tcBorders>
            <w:shd w:val="clear" w:color="auto" w:fill="auto"/>
            <w:vAlign w:val="bottom"/>
          </w:tcPr>
          <w:p w14:paraId="54E9053A" w14:textId="77777777" w:rsidR="00F427A3" w:rsidRDefault="00F427A3">
            <w:pPr>
              <w:textAlignment w:val="bottom"/>
              <w:rPr>
                <w:rFonts w:ascii="Times New Roman" w:hAnsi="Times New Roman"/>
                <w:sz w:val="20"/>
                <w:szCs w:val="20"/>
              </w:rPr>
            </w:pPr>
          </w:p>
        </w:tc>
      </w:tr>
      <w:tr w:rsidR="00F427A3" w14:paraId="54E90544" w14:textId="77777777">
        <w:tc>
          <w:tcPr>
            <w:tcW w:w="0" w:type="auto"/>
            <w:shd w:val="clear" w:color="auto" w:fill="CCEEFF"/>
            <w:tcMar>
              <w:top w:w="40" w:type="dxa"/>
              <w:left w:w="400" w:type="dxa"/>
              <w:bottom w:w="40" w:type="dxa"/>
              <w:right w:w="40" w:type="dxa"/>
            </w:tcMar>
          </w:tcPr>
          <w:p w14:paraId="54E9053C"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Total deferred revenue and deposits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053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053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379</w:t>
            </w:r>
          </w:p>
        </w:tc>
        <w:tc>
          <w:tcPr>
            <w:tcW w:w="0" w:type="auto"/>
            <w:tcBorders>
              <w:top w:val="single" w:sz="8" w:space="0" w:color="000000"/>
              <w:bottom w:val="double" w:sz="6" w:space="0" w:color="000000"/>
            </w:tcBorders>
            <w:shd w:val="clear" w:color="auto" w:fill="CCEEFF"/>
            <w:vAlign w:val="bottom"/>
          </w:tcPr>
          <w:p w14:paraId="54E9053F"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54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054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054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269</w:t>
            </w:r>
          </w:p>
        </w:tc>
        <w:tc>
          <w:tcPr>
            <w:tcW w:w="0" w:type="auto"/>
            <w:tcBorders>
              <w:top w:val="single" w:sz="8" w:space="0" w:color="000000"/>
              <w:bottom w:val="double" w:sz="6" w:space="0" w:color="000000"/>
            </w:tcBorders>
            <w:shd w:val="clear" w:color="auto" w:fill="CCEEFF"/>
            <w:vAlign w:val="bottom"/>
          </w:tcPr>
          <w:p w14:paraId="54E90543" w14:textId="77777777" w:rsidR="00F427A3" w:rsidRDefault="00F427A3">
            <w:pPr>
              <w:textAlignment w:val="bottom"/>
              <w:rPr>
                <w:rFonts w:ascii="Times New Roman" w:hAnsi="Times New Roman"/>
                <w:sz w:val="20"/>
                <w:szCs w:val="20"/>
              </w:rPr>
            </w:pPr>
          </w:p>
        </w:tc>
      </w:tr>
    </w:tbl>
    <w:p w14:paraId="54E90545" w14:textId="77777777" w:rsidR="00F427A3" w:rsidRDefault="00F427A3">
      <w:pPr>
        <w:spacing w:line="288" w:lineRule="auto"/>
        <w:rPr>
          <w:rFonts w:ascii="Times New Roman" w:hAnsi="Times New Roman"/>
          <w:sz w:val="20"/>
          <w:szCs w:val="20"/>
        </w:rPr>
      </w:pPr>
    </w:p>
    <w:p w14:paraId="54E90546" w14:textId="77777777" w:rsidR="00F427A3" w:rsidRDefault="00F427A3">
      <w:pPr>
        <w:rPr>
          <w:rFonts w:ascii="Times New Roman" w:hAnsi="Times New Roman"/>
          <w:sz w:val="20"/>
          <w:szCs w:val="20"/>
        </w:rPr>
      </w:pPr>
    </w:p>
    <w:p w14:paraId="54E90547"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16</w:t>
      </w:r>
    </w:p>
    <w:p w14:paraId="54E90548" w14:textId="77777777" w:rsidR="00F427A3" w:rsidRDefault="0044221F">
      <w:r>
        <w:rPr>
          <w:rFonts w:ascii="Times New Roman" w:hAnsi="Times New Roman"/>
          <w:sz w:val="20"/>
          <w:szCs w:val="20"/>
        </w:rPr>
        <w:pict w14:anchorId="54E91C30">
          <v:rect id="_x0000_i1040" style="width:415.3pt;height:1.5pt" o:hralign="center" o:hrstd="t" o:hr="t" fillcolor="#a0a0a0" stroked="f"/>
        </w:pict>
      </w:r>
    </w:p>
    <w:p w14:paraId="54E90549" w14:textId="77777777" w:rsidR="00F427A3" w:rsidRDefault="0044221F">
      <w:pPr>
        <w:spacing w:line="288" w:lineRule="auto"/>
        <w:rPr>
          <w:rFonts w:ascii="Times New Roman" w:hAnsi="Times New Roman"/>
          <w:sz w:val="20"/>
          <w:szCs w:val="20"/>
        </w:rPr>
      </w:pPr>
      <w:hyperlink r:id="rId57" w:anchor="s348EA962CF6D59B599D9921AFA89C381" w:history="1">
        <w:r>
          <w:rPr>
            <w:rStyle w:val="a5"/>
            <w:rFonts w:ascii="Times New Roman" w:eastAsia="宋体" w:hAnsi="Times New Roman"/>
            <w:sz w:val="20"/>
            <w:szCs w:val="20"/>
          </w:rPr>
          <w:t>Table of Contents</w:t>
        </w:r>
      </w:hyperlink>
    </w:p>
    <w:p w14:paraId="54E9054A" w14:textId="77777777" w:rsidR="00F427A3" w:rsidRDefault="00F427A3">
      <w:pPr>
        <w:rPr>
          <w:rFonts w:ascii="Times New Roman" w:hAnsi="Times New Roman"/>
          <w:sz w:val="20"/>
          <w:szCs w:val="20"/>
        </w:rPr>
      </w:pPr>
    </w:p>
    <w:p w14:paraId="54E9054B"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Note 3. Earnings per Share</w:t>
      </w:r>
    </w:p>
    <w:p w14:paraId="54E9054C"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compute earnings per share (EPS) of Class A and </w:t>
      </w:r>
      <w:r>
        <w:rPr>
          <w:rFonts w:ascii="Times New Roman" w:eastAsia="宋体" w:hAnsi="Times New Roman"/>
          <w:sz w:val="20"/>
          <w:szCs w:val="20"/>
        </w:rPr>
        <w:t>Class B common stock using the two-class method.</w:t>
      </w:r>
    </w:p>
    <w:p w14:paraId="54E9054D"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Basic EPS is computed by dividing net income by the weighted-average number of shares of our Class A and Class B common stock outstanding.</w:t>
      </w:r>
    </w:p>
    <w:p w14:paraId="54E9054E"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For the calculation of diluted EPS, net income for basic EPS is adju</w:t>
      </w:r>
      <w:r>
        <w:rPr>
          <w:rFonts w:ascii="Times New Roman" w:eastAsia="宋体" w:hAnsi="Times New Roman"/>
          <w:sz w:val="20"/>
          <w:szCs w:val="20"/>
        </w:rPr>
        <w:t>sted by the effect of dilutive securities under our equity compensation plans. In addition, the computation of the diluted EPS of Class A common stock assumes the conversion of our Class B common stock to Class A common stock, while the diluted EPS of Clas</w:t>
      </w:r>
      <w:r>
        <w:rPr>
          <w:rFonts w:ascii="Times New Roman" w:eastAsia="宋体" w:hAnsi="Times New Roman"/>
          <w:sz w:val="20"/>
          <w:szCs w:val="20"/>
        </w:rPr>
        <w:t>s B common stock does not assume the conversion of those shares to Class A common stock. Diluted EPS attributable to common stockholders is computed by dividing the resulting net income by the weighted-average number of fully diluted common shares outstand</w:t>
      </w:r>
      <w:r>
        <w:rPr>
          <w:rFonts w:ascii="Times New Roman" w:eastAsia="宋体" w:hAnsi="Times New Roman"/>
          <w:sz w:val="20"/>
          <w:szCs w:val="20"/>
        </w:rPr>
        <w:t>ing.</w:t>
      </w:r>
    </w:p>
    <w:p w14:paraId="54E9054F"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Restricted stock units (RSUs) with anti-dilutive effect were excluded from the EPS calculation and they were not material for the three and nine months ended September 30, 2020 and 2019.</w:t>
      </w:r>
    </w:p>
    <w:p w14:paraId="54E90550"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Basic and diluted EPS are the same for each class of common stoc</w:t>
      </w:r>
      <w:r>
        <w:rPr>
          <w:rFonts w:ascii="Times New Roman" w:eastAsia="宋体" w:hAnsi="Times New Roman"/>
          <w:sz w:val="20"/>
          <w:szCs w:val="20"/>
        </w:rPr>
        <w:t>k because they are entitled to the same liquidation and dividend rights.</w:t>
      </w:r>
    </w:p>
    <w:p w14:paraId="54E90551"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numerators and denominators of the basic and diluted EPS computations for our common stock are calculated as follows (in millions, except per share amounts): </w:t>
      </w:r>
    </w:p>
    <w:tbl>
      <w:tblPr>
        <w:tblW w:w="5000" w:type="pct"/>
        <w:tblCellMar>
          <w:left w:w="0" w:type="dxa"/>
          <w:right w:w="0" w:type="dxa"/>
        </w:tblCellMar>
        <w:tblLook w:val="04A0" w:firstRow="1" w:lastRow="0" w:firstColumn="1" w:lastColumn="0" w:noHBand="0" w:noVBand="1"/>
      </w:tblPr>
      <w:tblGrid>
        <w:gridCol w:w="2484"/>
        <w:gridCol w:w="135"/>
        <w:gridCol w:w="415"/>
        <w:gridCol w:w="6"/>
        <w:gridCol w:w="126"/>
        <w:gridCol w:w="136"/>
        <w:gridCol w:w="416"/>
        <w:gridCol w:w="102"/>
        <w:gridCol w:w="126"/>
        <w:gridCol w:w="136"/>
        <w:gridCol w:w="416"/>
        <w:gridCol w:w="6"/>
        <w:gridCol w:w="126"/>
        <w:gridCol w:w="136"/>
        <w:gridCol w:w="324"/>
        <w:gridCol w:w="102"/>
        <w:gridCol w:w="126"/>
        <w:gridCol w:w="136"/>
        <w:gridCol w:w="509"/>
        <w:gridCol w:w="6"/>
        <w:gridCol w:w="126"/>
        <w:gridCol w:w="136"/>
        <w:gridCol w:w="416"/>
        <w:gridCol w:w="102"/>
        <w:gridCol w:w="126"/>
        <w:gridCol w:w="136"/>
        <w:gridCol w:w="509"/>
        <w:gridCol w:w="6"/>
        <w:gridCol w:w="126"/>
        <w:gridCol w:w="136"/>
        <w:gridCol w:w="416"/>
        <w:gridCol w:w="102"/>
      </w:tblGrid>
      <w:tr w:rsidR="00F427A3" w14:paraId="54E90553" w14:textId="77777777">
        <w:tc>
          <w:tcPr>
            <w:tcW w:w="0" w:type="auto"/>
            <w:gridSpan w:val="32"/>
            <w:shd w:val="clear" w:color="auto" w:fill="auto"/>
            <w:vAlign w:val="center"/>
          </w:tcPr>
          <w:p w14:paraId="54E90552" w14:textId="77777777" w:rsidR="00F427A3" w:rsidRDefault="00F427A3">
            <w:pPr>
              <w:rPr>
                <w:rFonts w:ascii="Times New Roman" w:hAnsi="Times New Roman"/>
                <w:sz w:val="20"/>
                <w:szCs w:val="20"/>
              </w:rPr>
            </w:pPr>
          </w:p>
        </w:tc>
      </w:tr>
      <w:tr w:rsidR="00F427A3" w14:paraId="54E90574" w14:textId="77777777">
        <w:tc>
          <w:tcPr>
            <w:tcW w:w="1550" w:type="pct"/>
            <w:shd w:val="clear" w:color="auto" w:fill="auto"/>
            <w:vAlign w:val="center"/>
          </w:tcPr>
          <w:p w14:paraId="54E90554" w14:textId="77777777" w:rsidR="00F427A3" w:rsidRDefault="00F427A3">
            <w:pPr>
              <w:rPr>
                <w:rFonts w:ascii="Times New Roman" w:hAnsi="Times New Roman"/>
                <w:sz w:val="20"/>
                <w:szCs w:val="20"/>
              </w:rPr>
            </w:pPr>
          </w:p>
        </w:tc>
        <w:tc>
          <w:tcPr>
            <w:tcW w:w="50" w:type="pct"/>
            <w:shd w:val="clear" w:color="auto" w:fill="auto"/>
            <w:vAlign w:val="center"/>
          </w:tcPr>
          <w:p w14:paraId="54E90555" w14:textId="77777777" w:rsidR="00F427A3" w:rsidRDefault="00F427A3">
            <w:pPr>
              <w:rPr>
                <w:rFonts w:ascii="Times New Roman" w:hAnsi="Times New Roman"/>
                <w:sz w:val="20"/>
                <w:szCs w:val="20"/>
              </w:rPr>
            </w:pPr>
          </w:p>
        </w:tc>
        <w:tc>
          <w:tcPr>
            <w:tcW w:w="300" w:type="pct"/>
            <w:shd w:val="clear" w:color="auto" w:fill="auto"/>
            <w:vAlign w:val="center"/>
          </w:tcPr>
          <w:p w14:paraId="54E90556" w14:textId="77777777" w:rsidR="00F427A3" w:rsidRDefault="00F427A3">
            <w:pPr>
              <w:rPr>
                <w:rFonts w:ascii="Times New Roman" w:hAnsi="Times New Roman"/>
                <w:sz w:val="20"/>
                <w:szCs w:val="20"/>
              </w:rPr>
            </w:pPr>
          </w:p>
        </w:tc>
        <w:tc>
          <w:tcPr>
            <w:tcW w:w="50" w:type="pct"/>
            <w:shd w:val="clear" w:color="auto" w:fill="auto"/>
            <w:vAlign w:val="center"/>
          </w:tcPr>
          <w:p w14:paraId="54E90557" w14:textId="77777777" w:rsidR="00F427A3" w:rsidRDefault="00F427A3">
            <w:pPr>
              <w:rPr>
                <w:rFonts w:ascii="Times New Roman" w:hAnsi="Times New Roman"/>
                <w:sz w:val="20"/>
                <w:szCs w:val="20"/>
              </w:rPr>
            </w:pPr>
          </w:p>
        </w:tc>
        <w:tc>
          <w:tcPr>
            <w:tcW w:w="50" w:type="pct"/>
            <w:shd w:val="clear" w:color="auto" w:fill="auto"/>
            <w:vAlign w:val="center"/>
          </w:tcPr>
          <w:p w14:paraId="54E90558" w14:textId="77777777" w:rsidR="00F427A3" w:rsidRDefault="00F427A3">
            <w:pPr>
              <w:rPr>
                <w:rFonts w:ascii="Times New Roman" w:hAnsi="Times New Roman"/>
                <w:sz w:val="20"/>
                <w:szCs w:val="20"/>
              </w:rPr>
            </w:pPr>
          </w:p>
        </w:tc>
        <w:tc>
          <w:tcPr>
            <w:tcW w:w="50" w:type="pct"/>
            <w:shd w:val="clear" w:color="auto" w:fill="auto"/>
            <w:vAlign w:val="center"/>
          </w:tcPr>
          <w:p w14:paraId="54E90559" w14:textId="77777777" w:rsidR="00F427A3" w:rsidRDefault="00F427A3">
            <w:pPr>
              <w:rPr>
                <w:rFonts w:ascii="Times New Roman" w:hAnsi="Times New Roman"/>
                <w:sz w:val="20"/>
                <w:szCs w:val="20"/>
              </w:rPr>
            </w:pPr>
          </w:p>
        </w:tc>
        <w:tc>
          <w:tcPr>
            <w:tcW w:w="300" w:type="pct"/>
            <w:shd w:val="clear" w:color="auto" w:fill="auto"/>
            <w:vAlign w:val="center"/>
          </w:tcPr>
          <w:p w14:paraId="54E9055A" w14:textId="77777777" w:rsidR="00F427A3" w:rsidRDefault="00F427A3">
            <w:pPr>
              <w:rPr>
                <w:rFonts w:ascii="Times New Roman" w:hAnsi="Times New Roman"/>
                <w:sz w:val="20"/>
                <w:szCs w:val="20"/>
              </w:rPr>
            </w:pPr>
          </w:p>
        </w:tc>
        <w:tc>
          <w:tcPr>
            <w:tcW w:w="50" w:type="pct"/>
            <w:shd w:val="clear" w:color="auto" w:fill="auto"/>
            <w:vAlign w:val="center"/>
          </w:tcPr>
          <w:p w14:paraId="54E9055B" w14:textId="77777777" w:rsidR="00F427A3" w:rsidRDefault="00F427A3">
            <w:pPr>
              <w:rPr>
                <w:rFonts w:ascii="Times New Roman" w:hAnsi="Times New Roman"/>
                <w:sz w:val="20"/>
                <w:szCs w:val="20"/>
              </w:rPr>
            </w:pPr>
          </w:p>
        </w:tc>
        <w:tc>
          <w:tcPr>
            <w:tcW w:w="50" w:type="pct"/>
            <w:shd w:val="clear" w:color="auto" w:fill="auto"/>
            <w:vAlign w:val="center"/>
          </w:tcPr>
          <w:p w14:paraId="54E9055C" w14:textId="77777777" w:rsidR="00F427A3" w:rsidRDefault="00F427A3">
            <w:pPr>
              <w:rPr>
                <w:rFonts w:ascii="Times New Roman" w:hAnsi="Times New Roman"/>
                <w:sz w:val="20"/>
                <w:szCs w:val="20"/>
              </w:rPr>
            </w:pPr>
          </w:p>
        </w:tc>
        <w:tc>
          <w:tcPr>
            <w:tcW w:w="50" w:type="pct"/>
            <w:shd w:val="clear" w:color="auto" w:fill="auto"/>
            <w:vAlign w:val="center"/>
          </w:tcPr>
          <w:p w14:paraId="54E9055D" w14:textId="77777777" w:rsidR="00F427A3" w:rsidRDefault="00F427A3">
            <w:pPr>
              <w:rPr>
                <w:rFonts w:ascii="Times New Roman" w:hAnsi="Times New Roman"/>
                <w:sz w:val="20"/>
                <w:szCs w:val="20"/>
              </w:rPr>
            </w:pPr>
          </w:p>
        </w:tc>
        <w:tc>
          <w:tcPr>
            <w:tcW w:w="250" w:type="pct"/>
            <w:shd w:val="clear" w:color="auto" w:fill="auto"/>
            <w:vAlign w:val="center"/>
          </w:tcPr>
          <w:p w14:paraId="54E9055E" w14:textId="77777777" w:rsidR="00F427A3" w:rsidRDefault="00F427A3">
            <w:pPr>
              <w:rPr>
                <w:rFonts w:ascii="Times New Roman" w:hAnsi="Times New Roman"/>
                <w:sz w:val="20"/>
                <w:szCs w:val="20"/>
              </w:rPr>
            </w:pPr>
          </w:p>
        </w:tc>
        <w:tc>
          <w:tcPr>
            <w:tcW w:w="50" w:type="pct"/>
            <w:shd w:val="clear" w:color="auto" w:fill="auto"/>
            <w:vAlign w:val="center"/>
          </w:tcPr>
          <w:p w14:paraId="54E9055F" w14:textId="77777777" w:rsidR="00F427A3" w:rsidRDefault="00F427A3">
            <w:pPr>
              <w:rPr>
                <w:rFonts w:ascii="Times New Roman" w:hAnsi="Times New Roman"/>
                <w:sz w:val="20"/>
                <w:szCs w:val="20"/>
              </w:rPr>
            </w:pPr>
          </w:p>
        </w:tc>
        <w:tc>
          <w:tcPr>
            <w:tcW w:w="50" w:type="pct"/>
            <w:shd w:val="clear" w:color="auto" w:fill="auto"/>
            <w:vAlign w:val="center"/>
          </w:tcPr>
          <w:p w14:paraId="54E90560" w14:textId="77777777" w:rsidR="00F427A3" w:rsidRDefault="00F427A3">
            <w:pPr>
              <w:rPr>
                <w:rFonts w:ascii="Times New Roman" w:hAnsi="Times New Roman"/>
                <w:sz w:val="20"/>
                <w:szCs w:val="20"/>
              </w:rPr>
            </w:pPr>
          </w:p>
        </w:tc>
        <w:tc>
          <w:tcPr>
            <w:tcW w:w="50" w:type="pct"/>
            <w:shd w:val="clear" w:color="auto" w:fill="auto"/>
            <w:vAlign w:val="center"/>
          </w:tcPr>
          <w:p w14:paraId="54E90561" w14:textId="77777777" w:rsidR="00F427A3" w:rsidRDefault="00F427A3">
            <w:pPr>
              <w:rPr>
                <w:rFonts w:ascii="Times New Roman" w:hAnsi="Times New Roman"/>
                <w:sz w:val="20"/>
                <w:szCs w:val="20"/>
              </w:rPr>
            </w:pPr>
          </w:p>
        </w:tc>
        <w:tc>
          <w:tcPr>
            <w:tcW w:w="250" w:type="pct"/>
            <w:shd w:val="clear" w:color="auto" w:fill="auto"/>
            <w:vAlign w:val="center"/>
          </w:tcPr>
          <w:p w14:paraId="54E90562" w14:textId="77777777" w:rsidR="00F427A3" w:rsidRDefault="00F427A3">
            <w:pPr>
              <w:rPr>
                <w:rFonts w:ascii="Times New Roman" w:hAnsi="Times New Roman"/>
                <w:sz w:val="20"/>
                <w:szCs w:val="20"/>
              </w:rPr>
            </w:pPr>
          </w:p>
        </w:tc>
        <w:tc>
          <w:tcPr>
            <w:tcW w:w="50" w:type="pct"/>
            <w:shd w:val="clear" w:color="auto" w:fill="auto"/>
            <w:vAlign w:val="center"/>
          </w:tcPr>
          <w:p w14:paraId="54E90563" w14:textId="77777777" w:rsidR="00F427A3" w:rsidRDefault="00F427A3">
            <w:pPr>
              <w:rPr>
                <w:rFonts w:ascii="Times New Roman" w:hAnsi="Times New Roman"/>
                <w:sz w:val="20"/>
                <w:szCs w:val="20"/>
              </w:rPr>
            </w:pPr>
          </w:p>
        </w:tc>
        <w:tc>
          <w:tcPr>
            <w:tcW w:w="50" w:type="pct"/>
            <w:shd w:val="clear" w:color="auto" w:fill="auto"/>
            <w:vAlign w:val="center"/>
          </w:tcPr>
          <w:p w14:paraId="54E90564" w14:textId="77777777" w:rsidR="00F427A3" w:rsidRDefault="00F427A3">
            <w:pPr>
              <w:rPr>
                <w:rFonts w:ascii="Times New Roman" w:hAnsi="Times New Roman"/>
                <w:sz w:val="20"/>
                <w:szCs w:val="20"/>
              </w:rPr>
            </w:pPr>
          </w:p>
        </w:tc>
        <w:tc>
          <w:tcPr>
            <w:tcW w:w="50" w:type="pct"/>
            <w:shd w:val="clear" w:color="auto" w:fill="auto"/>
            <w:vAlign w:val="center"/>
          </w:tcPr>
          <w:p w14:paraId="54E90565" w14:textId="77777777" w:rsidR="00F427A3" w:rsidRDefault="00F427A3">
            <w:pPr>
              <w:rPr>
                <w:rFonts w:ascii="Times New Roman" w:hAnsi="Times New Roman"/>
                <w:sz w:val="20"/>
                <w:szCs w:val="20"/>
              </w:rPr>
            </w:pPr>
          </w:p>
        </w:tc>
        <w:tc>
          <w:tcPr>
            <w:tcW w:w="300" w:type="pct"/>
            <w:shd w:val="clear" w:color="auto" w:fill="auto"/>
            <w:vAlign w:val="center"/>
          </w:tcPr>
          <w:p w14:paraId="54E90566" w14:textId="77777777" w:rsidR="00F427A3" w:rsidRDefault="00F427A3">
            <w:pPr>
              <w:rPr>
                <w:rFonts w:ascii="Times New Roman" w:hAnsi="Times New Roman"/>
                <w:sz w:val="20"/>
                <w:szCs w:val="20"/>
              </w:rPr>
            </w:pPr>
          </w:p>
        </w:tc>
        <w:tc>
          <w:tcPr>
            <w:tcW w:w="50" w:type="pct"/>
            <w:shd w:val="clear" w:color="auto" w:fill="auto"/>
            <w:vAlign w:val="center"/>
          </w:tcPr>
          <w:p w14:paraId="54E90567" w14:textId="77777777" w:rsidR="00F427A3" w:rsidRDefault="00F427A3">
            <w:pPr>
              <w:rPr>
                <w:rFonts w:ascii="Times New Roman" w:hAnsi="Times New Roman"/>
                <w:sz w:val="20"/>
                <w:szCs w:val="20"/>
              </w:rPr>
            </w:pPr>
          </w:p>
        </w:tc>
        <w:tc>
          <w:tcPr>
            <w:tcW w:w="50" w:type="pct"/>
            <w:shd w:val="clear" w:color="auto" w:fill="auto"/>
            <w:vAlign w:val="center"/>
          </w:tcPr>
          <w:p w14:paraId="54E90568" w14:textId="77777777" w:rsidR="00F427A3" w:rsidRDefault="00F427A3">
            <w:pPr>
              <w:rPr>
                <w:rFonts w:ascii="Times New Roman" w:hAnsi="Times New Roman"/>
                <w:sz w:val="20"/>
                <w:szCs w:val="20"/>
              </w:rPr>
            </w:pPr>
          </w:p>
        </w:tc>
        <w:tc>
          <w:tcPr>
            <w:tcW w:w="50" w:type="pct"/>
            <w:shd w:val="clear" w:color="auto" w:fill="auto"/>
            <w:vAlign w:val="center"/>
          </w:tcPr>
          <w:p w14:paraId="54E90569" w14:textId="77777777" w:rsidR="00F427A3" w:rsidRDefault="00F427A3">
            <w:pPr>
              <w:rPr>
                <w:rFonts w:ascii="Times New Roman" w:hAnsi="Times New Roman"/>
                <w:sz w:val="20"/>
                <w:szCs w:val="20"/>
              </w:rPr>
            </w:pPr>
          </w:p>
        </w:tc>
        <w:tc>
          <w:tcPr>
            <w:tcW w:w="300" w:type="pct"/>
            <w:shd w:val="clear" w:color="auto" w:fill="auto"/>
            <w:vAlign w:val="center"/>
          </w:tcPr>
          <w:p w14:paraId="54E9056A" w14:textId="77777777" w:rsidR="00F427A3" w:rsidRDefault="00F427A3">
            <w:pPr>
              <w:rPr>
                <w:rFonts w:ascii="Times New Roman" w:hAnsi="Times New Roman"/>
                <w:sz w:val="20"/>
                <w:szCs w:val="20"/>
              </w:rPr>
            </w:pPr>
          </w:p>
        </w:tc>
        <w:tc>
          <w:tcPr>
            <w:tcW w:w="50" w:type="pct"/>
            <w:shd w:val="clear" w:color="auto" w:fill="auto"/>
            <w:vAlign w:val="center"/>
          </w:tcPr>
          <w:p w14:paraId="54E9056B" w14:textId="77777777" w:rsidR="00F427A3" w:rsidRDefault="00F427A3">
            <w:pPr>
              <w:rPr>
                <w:rFonts w:ascii="Times New Roman" w:hAnsi="Times New Roman"/>
                <w:sz w:val="20"/>
                <w:szCs w:val="20"/>
              </w:rPr>
            </w:pPr>
          </w:p>
        </w:tc>
        <w:tc>
          <w:tcPr>
            <w:tcW w:w="50" w:type="pct"/>
            <w:shd w:val="clear" w:color="auto" w:fill="auto"/>
            <w:vAlign w:val="center"/>
          </w:tcPr>
          <w:p w14:paraId="54E9056C" w14:textId="77777777" w:rsidR="00F427A3" w:rsidRDefault="00F427A3">
            <w:pPr>
              <w:rPr>
                <w:rFonts w:ascii="Times New Roman" w:hAnsi="Times New Roman"/>
                <w:sz w:val="20"/>
                <w:szCs w:val="20"/>
              </w:rPr>
            </w:pPr>
          </w:p>
        </w:tc>
        <w:tc>
          <w:tcPr>
            <w:tcW w:w="50" w:type="pct"/>
            <w:shd w:val="clear" w:color="auto" w:fill="auto"/>
            <w:vAlign w:val="center"/>
          </w:tcPr>
          <w:p w14:paraId="54E9056D" w14:textId="77777777" w:rsidR="00F427A3" w:rsidRDefault="00F427A3">
            <w:pPr>
              <w:rPr>
                <w:rFonts w:ascii="Times New Roman" w:hAnsi="Times New Roman"/>
                <w:sz w:val="20"/>
                <w:szCs w:val="20"/>
              </w:rPr>
            </w:pPr>
          </w:p>
        </w:tc>
        <w:tc>
          <w:tcPr>
            <w:tcW w:w="300" w:type="pct"/>
            <w:shd w:val="clear" w:color="auto" w:fill="auto"/>
            <w:vAlign w:val="center"/>
          </w:tcPr>
          <w:p w14:paraId="54E9056E" w14:textId="77777777" w:rsidR="00F427A3" w:rsidRDefault="00F427A3">
            <w:pPr>
              <w:rPr>
                <w:rFonts w:ascii="Times New Roman" w:hAnsi="Times New Roman"/>
                <w:sz w:val="20"/>
                <w:szCs w:val="20"/>
              </w:rPr>
            </w:pPr>
          </w:p>
        </w:tc>
        <w:tc>
          <w:tcPr>
            <w:tcW w:w="50" w:type="pct"/>
            <w:shd w:val="clear" w:color="auto" w:fill="auto"/>
            <w:vAlign w:val="center"/>
          </w:tcPr>
          <w:p w14:paraId="54E9056F" w14:textId="77777777" w:rsidR="00F427A3" w:rsidRDefault="00F427A3">
            <w:pPr>
              <w:rPr>
                <w:rFonts w:ascii="Times New Roman" w:hAnsi="Times New Roman"/>
                <w:sz w:val="20"/>
                <w:szCs w:val="20"/>
              </w:rPr>
            </w:pPr>
          </w:p>
        </w:tc>
        <w:tc>
          <w:tcPr>
            <w:tcW w:w="50" w:type="pct"/>
            <w:shd w:val="clear" w:color="auto" w:fill="auto"/>
            <w:vAlign w:val="center"/>
          </w:tcPr>
          <w:p w14:paraId="54E90570" w14:textId="77777777" w:rsidR="00F427A3" w:rsidRDefault="00F427A3">
            <w:pPr>
              <w:rPr>
                <w:rFonts w:ascii="Times New Roman" w:hAnsi="Times New Roman"/>
                <w:sz w:val="20"/>
                <w:szCs w:val="20"/>
              </w:rPr>
            </w:pPr>
          </w:p>
        </w:tc>
        <w:tc>
          <w:tcPr>
            <w:tcW w:w="50" w:type="pct"/>
            <w:shd w:val="clear" w:color="auto" w:fill="auto"/>
            <w:vAlign w:val="center"/>
          </w:tcPr>
          <w:p w14:paraId="54E90571" w14:textId="77777777" w:rsidR="00F427A3" w:rsidRDefault="00F427A3">
            <w:pPr>
              <w:rPr>
                <w:rFonts w:ascii="Times New Roman" w:hAnsi="Times New Roman"/>
                <w:sz w:val="20"/>
                <w:szCs w:val="20"/>
              </w:rPr>
            </w:pPr>
          </w:p>
        </w:tc>
        <w:tc>
          <w:tcPr>
            <w:tcW w:w="300" w:type="pct"/>
            <w:shd w:val="clear" w:color="auto" w:fill="auto"/>
            <w:vAlign w:val="center"/>
          </w:tcPr>
          <w:p w14:paraId="54E90572" w14:textId="77777777" w:rsidR="00F427A3" w:rsidRDefault="00F427A3">
            <w:pPr>
              <w:rPr>
                <w:rFonts w:ascii="Times New Roman" w:hAnsi="Times New Roman"/>
                <w:sz w:val="20"/>
                <w:szCs w:val="20"/>
              </w:rPr>
            </w:pPr>
          </w:p>
        </w:tc>
        <w:tc>
          <w:tcPr>
            <w:tcW w:w="50" w:type="pct"/>
            <w:shd w:val="clear" w:color="auto" w:fill="auto"/>
            <w:vAlign w:val="center"/>
          </w:tcPr>
          <w:p w14:paraId="54E90573" w14:textId="77777777" w:rsidR="00F427A3" w:rsidRDefault="00F427A3">
            <w:pPr>
              <w:rPr>
                <w:rFonts w:ascii="Times New Roman" w:hAnsi="Times New Roman"/>
                <w:sz w:val="20"/>
                <w:szCs w:val="20"/>
              </w:rPr>
            </w:pPr>
          </w:p>
        </w:tc>
      </w:tr>
      <w:tr w:rsidR="00F427A3" w14:paraId="54E90579" w14:textId="77777777">
        <w:tc>
          <w:tcPr>
            <w:tcW w:w="0" w:type="auto"/>
            <w:shd w:val="clear" w:color="auto" w:fill="auto"/>
            <w:tcMar>
              <w:top w:w="40" w:type="dxa"/>
              <w:left w:w="40" w:type="dxa"/>
              <w:bottom w:w="40" w:type="dxa"/>
              <w:right w:w="40" w:type="dxa"/>
            </w:tcMar>
            <w:vAlign w:val="bottom"/>
          </w:tcPr>
          <w:p w14:paraId="54E90575"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4E90576"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Three Months Ended September 30,</w:t>
            </w:r>
          </w:p>
        </w:tc>
        <w:tc>
          <w:tcPr>
            <w:tcW w:w="0" w:type="auto"/>
            <w:shd w:val="clear" w:color="auto" w:fill="auto"/>
            <w:tcMar>
              <w:top w:w="40" w:type="dxa"/>
              <w:left w:w="40" w:type="dxa"/>
              <w:bottom w:w="40" w:type="dxa"/>
              <w:right w:w="40" w:type="dxa"/>
            </w:tcMar>
            <w:vAlign w:val="bottom"/>
          </w:tcPr>
          <w:p w14:paraId="54E9057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4E90578"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Nine Months Ended September 30,</w:t>
            </w:r>
          </w:p>
        </w:tc>
      </w:tr>
      <w:tr w:rsidR="00F427A3" w14:paraId="54E90582" w14:textId="77777777">
        <w:tc>
          <w:tcPr>
            <w:tcW w:w="0" w:type="auto"/>
            <w:shd w:val="clear" w:color="auto" w:fill="auto"/>
            <w:tcMar>
              <w:top w:w="40" w:type="dxa"/>
              <w:left w:w="40" w:type="dxa"/>
              <w:bottom w:w="40" w:type="dxa"/>
              <w:right w:w="40" w:type="dxa"/>
            </w:tcMar>
            <w:vAlign w:val="bottom"/>
          </w:tcPr>
          <w:p w14:paraId="54E9057A"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54E9057B"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54E9057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54E9057D"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9057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54E9057F"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54E9058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54E90581"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F427A3" w14:paraId="54E90593" w14:textId="77777777">
        <w:tc>
          <w:tcPr>
            <w:tcW w:w="0" w:type="auto"/>
            <w:shd w:val="clear" w:color="auto" w:fill="auto"/>
            <w:tcMar>
              <w:top w:w="40" w:type="dxa"/>
              <w:left w:w="40" w:type="dxa"/>
              <w:bottom w:w="40" w:type="dxa"/>
              <w:right w:w="40" w:type="dxa"/>
            </w:tcMar>
            <w:vAlign w:val="bottom"/>
          </w:tcPr>
          <w:p w14:paraId="54E90583"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584"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Class A</w:t>
            </w:r>
          </w:p>
        </w:tc>
        <w:tc>
          <w:tcPr>
            <w:tcW w:w="0" w:type="auto"/>
            <w:shd w:val="clear" w:color="auto" w:fill="auto"/>
            <w:tcMar>
              <w:top w:w="40" w:type="dxa"/>
              <w:left w:w="40" w:type="dxa"/>
              <w:bottom w:w="40" w:type="dxa"/>
              <w:right w:w="40" w:type="dxa"/>
            </w:tcMar>
            <w:vAlign w:val="bottom"/>
          </w:tcPr>
          <w:p w14:paraId="54E9058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586"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Class B</w:t>
            </w:r>
          </w:p>
        </w:tc>
        <w:tc>
          <w:tcPr>
            <w:tcW w:w="0" w:type="auto"/>
            <w:shd w:val="clear" w:color="auto" w:fill="auto"/>
            <w:tcMar>
              <w:top w:w="40" w:type="dxa"/>
              <w:left w:w="40" w:type="dxa"/>
              <w:bottom w:w="40" w:type="dxa"/>
              <w:right w:w="40" w:type="dxa"/>
            </w:tcMar>
            <w:vAlign w:val="bottom"/>
          </w:tcPr>
          <w:p w14:paraId="54E9058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588"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Class A</w:t>
            </w:r>
          </w:p>
        </w:tc>
        <w:tc>
          <w:tcPr>
            <w:tcW w:w="0" w:type="auto"/>
            <w:shd w:val="clear" w:color="auto" w:fill="auto"/>
            <w:tcMar>
              <w:top w:w="40" w:type="dxa"/>
              <w:left w:w="40" w:type="dxa"/>
              <w:bottom w:w="40" w:type="dxa"/>
              <w:right w:w="40" w:type="dxa"/>
            </w:tcMar>
            <w:vAlign w:val="bottom"/>
          </w:tcPr>
          <w:p w14:paraId="54E9058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58A"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Class B</w:t>
            </w:r>
          </w:p>
        </w:tc>
        <w:tc>
          <w:tcPr>
            <w:tcW w:w="0" w:type="auto"/>
            <w:shd w:val="clear" w:color="auto" w:fill="auto"/>
            <w:tcMar>
              <w:top w:w="40" w:type="dxa"/>
              <w:left w:w="40" w:type="dxa"/>
              <w:bottom w:w="40" w:type="dxa"/>
              <w:right w:w="40" w:type="dxa"/>
            </w:tcMar>
            <w:vAlign w:val="bottom"/>
          </w:tcPr>
          <w:p w14:paraId="54E9058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58C"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Class A</w:t>
            </w:r>
          </w:p>
        </w:tc>
        <w:tc>
          <w:tcPr>
            <w:tcW w:w="0" w:type="auto"/>
            <w:shd w:val="clear" w:color="auto" w:fill="auto"/>
            <w:tcMar>
              <w:top w:w="40" w:type="dxa"/>
              <w:left w:w="40" w:type="dxa"/>
              <w:bottom w:w="40" w:type="dxa"/>
              <w:right w:w="40" w:type="dxa"/>
            </w:tcMar>
            <w:vAlign w:val="bottom"/>
          </w:tcPr>
          <w:p w14:paraId="54E9058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58E"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Class B</w:t>
            </w:r>
          </w:p>
        </w:tc>
        <w:tc>
          <w:tcPr>
            <w:tcW w:w="0" w:type="auto"/>
            <w:shd w:val="clear" w:color="auto" w:fill="auto"/>
            <w:tcMar>
              <w:top w:w="40" w:type="dxa"/>
              <w:left w:w="40" w:type="dxa"/>
              <w:bottom w:w="40" w:type="dxa"/>
              <w:right w:w="40" w:type="dxa"/>
            </w:tcMar>
            <w:vAlign w:val="bottom"/>
          </w:tcPr>
          <w:p w14:paraId="54E9058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590"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Class A</w:t>
            </w:r>
          </w:p>
        </w:tc>
        <w:tc>
          <w:tcPr>
            <w:tcW w:w="0" w:type="auto"/>
            <w:shd w:val="clear" w:color="auto" w:fill="auto"/>
            <w:tcMar>
              <w:top w:w="40" w:type="dxa"/>
              <w:left w:w="40" w:type="dxa"/>
              <w:bottom w:w="40" w:type="dxa"/>
              <w:right w:w="40" w:type="dxa"/>
            </w:tcMar>
            <w:vAlign w:val="bottom"/>
          </w:tcPr>
          <w:p w14:paraId="54E9059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592"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Class B</w:t>
            </w:r>
          </w:p>
        </w:tc>
      </w:tr>
      <w:tr w:rsidR="00F427A3" w14:paraId="54E905A4" w14:textId="77777777">
        <w:tc>
          <w:tcPr>
            <w:tcW w:w="0" w:type="auto"/>
            <w:shd w:val="clear" w:color="auto" w:fill="CCEEFF"/>
            <w:tcMar>
              <w:top w:w="40" w:type="dxa"/>
              <w:left w:w="40" w:type="dxa"/>
              <w:bottom w:w="40" w:type="dxa"/>
              <w:right w:w="40" w:type="dxa"/>
            </w:tcMar>
          </w:tcPr>
          <w:p w14:paraId="54E90594" w14:textId="77777777" w:rsidR="00F427A3" w:rsidRDefault="0044221F">
            <w:pPr>
              <w:textAlignment w:val="top"/>
              <w:rPr>
                <w:rFonts w:ascii="Times New Roman" w:hAnsi="Times New Roman"/>
                <w:sz w:val="20"/>
                <w:szCs w:val="20"/>
              </w:rPr>
            </w:pPr>
            <w:r>
              <w:rPr>
                <w:rFonts w:ascii="Times New Roman" w:eastAsia="宋体" w:hAnsi="Times New Roman"/>
                <w:sz w:val="20"/>
                <w:szCs w:val="20"/>
                <w:u w:val="single"/>
              </w:rPr>
              <w:t>Basic EPS:</w:t>
            </w:r>
          </w:p>
        </w:tc>
        <w:tc>
          <w:tcPr>
            <w:tcW w:w="0" w:type="auto"/>
            <w:gridSpan w:val="3"/>
            <w:shd w:val="clear" w:color="auto" w:fill="CCEEFF"/>
            <w:tcMar>
              <w:top w:w="40" w:type="dxa"/>
              <w:left w:w="40" w:type="dxa"/>
              <w:bottom w:w="40" w:type="dxa"/>
              <w:right w:w="40" w:type="dxa"/>
            </w:tcMar>
            <w:vAlign w:val="bottom"/>
          </w:tcPr>
          <w:p w14:paraId="54E9059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59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59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59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59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59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59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59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59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59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59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5A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5A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5A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5A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5B5" w14:textId="77777777">
        <w:tc>
          <w:tcPr>
            <w:tcW w:w="0" w:type="auto"/>
            <w:shd w:val="clear" w:color="auto" w:fill="auto"/>
            <w:tcMar>
              <w:top w:w="40" w:type="dxa"/>
              <w:left w:w="560" w:type="dxa"/>
              <w:bottom w:w="40" w:type="dxa"/>
              <w:right w:w="40" w:type="dxa"/>
            </w:tcMar>
          </w:tcPr>
          <w:p w14:paraId="54E905A5"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Numerator</w:t>
            </w:r>
          </w:p>
        </w:tc>
        <w:tc>
          <w:tcPr>
            <w:tcW w:w="0" w:type="auto"/>
            <w:gridSpan w:val="3"/>
            <w:shd w:val="clear" w:color="auto" w:fill="auto"/>
            <w:tcMar>
              <w:top w:w="40" w:type="dxa"/>
              <w:left w:w="40" w:type="dxa"/>
              <w:bottom w:w="40" w:type="dxa"/>
              <w:right w:w="40" w:type="dxa"/>
            </w:tcMar>
            <w:vAlign w:val="bottom"/>
          </w:tcPr>
          <w:p w14:paraId="54E905A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5A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5A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5A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5A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5A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5A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5A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5A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5A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5B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5B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5B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5B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5B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44221F" w14:paraId="54E905D6" w14:textId="77777777">
        <w:tc>
          <w:tcPr>
            <w:tcW w:w="0" w:type="auto"/>
            <w:shd w:val="clear" w:color="auto" w:fill="CCEEFF"/>
            <w:tcMar>
              <w:top w:w="40" w:type="dxa"/>
              <w:left w:w="1040" w:type="dxa"/>
              <w:bottom w:w="40" w:type="dxa"/>
              <w:right w:w="40" w:type="dxa"/>
            </w:tcMar>
          </w:tcPr>
          <w:p w14:paraId="54E905B6"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Net income</w:t>
            </w:r>
          </w:p>
        </w:tc>
        <w:tc>
          <w:tcPr>
            <w:tcW w:w="0" w:type="auto"/>
            <w:shd w:val="clear" w:color="auto" w:fill="CCEEFF"/>
            <w:tcMar>
              <w:top w:w="40" w:type="dxa"/>
              <w:left w:w="40" w:type="dxa"/>
              <w:bottom w:w="40" w:type="dxa"/>
            </w:tcMar>
            <w:vAlign w:val="bottom"/>
          </w:tcPr>
          <w:p w14:paraId="54E905B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5B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6,623</w:t>
            </w:r>
          </w:p>
        </w:tc>
        <w:tc>
          <w:tcPr>
            <w:tcW w:w="0" w:type="auto"/>
            <w:shd w:val="clear" w:color="auto" w:fill="CCEEFF"/>
            <w:vAlign w:val="bottom"/>
          </w:tcPr>
          <w:p w14:paraId="54E905B9"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5B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5B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5B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1,223</w:t>
            </w:r>
          </w:p>
        </w:tc>
        <w:tc>
          <w:tcPr>
            <w:tcW w:w="0" w:type="auto"/>
            <w:shd w:val="clear" w:color="auto" w:fill="CCEEFF"/>
            <w:vAlign w:val="bottom"/>
          </w:tcPr>
          <w:p w14:paraId="54E905BD"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5B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5B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5C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5,138</w:t>
            </w:r>
          </w:p>
        </w:tc>
        <w:tc>
          <w:tcPr>
            <w:tcW w:w="0" w:type="auto"/>
            <w:shd w:val="clear" w:color="auto" w:fill="CCEEFF"/>
            <w:vAlign w:val="bottom"/>
          </w:tcPr>
          <w:p w14:paraId="54E905C1"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5C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5C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5C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953</w:t>
            </w:r>
          </w:p>
        </w:tc>
        <w:tc>
          <w:tcPr>
            <w:tcW w:w="0" w:type="auto"/>
            <w:shd w:val="clear" w:color="auto" w:fill="CCEEFF"/>
            <w:vAlign w:val="bottom"/>
          </w:tcPr>
          <w:p w14:paraId="54E905C5"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5C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5C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5C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15,133</w:t>
            </w:r>
          </w:p>
        </w:tc>
        <w:tc>
          <w:tcPr>
            <w:tcW w:w="0" w:type="auto"/>
            <w:shd w:val="clear" w:color="auto" w:fill="CCEEFF"/>
            <w:vAlign w:val="bottom"/>
          </w:tcPr>
          <w:p w14:paraId="54E905C9"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5C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5C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5C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2,794</w:t>
            </w:r>
          </w:p>
        </w:tc>
        <w:tc>
          <w:tcPr>
            <w:tcW w:w="0" w:type="auto"/>
            <w:shd w:val="clear" w:color="auto" w:fill="CCEEFF"/>
            <w:vAlign w:val="bottom"/>
          </w:tcPr>
          <w:p w14:paraId="54E905CD"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5C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5C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5D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9,372</w:t>
            </w:r>
          </w:p>
        </w:tc>
        <w:tc>
          <w:tcPr>
            <w:tcW w:w="0" w:type="auto"/>
            <w:shd w:val="clear" w:color="auto" w:fill="CCEEFF"/>
            <w:vAlign w:val="bottom"/>
          </w:tcPr>
          <w:p w14:paraId="54E905D1"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5D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5D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5D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1,764</w:t>
            </w:r>
          </w:p>
        </w:tc>
        <w:tc>
          <w:tcPr>
            <w:tcW w:w="0" w:type="auto"/>
            <w:shd w:val="clear" w:color="auto" w:fill="CCEEFF"/>
            <w:vAlign w:val="bottom"/>
          </w:tcPr>
          <w:p w14:paraId="54E905D5" w14:textId="77777777" w:rsidR="00F427A3" w:rsidRDefault="00F427A3">
            <w:pPr>
              <w:textAlignment w:val="bottom"/>
              <w:rPr>
                <w:rFonts w:ascii="Times New Roman" w:hAnsi="Times New Roman"/>
                <w:sz w:val="20"/>
                <w:szCs w:val="20"/>
              </w:rPr>
            </w:pPr>
          </w:p>
        </w:tc>
      </w:tr>
      <w:tr w:rsidR="00F427A3" w14:paraId="54E905E7" w14:textId="77777777">
        <w:tc>
          <w:tcPr>
            <w:tcW w:w="0" w:type="auto"/>
            <w:shd w:val="clear" w:color="auto" w:fill="auto"/>
            <w:tcMar>
              <w:top w:w="40" w:type="dxa"/>
              <w:left w:w="560" w:type="dxa"/>
              <w:bottom w:w="40" w:type="dxa"/>
              <w:right w:w="40" w:type="dxa"/>
            </w:tcMar>
          </w:tcPr>
          <w:p w14:paraId="54E905D7"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Denominator</w:t>
            </w:r>
          </w:p>
        </w:tc>
        <w:tc>
          <w:tcPr>
            <w:tcW w:w="0" w:type="auto"/>
            <w:gridSpan w:val="3"/>
            <w:shd w:val="clear" w:color="auto" w:fill="auto"/>
            <w:tcMar>
              <w:top w:w="40" w:type="dxa"/>
              <w:left w:w="40" w:type="dxa"/>
              <w:bottom w:w="40" w:type="dxa"/>
              <w:right w:w="40" w:type="dxa"/>
            </w:tcMar>
            <w:vAlign w:val="bottom"/>
          </w:tcPr>
          <w:p w14:paraId="54E905D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5D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5D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5D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5D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5D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5D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5D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5E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5E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5E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5E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5E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5E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5E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600" w14:textId="77777777">
        <w:tc>
          <w:tcPr>
            <w:tcW w:w="0" w:type="auto"/>
            <w:shd w:val="clear" w:color="auto" w:fill="CCEEFF"/>
            <w:tcMar>
              <w:top w:w="40" w:type="dxa"/>
              <w:left w:w="1040" w:type="dxa"/>
              <w:bottom w:w="40" w:type="dxa"/>
              <w:right w:w="40" w:type="dxa"/>
            </w:tcMar>
          </w:tcPr>
          <w:p w14:paraId="54E905E8"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Weighted-average shares outstanding</w:t>
            </w:r>
          </w:p>
        </w:tc>
        <w:tc>
          <w:tcPr>
            <w:tcW w:w="0" w:type="auto"/>
            <w:gridSpan w:val="2"/>
            <w:shd w:val="clear" w:color="auto" w:fill="CCEEFF"/>
            <w:tcMar>
              <w:top w:w="40" w:type="dxa"/>
              <w:left w:w="40" w:type="dxa"/>
              <w:bottom w:w="40" w:type="dxa"/>
            </w:tcMar>
            <w:vAlign w:val="bottom"/>
          </w:tcPr>
          <w:p w14:paraId="54E905E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2,406</w:t>
            </w:r>
          </w:p>
        </w:tc>
        <w:tc>
          <w:tcPr>
            <w:tcW w:w="0" w:type="auto"/>
            <w:shd w:val="clear" w:color="auto" w:fill="CCEEFF"/>
            <w:vAlign w:val="bottom"/>
          </w:tcPr>
          <w:p w14:paraId="54E905EA"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5E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5E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CCEEFF"/>
            <w:vAlign w:val="bottom"/>
          </w:tcPr>
          <w:p w14:paraId="54E905ED"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5E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5E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2,407</w:t>
            </w:r>
          </w:p>
        </w:tc>
        <w:tc>
          <w:tcPr>
            <w:tcW w:w="0" w:type="auto"/>
            <w:shd w:val="clear" w:color="auto" w:fill="CCEEFF"/>
            <w:vAlign w:val="bottom"/>
          </w:tcPr>
          <w:p w14:paraId="54E905F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5F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5F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447</w:t>
            </w:r>
          </w:p>
        </w:tc>
        <w:tc>
          <w:tcPr>
            <w:tcW w:w="0" w:type="auto"/>
            <w:shd w:val="clear" w:color="auto" w:fill="CCEEFF"/>
            <w:vAlign w:val="bottom"/>
          </w:tcPr>
          <w:p w14:paraId="54E905F3"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5F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5F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2,406</w:t>
            </w:r>
          </w:p>
        </w:tc>
        <w:tc>
          <w:tcPr>
            <w:tcW w:w="0" w:type="auto"/>
            <w:tcBorders>
              <w:bottom w:val="single" w:sz="8" w:space="0" w:color="000000"/>
            </w:tcBorders>
            <w:shd w:val="clear" w:color="auto" w:fill="CCEEFF"/>
            <w:vAlign w:val="bottom"/>
          </w:tcPr>
          <w:p w14:paraId="54E905F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5F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5F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tcBorders>
              <w:bottom w:val="single" w:sz="8" w:space="0" w:color="000000"/>
            </w:tcBorders>
            <w:shd w:val="clear" w:color="auto" w:fill="CCEEFF"/>
            <w:vAlign w:val="bottom"/>
          </w:tcPr>
          <w:p w14:paraId="54E905F9"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5F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5F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2,403</w:t>
            </w:r>
          </w:p>
        </w:tc>
        <w:tc>
          <w:tcPr>
            <w:tcW w:w="0" w:type="auto"/>
            <w:tcBorders>
              <w:bottom w:val="single" w:sz="8" w:space="0" w:color="000000"/>
            </w:tcBorders>
            <w:shd w:val="clear" w:color="auto" w:fill="CCEEFF"/>
            <w:vAlign w:val="bottom"/>
          </w:tcPr>
          <w:p w14:paraId="54E905F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5F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5F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452</w:t>
            </w:r>
          </w:p>
        </w:tc>
        <w:tc>
          <w:tcPr>
            <w:tcW w:w="0" w:type="auto"/>
            <w:tcBorders>
              <w:bottom w:val="single" w:sz="8" w:space="0" w:color="000000"/>
            </w:tcBorders>
            <w:shd w:val="clear" w:color="auto" w:fill="CCEEFF"/>
            <w:vAlign w:val="bottom"/>
          </w:tcPr>
          <w:p w14:paraId="54E905FF" w14:textId="77777777" w:rsidR="00F427A3" w:rsidRDefault="00F427A3">
            <w:pPr>
              <w:textAlignment w:val="bottom"/>
              <w:rPr>
                <w:rFonts w:ascii="Times New Roman" w:hAnsi="Times New Roman"/>
                <w:sz w:val="20"/>
                <w:szCs w:val="20"/>
              </w:rPr>
            </w:pPr>
          </w:p>
        </w:tc>
      </w:tr>
      <w:tr w:rsidR="00F427A3" w14:paraId="54E90621" w14:textId="77777777">
        <w:tc>
          <w:tcPr>
            <w:tcW w:w="0" w:type="auto"/>
            <w:shd w:val="clear" w:color="auto" w:fill="auto"/>
            <w:tcMar>
              <w:top w:w="40" w:type="dxa"/>
              <w:left w:w="560" w:type="dxa"/>
              <w:bottom w:w="40" w:type="dxa"/>
              <w:right w:w="40" w:type="dxa"/>
            </w:tcMar>
          </w:tcPr>
          <w:p w14:paraId="54E90601"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Basic EPS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60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60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2.75</w:t>
            </w:r>
          </w:p>
        </w:tc>
        <w:tc>
          <w:tcPr>
            <w:tcW w:w="0" w:type="auto"/>
            <w:tcBorders>
              <w:top w:val="single" w:sz="8" w:space="0" w:color="000000"/>
              <w:bottom w:val="double" w:sz="6" w:space="0" w:color="000000"/>
            </w:tcBorders>
            <w:shd w:val="clear" w:color="auto" w:fill="auto"/>
            <w:vAlign w:val="bottom"/>
          </w:tcPr>
          <w:p w14:paraId="54E90604"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0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60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60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2.75</w:t>
            </w:r>
          </w:p>
        </w:tc>
        <w:tc>
          <w:tcPr>
            <w:tcW w:w="0" w:type="auto"/>
            <w:tcBorders>
              <w:top w:val="single" w:sz="8" w:space="0" w:color="000000"/>
              <w:bottom w:val="double" w:sz="6" w:space="0" w:color="000000"/>
            </w:tcBorders>
            <w:shd w:val="clear" w:color="auto" w:fill="auto"/>
            <w:vAlign w:val="bottom"/>
          </w:tcPr>
          <w:p w14:paraId="54E90608"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0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60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60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2.13</w:t>
            </w:r>
          </w:p>
        </w:tc>
        <w:tc>
          <w:tcPr>
            <w:tcW w:w="0" w:type="auto"/>
            <w:tcBorders>
              <w:top w:val="single" w:sz="8" w:space="0" w:color="000000"/>
              <w:bottom w:val="double" w:sz="6" w:space="0" w:color="000000"/>
            </w:tcBorders>
            <w:shd w:val="clear" w:color="auto" w:fill="auto"/>
            <w:vAlign w:val="bottom"/>
          </w:tcPr>
          <w:p w14:paraId="54E9060C"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0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60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60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2.13</w:t>
            </w:r>
          </w:p>
        </w:tc>
        <w:tc>
          <w:tcPr>
            <w:tcW w:w="0" w:type="auto"/>
            <w:tcBorders>
              <w:top w:val="single" w:sz="8" w:space="0" w:color="000000"/>
              <w:bottom w:val="double" w:sz="6" w:space="0" w:color="000000"/>
            </w:tcBorders>
            <w:shd w:val="clear" w:color="auto" w:fill="auto"/>
            <w:vAlign w:val="bottom"/>
          </w:tcPr>
          <w:p w14:paraId="54E9061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1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4E9061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4E9061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6.29</w:t>
            </w:r>
          </w:p>
        </w:tc>
        <w:tc>
          <w:tcPr>
            <w:tcW w:w="0" w:type="auto"/>
            <w:tcBorders>
              <w:bottom w:val="double" w:sz="6" w:space="0" w:color="000000"/>
            </w:tcBorders>
            <w:shd w:val="clear" w:color="auto" w:fill="auto"/>
            <w:vAlign w:val="bottom"/>
          </w:tcPr>
          <w:p w14:paraId="54E90614"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1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4E9061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4E9061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6.29</w:t>
            </w:r>
          </w:p>
        </w:tc>
        <w:tc>
          <w:tcPr>
            <w:tcW w:w="0" w:type="auto"/>
            <w:tcBorders>
              <w:bottom w:val="double" w:sz="6" w:space="0" w:color="000000"/>
            </w:tcBorders>
            <w:shd w:val="clear" w:color="auto" w:fill="auto"/>
            <w:vAlign w:val="bottom"/>
          </w:tcPr>
          <w:p w14:paraId="54E90618"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1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4E9061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4E9061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3.90</w:t>
            </w:r>
          </w:p>
        </w:tc>
        <w:tc>
          <w:tcPr>
            <w:tcW w:w="0" w:type="auto"/>
            <w:tcBorders>
              <w:bottom w:val="double" w:sz="6" w:space="0" w:color="000000"/>
            </w:tcBorders>
            <w:shd w:val="clear" w:color="auto" w:fill="auto"/>
            <w:vAlign w:val="bottom"/>
          </w:tcPr>
          <w:p w14:paraId="54E9061C"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1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4E9061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4E9061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3.90</w:t>
            </w:r>
          </w:p>
        </w:tc>
        <w:tc>
          <w:tcPr>
            <w:tcW w:w="0" w:type="auto"/>
            <w:tcBorders>
              <w:bottom w:val="double" w:sz="6" w:space="0" w:color="000000"/>
            </w:tcBorders>
            <w:shd w:val="clear" w:color="auto" w:fill="auto"/>
            <w:vAlign w:val="bottom"/>
          </w:tcPr>
          <w:p w14:paraId="54E90620" w14:textId="77777777" w:rsidR="00F427A3" w:rsidRDefault="00F427A3">
            <w:pPr>
              <w:textAlignment w:val="bottom"/>
              <w:rPr>
                <w:rFonts w:ascii="Times New Roman" w:hAnsi="Times New Roman"/>
                <w:sz w:val="20"/>
                <w:szCs w:val="20"/>
              </w:rPr>
            </w:pPr>
          </w:p>
        </w:tc>
      </w:tr>
      <w:tr w:rsidR="00F427A3" w14:paraId="54E90632" w14:textId="77777777">
        <w:tc>
          <w:tcPr>
            <w:tcW w:w="0" w:type="auto"/>
            <w:shd w:val="clear" w:color="auto" w:fill="CCEEFF"/>
            <w:tcMar>
              <w:top w:w="40" w:type="dxa"/>
              <w:left w:w="40" w:type="dxa"/>
              <w:bottom w:w="40" w:type="dxa"/>
              <w:right w:w="40" w:type="dxa"/>
            </w:tcMar>
          </w:tcPr>
          <w:p w14:paraId="54E90622" w14:textId="77777777" w:rsidR="00F427A3" w:rsidRDefault="0044221F">
            <w:pPr>
              <w:textAlignment w:val="top"/>
              <w:rPr>
                <w:rFonts w:ascii="Times New Roman" w:hAnsi="Times New Roman"/>
                <w:sz w:val="20"/>
                <w:szCs w:val="20"/>
              </w:rPr>
            </w:pPr>
            <w:r>
              <w:rPr>
                <w:rFonts w:ascii="Times New Roman" w:eastAsia="宋体" w:hAnsi="Times New Roman"/>
                <w:sz w:val="20"/>
                <w:szCs w:val="20"/>
                <w:u w:val="single"/>
              </w:rPr>
              <w:t>Diluted EPS:</w:t>
            </w:r>
          </w:p>
        </w:tc>
        <w:tc>
          <w:tcPr>
            <w:tcW w:w="0" w:type="auto"/>
            <w:gridSpan w:val="3"/>
            <w:shd w:val="clear" w:color="auto" w:fill="CCEEFF"/>
            <w:tcMar>
              <w:top w:w="40" w:type="dxa"/>
              <w:left w:w="40" w:type="dxa"/>
              <w:bottom w:w="40" w:type="dxa"/>
              <w:right w:w="40" w:type="dxa"/>
            </w:tcMar>
            <w:vAlign w:val="bottom"/>
          </w:tcPr>
          <w:p w14:paraId="54E9062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62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62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62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62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62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62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62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62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62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62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62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62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63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63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643" w14:textId="77777777">
        <w:tc>
          <w:tcPr>
            <w:tcW w:w="0" w:type="auto"/>
            <w:shd w:val="clear" w:color="auto" w:fill="auto"/>
            <w:tcMar>
              <w:top w:w="40" w:type="dxa"/>
              <w:left w:w="560" w:type="dxa"/>
              <w:bottom w:w="40" w:type="dxa"/>
              <w:right w:w="40" w:type="dxa"/>
            </w:tcMar>
          </w:tcPr>
          <w:p w14:paraId="54E90633"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Numerator</w:t>
            </w:r>
          </w:p>
        </w:tc>
        <w:tc>
          <w:tcPr>
            <w:tcW w:w="0" w:type="auto"/>
            <w:gridSpan w:val="3"/>
            <w:shd w:val="clear" w:color="auto" w:fill="auto"/>
            <w:tcMar>
              <w:top w:w="40" w:type="dxa"/>
              <w:left w:w="40" w:type="dxa"/>
              <w:bottom w:w="40" w:type="dxa"/>
              <w:right w:w="40" w:type="dxa"/>
            </w:tcMar>
            <w:vAlign w:val="bottom"/>
          </w:tcPr>
          <w:p w14:paraId="54E9063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63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63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63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63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63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63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63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63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63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63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63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64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64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64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44221F" w14:paraId="54E90664" w14:textId="77777777">
        <w:tc>
          <w:tcPr>
            <w:tcW w:w="0" w:type="auto"/>
            <w:shd w:val="clear" w:color="auto" w:fill="CCEEFF"/>
            <w:tcMar>
              <w:top w:w="40" w:type="dxa"/>
              <w:left w:w="1040" w:type="dxa"/>
              <w:bottom w:w="40" w:type="dxa"/>
              <w:right w:w="40" w:type="dxa"/>
            </w:tcMar>
          </w:tcPr>
          <w:p w14:paraId="54E90644"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Net income</w:t>
            </w:r>
          </w:p>
        </w:tc>
        <w:tc>
          <w:tcPr>
            <w:tcW w:w="0" w:type="auto"/>
            <w:shd w:val="clear" w:color="auto" w:fill="CCEEFF"/>
            <w:tcMar>
              <w:top w:w="40" w:type="dxa"/>
              <w:left w:w="40" w:type="dxa"/>
              <w:bottom w:w="40" w:type="dxa"/>
            </w:tcMar>
            <w:vAlign w:val="bottom"/>
          </w:tcPr>
          <w:p w14:paraId="54E9064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64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6,623</w:t>
            </w:r>
          </w:p>
        </w:tc>
        <w:tc>
          <w:tcPr>
            <w:tcW w:w="0" w:type="auto"/>
            <w:shd w:val="clear" w:color="auto" w:fill="CCEEFF"/>
            <w:vAlign w:val="bottom"/>
          </w:tcPr>
          <w:p w14:paraId="54E9064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64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64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64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1,223</w:t>
            </w:r>
          </w:p>
        </w:tc>
        <w:tc>
          <w:tcPr>
            <w:tcW w:w="0" w:type="auto"/>
            <w:shd w:val="clear" w:color="auto" w:fill="CCEEFF"/>
            <w:vAlign w:val="bottom"/>
          </w:tcPr>
          <w:p w14:paraId="54E9064B"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64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64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64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5,138</w:t>
            </w:r>
          </w:p>
        </w:tc>
        <w:tc>
          <w:tcPr>
            <w:tcW w:w="0" w:type="auto"/>
            <w:shd w:val="clear" w:color="auto" w:fill="CCEEFF"/>
            <w:vAlign w:val="bottom"/>
          </w:tcPr>
          <w:p w14:paraId="54E9064F"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65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65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65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953</w:t>
            </w:r>
          </w:p>
        </w:tc>
        <w:tc>
          <w:tcPr>
            <w:tcW w:w="0" w:type="auto"/>
            <w:shd w:val="clear" w:color="auto" w:fill="CCEEFF"/>
            <w:vAlign w:val="bottom"/>
          </w:tcPr>
          <w:p w14:paraId="54E90653"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65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65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65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15,133</w:t>
            </w:r>
          </w:p>
        </w:tc>
        <w:tc>
          <w:tcPr>
            <w:tcW w:w="0" w:type="auto"/>
            <w:shd w:val="clear" w:color="auto" w:fill="CCEEFF"/>
            <w:vAlign w:val="bottom"/>
          </w:tcPr>
          <w:p w14:paraId="54E9065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65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65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65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2,794</w:t>
            </w:r>
          </w:p>
        </w:tc>
        <w:tc>
          <w:tcPr>
            <w:tcW w:w="0" w:type="auto"/>
            <w:shd w:val="clear" w:color="auto" w:fill="CCEEFF"/>
            <w:vAlign w:val="bottom"/>
          </w:tcPr>
          <w:p w14:paraId="54E9065B"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65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65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65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9,372</w:t>
            </w:r>
          </w:p>
        </w:tc>
        <w:tc>
          <w:tcPr>
            <w:tcW w:w="0" w:type="auto"/>
            <w:shd w:val="clear" w:color="auto" w:fill="CCEEFF"/>
            <w:vAlign w:val="bottom"/>
          </w:tcPr>
          <w:p w14:paraId="54E9065F"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66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66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66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1,764</w:t>
            </w:r>
          </w:p>
        </w:tc>
        <w:tc>
          <w:tcPr>
            <w:tcW w:w="0" w:type="auto"/>
            <w:shd w:val="clear" w:color="auto" w:fill="CCEEFF"/>
            <w:vAlign w:val="bottom"/>
          </w:tcPr>
          <w:p w14:paraId="54E90663" w14:textId="77777777" w:rsidR="00F427A3" w:rsidRDefault="00F427A3">
            <w:pPr>
              <w:textAlignment w:val="bottom"/>
              <w:rPr>
                <w:rFonts w:ascii="Times New Roman" w:hAnsi="Times New Roman"/>
                <w:sz w:val="20"/>
                <w:szCs w:val="20"/>
              </w:rPr>
            </w:pPr>
          </w:p>
        </w:tc>
      </w:tr>
      <w:tr w:rsidR="00F427A3" w14:paraId="54E9067D" w14:textId="77777777">
        <w:tc>
          <w:tcPr>
            <w:tcW w:w="0" w:type="auto"/>
            <w:shd w:val="clear" w:color="auto" w:fill="auto"/>
            <w:tcMar>
              <w:top w:w="40" w:type="dxa"/>
              <w:left w:w="1040" w:type="dxa"/>
              <w:bottom w:w="40" w:type="dxa"/>
              <w:right w:w="40" w:type="dxa"/>
            </w:tcMar>
          </w:tcPr>
          <w:p w14:paraId="54E90665"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Reallocation of net income as a result of conversion of Class B to Class A common stock</w:t>
            </w:r>
          </w:p>
        </w:tc>
        <w:tc>
          <w:tcPr>
            <w:tcW w:w="0" w:type="auto"/>
            <w:gridSpan w:val="2"/>
            <w:shd w:val="clear" w:color="auto" w:fill="auto"/>
            <w:tcMar>
              <w:top w:w="40" w:type="dxa"/>
              <w:left w:w="40" w:type="dxa"/>
              <w:bottom w:w="40" w:type="dxa"/>
            </w:tcMar>
            <w:vAlign w:val="bottom"/>
          </w:tcPr>
          <w:p w14:paraId="54E9066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1,223</w:t>
            </w:r>
          </w:p>
        </w:tc>
        <w:tc>
          <w:tcPr>
            <w:tcW w:w="0" w:type="auto"/>
            <w:shd w:val="clear" w:color="auto" w:fill="auto"/>
            <w:vAlign w:val="bottom"/>
          </w:tcPr>
          <w:p w14:paraId="54E90667"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6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66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4E9066A"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6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66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953</w:t>
            </w:r>
          </w:p>
        </w:tc>
        <w:tc>
          <w:tcPr>
            <w:tcW w:w="0" w:type="auto"/>
            <w:shd w:val="clear" w:color="auto" w:fill="auto"/>
            <w:vAlign w:val="bottom"/>
          </w:tcPr>
          <w:p w14:paraId="54E9066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6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66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4E9067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7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67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2,794</w:t>
            </w:r>
          </w:p>
        </w:tc>
        <w:tc>
          <w:tcPr>
            <w:tcW w:w="0" w:type="auto"/>
            <w:shd w:val="clear" w:color="auto" w:fill="auto"/>
            <w:vAlign w:val="bottom"/>
          </w:tcPr>
          <w:p w14:paraId="54E9067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7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67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4E90676"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7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67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1,764</w:t>
            </w:r>
          </w:p>
        </w:tc>
        <w:tc>
          <w:tcPr>
            <w:tcW w:w="0" w:type="auto"/>
            <w:shd w:val="clear" w:color="auto" w:fill="auto"/>
            <w:vAlign w:val="bottom"/>
          </w:tcPr>
          <w:p w14:paraId="54E90679"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7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67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4E9067C" w14:textId="77777777" w:rsidR="00F427A3" w:rsidRDefault="00F427A3">
            <w:pPr>
              <w:textAlignment w:val="bottom"/>
              <w:rPr>
                <w:rFonts w:ascii="Times New Roman" w:hAnsi="Times New Roman"/>
                <w:sz w:val="20"/>
                <w:szCs w:val="20"/>
              </w:rPr>
            </w:pPr>
          </w:p>
        </w:tc>
      </w:tr>
      <w:tr w:rsidR="00F427A3" w14:paraId="54E90696" w14:textId="77777777">
        <w:tc>
          <w:tcPr>
            <w:tcW w:w="0" w:type="auto"/>
            <w:shd w:val="clear" w:color="auto" w:fill="CCEEFF"/>
            <w:tcMar>
              <w:top w:w="40" w:type="dxa"/>
              <w:left w:w="1040" w:type="dxa"/>
              <w:bottom w:w="40" w:type="dxa"/>
              <w:right w:w="40" w:type="dxa"/>
            </w:tcMar>
          </w:tcPr>
          <w:p w14:paraId="54E9067E"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Reallocation of net income to Class B common stock</w:t>
            </w:r>
          </w:p>
        </w:tc>
        <w:tc>
          <w:tcPr>
            <w:tcW w:w="0" w:type="auto"/>
            <w:gridSpan w:val="2"/>
            <w:shd w:val="clear" w:color="auto" w:fill="CCEEFF"/>
            <w:tcMar>
              <w:top w:w="40" w:type="dxa"/>
              <w:left w:w="40" w:type="dxa"/>
              <w:bottom w:w="40" w:type="dxa"/>
            </w:tcMar>
            <w:vAlign w:val="bottom"/>
          </w:tcPr>
          <w:p w14:paraId="54E9067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068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68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68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CCEEFF"/>
            <w:tcMar>
              <w:top w:w="40" w:type="dxa"/>
              <w:bottom w:w="40" w:type="dxa"/>
              <w:right w:w="40" w:type="dxa"/>
            </w:tcMar>
            <w:vAlign w:val="bottom"/>
          </w:tcPr>
          <w:p w14:paraId="54E9068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68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68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068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68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68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tcMar>
              <w:top w:w="40" w:type="dxa"/>
              <w:bottom w:w="40" w:type="dxa"/>
              <w:right w:w="40" w:type="dxa"/>
            </w:tcMar>
            <w:vAlign w:val="bottom"/>
          </w:tcPr>
          <w:p w14:paraId="54E9068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68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68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068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68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68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shd w:val="clear" w:color="auto" w:fill="CCEEFF"/>
            <w:tcMar>
              <w:top w:w="40" w:type="dxa"/>
              <w:bottom w:w="40" w:type="dxa"/>
              <w:right w:w="40" w:type="dxa"/>
            </w:tcMar>
            <w:vAlign w:val="bottom"/>
          </w:tcPr>
          <w:p w14:paraId="54E9068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69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69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0692"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69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69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CCEEFF"/>
            <w:tcMar>
              <w:top w:w="40" w:type="dxa"/>
              <w:bottom w:w="40" w:type="dxa"/>
              <w:right w:w="40" w:type="dxa"/>
            </w:tcMar>
            <w:vAlign w:val="bottom"/>
          </w:tcPr>
          <w:p w14:paraId="54E9069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06B7" w14:textId="77777777">
        <w:tc>
          <w:tcPr>
            <w:tcW w:w="0" w:type="auto"/>
            <w:shd w:val="clear" w:color="auto" w:fill="auto"/>
            <w:tcMar>
              <w:top w:w="40" w:type="dxa"/>
              <w:left w:w="1360" w:type="dxa"/>
              <w:bottom w:w="40" w:type="dxa"/>
              <w:right w:w="40" w:type="dxa"/>
            </w:tcMar>
          </w:tcPr>
          <w:p w14:paraId="54E90697"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Net income for diluted EPS</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4E9069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4E9069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7,846</w:t>
            </w:r>
          </w:p>
        </w:tc>
        <w:tc>
          <w:tcPr>
            <w:tcW w:w="0" w:type="auto"/>
            <w:tcBorders>
              <w:top w:val="single" w:sz="8" w:space="0" w:color="000000"/>
              <w:bottom w:val="single" w:sz="8" w:space="0" w:color="000000"/>
            </w:tcBorders>
            <w:shd w:val="clear" w:color="auto" w:fill="auto"/>
            <w:vAlign w:val="bottom"/>
          </w:tcPr>
          <w:p w14:paraId="54E9069A"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9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4E9069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4E9069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1,205</w:t>
            </w:r>
          </w:p>
        </w:tc>
        <w:tc>
          <w:tcPr>
            <w:tcW w:w="0" w:type="auto"/>
            <w:tcBorders>
              <w:top w:val="single" w:sz="8" w:space="0" w:color="000000"/>
              <w:bottom w:val="single" w:sz="8" w:space="0" w:color="000000"/>
            </w:tcBorders>
            <w:shd w:val="clear" w:color="auto" w:fill="auto"/>
            <w:vAlign w:val="bottom"/>
          </w:tcPr>
          <w:p w14:paraId="54E9069E"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9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4E906A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4E906A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6,091</w:t>
            </w:r>
          </w:p>
        </w:tc>
        <w:tc>
          <w:tcPr>
            <w:tcW w:w="0" w:type="auto"/>
            <w:tcBorders>
              <w:top w:val="single" w:sz="8" w:space="0" w:color="000000"/>
              <w:bottom w:val="single" w:sz="8" w:space="0" w:color="000000"/>
            </w:tcBorders>
            <w:shd w:val="clear" w:color="auto" w:fill="auto"/>
            <w:vAlign w:val="bottom"/>
          </w:tcPr>
          <w:p w14:paraId="54E906A2"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A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4E906A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4E906A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947</w:t>
            </w:r>
          </w:p>
        </w:tc>
        <w:tc>
          <w:tcPr>
            <w:tcW w:w="0" w:type="auto"/>
            <w:tcBorders>
              <w:top w:val="single" w:sz="8" w:space="0" w:color="000000"/>
              <w:bottom w:val="single" w:sz="8" w:space="0" w:color="000000"/>
            </w:tcBorders>
            <w:shd w:val="clear" w:color="auto" w:fill="auto"/>
            <w:vAlign w:val="bottom"/>
          </w:tcPr>
          <w:p w14:paraId="54E906A6"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A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4E906A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4E906A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17,927</w:t>
            </w:r>
          </w:p>
        </w:tc>
        <w:tc>
          <w:tcPr>
            <w:tcW w:w="0" w:type="auto"/>
            <w:tcBorders>
              <w:top w:val="single" w:sz="8" w:space="0" w:color="000000"/>
              <w:bottom w:val="single" w:sz="8" w:space="0" w:color="000000"/>
            </w:tcBorders>
            <w:shd w:val="clear" w:color="auto" w:fill="auto"/>
            <w:vAlign w:val="bottom"/>
          </w:tcPr>
          <w:p w14:paraId="54E906AA"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A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4E906A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4E906A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2,762</w:t>
            </w:r>
          </w:p>
        </w:tc>
        <w:tc>
          <w:tcPr>
            <w:tcW w:w="0" w:type="auto"/>
            <w:tcBorders>
              <w:top w:val="single" w:sz="8" w:space="0" w:color="000000"/>
              <w:bottom w:val="single" w:sz="8" w:space="0" w:color="000000"/>
            </w:tcBorders>
            <w:shd w:val="clear" w:color="auto" w:fill="auto"/>
            <w:vAlign w:val="bottom"/>
          </w:tcPr>
          <w:p w14:paraId="54E906AE"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A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4E906B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4E906B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11,136</w:t>
            </w:r>
          </w:p>
        </w:tc>
        <w:tc>
          <w:tcPr>
            <w:tcW w:w="0" w:type="auto"/>
            <w:tcBorders>
              <w:top w:val="single" w:sz="8" w:space="0" w:color="000000"/>
              <w:bottom w:val="single" w:sz="8" w:space="0" w:color="000000"/>
            </w:tcBorders>
            <w:shd w:val="clear" w:color="auto" w:fill="auto"/>
            <w:vAlign w:val="bottom"/>
          </w:tcPr>
          <w:p w14:paraId="54E906B2"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B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4E906B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4E906B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1,755</w:t>
            </w:r>
          </w:p>
        </w:tc>
        <w:tc>
          <w:tcPr>
            <w:tcW w:w="0" w:type="auto"/>
            <w:tcBorders>
              <w:top w:val="single" w:sz="8" w:space="0" w:color="000000"/>
              <w:bottom w:val="single" w:sz="8" w:space="0" w:color="000000"/>
            </w:tcBorders>
            <w:shd w:val="clear" w:color="auto" w:fill="auto"/>
            <w:vAlign w:val="bottom"/>
          </w:tcPr>
          <w:p w14:paraId="54E906B6" w14:textId="77777777" w:rsidR="00F427A3" w:rsidRDefault="00F427A3">
            <w:pPr>
              <w:textAlignment w:val="bottom"/>
              <w:rPr>
                <w:rFonts w:ascii="Times New Roman" w:hAnsi="Times New Roman"/>
                <w:sz w:val="20"/>
                <w:szCs w:val="20"/>
              </w:rPr>
            </w:pPr>
          </w:p>
        </w:tc>
      </w:tr>
      <w:tr w:rsidR="00F427A3" w14:paraId="54E906C8" w14:textId="77777777">
        <w:tc>
          <w:tcPr>
            <w:tcW w:w="0" w:type="auto"/>
            <w:shd w:val="clear" w:color="auto" w:fill="CCEEFF"/>
            <w:tcMar>
              <w:top w:w="40" w:type="dxa"/>
              <w:left w:w="560" w:type="dxa"/>
              <w:bottom w:w="40" w:type="dxa"/>
              <w:right w:w="40" w:type="dxa"/>
            </w:tcMar>
          </w:tcPr>
          <w:p w14:paraId="54E906B8"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Denominator</w:t>
            </w:r>
          </w:p>
        </w:tc>
        <w:tc>
          <w:tcPr>
            <w:tcW w:w="0" w:type="auto"/>
            <w:gridSpan w:val="3"/>
            <w:shd w:val="clear" w:color="auto" w:fill="CCEEFF"/>
            <w:tcMar>
              <w:top w:w="40" w:type="dxa"/>
              <w:left w:w="40" w:type="dxa"/>
              <w:bottom w:w="40" w:type="dxa"/>
              <w:right w:w="40" w:type="dxa"/>
            </w:tcMar>
            <w:vAlign w:val="bottom"/>
          </w:tcPr>
          <w:p w14:paraId="54E906B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6B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6B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6B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6B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6B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6B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6C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6C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6C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6C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6C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6C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6C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6C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6E1" w14:textId="77777777">
        <w:tc>
          <w:tcPr>
            <w:tcW w:w="0" w:type="auto"/>
            <w:shd w:val="clear" w:color="auto" w:fill="auto"/>
            <w:tcMar>
              <w:top w:w="40" w:type="dxa"/>
              <w:left w:w="1040" w:type="dxa"/>
              <w:bottom w:w="40" w:type="dxa"/>
              <w:right w:w="40" w:type="dxa"/>
            </w:tcMar>
          </w:tcPr>
          <w:p w14:paraId="54E906C9"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Number of shares used for basic EPS computation</w:t>
            </w:r>
          </w:p>
        </w:tc>
        <w:tc>
          <w:tcPr>
            <w:tcW w:w="0" w:type="auto"/>
            <w:gridSpan w:val="2"/>
            <w:shd w:val="clear" w:color="auto" w:fill="auto"/>
            <w:tcMar>
              <w:top w:w="40" w:type="dxa"/>
              <w:left w:w="40" w:type="dxa"/>
              <w:bottom w:w="40" w:type="dxa"/>
            </w:tcMar>
            <w:vAlign w:val="bottom"/>
          </w:tcPr>
          <w:p w14:paraId="54E906C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2,406</w:t>
            </w:r>
          </w:p>
        </w:tc>
        <w:tc>
          <w:tcPr>
            <w:tcW w:w="0" w:type="auto"/>
            <w:shd w:val="clear" w:color="auto" w:fill="auto"/>
            <w:vAlign w:val="bottom"/>
          </w:tcPr>
          <w:p w14:paraId="54E906CB"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C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6C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auto"/>
            <w:vAlign w:val="bottom"/>
          </w:tcPr>
          <w:p w14:paraId="54E906CE"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C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6D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2,407</w:t>
            </w:r>
          </w:p>
        </w:tc>
        <w:tc>
          <w:tcPr>
            <w:tcW w:w="0" w:type="auto"/>
            <w:shd w:val="clear" w:color="auto" w:fill="auto"/>
            <w:vAlign w:val="bottom"/>
          </w:tcPr>
          <w:p w14:paraId="54E906D1"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D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6D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447</w:t>
            </w:r>
          </w:p>
        </w:tc>
        <w:tc>
          <w:tcPr>
            <w:tcW w:w="0" w:type="auto"/>
            <w:shd w:val="clear" w:color="auto" w:fill="auto"/>
            <w:vAlign w:val="bottom"/>
          </w:tcPr>
          <w:p w14:paraId="54E906D4"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D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6D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2,406</w:t>
            </w:r>
          </w:p>
        </w:tc>
        <w:tc>
          <w:tcPr>
            <w:tcW w:w="0" w:type="auto"/>
            <w:shd w:val="clear" w:color="auto" w:fill="auto"/>
            <w:vAlign w:val="bottom"/>
          </w:tcPr>
          <w:p w14:paraId="54E906D7"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D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6D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auto"/>
            <w:vAlign w:val="bottom"/>
          </w:tcPr>
          <w:p w14:paraId="54E906DA"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D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6D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2,403</w:t>
            </w:r>
          </w:p>
        </w:tc>
        <w:tc>
          <w:tcPr>
            <w:tcW w:w="0" w:type="auto"/>
            <w:shd w:val="clear" w:color="auto" w:fill="auto"/>
            <w:vAlign w:val="bottom"/>
          </w:tcPr>
          <w:p w14:paraId="54E906D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D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6D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452</w:t>
            </w:r>
          </w:p>
        </w:tc>
        <w:tc>
          <w:tcPr>
            <w:tcW w:w="0" w:type="auto"/>
            <w:shd w:val="clear" w:color="auto" w:fill="auto"/>
            <w:vAlign w:val="bottom"/>
          </w:tcPr>
          <w:p w14:paraId="54E906E0" w14:textId="77777777" w:rsidR="00F427A3" w:rsidRDefault="00F427A3">
            <w:pPr>
              <w:textAlignment w:val="bottom"/>
              <w:rPr>
                <w:rFonts w:ascii="Times New Roman" w:hAnsi="Times New Roman"/>
                <w:sz w:val="20"/>
                <w:szCs w:val="20"/>
              </w:rPr>
            </w:pPr>
          </w:p>
        </w:tc>
      </w:tr>
      <w:tr w:rsidR="00F427A3" w14:paraId="54E906FA" w14:textId="77777777">
        <w:tc>
          <w:tcPr>
            <w:tcW w:w="0" w:type="auto"/>
            <w:shd w:val="clear" w:color="auto" w:fill="CCEEFF"/>
            <w:tcMar>
              <w:top w:w="40" w:type="dxa"/>
              <w:left w:w="1040" w:type="dxa"/>
              <w:bottom w:w="40" w:type="dxa"/>
              <w:right w:w="40" w:type="dxa"/>
            </w:tcMar>
          </w:tcPr>
          <w:p w14:paraId="54E906E2"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Conversion of Class B to Class A common stock</w:t>
            </w:r>
          </w:p>
        </w:tc>
        <w:tc>
          <w:tcPr>
            <w:tcW w:w="0" w:type="auto"/>
            <w:gridSpan w:val="2"/>
            <w:shd w:val="clear" w:color="auto" w:fill="CCEEFF"/>
            <w:tcMar>
              <w:top w:w="40" w:type="dxa"/>
              <w:left w:w="40" w:type="dxa"/>
              <w:bottom w:w="40" w:type="dxa"/>
            </w:tcMar>
            <w:vAlign w:val="bottom"/>
          </w:tcPr>
          <w:p w14:paraId="54E906E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CCEEFF"/>
            <w:vAlign w:val="bottom"/>
          </w:tcPr>
          <w:p w14:paraId="54E906E4"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6E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6E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06E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6E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6E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447</w:t>
            </w:r>
          </w:p>
        </w:tc>
        <w:tc>
          <w:tcPr>
            <w:tcW w:w="0" w:type="auto"/>
            <w:shd w:val="clear" w:color="auto" w:fill="CCEEFF"/>
            <w:vAlign w:val="bottom"/>
          </w:tcPr>
          <w:p w14:paraId="54E906EA"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6E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6E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06ED"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6E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6E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CCEEFF"/>
            <w:vAlign w:val="bottom"/>
          </w:tcPr>
          <w:p w14:paraId="54E906F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6F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6F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06F3"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6F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6F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452</w:t>
            </w:r>
          </w:p>
        </w:tc>
        <w:tc>
          <w:tcPr>
            <w:tcW w:w="0" w:type="auto"/>
            <w:shd w:val="clear" w:color="auto" w:fill="CCEEFF"/>
            <w:vAlign w:val="bottom"/>
          </w:tcPr>
          <w:p w14:paraId="54E906F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6F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6F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06F9" w14:textId="77777777" w:rsidR="00F427A3" w:rsidRDefault="00F427A3">
            <w:pPr>
              <w:textAlignment w:val="bottom"/>
              <w:rPr>
                <w:rFonts w:ascii="Times New Roman" w:hAnsi="Times New Roman"/>
                <w:sz w:val="20"/>
                <w:szCs w:val="20"/>
              </w:rPr>
            </w:pPr>
          </w:p>
        </w:tc>
      </w:tr>
      <w:tr w:rsidR="00F427A3" w14:paraId="54E90713" w14:textId="77777777">
        <w:tc>
          <w:tcPr>
            <w:tcW w:w="0" w:type="auto"/>
            <w:shd w:val="clear" w:color="auto" w:fill="auto"/>
            <w:tcMar>
              <w:top w:w="40" w:type="dxa"/>
              <w:left w:w="1040" w:type="dxa"/>
              <w:bottom w:w="40" w:type="dxa"/>
              <w:right w:w="40" w:type="dxa"/>
            </w:tcMar>
          </w:tcPr>
          <w:p w14:paraId="54E906FB"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Weighted-average effect of dilutive RSUs and employee stock options</w:t>
            </w:r>
          </w:p>
        </w:tc>
        <w:tc>
          <w:tcPr>
            <w:tcW w:w="0" w:type="auto"/>
            <w:gridSpan w:val="2"/>
            <w:shd w:val="clear" w:color="auto" w:fill="auto"/>
            <w:tcMar>
              <w:top w:w="40" w:type="dxa"/>
              <w:left w:w="40" w:type="dxa"/>
              <w:bottom w:w="40" w:type="dxa"/>
            </w:tcMar>
            <w:vAlign w:val="bottom"/>
          </w:tcPr>
          <w:p w14:paraId="54E906F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shd w:val="clear" w:color="auto" w:fill="auto"/>
            <w:vAlign w:val="bottom"/>
          </w:tcPr>
          <w:p w14:paraId="54E906F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6F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6F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4E9070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70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70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vAlign w:val="bottom"/>
          </w:tcPr>
          <w:p w14:paraId="54E9070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70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70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4E90706"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70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70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shd w:val="clear" w:color="auto" w:fill="auto"/>
            <w:vAlign w:val="bottom"/>
          </w:tcPr>
          <w:p w14:paraId="54E90709"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70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70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4E9070C"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70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70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vAlign w:val="bottom"/>
          </w:tcPr>
          <w:p w14:paraId="54E9070F"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71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71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54E90712" w14:textId="77777777" w:rsidR="00F427A3" w:rsidRDefault="00F427A3">
            <w:pPr>
              <w:textAlignment w:val="bottom"/>
              <w:rPr>
                <w:rFonts w:ascii="Times New Roman" w:hAnsi="Times New Roman"/>
                <w:sz w:val="20"/>
                <w:szCs w:val="20"/>
              </w:rPr>
            </w:pPr>
          </w:p>
        </w:tc>
      </w:tr>
      <w:tr w:rsidR="00F427A3" w14:paraId="54E9072C" w14:textId="77777777">
        <w:tc>
          <w:tcPr>
            <w:tcW w:w="0" w:type="auto"/>
            <w:shd w:val="clear" w:color="auto" w:fill="CCEEFF"/>
            <w:tcMar>
              <w:top w:w="40" w:type="dxa"/>
              <w:left w:w="1520" w:type="dxa"/>
              <w:bottom w:w="40" w:type="dxa"/>
              <w:right w:w="40" w:type="dxa"/>
            </w:tcMar>
          </w:tcPr>
          <w:p w14:paraId="54E90714"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Number of shares used for diluted EPS computation</w:t>
            </w:r>
          </w:p>
        </w:tc>
        <w:tc>
          <w:tcPr>
            <w:tcW w:w="0" w:type="auto"/>
            <w:gridSpan w:val="2"/>
            <w:tcBorders>
              <w:top w:val="single" w:sz="8" w:space="0" w:color="000000"/>
            </w:tcBorders>
            <w:shd w:val="clear" w:color="auto" w:fill="CCEEFF"/>
            <w:tcMar>
              <w:top w:w="40" w:type="dxa"/>
              <w:left w:w="40" w:type="dxa"/>
              <w:bottom w:w="40" w:type="dxa"/>
            </w:tcMar>
            <w:vAlign w:val="bottom"/>
          </w:tcPr>
          <w:p w14:paraId="54E9071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2,891</w:t>
            </w:r>
          </w:p>
        </w:tc>
        <w:tc>
          <w:tcPr>
            <w:tcW w:w="0" w:type="auto"/>
            <w:tcBorders>
              <w:top w:val="single" w:sz="8" w:space="0" w:color="000000"/>
            </w:tcBorders>
            <w:shd w:val="clear" w:color="auto" w:fill="CCEEFF"/>
            <w:vAlign w:val="bottom"/>
          </w:tcPr>
          <w:p w14:paraId="54E9071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71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4E9071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tcBorders>
              <w:top w:val="single" w:sz="8" w:space="0" w:color="000000"/>
            </w:tcBorders>
            <w:shd w:val="clear" w:color="auto" w:fill="CCEEFF"/>
            <w:vAlign w:val="bottom"/>
          </w:tcPr>
          <w:p w14:paraId="54E90719"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71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4E9071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2,874</w:t>
            </w:r>
          </w:p>
        </w:tc>
        <w:tc>
          <w:tcPr>
            <w:tcW w:w="0" w:type="auto"/>
            <w:tcBorders>
              <w:top w:val="single" w:sz="8" w:space="0" w:color="000000"/>
            </w:tcBorders>
            <w:shd w:val="clear" w:color="auto" w:fill="CCEEFF"/>
            <w:vAlign w:val="bottom"/>
          </w:tcPr>
          <w:p w14:paraId="54E9071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71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4E9071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447</w:t>
            </w:r>
          </w:p>
        </w:tc>
        <w:tc>
          <w:tcPr>
            <w:tcW w:w="0" w:type="auto"/>
            <w:tcBorders>
              <w:top w:val="single" w:sz="8" w:space="0" w:color="000000"/>
            </w:tcBorders>
            <w:shd w:val="clear" w:color="auto" w:fill="CCEEFF"/>
            <w:vAlign w:val="bottom"/>
          </w:tcPr>
          <w:p w14:paraId="54E9071F"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72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4E9072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2,883</w:t>
            </w:r>
          </w:p>
        </w:tc>
        <w:tc>
          <w:tcPr>
            <w:tcW w:w="0" w:type="auto"/>
            <w:tcBorders>
              <w:top w:val="single" w:sz="8" w:space="0" w:color="000000"/>
              <w:bottom w:val="single" w:sz="8" w:space="0" w:color="000000"/>
            </w:tcBorders>
            <w:shd w:val="clear" w:color="auto" w:fill="CCEEFF"/>
            <w:vAlign w:val="bottom"/>
          </w:tcPr>
          <w:p w14:paraId="54E90722"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72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4E9072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tcBorders>
              <w:top w:val="single" w:sz="8" w:space="0" w:color="000000"/>
              <w:bottom w:val="single" w:sz="8" w:space="0" w:color="000000"/>
            </w:tcBorders>
            <w:shd w:val="clear" w:color="auto" w:fill="CCEEFF"/>
            <w:vAlign w:val="bottom"/>
          </w:tcPr>
          <w:p w14:paraId="54E90725"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72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4E9072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2,875</w:t>
            </w:r>
          </w:p>
        </w:tc>
        <w:tc>
          <w:tcPr>
            <w:tcW w:w="0" w:type="auto"/>
            <w:tcBorders>
              <w:top w:val="single" w:sz="8" w:space="0" w:color="000000"/>
              <w:bottom w:val="single" w:sz="8" w:space="0" w:color="000000"/>
            </w:tcBorders>
            <w:shd w:val="clear" w:color="auto" w:fill="CCEEFF"/>
            <w:vAlign w:val="bottom"/>
          </w:tcPr>
          <w:p w14:paraId="54E90728"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72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4E9072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453</w:t>
            </w:r>
          </w:p>
        </w:tc>
        <w:tc>
          <w:tcPr>
            <w:tcW w:w="0" w:type="auto"/>
            <w:tcBorders>
              <w:top w:val="single" w:sz="8" w:space="0" w:color="000000"/>
              <w:bottom w:val="single" w:sz="8" w:space="0" w:color="000000"/>
            </w:tcBorders>
            <w:shd w:val="clear" w:color="auto" w:fill="CCEEFF"/>
            <w:vAlign w:val="bottom"/>
          </w:tcPr>
          <w:p w14:paraId="54E9072B" w14:textId="77777777" w:rsidR="00F427A3" w:rsidRDefault="00F427A3">
            <w:pPr>
              <w:textAlignment w:val="bottom"/>
              <w:rPr>
                <w:rFonts w:ascii="Times New Roman" w:hAnsi="Times New Roman"/>
                <w:sz w:val="20"/>
                <w:szCs w:val="20"/>
              </w:rPr>
            </w:pPr>
          </w:p>
        </w:tc>
      </w:tr>
      <w:tr w:rsidR="00F427A3" w14:paraId="54E9074D" w14:textId="77777777">
        <w:tc>
          <w:tcPr>
            <w:tcW w:w="0" w:type="auto"/>
            <w:shd w:val="clear" w:color="auto" w:fill="auto"/>
            <w:tcMar>
              <w:top w:w="40" w:type="dxa"/>
              <w:left w:w="560" w:type="dxa"/>
              <w:bottom w:w="40" w:type="dxa"/>
              <w:right w:w="40" w:type="dxa"/>
            </w:tcMar>
          </w:tcPr>
          <w:p w14:paraId="54E9072D"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Diluted EPS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72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72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2.71</w:t>
            </w:r>
          </w:p>
        </w:tc>
        <w:tc>
          <w:tcPr>
            <w:tcW w:w="0" w:type="auto"/>
            <w:tcBorders>
              <w:top w:val="single" w:sz="8" w:space="0" w:color="000000"/>
              <w:bottom w:val="double" w:sz="6" w:space="0" w:color="000000"/>
            </w:tcBorders>
            <w:shd w:val="clear" w:color="auto" w:fill="auto"/>
            <w:vAlign w:val="bottom"/>
          </w:tcPr>
          <w:p w14:paraId="54E9073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73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73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73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2.71</w:t>
            </w:r>
          </w:p>
        </w:tc>
        <w:tc>
          <w:tcPr>
            <w:tcW w:w="0" w:type="auto"/>
            <w:tcBorders>
              <w:top w:val="single" w:sz="8" w:space="0" w:color="000000"/>
              <w:bottom w:val="double" w:sz="6" w:space="0" w:color="000000"/>
            </w:tcBorders>
            <w:shd w:val="clear" w:color="auto" w:fill="auto"/>
            <w:vAlign w:val="bottom"/>
          </w:tcPr>
          <w:p w14:paraId="54E90734"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73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73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73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2.12</w:t>
            </w:r>
          </w:p>
        </w:tc>
        <w:tc>
          <w:tcPr>
            <w:tcW w:w="0" w:type="auto"/>
            <w:tcBorders>
              <w:top w:val="single" w:sz="8" w:space="0" w:color="000000"/>
              <w:bottom w:val="double" w:sz="6" w:space="0" w:color="000000"/>
            </w:tcBorders>
            <w:shd w:val="clear" w:color="auto" w:fill="auto"/>
            <w:vAlign w:val="bottom"/>
          </w:tcPr>
          <w:p w14:paraId="54E90738"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73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73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73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2.12</w:t>
            </w:r>
          </w:p>
        </w:tc>
        <w:tc>
          <w:tcPr>
            <w:tcW w:w="0" w:type="auto"/>
            <w:tcBorders>
              <w:top w:val="single" w:sz="8" w:space="0" w:color="000000"/>
              <w:bottom w:val="double" w:sz="6" w:space="0" w:color="000000"/>
            </w:tcBorders>
            <w:shd w:val="clear" w:color="auto" w:fill="auto"/>
            <w:vAlign w:val="bottom"/>
          </w:tcPr>
          <w:p w14:paraId="54E9073C"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73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73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73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6.22</w:t>
            </w:r>
          </w:p>
        </w:tc>
        <w:tc>
          <w:tcPr>
            <w:tcW w:w="0" w:type="auto"/>
            <w:tcBorders>
              <w:top w:val="single" w:sz="8" w:space="0" w:color="000000"/>
              <w:bottom w:val="double" w:sz="6" w:space="0" w:color="000000"/>
            </w:tcBorders>
            <w:shd w:val="clear" w:color="auto" w:fill="auto"/>
            <w:vAlign w:val="bottom"/>
          </w:tcPr>
          <w:p w14:paraId="54E9074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74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74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74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6.22</w:t>
            </w:r>
          </w:p>
        </w:tc>
        <w:tc>
          <w:tcPr>
            <w:tcW w:w="0" w:type="auto"/>
            <w:tcBorders>
              <w:top w:val="single" w:sz="8" w:space="0" w:color="000000"/>
              <w:bottom w:val="double" w:sz="6" w:space="0" w:color="000000"/>
            </w:tcBorders>
            <w:shd w:val="clear" w:color="auto" w:fill="auto"/>
            <w:vAlign w:val="bottom"/>
          </w:tcPr>
          <w:p w14:paraId="54E90744"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74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74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74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3.87</w:t>
            </w:r>
          </w:p>
        </w:tc>
        <w:tc>
          <w:tcPr>
            <w:tcW w:w="0" w:type="auto"/>
            <w:tcBorders>
              <w:top w:val="single" w:sz="8" w:space="0" w:color="000000"/>
              <w:bottom w:val="double" w:sz="6" w:space="0" w:color="000000"/>
            </w:tcBorders>
            <w:shd w:val="clear" w:color="auto" w:fill="auto"/>
            <w:vAlign w:val="bottom"/>
          </w:tcPr>
          <w:p w14:paraId="54E90748"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74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74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74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3.87</w:t>
            </w:r>
          </w:p>
        </w:tc>
        <w:tc>
          <w:tcPr>
            <w:tcW w:w="0" w:type="auto"/>
            <w:tcBorders>
              <w:top w:val="single" w:sz="8" w:space="0" w:color="000000"/>
              <w:bottom w:val="double" w:sz="6" w:space="0" w:color="000000"/>
            </w:tcBorders>
            <w:shd w:val="clear" w:color="auto" w:fill="auto"/>
            <w:vAlign w:val="bottom"/>
          </w:tcPr>
          <w:p w14:paraId="54E9074C" w14:textId="77777777" w:rsidR="00F427A3" w:rsidRDefault="00F427A3">
            <w:pPr>
              <w:textAlignment w:val="bottom"/>
              <w:rPr>
                <w:rFonts w:ascii="Times New Roman" w:hAnsi="Times New Roman"/>
                <w:sz w:val="20"/>
                <w:szCs w:val="20"/>
              </w:rPr>
            </w:pPr>
          </w:p>
        </w:tc>
      </w:tr>
    </w:tbl>
    <w:p w14:paraId="54E9074E" w14:textId="77777777" w:rsidR="00F427A3" w:rsidRDefault="00F427A3">
      <w:pPr>
        <w:spacing w:line="288" w:lineRule="auto"/>
        <w:rPr>
          <w:rFonts w:ascii="Times New Roman" w:hAnsi="Times New Roman"/>
          <w:sz w:val="20"/>
          <w:szCs w:val="20"/>
        </w:rPr>
      </w:pPr>
    </w:p>
    <w:p w14:paraId="54E9074F" w14:textId="77777777" w:rsidR="00F427A3" w:rsidRDefault="00F427A3">
      <w:pPr>
        <w:rPr>
          <w:rFonts w:ascii="Times New Roman" w:hAnsi="Times New Roman"/>
          <w:sz w:val="20"/>
          <w:szCs w:val="20"/>
        </w:rPr>
      </w:pPr>
    </w:p>
    <w:p w14:paraId="54E90750"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17</w:t>
      </w:r>
    </w:p>
    <w:p w14:paraId="54E90751" w14:textId="77777777" w:rsidR="00F427A3" w:rsidRDefault="0044221F">
      <w:r>
        <w:rPr>
          <w:rFonts w:ascii="Times New Roman" w:hAnsi="Times New Roman"/>
          <w:sz w:val="20"/>
          <w:szCs w:val="20"/>
        </w:rPr>
        <w:pict w14:anchorId="54E91C31">
          <v:rect id="_x0000_i1041" style="width:415.3pt;height:1.5pt" o:hralign="center" o:hrstd="t" o:hr="t" fillcolor="#a0a0a0" stroked="f"/>
        </w:pict>
      </w:r>
    </w:p>
    <w:p w14:paraId="54E90752" w14:textId="77777777" w:rsidR="00F427A3" w:rsidRDefault="0044221F">
      <w:pPr>
        <w:spacing w:line="288" w:lineRule="auto"/>
        <w:rPr>
          <w:rFonts w:ascii="Times New Roman" w:hAnsi="Times New Roman"/>
          <w:sz w:val="20"/>
          <w:szCs w:val="20"/>
        </w:rPr>
      </w:pPr>
      <w:hyperlink r:id="rId58" w:anchor="s348EA962CF6D59B599D9921AFA89C381" w:history="1">
        <w:r>
          <w:rPr>
            <w:rStyle w:val="a5"/>
            <w:rFonts w:ascii="Times New Roman" w:eastAsia="宋体" w:hAnsi="Times New Roman"/>
            <w:sz w:val="20"/>
            <w:szCs w:val="20"/>
          </w:rPr>
          <w:t>Table of Contents</w:t>
        </w:r>
      </w:hyperlink>
    </w:p>
    <w:p w14:paraId="54E90753" w14:textId="77777777" w:rsidR="00F427A3" w:rsidRDefault="00F427A3">
      <w:pPr>
        <w:rPr>
          <w:rFonts w:ascii="Times New Roman" w:hAnsi="Times New Roman"/>
          <w:sz w:val="20"/>
          <w:szCs w:val="20"/>
        </w:rPr>
      </w:pPr>
    </w:p>
    <w:p w14:paraId="54E90754"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Note 4. Cash and Cash Equivalents, and Marketable Securities</w:t>
      </w:r>
    </w:p>
    <w:p w14:paraId="54E90755"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following table set</w:t>
      </w:r>
      <w:r>
        <w:rPr>
          <w:rFonts w:ascii="Times New Roman" w:eastAsia="宋体" w:hAnsi="Times New Roman"/>
          <w:sz w:val="20"/>
          <w:szCs w:val="20"/>
        </w:rPr>
        <w:t xml:space="preserve">s forth the cash and cash equivalents and marketable securities (in millions): </w:t>
      </w:r>
    </w:p>
    <w:tbl>
      <w:tblPr>
        <w:tblW w:w="5000" w:type="pct"/>
        <w:tblCellMar>
          <w:left w:w="0" w:type="dxa"/>
          <w:right w:w="0" w:type="dxa"/>
        </w:tblCellMar>
        <w:tblLook w:val="04A0" w:firstRow="1" w:lastRow="0" w:firstColumn="1" w:lastColumn="0" w:noHBand="0" w:noVBand="1"/>
      </w:tblPr>
      <w:tblGrid>
        <w:gridCol w:w="5528"/>
        <w:gridCol w:w="141"/>
        <w:gridCol w:w="1126"/>
        <w:gridCol w:w="66"/>
        <w:gridCol w:w="130"/>
        <w:gridCol w:w="141"/>
        <w:gridCol w:w="1111"/>
        <w:gridCol w:w="63"/>
      </w:tblGrid>
      <w:tr w:rsidR="00F427A3" w14:paraId="54E90757" w14:textId="77777777">
        <w:tc>
          <w:tcPr>
            <w:tcW w:w="0" w:type="auto"/>
            <w:gridSpan w:val="8"/>
            <w:shd w:val="clear" w:color="auto" w:fill="auto"/>
            <w:vAlign w:val="center"/>
          </w:tcPr>
          <w:p w14:paraId="54E90756" w14:textId="77777777" w:rsidR="00F427A3" w:rsidRDefault="00F427A3">
            <w:pPr>
              <w:rPr>
                <w:rFonts w:ascii="Times New Roman" w:hAnsi="Times New Roman"/>
                <w:sz w:val="20"/>
                <w:szCs w:val="20"/>
              </w:rPr>
            </w:pPr>
          </w:p>
        </w:tc>
      </w:tr>
      <w:tr w:rsidR="00F427A3" w14:paraId="54E90760" w14:textId="77777777">
        <w:tc>
          <w:tcPr>
            <w:tcW w:w="3350" w:type="pct"/>
            <w:shd w:val="clear" w:color="auto" w:fill="auto"/>
            <w:vAlign w:val="center"/>
          </w:tcPr>
          <w:p w14:paraId="54E90758" w14:textId="77777777" w:rsidR="00F427A3" w:rsidRDefault="00F427A3">
            <w:pPr>
              <w:rPr>
                <w:rFonts w:ascii="Times New Roman" w:hAnsi="Times New Roman"/>
                <w:sz w:val="20"/>
                <w:szCs w:val="20"/>
              </w:rPr>
            </w:pPr>
          </w:p>
        </w:tc>
        <w:tc>
          <w:tcPr>
            <w:tcW w:w="50" w:type="pct"/>
            <w:shd w:val="clear" w:color="auto" w:fill="auto"/>
            <w:vAlign w:val="center"/>
          </w:tcPr>
          <w:p w14:paraId="54E90759" w14:textId="77777777" w:rsidR="00F427A3" w:rsidRDefault="00F427A3">
            <w:pPr>
              <w:rPr>
                <w:rFonts w:ascii="Times New Roman" w:hAnsi="Times New Roman"/>
                <w:sz w:val="20"/>
                <w:szCs w:val="20"/>
              </w:rPr>
            </w:pPr>
          </w:p>
        </w:tc>
        <w:tc>
          <w:tcPr>
            <w:tcW w:w="700" w:type="pct"/>
            <w:shd w:val="clear" w:color="auto" w:fill="auto"/>
            <w:vAlign w:val="center"/>
          </w:tcPr>
          <w:p w14:paraId="54E9075A" w14:textId="77777777" w:rsidR="00F427A3" w:rsidRDefault="00F427A3">
            <w:pPr>
              <w:rPr>
                <w:rFonts w:ascii="Times New Roman" w:hAnsi="Times New Roman"/>
                <w:sz w:val="20"/>
                <w:szCs w:val="20"/>
              </w:rPr>
            </w:pPr>
          </w:p>
        </w:tc>
        <w:tc>
          <w:tcPr>
            <w:tcW w:w="50" w:type="pct"/>
            <w:shd w:val="clear" w:color="auto" w:fill="auto"/>
            <w:vAlign w:val="center"/>
          </w:tcPr>
          <w:p w14:paraId="54E9075B" w14:textId="77777777" w:rsidR="00F427A3" w:rsidRDefault="00F427A3">
            <w:pPr>
              <w:rPr>
                <w:rFonts w:ascii="Times New Roman" w:hAnsi="Times New Roman"/>
                <w:sz w:val="20"/>
                <w:szCs w:val="20"/>
              </w:rPr>
            </w:pPr>
          </w:p>
        </w:tc>
        <w:tc>
          <w:tcPr>
            <w:tcW w:w="50" w:type="pct"/>
            <w:shd w:val="clear" w:color="auto" w:fill="auto"/>
            <w:vAlign w:val="center"/>
          </w:tcPr>
          <w:p w14:paraId="54E9075C" w14:textId="77777777" w:rsidR="00F427A3" w:rsidRDefault="00F427A3">
            <w:pPr>
              <w:rPr>
                <w:rFonts w:ascii="Times New Roman" w:hAnsi="Times New Roman"/>
                <w:sz w:val="20"/>
                <w:szCs w:val="20"/>
              </w:rPr>
            </w:pPr>
          </w:p>
        </w:tc>
        <w:tc>
          <w:tcPr>
            <w:tcW w:w="50" w:type="pct"/>
            <w:shd w:val="clear" w:color="auto" w:fill="auto"/>
            <w:vAlign w:val="center"/>
          </w:tcPr>
          <w:p w14:paraId="54E9075D" w14:textId="77777777" w:rsidR="00F427A3" w:rsidRDefault="00F427A3">
            <w:pPr>
              <w:rPr>
                <w:rFonts w:ascii="Times New Roman" w:hAnsi="Times New Roman"/>
                <w:sz w:val="20"/>
                <w:szCs w:val="20"/>
              </w:rPr>
            </w:pPr>
          </w:p>
        </w:tc>
        <w:tc>
          <w:tcPr>
            <w:tcW w:w="700" w:type="pct"/>
            <w:shd w:val="clear" w:color="auto" w:fill="auto"/>
            <w:vAlign w:val="center"/>
          </w:tcPr>
          <w:p w14:paraId="54E9075E" w14:textId="77777777" w:rsidR="00F427A3" w:rsidRDefault="00F427A3">
            <w:pPr>
              <w:rPr>
                <w:rFonts w:ascii="Times New Roman" w:hAnsi="Times New Roman"/>
                <w:sz w:val="20"/>
                <w:szCs w:val="20"/>
              </w:rPr>
            </w:pPr>
          </w:p>
        </w:tc>
        <w:tc>
          <w:tcPr>
            <w:tcW w:w="50" w:type="pct"/>
            <w:shd w:val="clear" w:color="auto" w:fill="auto"/>
            <w:vAlign w:val="center"/>
          </w:tcPr>
          <w:p w14:paraId="54E9075F" w14:textId="77777777" w:rsidR="00F427A3" w:rsidRDefault="00F427A3">
            <w:pPr>
              <w:rPr>
                <w:rFonts w:ascii="Times New Roman" w:hAnsi="Times New Roman"/>
                <w:sz w:val="20"/>
                <w:szCs w:val="20"/>
              </w:rPr>
            </w:pPr>
          </w:p>
        </w:tc>
      </w:tr>
      <w:tr w:rsidR="00F427A3" w14:paraId="54E90765" w14:textId="77777777">
        <w:tc>
          <w:tcPr>
            <w:tcW w:w="0" w:type="auto"/>
            <w:shd w:val="clear" w:color="auto" w:fill="auto"/>
            <w:tcMar>
              <w:top w:w="40" w:type="dxa"/>
              <w:left w:w="40" w:type="dxa"/>
              <w:bottom w:w="40" w:type="dxa"/>
              <w:right w:w="40" w:type="dxa"/>
            </w:tcMar>
            <w:vAlign w:val="bottom"/>
          </w:tcPr>
          <w:p w14:paraId="54E9076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762"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September 30, 2020</w:t>
            </w:r>
          </w:p>
        </w:tc>
        <w:tc>
          <w:tcPr>
            <w:tcW w:w="0" w:type="auto"/>
            <w:shd w:val="clear" w:color="auto" w:fill="auto"/>
            <w:tcMar>
              <w:top w:w="40" w:type="dxa"/>
              <w:left w:w="40" w:type="dxa"/>
              <w:bottom w:w="40" w:type="dxa"/>
              <w:right w:w="40" w:type="dxa"/>
            </w:tcMar>
            <w:vAlign w:val="bottom"/>
          </w:tcPr>
          <w:p w14:paraId="54E9076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764"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December 31, 2019</w:t>
            </w:r>
          </w:p>
        </w:tc>
      </w:tr>
      <w:tr w:rsidR="00F427A3" w14:paraId="54E9076A" w14:textId="77777777">
        <w:tc>
          <w:tcPr>
            <w:tcW w:w="0" w:type="auto"/>
            <w:shd w:val="clear" w:color="auto" w:fill="CCEEFF"/>
            <w:tcMar>
              <w:top w:w="40" w:type="dxa"/>
              <w:left w:w="40" w:type="dxa"/>
              <w:bottom w:w="40" w:type="dxa"/>
              <w:right w:w="40" w:type="dxa"/>
            </w:tcMar>
            <w:vAlign w:val="bottom"/>
          </w:tcPr>
          <w:p w14:paraId="54E9076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Cash and cash equivalents:</w:t>
            </w:r>
          </w:p>
        </w:tc>
        <w:tc>
          <w:tcPr>
            <w:tcW w:w="0" w:type="auto"/>
            <w:gridSpan w:val="3"/>
            <w:shd w:val="clear" w:color="auto" w:fill="CCEEFF"/>
            <w:tcMar>
              <w:top w:w="40" w:type="dxa"/>
              <w:left w:w="40" w:type="dxa"/>
              <w:bottom w:w="40" w:type="dxa"/>
              <w:right w:w="40" w:type="dxa"/>
            </w:tcMar>
            <w:vAlign w:val="bottom"/>
          </w:tcPr>
          <w:p w14:paraId="54E9076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76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76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773" w14:textId="77777777">
        <w:tc>
          <w:tcPr>
            <w:tcW w:w="0" w:type="auto"/>
            <w:shd w:val="clear" w:color="auto" w:fill="auto"/>
            <w:tcMar>
              <w:top w:w="40" w:type="dxa"/>
              <w:left w:w="400" w:type="dxa"/>
              <w:bottom w:w="40" w:type="dxa"/>
              <w:right w:w="40" w:type="dxa"/>
            </w:tcMar>
            <w:vAlign w:val="bottom"/>
          </w:tcPr>
          <w:p w14:paraId="54E9076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Cash</w:t>
            </w:r>
          </w:p>
        </w:tc>
        <w:tc>
          <w:tcPr>
            <w:tcW w:w="0" w:type="auto"/>
            <w:shd w:val="clear" w:color="auto" w:fill="auto"/>
            <w:tcMar>
              <w:top w:w="40" w:type="dxa"/>
              <w:left w:w="40" w:type="dxa"/>
              <w:bottom w:w="40" w:type="dxa"/>
            </w:tcMar>
            <w:vAlign w:val="bottom"/>
          </w:tcPr>
          <w:p w14:paraId="54E9076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9076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5,501</w:t>
            </w:r>
          </w:p>
        </w:tc>
        <w:tc>
          <w:tcPr>
            <w:tcW w:w="0" w:type="auto"/>
            <w:shd w:val="clear" w:color="auto" w:fill="auto"/>
            <w:vAlign w:val="bottom"/>
          </w:tcPr>
          <w:p w14:paraId="54E9076E"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76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77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9077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4,735</w:t>
            </w:r>
          </w:p>
        </w:tc>
        <w:tc>
          <w:tcPr>
            <w:tcW w:w="0" w:type="auto"/>
            <w:shd w:val="clear" w:color="auto" w:fill="auto"/>
            <w:vAlign w:val="bottom"/>
          </w:tcPr>
          <w:p w14:paraId="54E90772" w14:textId="77777777" w:rsidR="00F427A3" w:rsidRDefault="00F427A3">
            <w:pPr>
              <w:textAlignment w:val="bottom"/>
              <w:rPr>
                <w:rFonts w:ascii="Times New Roman" w:hAnsi="Times New Roman"/>
                <w:sz w:val="20"/>
                <w:szCs w:val="20"/>
              </w:rPr>
            </w:pPr>
          </w:p>
        </w:tc>
      </w:tr>
      <w:tr w:rsidR="00F427A3" w14:paraId="54E9077A" w14:textId="77777777">
        <w:tc>
          <w:tcPr>
            <w:tcW w:w="0" w:type="auto"/>
            <w:shd w:val="clear" w:color="auto" w:fill="CCEEFF"/>
            <w:tcMar>
              <w:top w:w="40" w:type="dxa"/>
              <w:left w:w="400" w:type="dxa"/>
              <w:bottom w:w="40" w:type="dxa"/>
              <w:right w:w="40" w:type="dxa"/>
            </w:tcMar>
            <w:vAlign w:val="bottom"/>
          </w:tcPr>
          <w:p w14:paraId="54E9077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Money market funds</w:t>
            </w:r>
          </w:p>
        </w:tc>
        <w:tc>
          <w:tcPr>
            <w:tcW w:w="0" w:type="auto"/>
            <w:gridSpan w:val="2"/>
            <w:shd w:val="clear" w:color="auto" w:fill="CCEEFF"/>
            <w:tcMar>
              <w:top w:w="40" w:type="dxa"/>
              <w:left w:w="40" w:type="dxa"/>
              <w:bottom w:w="40" w:type="dxa"/>
            </w:tcMar>
            <w:vAlign w:val="bottom"/>
          </w:tcPr>
          <w:p w14:paraId="54E9077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4,590</w:t>
            </w:r>
          </w:p>
        </w:tc>
        <w:tc>
          <w:tcPr>
            <w:tcW w:w="0" w:type="auto"/>
            <w:shd w:val="clear" w:color="auto" w:fill="CCEEFF"/>
            <w:vAlign w:val="bottom"/>
          </w:tcPr>
          <w:p w14:paraId="54E9077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77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77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12,787</w:t>
            </w:r>
          </w:p>
        </w:tc>
        <w:tc>
          <w:tcPr>
            <w:tcW w:w="0" w:type="auto"/>
            <w:shd w:val="clear" w:color="auto" w:fill="CCEEFF"/>
            <w:vAlign w:val="bottom"/>
          </w:tcPr>
          <w:p w14:paraId="54E90779" w14:textId="77777777" w:rsidR="00F427A3" w:rsidRDefault="00F427A3">
            <w:pPr>
              <w:textAlignment w:val="bottom"/>
              <w:rPr>
                <w:rFonts w:ascii="Times New Roman" w:hAnsi="Times New Roman"/>
                <w:sz w:val="20"/>
                <w:szCs w:val="20"/>
              </w:rPr>
            </w:pPr>
          </w:p>
        </w:tc>
      </w:tr>
      <w:tr w:rsidR="00F427A3" w14:paraId="54E90781" w14:textId="77777777">
        <w:tc>
          <w:tcPr>
            <w:tcW w:w="0" w:type="auto"/>
            <w:shd w:val="clear" w:color="auto" w:fill="auto"/>
            <w:tcMar>
              <w:top w:w="40" w:type="dxa"/>
              <w:left w:w="400" w:type="dxa"/>
              <w:bottom w:w="40" w:type="dxa"/>
              <w:right w:w="40" w:type="dxa"/>
            </w:tcMar>
            <w:vAlign w:val="bottom"/>
          </w:tcPr>
          <w:p w14:paraId="54E9077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xml:space="preserve">U.S. government </w:t>
            </w:r>
            <w:r>
              <w:rPr>
                <w:rFonts w:ascii="Times New Roman" w:eastAsia="宋体" w:hAnsi="Times New Roman"/>
                <w:sz w:val="20"/>
                <w:szCs w:val="20"/>
              </w:rPr>
              <w:t>securities</w:t>
            </w:r>
          </w:p>
        </w:tc>
        <w:tc>
          <w:tcPr>
            <w:tcW w:w="0" w:type="auto"/>
            <w:gridSpan w:val="2"/>
            <w:shd w:val="clear" w:color="auto" w:fill="auto"/>
            <w:tcMar>
              <w:top w:w="40" w:type="dxa"/>
              <w:left w:w="40" w:type="dxa"/>
              <w:bottom w:w="40" w:type="dxa"/>
            </w:tcMar>
            <w:vAlign w:val="bottom"/>
          </w:tcPr>
          <w:p w14:paraId="54E9077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1,272</w:t>
            </w:r>
          </w:p>
        </w:tc>
        <w:tc>
          <w:tcPr>
            <w:tcW w:w="0" w:type="auto"/>
            <w:shd w:val="clear" w:color="auto" w:fill="auto"/>
            <w:vAlign w:val="bottom"/>
          </w:tcPr>
          <w:p w14:paraId="54E9077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77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77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815</w:t>
            </w:r>
          </w:p>
        </w:tc>
        <w:tc>
          <w:tcPr>
            <w:tcW w:w="0" w:type="auto"/>
            <w:shd w:val="clear" w:color="auto" w:fill="auto"/>
            <w:vAlign w:val="bottom"/>
          </w:tcPr>
          <w:p w14:paraId="54E90780" w14:textId="77777777" w:rsidR="00F427A3" w:rsidRDefault="00F427A3">
            <w:pPr>
              <w:textAlignment w:val="bottom"/>
              <w:rPr>
                <w:rFonts w:ascii="Times New Roman" w:hAnsi="Times New Roman"/>
                <w:sz w:val="20"/>
                <w:szCs w:val="20"/>
              </w:rPr>
            </w:pPr>
          </w:p>
        </w:tc>
      </w:tr>
      <w:tr w:rsidR="00F427A3" w14:paraId="54E90788" w14:textId="77777777">
        <w:tc>
          <w:tcPr>
            <w:tcW w:w="0" w:type="auto"/>
            <w:shd w:val="clear" w:color="auto" w:fill="CCEEFF"/>
            <w:tcMar>
              <w:top w:w="40" w:type="dxa"/>
              <w:left w:w="400" w:type="dxa"/>
              <w:bottom w:w="40" w:type="dxa"/>
              <w:right w:w="40" w:type="dxa"/>
            </w:tcMar>
            <w:vAlign w:val="bottom"/>
          </w:tcPr>
          <w:p w14:paraId="54E9078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U.S. government agency securities</w:t>
            </w:r>
          </w:p>
        </w:tc>
        <w:tc>
          <w:tcPr>
            <w:tcW w:w="0" w:type="auto"/>
            <w:gridSpan w:val="2"/>
            <w:shd w:val="clear" w:color="auto" w:fill="CCEEFF"/>
            <w:tcMar>
              <w:top w:w="40" w:type="dxa"/>
              <w:left w:w="40" w:type="dxa"/>
              <w:bottom w:w="40" w:type="dxa"/>
            </w:tcMar>
            <w:vAlign w:val="bottom"/>
          </w:tcPr>
          <w:p w14:paraId="54E9078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0784"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78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78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CCEEFF"/>
            <w:vAlign w:val="bottom"/>
          </w:tcPr>
          <w:p w14:paraId="54E90787" w14:textId="77777777" w:rsidR="00F427A3" w:rsidRDefault="00F427A3">
            <w:pPr>
              <w:textAlignment w:val="bottom"/>
              <w:rPr>
                <w:rFonts w:ascii="Times New Roman" w:hAnsi="Times New Roman"/>
                <w:sz w:val="20"/>
                <w:szCs w:val="20"/>
              </w:rPr>
            </w:pPr>
          </w:p>
        </w:tc>
      </w:tr>
      <w:tr w:rsidR="00F427A3" w14:paraId="54E9078F" w14:textId="77777777">
        <w:tc>
          <w:tcPr>
            <w:tcW w:w="0" w:type="auto"/>
            <w:shd w:val="clear" w:color="auto" w:fill="auto"/>
            <w:tcMar>
              <w:top w:w="40" w:type="dxa"/>
              <w:left w:w="400" w:type="dxa"/>
              <w:bottom w:w="40" w:type="dxa"/>
              <w:right w:w="40" w:type="dxa"/>
            </w:tcMar>
            <w:vAlign w:val="bottom"/>
          </w:tcPr>
          <w:p w14:paraId="54E9078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Certificate of deposits and time deposits</w:t>
            </w:r>
          </w:p>
        </w:tc>
        <w:tc>
          <w:tcPr>
            <w:tcW w:w="0" w:type="auto"/>
            <w:gridSpan w:val="2"/>
            <w:shd w:val="clear" w:color="auto" w:fill="auto"/>
            <w:tcMar>
              <w:top w:w="40" w:type="dxa"/>
              <w:left w:w="40" w:type="dxa"/>
              <w:bottom w:w="40" w:type="dxa"/>
            </w:tcMar>
            <w:vAlign w:val="bottom"/>
          </w:tcPr>
          <w:p w14:paraId="54E9078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254</w:t>
            </w:r>
          </w:p>
        </w:tc>
        <w:tc>
          <w:tcPr>
            <w:tcW w:w="0" w:type="auto"/>
            <w:shd w:val="clear" w:color="auto" w:fill="auto"/>
            <w:vAlign w:val="bottom"/>
          </w:tcPr>
          <w:p w14:paraId="54E9078B"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78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78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217</w:t>
            </w:r>
          </w:p>
        </w:tc>
        <w:tc>
          <w:tcPr>
            <w:tcW w:w="0" w:type="auto"/>
            <w:shd w:val="clear" w:color="auto" w:fill="auto"/>
            <w:vAlign w:val="bottom"/>
          </w:tcPr>
          <w:p w14:paraId="54E9078E" w14:textId="77777777" w:rsidR="00F427A3" w:rsidRDefault="00F427A3">
            <w:pPr>
              <w:textAlignment w:val="bottom"/>
              <w:rPr>
                <w:rFonts w:ascii="Times New Roman" w:hAnsi="Times New Roman"/>
                <w:sz w:val="20"/>
                <w:szCs w:val="20"/>
              </w:rPr>
            </w:pPr>
          </w:p>
        </w:tc>
      </w:tr>
      <w:tr w:rsidR="00F427A3" w14:paraId="54E90796" w14:textId="77777777">
        <w:tc>
          <w:tcPr>
            <w:tcW w:w="0" w:type="auto"/>
            <w:shd w:val="clear" w:color="auto" w:fill="CCEEFF"/>
            <w:tcMar>
              <w:top w:w="40" w:type="dxa"/>
              <w:left w:w="400" w:type="dxa"/>
              <w:bottom w:w="40" w:type="dxa"/>
              <w:right w:w="40" w:type="dxa"/>
            </w:tcMar>
            <w:vAlign w:val="bottom"/>
          </w:tcPr>
          <w:p w14:paraId="54E9079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Corporate debt securities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79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4E90792"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79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79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shd w:val="clear" w:color="auto" w:fill="CCEEFF"/>
            <w:vAlign w:val="bottom"/>
          </w:tcPr>
          <w:p w14:paraId="54E90795" w14:textId="77777777" w:rsidR="00F427A3" w:rsidRDefault="00F427A3">
            <w:pPr>
              <w:textAlignment w:val="bottom"/>
              <w:rPr>
                <w:rFonts w:ascii="Times New Roman" w:hAnsi="Times New Roman"/>
                <w:sz w:val="20"/>
                <w:szCs w:val="20"/>
              </w:rPr>
            </w:pPr>
          </w:p>
        </w:tc>
      </w:tr>
      <w:tr w:rsidR="00F427A3" w14:paraId="54E9079D" w14:textId="77777777">
        <w:tc>
          <w:tcPr>
            <w:tcW w:w="0" w:type="auto"/>
            <w:shd w:val="clear" w:color="auto" w:fill="auto"/>
            <w:tcMar>
              <w:top w:w="40" w:type="dxa"/>
              <w:left w:w="560" w:type="dxa"/>
              <w:bottom w:w="40" w:type="dxa"/>
              <w:right w:w="40" w:type="dxa"/>
            </w:tcMar>
            <w:vAlign w:val="bottom"/>
          </w:tcPr>
          <w:p w14:paraId="54E9079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Total cash and cash equivalents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4E9079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11,617</w:t>
            </w:r>
          </w:p>
        </w:tc>
        <w:tc>
          <w:tcPr>
            <w:tcW w:w="0" w:type="auto"/>
            <w:tcBorders>
              <w:top w:val="single" w:sz="8" w:space="0" w:color="000000"/>
              <w:bottom w:val="single" w:sz="8" w:space="0" w:color="000000"/>
            </w:tcBorders>
            <w:shd w:val="clear" w:color="auto" w:fill="auto"/>
            <w:vAlign w:val="bottom"/>
          </w:tcPr>
          <w:p w14:paraId="54E90799"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79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4E9079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19,079</w:t>
            </w:r>
          </w:p>
        </w:tc>
        <w:tc>
          <w:tcPr>
            <w:tcW w:w="0" w:type="auto"/>
            <w:tcBorders>
              <w:top w:val="single" w:sz="8" w:space="0" w:color="000000"/>
              <w:bottom w:val="single" w:sz="8" w:space="0" w:color="000000"/>
            </w:tcBorders>
            <w:shd w:val="clear" w:color="auto" w:fill="auto"/>
            <w:vAlign w:val="bottom"/>
          </w:tcPr>
          <w:p w14:paraId="54E9079C" w14:textId="77777777" w:rsidR="00F427A3" w:rsidRDefault="00F427A3">
            <w:pPr>
              <w:textAlignment w:val="bottom"/>
              <w:rPr>
                <w:rFonts w:ascii="Times New Roman" w:hAnsi="Times New Roman"/>
                <w:sz w:val="20"/>
                <w:szCs w:val="20"/>
              </w:rPr>
            </w:pPr>
          </w:p>
        </w:tc>
      </w:tr>
      <w:tr w:rsidR="00F427A3" w14:paraId="54E907A2" w14:textId="77777777">
        <w:tc>
          <w:tcPr>
            <w:tcW w:w="0" w:type="auto"/>
            <w:shd w:val="clear" w:color="auto" w:fill="CCEEFF"/>
            <w:tcMar>
              <w:top w:w="40" w:type="dxa"/>
              <w:left w:w="40" w:type="dxa"/>
              <w:bottom w:w="40" w:type="dxa"/>
              <w:right w:w="40" w:type="dxa"/>
            </w:tcMar>
            <w:vAlign w:val="bottom"/>
          </w:tcPr>
          <w:p w14:paraId="54E9079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Marketable securities:</w:t>
            </w:r>
          </w:p>
        </w:tc>
        <w:tc>
          <w:tcPr>
            <w:tcW w:w="0" w:type="auto"/>
            <w:gridSpan w:val="3"/>
            <w:shd w:val="clear" w:color="auto" w:fill="CCEEFF"/>
            <w:tcMar>
              <w:top w:w="40" w:type="dxa"/>
              <w:left w:w="40" w:type="dxa"/>
              <w:bottom w:w="40" w:type="dxa"/>
              <w:right w:w="40" w:type="dxa"/>
            </w:tcMar>
            <w:vAlign w:val="bottom"/>
          </w:tcPr>
          <w:p w14:paraId="54E9079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7A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7A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7A9" w14:textId="77777777">
        <w:tc>
          <w:tcPr>
            <w:tcW w:w="0" w:type="auto"/>
            <w:shd w:val="clear" w:color="auto" w:fill="auto"/>
            <w:tcMar>
              <w:top w:w="40" w:type="dxa"/>
              <w:left w:w="400" w:type="dxa"/>
              <w:bottom w:w="40" w:type="dxa"/>
              <w:right w:w="40" w:type="dxa"/>
            </w:tcMar>
            <w:vAlign w:val="bottom"/>
          </w:tcPr>
          <w:p w14:paraId="54E907A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xml:space="preserve">U.S. </w:t>
            </w:r>
            <w:r>
              <w:rPr>
                <w:rFonts w:ascii="Times New Roman" w:eastAsia="宋体" w:hAnsi="Times New Roman"/>
                <w:sz w:val="20"/>
                <w:szCs w:val="20"/>
              </w:rPr>
              <w:t>government securities</w:t>
            </w:r>
          </w:p>
        </w:tc>
        <w:tc>
          <w:tcPr>
            <w:tcW w:w="0" w:type="auto"/>
            <w:gridSpan w:val="2"/>
            <w:shd w:val="clear" w:color="auto" w:fill="auto"/>
            <w:tcMar>
              <w:top w:w="40" w:type="dxa"/>
              <w:left w:w="40" w:type="dxa"/>
              <w:bottom w:w="40" w:type="dxa"/>
            </w:tcMar>
            <w:vAlign w:val="bottom"/>
          </w:tcPr>
          <w:p w14:paraId="54E907A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21,047</w:t>
            </w:r>
          </w:p>
        </w:tc>
        <w:tc>
          <w:tcPr>
            <w:tcW w:w="0" w:type="auto"/>
            <w:shd w:val="clear" w:color="auto" w:fill="auto"/>
            <w:vAlign w:val="bottom"/>
          </w:tcPr>
          <w:p w14:paraId="54E907A5"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7A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7A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18,679</w:t>
            </w:r>
          </w:p>
        </w:tc>
        <w:tc>
          <w:tcPr>
            <w:tcW w:w="0" w:type="auto"/>
            <w:shd w:val="clear" w:color="auto" w:fill="auto"/>
            <w:vAlign w:val="bottom"/>
          </w:tcPr>
          <w:p w14:paraId="54E907A8" w14:textId="77777777" w:rsidR="00F427A3" w:rsidRDefault="00F427A3">
            <w:pPr>
              <w:textAlignment w:val="bottom"/>
              <w:rPr>
                <w:rFonts w:ascii="Times New Roman" w:hAnsi="Times New Roman"/>
                <w:sz w:val="20"/>
                <w:szCs w:val="20"/>
              </w:rPr>
            </w:pPr>
          </w:p>
        </w:tc>
      </w:tr>
      <w:tr w:rsidR="00F427A3" w14:paraId="54E907B0" w14:textId="77777777">
        <w:tc>
          <w:tcPr>
            <w:tcW w:w="0" w:type="auto"/>
            <w:shd w:val="clear" w:color="auto" w:fill="CCEEFF"/>
            <w:tcMar>
              <w:top w:w="40" w:type="dxa"/>
              <w:left w:w="400" w:type="dxa"/>
              <w:bottom w:w="40" w:type="dxa"/>
              <w:right w:w="40" w:type="dxa"/>
            </w:tcMar>
            <w:vAlign w:val="bottom"/>
          </w:tcPr>
          <w:p w14:paraId="54E907A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U.S. government agency securities</w:t>
            </w:r>
          </w:p>
        </w:tc>
        <w:tc>
          <w:tcPr>
            <w:tcW w:w="0" w:type="auto"/>
            <w:gridSpan w:val="2"/>
            <w:shd w:val="clear" w:color="auto" w:fill="CCEEFF"/>
            <w:tcMar>
              <w:top w:w="40" w:type="dxa"/>
              <w:left w:w="40" w:type="dxa"/>
              <w:bottom w:w="40" w:type="dxa"/>
            </w:tcMar>
            <w:vAlign w:val="bottom"/>
          </w:tcPr>
          <w:p w14:paraId="54E907A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11,063</w:t>
            </w:r>
          </w:p>
        </w:tc>
        <w:tc>
          <w:tcPr>
            <w:tcW w:w="0" w:type="auto"/>
            <w:shd w:val="clear" w:color="auto" w:fill="CCEEFF"/>
            <w:vAlign w:val="bottom"/>
          </w:tcPr>
          <w:p w14:paraId="54E907A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7A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7A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6,712</w:t>
            </w:r>
          </w:p>
        </w:tc>
        <w:tc>
          <w:tcPr>
            <w:tcW w:w="0" w:type="auto"/>
            <w:shd w:val="clear" w:color="auto" w:fill="CCEEFF"/>
            <w:vAlign w:val="bottom"/>
          </w:tcPr>
          <w:p w14:paraId="54E907AF" w14:textId="77777777" w:rsidR="00F427A3" w:rsidRDefault="00F427A3">
            <w:pPr>
              <w:textAlignment w:val="bottom"/>
              <w:rPr>
                <w:rFonts w:ascii="Times New Roman" w:hAnsi="Times New Roman"/>
                <w:sz w:val="20"/>
                <w:szCs w:val="20"/>
              </w:rPr>
            </w:pPr>
          </w:p>
        </w:tc>
      </w:tr>
      <w:tr w:rsidR="00F427A3" w14:paraId="54E907B7" w14:textId="77777777">
        <w:tc>
          <w:tcPr>
            <w:tcW w:w="0" w:type="auto"/>
            <w:shd w:val="clear" w:color="auto" w:fill="auto"/>
            <w:tcMar>
              <w:top w:w="40" w:type="dxa"/>
              <w:left w:w="400" w:type="dxa"/>
              <w:bottom w:w="40" w:type="dxa"/>
              <w:right w:w="40" w:type="dxa"/>
            </w:tcMar>
            <w:vAlign w:val="bottom"/>
          </w:tcPr>
          <w:p w14:paraId="54E907B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Corporate debt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54E907B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11,893</w:t>
            </w:r>
          </w:p>
        </w:tc>
        <w:tc>
          <w:tcPr>
            <w:tcW w:w="0" w:type="auto"/>
            <w:tcBorders>
              <w:bottom w:val="single" w:sz="8" w:space="0" w:color="000000"/>
            </w:tcBorders>
            <w:shd w:val="clear" w:color="auto" w:fill="auto"/>
            <w:vAlign w:val="bottom"/>
          </w:tcPr>
          <w:p w14:paraId="54E907B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7B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07B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10,385</w:t>
            </w:r>
          </w:p>
        </w:tc>
        <w:tc>
          <w:tcPr>
            <w:tcW w:w="0" w:type="auto"/>
            <w:tcBorders>
              <w:bottom w:val="single" w:sz="8" w:space="0" w:color="000000"/>
            </w:tcBorders>
            <w:shd w:val="clear" w:color="auto" w:fill="auto"/>
            <w:vAlign w:val="bottom"/>
          </w:tcPr>
          <w:p w14:paraId="54E907B6" w14:textId="77777777" w:rsidR="00F427A3" w:rsidRDefault="00F427A3">
            <w:pPr>
              <w:textAlignment w:val="bottom"/>
              <w:rPr>
                <w:rFonts w:ascii="Times New Roman" w:hAnsi="Times New Roman"/>
                <w:sz w:val="20"/>
                <w:szCs w:val="20"/>
              </w:rPr>
            </w:pPr>
          </w:p>
        </w:tc>
      </w:tr>
      <w:tr w:rsidR="00F427A3" w14:paraId="54E907BE" w14:textId="77777777">
        <w:tc>
          <w:tcPr>
            <w:tcW w:w="0" w:type="auto"/>
            <w:shd w:val="clear" w:color="auto" w:fill="CCEEFF"/>
            <w:tcMar>
              <w:top w:w="40" w:type="dxa"/>
              <w:left w:w="560" w:type="dxa"/>
              <w:bottom w:w="40" w:type="dxa"/>
              <w:right w:w="40" w:type="dxa"/>
            </w:tcMar>
            <w:vAlign w:val="bottom"/>
          </w:tcPr>
          <w:p w14:paraId="54E907B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Total marketable securities</w:t>
            </w:r>
          </w:p>
        </w:tc>
        <w:tc>
          <w:tcPr>
            <w:tcW w:w="0" w:type="auto"/>
            <w:gridSpan w:val="2"/>
            <w:tcBorders>
              <w:top w:val="single" w:sz="8" w:space="0" w:color="000000"/>
            </w:tcBorders>
            <w:shd w:val="clear" w:color="auto" w:fill="CCEEFF"/>
            <w:tcMar>
              <w:top w:w="40" w:type="dxa"/>
              <w:left w:w="40" w:type="dxa"/>
              <w:bottom w:w="40" w:type="dxa"/>
            </w:tcMar>
            <w:vAlign w:val="bottom"/>
          </w:tcPr>
          <w:p w14:paraId="54E907B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44,003</w:t>
            </w:r>
          </w:p>
        </w:tc>
        <w:tc>
          <w:tcPr>
            <w:tcW w:w="0" w:type="auto"/>
            <w:tcBorders>
              <w:top w:val="single" w:sz="8" w:space="0" w:color="000000"/>
            </w:tcBorders>
            <w:shd w:val="clear" w:color="auto" w:fill="CCEEFF"/>
            <w:vAlign w:val="bottom"/>
          </w:tcPr>
          <w:p w14:paraId="54E907BA"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7B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4E907B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35,776</w:t>
            </w:r>
          </w:p>
        </w:tc>
        <w:tc>
          <w:tcPr>
            <w:tcW w:w="0" w:type="auto"/>
            <w:tcBorders>
              <w:top w:val="single" w:sz="8" w:space="0" w:color="000000"/>
              <w:bottom w:val="single" w:sz="8" w:space="0" w:color="000000"/>
            </w:tcBorders>
            <w:shd w:val="clear" w:color="auto" w:fill="CCEEFF"/>
            <w:vAlign w:val="bottom"/>
          </w:tcPr>
          <w:p w14:paraId="54E907BD" w14:textId="77777777" w:rsidR="00F427A3" w:rsidRDefault="00F427A3">
            <w:pPr>
              <w:textAlignment w:val="bottom"/>
              <w:rPr>
                <w:rFonts w:ascii="Times New Roman" w:hAnsi="Times New Roman"/>
                <w:sz w:val="20"/>
                <w:szCs w:val="20"/>
              </w:rPr>
            </w:pPr>
          </w:p>
        </w:tc>
      </w:tr>
      <w:tr w:rsidR="00F427A3" w14:paraId="54E907C7" w14:textId="77777777">
        <w:tc>
          <w:tcPr>
            <w:tcW w:w="0" w:type="auto"/>
            <w:shd w:val="clear" w:color="auto" w:fill="auto"/>
            <w:tcMar>
              <w:top w:w="40" w:type="dxa"/>
              <w:left w:w="40" w:type="dxa"/>
              <w:bottom w:w="40" w:type="dxa"/>
              <w:right w:w="40" w:type="dxa"/>
            </w:tcMar>
            <w:vAlign w:val="bottom"/>
          </w:tcPr>
          <w:p w14:paraId="54E907B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Total cash and cash equivalents and marketable securities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7C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7C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55,620</w:t>
            </w:r>
          </w:p>
        </w:tc>
        <w:tc>
          <w:tcPr>
            <w:tcW w:w="0" w:type="auto"/>
            <w:tcBorders>
              <w:top w:val="single" w:sz="8" w:space="0" w:color="000000"/>
              <w:bottom w:val="double" w:sz="6" w:space="0" w:color="000000"/>
            </w:tcBorders>
            <w:shd w:val="clear" w:color="auto" w:fill="auto"/>
            <w:vAlign w:val="bottom"/>
          </w:tcPr>
          <w:p w14:paraId="54E907C2"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7C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7C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7C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54,855</w:t>
            </w:r>
          </w:p>
        </w:tc>
        <w:tc>
          <w:tcPr>
            <w:tcW w:w="0" w:type="auto"/>
            <w:tcBorders>
              <w:top w:val="single" w:sz="8" w:space="0" w:color="000000"/>
              <w:bottom w:val="double" w:sz="6" w:space="0" w:color="000000"/>
            </w:tcBorders>
            <w:shd w:val="clear" w:color="auto" w:fill="auto"/>
            <w:vAlign w:val="bottom"/>
          </w:tcPr>
          <w:p w14:paraId="54E907C6" w14:textId="77777777" w:rsidR="00F427A3" w:rsidRDefault="00F427A3">
            <w:pPr>
              <w:textAlignment w:val="bottom"/>
              <w:rPr>
                <w:rFonts w:ascii="Times New Roman" w:hAnsi="Times New Roman"/>
                <w:sz w:val="20"/>
                <w:szCs w:val="20"/>
              </w:rPr>
            </w:pPr>
          </w:p>
        </w:tc>
      </w:tr>
    </w:tbl>
    <w:p w14:paraId="54E907C8" w14:textId="77777777" w:rsidR="00F427A3" w:rsidRDefault="00F427A3">
      <w:pPr>
        <w:spacing w:line="288" w:lineRule="auto"/>
        <w:rPr>
          <w:rFonts w:ascii="Times New Roman" w:hAnsi="Times New Roman"/>
          <w:sz w:val="20"/>
          <w:szCs w:val="20"/>
        </w:rPr>
      </w:pPr>
    </w:p>
    <w:p w14:paraId="54E907C9"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gross unrealized gains on our marketable securities were </w:t>
      </w:r>
      <w:r>
        <w:rPr>
          <w:rFonts w:ascii="Times New Roman" w:eastAsia="宋体" w:hAnsi="Times New Roman"/>
          <w:color w:val="212529"/>
          <w:sz w:val="20"/>
          <w:szCs w:val="20"/>
        </w:rPr>
        <w:t>$719 million</w:t>
      </w:r>
      <w:r>
        <w:rPr>
          <w:rFonts w:ascii="Times New Roman" w:eastAsia="宋体" w:hAnsi="Times New Roman"/>
          <w:sz w:val="20"/>
          <w:szCs w:val="20"/>
        </w:rPr>
        <w:t xml:space="preserve"> and </w:t>
      </w:r>
      <w:r>
        <w:rPr>
          <w:rFonts w:ascii="Times New Roman" w:eastAsia="宋体" w:hAnsi="Times New Roman"/>
          <w:color w:val="212529"/>
          <w:sz w:val="20"/>
          <w:szCs w:val="20"/>
        </w:rPr>
        <w:t>$205 million</w:t>
      </w:r>
      <w:r>
        <w:rPr>
          <w:rFonts w:ascii="Times New Roman" w:eastAsia="宋体" w:hAnsi="Times New Roman"/>
          <w:sz w:val="20"/>
          <w:szCs w:val="20"/>
        </w:rPr>
        <w:t xml:space="preserve"> as of September 30, 2020 and December 31, 2019, respectively. The gross unrealized losses on our marketable securities were not material as of September 30, 2020 and December 31, 2019. The allowance for credit losses was not material as of September 30, 2</w:t>
      </w:r>
      <w:r>
        <w:rPr>
          <w:rFonts w:ascii="Times New Roman" w:eastAsia="宋体" w:hAnsi="Times New Roman"/>
          <w:sz w:val="20"/>
          <w:szCs w:val="20"/>
        </w:rPr>
        <w:t xml:space="preserve">020. </w:t>
      </w:r>
    </w:p>
    <w:p w14:paraId="54E907CA" w14:textId="77777777" w:rsidR="00F427A3" w:rsidRDefault="0044221F">
      <w:pPr>
        <w:spacing w:line="288" w:lineRule="auto"/>
        <w:ind w:firstLine="720"/>
        <w:rPr>
          <w:rFonts w:ascii="Times New Roman" w:hAnsi="Times New Roman"/>
          <w:sz w:val="20"/>
          <w:szCs w:val="20"/>
        </w:rPr>
      </w:pPr>
      <w:r>
        <w:rPr>
          <w:rFonts w:ascii="Times New Roman" w:eastAsia="宋体" w:hAnsi="Times New Roman"/>
          <w:sz w:val="20"/>
          <w:szCs w:val="20"/>
        </w:rPr>
        <w:t xml:space="preserve">The following table classifies our marketable securities by contractual maturities (in millions): </w:t>
      </w:r>
    </w:p>
    <w:tbl>
      <w:tblPr>
        <w:tblW w:w="5000" w:type="pct"/>
        <w:tblCellMar>
          <w:left w:w="0" w:type="dxa"/>
          <w:right w:w="0" w:type="dxa"/>
        </w:tblCellMar>
        <w:tblLook w:val="04A0" w:firstRow="1" w:lastRow="0" w:firstColumn="1" w:lastColumn="0" w:noHBand="0" w:noVBand="1"/>
      </w:tblPr>
      <w:tblGrid>
        <w:gridCol w:w="6956"/>
        <w:gridCol w:w="141"/>
        <w:gridCol w:w="1143"/>
        <w:gridCol w:w="66"/>
      </w:tblGrid>
      <w:tr w:rsidR="00F427A3" w14:paraId="54E907CC" w14:textId="77777777">
        <w:tc>
          <w:tcPr>
            <w:tcW w:w="0" w:type="auto"/>
            <w:gridSpan w:val="4"/>
            <w:shd w:val="clear" w:color="auto" w:fill="auto"/>
            <w:vAlign w:val="center"/>
          </w:tcPr>
          <w:p w14:paraId="54E907CB" w14:textId="77777777" w:rsidR="00F427A3" w:rsidRDefault="00F427A3">
            <w:pPr>
              <w:rPr>
                <w:rFonts w:ascii="Times New Roman" w:hAnsi="Times New Roman"/>
                <w:sz w:val="20"/>
                <w:szCs w:val="20"/>
              </w:rPr>
            </w:pPr>
          </w:p>
        </w:tc>
      </w:tr>
      <w:tr w:rsidR="00F427A3" w14:paraId="54E907D1" w14:textId="77777777">
        <w:tc>
          <w:tcPr>
            <w:tcW w:w="4200" w:type="pct"/>
            <w:shd w:val="clear" w:color="auto" w:fill="auto"/>
            <w:vAlign w:val="center"/>
          </w:tcPr>
          <w:p w14:paraId="54E907CD" w14:textId="77777777" w:rsidR="00F427A3" w:rsidRDefault="00F427A3">
            <w:pPr>
              <w:rPr>
                <w:rFonts w:ascii="Times New Roman" w:hAnsi="Times New Roman"/>
                <w:sz w:val="20"/>
                <w:szCs w:val="20"/>
              </w:rPr>
            </w:pPr>
          </w:p>
        </w:tc>
        <w:tc>
          <w:tcPr>
            <w:tcW w:w="50" w:type="pct"/>
            <w:shd w:val="clear" w:color="auto" w:fill="auto"/>
            <w:vAlign w:val="center"/>
          </w:tcPr>
          <w:p w14:paraId="54E907CE" w14:textId="77777777" w:rsidR="00F427A3" w:rsidRDefault="00F427A3">
            <w:pPr>
              <w:rPr>
                <w:rFonts w:ascii="Times New Roman" w:hAnsi="Times New Roman"/>
                <w:sz w:val="20"/>
                <w:szCs w:val="20"/>
              </w:rPr>
            </w:pPr>
          </w:p>
        </w:tc>
        <w:tc>
          <w:tcPr>
            <w:tcW w:w="700" w:type="pct"/>
            <w:shd w:val="clear" w:color="auto" w:fill="auto"/>
            <w:vAlign w:val="center"/>
          </w:tcPr>
          <w:p w14:paraId="54E907CF" w14:textId="77777777" w:rsidR="00F427A3" w:rsidRDefault="00F427A3">
            <w:pPr>
              <w:rPr>
                <w:rFonts w:ascii="Times New Roman" w:hAnsi="Times New Roman"/>
                <w:sz w:val="20"/>
                <w:szCs w:val="20"/>
              </w:rPr>
            </w:pPr>
          </w:p>
        </w:tc>
        <w:tc>
          <w:tcPr>
            <w:tcW w:w="50" w:type="pct"/>
            <w:shd w:val="clear" w:color="auto" w:fill="auto"/>
            <w:vAlign w:val="center"/>
          </w:tcPr>
          <w:p w14:paraId="54E907D0" w14:textId="77777777" w:rsidR="00F427A3" w:rsidRDefault="00F427A3">
            <w:pPr>
              <w:rPr>
                <w:rFonts w:ascii="Times New Roman" w:hAnsi="Times New Roman"/>
                <w:sz w:val="20"/>
                <w:szCs w:val="20"/>
              </w:rPr>
            </w:pPr>
          </w:p>
        </w:tc>
      </w:tr>
      <w:tr w:rsidR="00F427A3" w14:paraId="54E907D4" w14:textId="77777777">
        <w:tc>
          <w:tcPr>
            <w:tcW w:w="0" w:type="auto"/>
            <w:shd w:val="clear" w:color="auto" w:fill="auto"/>
            <w:tcMar>
              <w:top w:w="40" w:type="dxa"/>
              <w:left w:w="40" w:type="dxa"/>
              <w:bottom w:w="40" w:type="dxa"/>
              <w:right w:w="40" w:type="dxa"/>
            </w:tcMar>
            <w:vAlign w:val="bottom"/>
          </w:tcPr>
          <w:p w14:paraId="54E907D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7D3"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September 30, 2020</w:t>
            </w:r>
          </w:p>
        </w:tc>
      </w:tr>
      <w:tr w:rsidR="00F427A3" w14:paraId="54E907D9" w14:textId="77777777">
        <w:tc>
          <w:tcPr>
            <w:tcW w:w="0" w:type="auto"/>
            <w:shd w:val="clear" w:color="auto" w:fill="CCEEFF"/>
            <w:tcMar>
              <w:top w:w="40" w:type="dxa"/>
              <w:left w:w="40" w:type="dxa"/>
              <w:bottom w:w="40" w:type="dxa"/>
              <w:right w:w="40" w:type="dxa"/>
            </w:tcMar>
            <w:vAlign w:val="bottom"/>
          </w:tcPr>
          <w:p w14:paraId="54E907D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Due in one year</w:t>
            </w:r>
          </w:p>
        </w:tc>
        <w:tc>
          <w:tcPr>
            <w:tcW w:w="0" w:type="auto"/>
            <w:shd w:val="clear" w:color="auto" w:fill="CCEEFF"/>
            <w:tcMar>
              <w:top w:w="40" w:type="dxa"/>
              <w:left w:w="40" w:type="dxa"/>
              <w:bottom w:w="40" w:type="dxa"/>
            </w:tcMar>
            <w:vAlign w:val="bottom"/>
          </w:tcPr>
          <w:p w14:paraId="54E907D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7D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13,591</w:t>
            </w:r>
          </w:p>
        </w:tc>
        <w:tc>
          <w:tcPr>
            <w:tcW w:w="0" w:type="auto"/>
            <w:shd w:val="clear" w:color="auto" w:fill="CCEEFF"/>
            <w:vAlign w:val="bottom"/>
          </w:tcPr>
          <w:p w14:paraId="54E907D8" w14:textId="77777777" w:rsidR="00F427A3" w:rsidRDefault="00F427A3">
            <w:pPr>
              <w:textAlignment w:val="bottom"/>
              <w:rPr>
                <w:rFonts w:ascii="Times New Roman" w:hAnsi="Times New Roman"/>
                <w:sz w:val="20"/>
                <w:szCs w:val="20"/>
              </w:rPr>
            </w:pPr>
          </w:p>
        </w:tc>
      </w:tr>
      <w:tr w:rsidR="00F427A3" w14:paraId="54E907DD" w14:textId="77777777">
        <w:tc>
          <w:tcPr>
            <w:tcW w:w="0" w:type="auto"/>
            <w:shd w:val="clear" w:color="auto" w:fill="auto"/>
            <w:tcMar>
              <w:top w:w="40" w:type="dxa"/>
              <w:left w:w="40" w:type="dxa"/>
              <w:bottom w:w="40" w:type="dxa"/>
              <w:right w:w="40" w:type="dxa"/>
            </w:tcMar>
            <w:vAlign w:val="bottom"/>
          </w:tcPr>
          <w:p w14:paraId="54E907D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Due after one year to five years</w:t>
            </w:r>
          </w:p>
        </w:tc>
        <w:tc>
          <w:tcPr>
            <w:tcW w:w="0" w:type="auto"/>
            <w:gridSpan w:val="2"/>
            <w:tcBorders>
              <w:bottom w:val="single" w:sz="8" w:space="0" w:color="000000"/>
            </w:tcBorders>
            <w:shd w:val="clear" w:color="auto" w:fill="auto"/>
            <w:tcMar>
              <w:top w:w="40" w:type="dxa"/>
              <w:left w:w="40" w:type="dxa"/>
              <w:bottom w:w="40" w:type="dxa"/>
            </w:tcMar>
            <w:vAlign w:val="bottom"/>
          </w:tcPr>
          <w:p w14:paraId="54E907D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30,412</w:t>
            </w:r>
          </w:p>
        </w:tc>
        <w:tc>
          <w:tcPr>
            <w:tcW w:w="0" w:type="auto"/>
            <w:tcBorders>
              <w:bottom w:val="single" w:sz="8" w:space="0" w:color="000000"/>
            </w:tcBorders>
            <w:shd w:val="clear" w:color="auto" w:fill="auto"/>
            <w:vAlign w:val="bottom"/>
          </w:tcPr>
          <w:p w14:paraId="54E907DC" w14:textId="77777777" w:rsidR="00F427A3" w:rsidRDefault="00F427A3">
            <w:pPr>
              <w:textAlignment w:val="bottom"/>
              <w:rPr>
                <w:rFonts w:ascii="Times New Roman" w:hAnsi="Times New Roman"/>
                <w:sz w:val="20"/>
                <w:szCs w:val="20"/>
              </w:rPr>
            </w:pPr>
          </w:p>
        </w:tc>
      </w:tr>
      <w:tr w:rsidR="00F427A3" w14:paraId="54E907E2" w14:textId="77777777">
        <w:tc>
          <w:tcPr>
            <w:tcW w:w="0" w:type="auto"/>
            <w:shd w:val="clear" w:color="auto" w:fill="CCEEFF"/>
            <w:tcMar>
              <w:top w:w="40" w:type="dxa"/>
              <w:left w:w="400" w:type="dxa"/>
              <w:bottom w:w="40" w:type="dxa"/>
              <w:right w:w="40" w:type="dxa"/>
            </w:tcMar>
            <w:vAlign w:val="bottom"/>
          </w:tcPr>
          <w:p w14:paraId="54E907D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07D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07E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44,003</w:t>
            </w:r>
          </w:p>
        </w:tc>
        <w:tc>
          <w:tcPr>
            <w:tcW w:w="0" w:type="auto"/>
            <w:tcBorders>
              <w:top w:val="single" w:sz="8" w:space="0" w:color="000000"/>
              <w:bottom w:val="double" w:sz="6" w:space="0" w:color="000000"/>
            </w:tcBorders>
            <w:shd w:val="clear" w:color="auto" w:fill="CCEEFF"/>
            <w:vAlign w:val="bottom"/>
          </w:tcPr>
          <w:p w14:paraId="54E907E1" w14:textId="77777777" w:rsidR="00F427A3" w:rsidRDefault="00F427A3">
            <w:pPr>
              <w:textAlignment w:val="bottom"/>
              <w:rPr>
                <w:rFonts w:ascii="Times New Roman" w:hAnsi="Times New Roman"/>
                <w:sz w:val="20"/>
                <w:szCs w:val="20"/>
              </w:rPr>
            </w:pPr>
          </w:p>
        </w:tc>
      </w:tr>
    </w:tbl>
    <w:p w14:paraId="54E907E3" w14:textId="77777777" w:rsidR="00F427A3" w:rsidRDefault="00F427A3">
      <w:pPr>
        <w:spacing w:line="288" w:lineRule="auto"/>
        <w:rPr>
          <w:rFonts w:ascii="Times New Roman" w:hAnsi="Times New Roman"/>
          <w:sz w:val="20"/>
          <w:szCs w:val="20"/>
        </w:rPr>
      </w:pPr>
    </w:p>
    <w:p w14:paraId="54E907E4" w14:textId="77777777" w:rsidR="00F427A3" w:rsidRDefault="00F427A3">
      <w:pPr>
        <w:rPr>
          <w:rFonts w:ascii="Times New Roman" w:hAnsi="Times New Roman"/>
          <w:sz w:val="20"/>
          <w:szCs w:val="20"/>
        </w:rPr>
      </w:pPr>
    </w:p>
    <w:p w14:paraId="54E907E5"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18</w:t>
      </w:r>
    </w:p>
    <w:p w14:paraId="54E907E6" w14:textId="77777777" w:rsidR="00F427A3" w:rsidRDefault="0044221F">
      <w:r>
        <w:rPr>
          <w:rFonts w:ascii="Times New Roman" w:hAnsi="Times New Roman"/>
          <w:sz w:val="20"/>
          <w:szCs w:val="20"/>
        </w:rPr>
        <w:pict w14:anchorId="54E91C32">
          <v:rect id="_x0000_i1042" style="width:415.3pt;height:1.5pt" o:hralign="center" o:hrstd="t" o:hr="t" fillcolor="#a0a0a0" stroked="f"/>
        </w:pict>
      </w:r>
    </w:p>
    <w:p w14:paraId="54E907E7" w14:textId="77777777" w:rsidR="00F427A3" w:rsidRDefault="0044221F">
      <w:pPr>
        <w:spacing w:line="288" w:lineRule="auto"/>
        <w:rPr>
          <w:rFonts w:ascii="Times New Roman" w:hAnsi="Times New Roman"/>
          <w:sz w:val="20"/>
          <w:szCs w:val="20"/>
        </w:rPr>
      </w:pPr>
      <w:hyperlink r:id="rId59" w:anchor="s348EA962CF6D59B599D9921AFA89C381" w:history="1">
        <w:r>
          <w:rPr>
            <w:rStyle w:val="a5"/>
            <w:rFonts w:ascii="Times New Roman" w:eastAsia="宋体" w:hAnsi="Times New Roman"/>
            <w:sz w:val="20"/>
            <w:szCs w:val="20"/>
          </w:rPr>
          <w:t>Table of Contents</w:t>
        </w:r>
      </w:hyperlink>
    </w:p>
    <w:p w14:paraId="54E907E8" w14:textId="77777777" w:rsidR="00F427A3" w:rsidRDefault="00F427A3">
      <w:pPr>
        <w:rPr>
          <w:rFonts w:ascii="Times New Roman" w:hAnsi="Times New Roman"/>
          <w:sz w:val="20"/>
          <w:szCs w:val="20"/>
        </w:rPr>
      </w:pPr>
    </w:p>
    <w:p w14:paraId="54E907E9"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Note 5. Equity Investments</w:t>
      </w:r>
    </w:p>
    <w:p w14:paraId="54E907EA" w14:textId="77777777" w:rsidR="00F427A3" w:rsidRDefault="00F427A3">
      <w:pPr>
        <w:spacing w:line="288" w:lineRule="auto"/>
        <w:ind w:firstLine="720"/>
        <w:jc w:val="both"/>
        <w:rPr>
          <w:rFonts w:ascii="Times New Roman" w:hAnsi="Times New Roman"/>
          <w:sz w:val="20"/>
          <w:szCs w:val="20"/>
        </w:rPr>
      </w:pPr>
    </w:p>
    <w:p w14:paraId="54E907EB"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Our equity investments are investments in equity securit</w:t>
      </w:r>
      <w:r>
        <w:rPr>
          <w:rFonts w:ascii="Times New Roman" w:eastAsia="宋体" w:hAnsi="Times New Roman"/>
          <w:sz w:val="20"/>
          <w:szCs w:val="20"/>
        </w:rPr>
        <w:t>ies of privately-held companies without readily determinable market values. On July 7, 2020, we completed our equity investment in Jio Platforms Limited (Jio), a subsidiary of Reliance Industries Limited, for $5.82 billion. As of September 30, 2020, our eq</w:t>
      </w:r>
      <w:r>
        <w:rPr>
          <w:rFonts w:ascii="Times New Roman" w:eastAsia="宋体" w:hAnsi="Times New Roman"/>
          <w:sz w:val="20"/>
          <w:szCs w:val="20"/>
        </w:rPr>
        <w:t>uity investments in Jio and other companies had a carrying value of $6.16 billion. There was no material impairment in the three and nine months ended September 30, 2020.</w:t>
      </w:r>
    </w:p>
    <w:p w14:paraId="54E907EC" w14:textId="77777777" w:rsidR="00F427A3" w:rsidRDefault="00F427A3">
      <w:pPr>
        <w:spacing w:line="288" w:lineRule="auto"/>
        <w:ind w:firstLine="720"/>
        <w:jc w:val="both"/>
        <w:rPr>
          <w:rFonts w:ascii="Times New Roman" w:hAnsi="Times New Roman"/>
          <w:sz w:val="20"/>
          <w:szCs w:val="20"/>
        </w:rPr>
      </w:pPr>
    </w:p>
    <w:p w14:paraId="54E907ED" w14:textId="77777777" w:rsidR="00F427A3" w:rsidRDefault="0044221F">
      <w:pPr>
        <w:spacing w:line="288" w:lineRule="auto"/>
        <w:ind w:firstLine="720"/>
        <w:rPr>
          <w:rFonts w:ascii="Times New Roman" w:hAnsi="Times New Roman"/>
          <w:sz w:val="20"/>
          <w:szCs w:val="20"/>
        </w:rPr>
      </w:pPr>
      <w:r>
        <w:rPr>
          <w:rFonts w:ascii="Times New Roman" w:eastAsia="宋体" w:hAnsi="Times New Roman"/>
          <w:sz w:val="20"/>
          <w:szCs w:val="20"/>
        </w:rPr>
        <w:t>The changes in the carrying value of equity investments for the nine months ended Se</w:t>
      </w:r>
      <w:r>
        <w:rPr>
          <w:rFonts w:ascii="Times New Roman" w:eastAsia="宋体" w:hAnsi="Times New Roman"/>
          <w:sz w:val="20"/>
          <w:szCs w:val="20"/>
        </w:rPr>
        <w:t>ptember 30, 2020 are as follows (in millions): </w:t>
      </w:r>
    </w:p>
    <w:tbl>
      <w:tblPr>
        <w:tblW w:w="5000" w:type="pct"/>
        <w:tblCellMar>
          <w:left w:w="0" w:type="dxa"/>
          <w:right w:w="0" w:type="dxa"/>
        </w:tblCellMar>
        <w:tblLook w:val="04A0" w:firstRow="1" w:lastRow="0" w:firstColumn="1" w:lastColumn="0" w:noHBand="0" w:noVBand="1"/>
      </w:tblPr>
      <w:tblGrid>
        <w:gridCol w:w="7019"/>
        <w:gridCol w:w="140"/>
        <w:gridCol w:w="1040"/>
        <w:gridCol w:w="107"/>
      </w:tblGrid>
      <w:tr w:rsidR="00F427A3" w14:paraId="54E907EF" w14:textId="77777777">
        <w:tc>
          <w:tcPr>
            <w:tcW w:w="0" w:type="auto"/>
            <w:gridSpan w:val="4"/>
            <w:shd w:val="clear" w:color="auto" w:fill="auto"/>
            <w:vAlign w:val="center"/>
          </w:tcPr>
          <w:p w14:paraId="54E907EE" w14:textId="77777777" w:rsidR="00F427A3" w:rsidRDefault="00F427A3">
            <w:pPr>
              <w:rPr>
                <w:rFonts w:ascii="Times New Roman" w:hAnsi="Times New Roman"/>
                <w:sz w:val="20"/>
                <w:szCs w:val="20"/>
              </w:rPr>
            </w:pPr>
          </w:p>
        </w:tc>
      </w:tr>
      <w:tr w:rsidR="00F427A3" w14:paraId="54E907F4" w14:textId="77777777">
        <w:tc>
          <w:tcPr>
            <w:tcW w:w="4250" w:type="pct"/>
            <w:shd w:val="clear" w:color="auto" w:fill="auto"/>
            <w:vAlign w:val="center"/>
          </w:tcPr>
          <w:p w14:paraId="54E907F0" w14:textId="77777777" w:rsidR="00F427A3" w:rsidRDefault="00F427A3">
            <w:pPr>
              <w:rPr>
                <w:rFonts w:ascii="Times New Roman" w:hAnsi="Times New Roman"/>
                <w:sz w:val="20"/>
                <w:szCs w:val="20"/>
              </w:rPr>
            </w:pPr>
          </w:p>
        </w:tc>
        <w:tc>
          <w:tcPr>
            <w:tcW w:w="50" w:type="pct"/>
            <w:shd w:val="clear" w:color="auto" w:fill="auto"/>
            <w:vAlign w:val="center"/>
          </w:tcPr>
          <w:p w14:paraId="54E907F1" w14:textId="77777777" w:rsidR="00F427A3" w:rsidRDefault="00F427A3">
            <w:pPr>
              <w:rPr>
                <w:rFonts w:ascii="Times New Roman" w:hAnsi="Times New Roman"/>
                <w:sz w:val="20"/>
                <w:szCs w:val="20"/>
              </w:rPr>
            </w:pPr>
          </w:p>
        </w:tc>
        <w:tc>
          <w:tcPr>
            <w:tcW w:w="650" w:type="pct"/>
            <w:shd w:val="clear" w:color="auto" w:fill="auto"/>
            <w:vAlign w:val="center"/>
          </w:tcPr>
          <w:p w14:paraId="54E907F2" w14:textId="77777777" w:rsidR="00F427A3" w:rsidRDefault="00F427A3">
            <w:pPr>
              <w:rPr>
                <w:rFonts w:ascii="Times New Roman" w:hAnsi="Times New Roman"/>
                <w:sz w:val="20"/>
                <w:szCs w:val="20"/>
              </w:rPr>
            </w:pPr>
          </w:p>
        </w:tc>
        <w:tc>
          <w:tcPr>
            <w:tcW w:w="50" w:type="pct"/>
            <w:shd w:val="clear" w:color="auto" w:fill="auto"/>
            <w:vAlign w:val="center"/>
          </w:tcPr>
          <w:p w14:paraId="54E907F3" w14:textId="77777777" w:rsidR="00F427A3" w:rsidRDefault="00F427A3">
            <w:pPr>
              <w:rPr>
                <w:rFonts w:ascii="Times New Roman" w:hAnsi="Times New Roman"/>
                <w:sz w:val="20"/>
                <w:szCs w:val="20"/>
              </w:rPr>
            </w:pPr>
          </w:p>
        </w:tc>
      </w:tr>
      <w:tr w:rsidR="00F427A3" w14:paraId="54E907F9" w14:textId="77777777">
        <w:tc>
          <w:tcPr>
            <w:tcW w:w="0" w:type="auto"/>
            <w:shd w:val="clear" w:color="auto" w:fill="CCEEFF"/>
            <w:tcMar>
              <w:top w:w="40" w:type="dxa"/>
              <w:left w:w="40" w:type="dxa"/>
              <w:bottom w:w="40" w:type="dxa"/>
              <w:right w:w="40" w:type="dxa"/>
            </w:tcMar>
            <w:vAlign w:val="bottom"/>
          </w:tcPr>
          <w:p w14:paraId="54E907F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Balance as of December 31, 2019</w:t>
            </w:r>
          </w:p>
        </w:tc>
        <w:tc>
          <w:tcPr>
            <w:tcW w:w="0" w:type="auto"/>
            <w:shd w:val="clear" w:color="auto" w:fill="CCEEFF"/>
            <w:tcMar>
              <w:top w:w="40" w:type="dxa"/>
              <w:left w:w="40" w:type="dxa"/>
              <w:bottom w:w="40" w:type="dxa"/>
            </w:tcMar>
            <w:vAlign w:val="bottom"/>
          </w:tcPr>
          <w:p w14:paraId="54E907F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7F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86</w:t>
            </w:r>
          </w:p>
        </w:tc>
        <w:tc>
          <w:tcPr>
            <w:tcW w:w="0" w:type="auto"/>
            <w:shd w:val="clear" w:color="auto" w:fill="CCEEFF"/>
            <w:vAlign w:val="bottom"/>
          </w:tcPr>
          <w:p w14:paraId="54E907F8" w14:textId="77777777" w:rsidR="00F427A3" w:rsidRDefault="00F427A3">
            <w:pPr>
              <w:textAlignment w:val="bottom"/>
              <w:rPr>
                <w:rFonts w:ascii="Times New Roman" w:hAnsi="Times New Roman"/>
                <w:sz w:val="20"/>
                <w:szCs w:val="20"/>
              </w:rPr>
            </w:pPr>
          </w:p>
        </w:tc>
      </w:tr>
      <w:tr w:rsidR="00F427A3" w14:paraId="54E907FD" w14:textId="77777777">
        <w:tc>
          <w:tcPr>
            <w:tcW w:w="0" w:type="auto"/>
            <w:shd w:val="clear" w:color="auto" w:fill="auto"/>
            <w:tcMar>
              <w:top w:w="40" w:type="dxa"/>
              <w:left w:w="40" w:type="dxa"/>
              <w:bottom w:w="40" w:type="dxa"/>
              <w:right w:w="40" w:type="dxa"/>
            </w:tcMar>
            <w:vAlign w:val="bottom"/>
          </w:tcPr>
          <w:p w14:paraId="54E907F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xml:space="preserve">Jio </w:t>
            </w:r>
          </w:p>
        </w:tc>
        <w:tc>
          <w:tcPr>
            <w:tcW w:w="0" w:type="auto"/>
            <w:gridSpan w:val="2"/>
            <w:shd w:val="clear" w:color="auto" w:fill="auto"/>
            <w:tcMar>
              <w:top w:w="40" w:type="dxa"/>
              <w:left w:w="40" w:type="dxa"/>
              <w:bottom w:w="40" w:type="dxa"/>
            </w:tcMar>
            <w:vAlign w:val="bottom"/>
          </w:tcPr>
          <w:p w14:paraId="54E907F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5,824</w:t>
            </w:r>
          </w:p>
        </w:tc>
        <w:tc>
          <w:tcPr>
            <w:tcW w:w="0" w:type="auto"/>
            <w:shd w:val="clear" w:color="auto" w:fill="auto"/>
            <w:vAlign w:val="bottom"/>
          </w:tcPr>
          <w:p w14:paraId="54E907FC" w14:textId="77777777" w:rsidR="00F427A3" w:rsidRDefault="00F427A3">
            <w:pPr>
              <w:textAlignment w:val="bottom"/>
              <w:rPr>
                <w:rFonts w:ascii="Times New Roman" w:hAnsi="Times New Roman"/>
                <w:sz w:val="20"/>
                <w:szCs w:val="20"/>
              </w:rPr>
            </w:pPr>
          </w:p>
        </w:tc>
      </w:tr>
      <w:tr w:rsidR="00F427A3" w14:paraId="54E90801" w14:textId="77777777">
        <w:tc>
          <w:tcPr>
            <w:tcW w:w="0" w:type="auto"/>
            <w:shd w:val="clear" w:color="auto" w:fill="CCEEFF"/>
            <w:tcMar>
              <w:top w:w="40" w:type="dxa"/>
              <w:left w:w="40" w:type="dxa"/>
              <w:bottom w:w="40" w:type="dxa"/>
              <w:right w:w="40" w:type="dxa"/>
            </w:tcMar>
            <w:vAlign w:val="bottom"/>
          </w:tcPr>
          <w:p w14:paraId="54E907F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Other investments</w:t>
            </w:r>
          </w:p>
        </w:tc>
        <w:tc>
          <w:tcPr>
            <w:tcW w:w="0" w:type="auto"/>
            <w:gridSpan w:val="2"/>
            <w:shd w:val="clear" w:color="auto" w:fill="CCEEFF"/>
            <w:tcMar>
              <w:top w:w="40" w:type="dxa"/>
              <w:left w:w="40" w:type="dxa"/>
              <w:bottom w:w="40" w:type="dxa"/>
            </w:tcMar>
            <w:vAlign w:val="bottom"/>
          </w:tcPr>
          <w:p w14:paraId="54E907F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263</w:t>
            </w:r>
          </w:p>
        </w:tc>
        <w:tc>
          <w:tcPr>
            <w:tcW w:w="0" w:type="auto"/>
            <w:shd w:val="clear" w:color="auto" w:fill="CCEEFF"/>
            <w:vAlign w:val="bottom"/>
          </w:tcPr>
          <w:p w14:paraId="54E90800" w14:textId="77777777" w:rsidR="00F427A3" w:rsidRDefault="00F427A3">
            <w:pPr>
              <w:textAlignment w:val="bottom"/>
              <w:rPr>
                <w:rFonts w:ascii="Times New Roman" w:hAnsi="Times New Roman"/>
                <w:sz w:val="20"/>
                <w:szCs w:val="20"/>
              </w:rPr>
            </w:pPr>
          </w:p>
        </w:tc>
      </w:tr>
      <w:tr w:rsidR="00F427A3" w14:paraId="54E90805" w14:textId="77777777">
        <w:tc>
          <w:tcPr>
            <w:tcW w:w="0" w:type="auto"/>
            <w:shd w:val="clear" w:color="auto" w:fill="auto"/>
            <w:tcMar>
              <w:top w:w="40" w:type="dxa"/>
              <w:left w:w="40" w:type="dxa"/>
              <w:bottom w:w="40" w:type="dxa"/>
              <w:right w:w="40" w:type="dxa"/>
            </w:tcMar>
            <w:vAlign w:val="bottom"/>
          </w:tcPr>
          <w:p w14:paraId="54E9080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Adjustments</w:t>
            </w:r>
          </w:p>
        </w:tc>
        <w:tc>
          <w:tcPr>
            <w:tcW w:w="0" w:type="auto"/>
            <w:gridSpan w:val="2"/>
            <w:tcBorders>
              <w:bottom w:val="single" w:sz="8" w:space="0" w:color="000000"/>
            </w:tcBorders>
            <w:shd w:val="clear" w:color="auto" w:fill="auto"/>
            <w:tcMar>
              <w:top w:w="40" w:type="dxa"/>
              <w:left w:w="40" w:type="dxa"/>
              <w:bottom w:w="40" w:type="dxa"/>
            </w:tcMar>
            <w:vAlign w:val="bottom"/>
          </w:tcPr>
          <w:p w14:paraId="54E9080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bottom w:val="single" w:sz="8" w:space="0" w:color="000000"/>
            </w:tcBorders>
            <w:shd w:val="clear" w:color="auto" w:fill="auto"/>
            <w:tcMar>
              <w:top w:w="40" w:type="dxa"/>
              <w:bottom w:w="40" w:type="dxa"/>
              <w:right w:w="40" w:type="dxa"/>
            </w:tcMar>
            <w:vAlign w:val="bottom"/>
          </w:tcPr>
          <w:p w14:paraId="54E9080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080A" w14:textId="77777777">
        <w:tc>
          <w:tcPr>
            <w:tcW w:w="0" w:type="auto"/>
            <w:shd w:val="clear" w:color="auto" w:fill="CCEEFF"/>
            <w:tcMar>
              <w:top w:w="40" w:type="dxa"/>
              <w:left w:w="40" w:type="dxa"/>
              <w:bottom w:w="40" w:type="dxa"/>
              <w:right w:w="40" w:type="dxa"/>
            </w:tcMar>
            <w:vAlign w:val="bottom"/>
          </w:tcPr>
          <w:p w14:paraId="54E9080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Balance as of September 30, 2020</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080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080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6,164</w:t>
            </w:r>
          </w:p>
        </w:tc>
        <w:tc>
          <w:tcPr>
            <w:tcW w:w="0" w:type="auto"/>
            <w:tcBorders>
              <w:top w:val="single" w:sz="8" w:space="0" w:color="000000"/>
              <w:bottom w:val="double" w:sz="6" w:space="0" w:color="000000"/>
            </w:tcBorders>
            <w:shd w:val="clear" w:color="auto" w:fill="CCEEFF"/>
            <w:vAlign w:val="bottom"/>
          </w:tcPr>
          <w:p w14:paraId="54E90809" w14:textId="77777777" w:rsidR="00F427A3" w:rsidRDefault="00F427A3">
            <w:pPr>
              <w:textAlignment w:val="bottom"/>
              <w:rPr>
                <w:rFonts w:ascii="Times New Roman" w:hAnsi="Times New Roman"/>
                <w:sz w:val="20"/>
                <w:szCs w:val="20"/>
              </w:rPr>
            </w:pPr>
          </w:p>
        </w:tc>
      </w:tr>
    </w:tbl>
    <w:p w14:paraId="54E9080B" w14:textId="77777777" w:rsidR="00F427A3" w:rsidRDefault="00F427A3">
      <w:pPr>
        <w:spacing w:line="288" w:lineRule="auto"/>
        <w:rPr>
          <w:rFonts w:ascii="Times New Roman" w:hAnsi="Times New Roman"/>
          <w:sz w:val="20"/>
          <w:szCs w:val="20"/>
        </w:rPr>
      </w:pPr>
    </w:p>
    <w:p w14:paraId="54E9080C" w14:textId="77777777" w:rsidR="00F427A3" w:rsidRDefault="00F427A3">
      <w:pPr>
        <w:spacing w:line="288" w:lineRule="auto"/>
        <w:ind w:firstLine="720"/>
        <w:jc w:val="both"/>
        <w:rPr>
          <w:rFonts w:ascii="Times New Roman" w:hAnsi="Times New Roman"/>
          <w:sz w:val="20"/>
          <w:szCs w:val="20"/>
        </w:rPr>
      </w:pPr>
    </w:p>
    <w:p w14:paraId="54E9080D"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Note 6. Fair Value Measurement</w:t>
      </w:r>
    </w:p>
    <w:p w14:paraId="54E9080E" w14:textId="77777777" w:rsidR="00F427A3" w:rsidRDefault="00F427A3">
      <w:pPr>
        <w:spacing w:line="288" w:lineRule="auto"/>
        <w:ind w:firstLine="720"/>
        <w:jc w:val="both"/>
        <w:rPr>
          <w:rFonts w:ascii="Times New Roman" w:hAnsi="Times New Roman"/>
          <w:sz w:val="20"/>
          <w:szCs w:val="20"/>
        </w:rPr>
      </w:pPr>
    </w:p>
    <w:p w14:paraId="54E9080F"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following table </w:t>
      </w:r>
      <w:r>
        <w:rPr>
          <w:rFonts w:ascii="Times New Roman" w:eastAsia="宋体" w:hAnsi="Times New Roman"/>
          <w:sz w:val="20"/>
          <w:szCs w:val="20"/>
        </w:rPr>
        <w:t>summarizes our cash equivalents and marketable securities measured at fair value and the classification by level of input within the fair value hierarchy (in millions):</w:t>
      </w: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3266"/>
        <w:gridCol w:w="130"/>
        <w:gridCol w:w="141"/>
        <w:gridCol w:w="941"/>
        <w:gridCol w:w="75"/>
        <w:gridCol w:w="130"/>
        <w:gridCol w:w="141"/>
        <w:gridCol w:w="987"/>
        <w:gridCol w:w="82"/>
        <w:gridCol w:w="130"/>
        <w:gridCol w:w="141"/>
        <w:gridCol w:w="819"/>
        <w:gridCol w:w="61"/>
        <w:gridCol w:w="130"/>
        <w:gridCol w:w="141"/>
        <w:gridCol w:w="918"/>
        <w:gridCol w:w="73"/>
      </w:tblGrid>
      <w:tr w:rsidR="00F427A3" w14:paraId="54E90811" w14:textId="77777777">
        <w:tc>
          <w:tcPr>
            <w:tcW w:w="0" w:type="auto"/>
            <w:gridSpan w:val="17"/>
            <w:shd w:val="clear" w:color="auto" w:fill="auto"/>
            <w:vAlign w:val="center"/>
          </w:tcPr>
          <w:p w14:paraId="54E90810" w14:textId="77777777" w:rsidR="00F427A3" w:rsidRDefault="00F427A3">
            <w:pPr>
              <w:rPr>
                <w:rFonts w:ascii="Times New Roman" w:hAnsi="Times New Roman"/>
                <w:sz w:val="20"/>
                <w:szCs w:val="20"/>
              </w:rPr>
            </w:pPr>
          </w:p>
        </w:tc>
      </w:tr>
      <w:tr w:rsidR="00F427A3" w14:paraId="54E90823" w14:textId="77777777">
        <w:tc>
          <w:tcPr>
            <w:tcW w:w="2000" w:type="pct"/>
            <w:shd w:val="clear" w:color="auto" w:fill="auto"/>
            <w:vAlign w:val="center"/>
          </w:tcPr>
          <w:p w14:paraId="54E90812" w14:textId="77777777" w:rsidR="00F427A3" w:rsidRDefault="00F427A3">
            <w:pPr>
              <w:rPr>
                <w:rFonts w:ascii="Times New Roman" w:hAnsi="Times New Roman"/>
                <w:sz w:val="20"/>
                <w:szCs w:val="20"/>
              </w:rPr>
            </w:pPr>
          </w:p>
        </w:tc>
        <w:tc>
          <w:tcPr>
            <w:tcW w:w="50" w:type="pct"/>
            <w:shd w:val="clear" w:color="auto" w:fill="auto"/>
            <w:vAlign w:val="center"/>
          </w:tcPr>
          <w:p w14:paraId="54E90813" w14:textId="77777777" w:rsidR="00F427A3" w:rsidRDefault="00F427A3">
            <w:pPr>
              <w:rPr>
                <w:rFonts w:ascii="Times New Roman" w:hAnsi="Times New Roman"/>
                <w:sz w:val="20"/>
                <w:szCs w:val="20"/>
              </w:rPr>
            </w:pPr>
          </w:p>
        </w:tc>
        <w:tc>
          <w:tcPr>
            <w:tcW w:w="50" w:type="pct"/>
            <w:shd w:val="clear" w:color="auto" w:fill="auto"/>
            <w:vAlign w:val="center"/>
          </w:tcPr>
          <w:p w14:paraId="54E90814" w14:textId="77777777" w:rsidR="00F427A3" w:rsidRDefault="00F427A3">
            <w:pPr>
              <w:rPr>
                <w:rFonts w:ascii="Times New Roman" w:hAnsi="Times New Roman"/>
                <w:sz w:val="20"/>
                <w:szCs w:val="20"/>
              </w:rPr>
            </w:pPr>
          </w:p>
        </w:tc>
        <w:tc>
          <w:tcPr>
            <w:tcW w:w="600" w:type="pct"/>
            <w:shd w:val="clear" w:color="auto" w:fill="auto"/>
            <w:vAlign w:val="center"/>
          </w:tcPr>
          <w:p w14:paraId="54E90815" w14:textId="77777777" w:rsidR="00F427A3" w:rsidRDefault="00F427A3">
            <w:pPr>
              <w:rPr>
                <w:rFonts w:ascii="Times New Roman" w:hAnsi="Times New Roman"/>
                <w:sz w:val="20"/>
                <w:szCs w:val="20"/>
              </w:rPr>
            </w:pPr>
          </w:p>
        </w:tc>
        <w:tc>
          <w:tcPr>
            <w:tcW w:w="50" w:type="pct"/>
            <w:shd w:val="clear" w:color="auto" w:fill="auto"/>
            <w:vAlign w:val="center"/>
          </w:tcPr>
          <w:p w14:paraId="54E90816" w14:textId="77777777" w:rsidR="00F427A3" w:rsidRDefault="00F427A3">
            <w:pPr>
              <w:rPr>
                <w:rFonts w:ascii="Times New Roman" w:hAnsi="Times New Roman"/>
                <w:sz w:val="20"/>
                <w:szCs w:val="20"/>
              </w:rPr>
            </w:pPr>
          </w:p>
        </w:tc>
        <w:tc>
          <w:tcPr>
            <w:tcW w:w="50" w:type="pct"/>
            <w:shd w:val="clear" w:color="auto" w:fill="auto"/>
            <w:vAlign w:val="center"/>
          </w:tcPr>
          <w:p w14:paraId="54E90817" w14:textId="77777777" w:rsidR="00F427A3" w:rsidRDefault="00F427A3">
            <w:pPr>
              <w:rPr>
                <w:rFonts w:ascii="Times New Roman" w:hAnsi="Times New Roman"/>
                <w:sz w:val="20"/>
                <w:szCs w:val="20"/>
              </w:rPr>
            </w:pPr>
          </w:p>
        </w:tc>
        <w:tc>
          <w:tcPr>
            <w:tcW w:w="50" w:type="pct"/>
            <w:shd w:val="clear" w:color="auto" w:fill="auto"/>
            <w:vAlign w:val="center"/>
          </w:tcPr>
          <w:p w14:paraId="54E90818" w14:textId="77777777" w:rsidR="00F427A3" w:rsidRDefault="00F427A3">
            <w:pPr>
              <w:rPr>
                <w:rFonts w:ascii="Times New Roman" w:hAnsi="Times New Roman"/>
                <w:sz w:val="20"/>
                <w:szCs w:val="20"/>
              </w:rPr>
            </w:pPr>
          </w:p>
        </w:tc>
        <w:tc>
          <w:tcPr>
            <w:tcW w:w="600" w:type="pct"/>
            <w:shd w:val="clear" w:color="auto" w:fill="auto"/>
            <w:vAlign w:val="center"/>
          </w:tcPr>
          <w:p w14:paraId="54E90819" w14:textId="77777777" w:rsidR="00F427A3" w:rsidRDefault="00F427A3">
            <w:pPr>
              <w:rPr>
                <w:rFonts w:ascii="Times New Roman" w:hAnsi="Times New Roman"/>
                <w:sz w:val="20"/>
                <w:szCs w:val="20"/>
              </w:rPr>
            </w:pPr>
          </w:p>
        </w:tc>
        <w:tc>
          <w:tcPr>
            <w:tcW w:w="50" w:type="pct"/>
            <w:shd w:val="clear" w:color="auto" w:fill="auto"/>
            <w:vAlign w:val="center"/>
          </w:tcPr>
          <w:p w14:paraId="54E9081A" w14:textId="77777777" w:rsidR="00F427A3" w:rsidRDefault="00F427A3">
            <w:pPr>
              <w:rPr>
                <w:rFonts w:ascii="Times New Roman" w:hAnsi="Times New Roman"/>
                <w:sz w:val="20"/>
                <w:szCs w:val="20"/>
              </w:rPr>
            </w:pPr>
          </w:p>
        </w:tc>
        <w:tc>
          <w:tcPr>
            <w:tcW w:w="50" w:type="pct"/>
            <w:shd w:val="clear" w:color="auto" w:fill="auto"/>
            <w:vAlign w:val="center"/>
          </w:tcPr>
          <w:p w14:paraId="54E9081B" w14:textId="77777777" w:rsidR="00F427A3" w:rsidRDefault="00F427A3">
            <w:pPr>
              <w:rPr>
                <w:rFonts w:ascii="Times New Roman" w:hAnsi="Times New Roman"/>
                <w:sz w:val="20"/>
                <w:szCs w:val="20"/>
              </w:rPr>
            </w:pPr>
          </w:p>
        </w:tc>
        <w:tc>
          <w:tcPr>
            <w:tcW w:w="50" w:type="pct"/>
            <w:shd w:val="clear" w:color="auto" w:fill="auto"/>
            <w:vAlign w:val="center"/>
          </w:tcPr>
          <w:p w14:paraId="54E9081C" w14:textId="77777777" w:rsidR="00F427A3" w:rsidRDefault="00F427A3">
            <w:pPr>
              <w:rPr>
                <w:rFonts w:ascii="Times New Roman" w:hAnsi="Times New Roman"/>
                <w:sz w:val="20"/>
                <w:szCs w:val="20"/>
              </w:rPr>
            </w:pPr>
          </w:p>
        </w:tc>
        <w:tc>
          <w:tcPr>
            <w:tcW w:w="600" w:type="pct"/>
            <w:shd w:val="clear" w:color="auto" w:fill="auto"/>
            <w:vAlign w:val="center"/>
          </w:tcPr>
          <w:p w14:paraId="54E9081D" w14:textId="77777777" w:rsidR="00F427A3" w:rsidRDefault="00F427A3">
            <w:pPr>
              <w:rPr>
                <w:rFonts w:ascii="Times New Roman" w:hAnsi="Times New Roman"/>
                <w:sz w:val="20"/>
                <w:szCs w:val="20"/>
              </w:rPr>
            </w:pPr>
          </w:p>
        </w:tc>
        <w:tc>
          <w:tcPr>
            <w:tcW w:w="50" w:type="pct"/>
            <w:shd w:val="clear" w:color="auto" w:fill="auto"/>
            <w:vAlign w:val="center"/>
          </w:tcPr>
          <w:p w14:paraId="54E9081E" w14:textId="77777777" w:rsidR="00F427A3" w:rsidRDefault="00F427A3">
            <w:pPr>
              <w:rPr>
                <w:rFonts w:ascii="Times New Roman" w:hAnsi="Times New Roman"/>
                <w:sz w:val="20"/>
                <w:szCs w:val="20"/>
              </w:rPr>
            </w:pPr>
          </w:p>
        </w:tc>
        <w:tc>
          <w:tcPr>
            <w:tcW w:w="50" w:type="pct"/>
            <w:shd w:val="clear" w:color="auto" w:fill="auto"/>
            <w:vAlign w:val="center"/>
          </w:tcPr>
          <w:p w14:paraId="54E9081F" w14:textId="77777777" w:rsidR="00F427A3" w:rsidRDefault="00F427A3">
            <w:pPr>
              <w:rPr>
                <w:rFonts w:ascii="Times New Roman" w:hAnsi="Times New Roman"/>
                <w:sz w:val="20"/>
                <w:szCs w:val="20"/>
              </w:rPr>
            </w:pPr>
          </w:p>
        </w:tc>
        <w:tc>
          <w:tcPr>
            <w:tcW w:w="50" w:type="pct"/>
            <w:shd w:val="clear" w:color="auto" w:fill="auto"/>
            <w:vAlign w:val="center"/>
          </w:tcPr>
          <w:p w14:paraId="54E90820" w14:textId="77777777" w:rsidR="00F427A3" w:rsidRDefault="00F427A3">
            <w:pPr>
              <w:rPr>
                <w:rFonts w:ascii="Times New Roman" w:hAnsi="Times New Roman"/>
                <w:sz w:val="20"/>
                <w:szCs w:val="20"/>
              </w:rPr>
            </w:pPr>
          </w:p>
        </w:tc>
        <w:tc>
          <w:tcPr>
            <w:tcW w:w="600" w:type="pct"/>
            <w:shd w:val="clear" w:color="auto" w:fill="auto"/>
            <w:vAlign w:val="center"/>
          </w:tcPr>
          <w:p w14:paraId="54E90821" w14:textId="77777777" w:rsidR="00F427A3" w:rsidRDefault="00F427A3">
            <w:pPr>
              <w:rPr>
                <w:rFonts w:ascii="Times New Roman" w:hAnsi="Times New Roman"/>
                <w:sz w:val="20"/>
                <w:szCs w:val="20"/>
              </w:rPr>
            </w:pPr>
          </w:p>
        </w:tc>
        <w:tc>
          <w:tcPr>
            <w:tcW w:w="50" w:type="pct"/>
            <w:shd w:val="clear" w:color="auto" w:fill="auto"/>
            <w:vAlign w:val="center"/>
          </w:tcPr>
          <w:p w14:paraId="54E90822" w14:textId="77777777" w:rsidR="00F427A3" w:rsidRDefault="00F427A3">
            <w:pPr>
              <w:rPr>
                <w:rFonts w:ascii="Times New Roman" w:hAnsi="Times New Roman"/>
                <w:sz w:val="20"/>
                <w:szCs w:val="20"/>
              </w:rPr>
            </w:pPr>
          </w:p>
        </w:tc>
      </w:tr>
      <w:tr w:rsidR="00F427A3" w14:paraId="54E9082A" w14:textId="77777777">
        <w:tc>
          <w:tcPr>
            <w:tcW w:w="0" w:type="auto"/>
            <w:shd w:val="clear" w:color="auto" w:fill="auto"/>
            <w:tcMar>
              <w:top w:w="40" w:type="dxa"/>
              <w:left w:w="40" w:type="dxa"/>
              <w:bottom w:w="40" w:type="dxa"/>
              <w:right w:w="40" w:type="dxa"/>
            </w:tcMar>
            <w:vAlign w:val="bottom"/>
          </w:tcPr>
          <w:p w14:paraId="54E90824"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082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826"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082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4E90828"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Fair Value Measurement at</w:t>
            </w:r>
          </w:p>
          <w:p w14:paraId="54E90829"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Reporting Date Using</w:t>
            </w:r>
          </w:p>
        </w:tc>
      </w:tr>
      <w:tr w:rsidR="00F427A3" w14:paraId="54E9083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4E9082B" w14:textId="77777777" w:rsidR="00F427A3" w:rsidRDefault="0044221F">
            <w:pPr>
              <w:textAlignment w:val="bottom"/>
              <w:rPr>
                <w:rFonts w:ascii="Times New Roman" w:hAnsi="Times New Roman"/>
                <w:sz w:val="16"/>
                <w:szCs w:val="16"/>
              </w:rPr>
            </w:pPr>
            <w:r>
              <w:rPr>
                <w:rFonts w:ascii="Times New Roman" w:eastAsia="宋体" w:hAnsi="Times New Roman"/>
                <w:b/>
                <w:bCs/>
                <w:sz w:val="16"/>
                <w:szCs w:val="16"/>
              </w:rPr>
              <w:t>Description</w:t>
            </w:r>
          </w:p>
        </w:tc>
        <w:tc>
          <w:tcPr>
            <w:tcW w:w="0" w:type="auto"/>
            <w:shd w:val="clear" w:color="auto" w:fill="auto"/>
            <w:tcMar>
              <w:top w:w="40" w:type="dxa"/>
              <w:left w:w="40" w:type="dxa"/>
              <w:bottom w:w="40" w:type="dxa"/>
              <w:right w:w="40" w:type="dxa"/>
            </w:tcMar>
            <w:vAlign w:val="bottom"/>
          </w:tcPr>
          <w:p w14:paraId="54E9082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82D"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September 30, 2020</w:t>
            </w:r>
          </w:p>
        </w:tc>
        <w:tc>
          <w:tcPr>
            <w:tcW w:w="0" w:type="auto"/>
            <w:shd w:val="clear" w:color="auto" w:fill="auto"/>
            <w:tcMar>
              <w:top w:w="40" w:type="dxa"/>
              <w:left w:w="40" w:type="dxa"/>
              <w:bottom w:w="40" w:type="dxa"/>
              <w:right w:w="40" w:type="dxa"/>
            </w:tcMar>
            <w:vAlign w:val="bottom"/>
          </w:tcPr>
          <w:p w14:paraId="54E9082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82F"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Quoted Prices in Active Markets for Identical Assets</w:t>
            </w:r>
          </w:p>
          <w:p w14:paraId="54E90830"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(Level 1)</w:t>
            </w:r>
          </w:p>
        </w:tc>
        <w:tc>
          <w:tcPr>
            <w:tcW w:w="0" w:type="auto"/>
            <w:shd w:val="clear" w:color="auto" w:fill="auto"/>
            <w:tcMar>
              <w:top w:w="40" w:type="dxa"/>
              <w:left w:w="40" w:type="dxa"/>
              <w:bottom w:w="40" w:type="dxa"/>
              <w:right w:w="40" w:type="dxa"/>
            </w:tcMar>
            <w:vAlign w:val="bottom"/>
          </w:tcPr>
          <w:p w14:paraId="54E9083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832"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Significant Other Observable Inputs</w:t>
            </w:r>
          </w:p>
          <w:p w14:paraId="54E90833"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(Level 2)</w:t>
            </w:r>
          </w:p>
        </w:tc>
        <w:tc>
          <w:tcPr>
            <w:tcW w:w="0" w:type="auto"/>
            <w:shd w:val="clear" w:color="auto" w:fill="auto"/>
            <w:tcMar>
              <w:top w:w="40" w:type="dxa"/>
              <w:left w:w="40" w:type="dxa"/>
              <w:bottom w:w="40" w:type="dxa"/>
              <w:right w:w="40" w:type="dxa"/>
            </w:tcMar>
            <w:vAlign w:val="bottom"/>
          </w:tcPr>
          <w:p w14:paraId="54E9083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835"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xml:space="preserve">Significant Unobservable Inputs </w:t>
            </w:r>
          </w:p>
          <w:p w14:paraId="54E90836"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(Level 3)</w:t>
            </w:r>
          </w:p>
        </w:tc>
      </w:tr>
      <w:tr w:rsidR="00F427A3" w14:paraId="54E90841" w14:textId="77777777">
        <w:tc>
          <w:tcPr>
            <w:tcW w:w="0" w:type="auto"/>
            <w:shd w:val="clear" w:color="auto" w:fill="CCEEFF"/>
            <w:tcMar>
              <w:top w:w="40" w:type="dxa"/>
              <w:left w:w="40" w:type="dxa"/>
              <w:bottom w:w="40" w:type="dxa"/>
              <w:right w:w="40" w:type="dxa"/>
            </w:tcMar>
          </w:tcPr>
          <w:p w14:paraId="54E90838"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Cash equivalents:</w:t>
            </w:r>
          </w:p>
        </w:tc>
        <w:tc>
          <w:tcPr>
            <w:tcW w:w="0" w:type="auto"/>
            <w:shd w:val="clear" w:color="auto" w:fill="CCEEFF"/>
            <w:tcMar>
              <w:top w:w="40" w:type="dxa"/>
              <w:left w:w="40" w:type="dxa"/>
              <w:bottom w:w="40" w:type="dxa"/>
              <w:right w:w="40" w:type="dxa"/>
            </w:tcMar>
            <w:vAlign w:val="bottom"/>
          </w:tcPr>
          <w:p w14:paraId="54E9083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83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83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83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83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83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83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84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853" w14:textId="77777777">
        <w:tc>
          <w:tcPr>
            <w:tcW w:w="0" w:type="auto"/>
            <w:shd w:val="clear" w:color="auto" w:fill="auto"/>
            <w:tcMar>
              <w:top w:w="40" w:type="dxa"/>
              <w:left w:w="560" w:type="dxa"/>
              <w:bottom w:w="40" w:type="dxa"/>
              <w:right w:w="40" w:type="dxa"/>
            </w:tcMar>
          </w:tcPr>
          <w:p w14:paraId="54E90842"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Money market funds</w:t>
            </w:r>
          </w:p>
        </w:tc>
        <w:tc>
          <w:tcPr>
            <w:tcW w:w="0" w:type="auto"/>
            <w:shd w:val="clear" w:color="auto" w:fill="auto"/>
            <w:tcMar>
              <w:top w:w="40" w:type="dxa"/>
              <w:left w:w="40" w:type="dxa"/>
              <w:bottom w:w="40" w:type="dxa"/>
              <w:right w:w="40" w:type="dxa"/>
            </w:tcMar>
            <w:vAlign w:val="bottom"/>
          </w:tcPr>
          <w:p w14:paraId="54E9084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84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9084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4,590</w:t>
            </w:r>
          </w:p>
        </w:tc>
        <w:tc>
          <w:tcPr>
            <w:tcW w:w="0" w:type="auto"/>
            <w:shd w:val="clear" w:color="auto" w:fill="auto"/>
            <w:vAlign w:val="bottom"/>
          </w:tcPr>
          <w:p w14:paraId="54E90846"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84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84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9084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4,590</w:t>
            </w:r>
          </w:p>
        </w:tc>
        <w:tc>
          <w:tcPr>
            <w:tcW w:w="0" w:type="auto"/>
            <w:shd w:val="clear" w:color="auto" w:fill="auto"/>
            <w:vAlign w:val="bottom"/>
          </w:tcPr>
          <w:p w14:paraId="54E9084A"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84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84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9084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4E9084E"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84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85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9085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4E90852" w14:textId="77777777" w:rsidR="00F427A3" w:rsidRDefault="00F427A3">
            <w:pPr>
              <w:textAlignment w:val="bottom"/>
              <w:rPr>
                <w:rFonts w:ascii="Times New Roman" w:hAnsi="Times New Roman"/>
                <w:sz w:val="20"/>
                <w:szCs w:val="20"/>
              </w:rPr>
            </w:pPr>
          </w:p>
        </w:tc>
      </w:tr>
      <w:tr w:rsidR="00F427A3" w14:paraId="54E90861" w14:textId="77777777">
        <w:tc>
          <w:tcPr>
            <w:tcW w:w="0" w:type="auto"/>
            <w:shd w:val="clear" w:color="auto" w:fill="CCEEFF"/>
            <w:tcMar>
              <w:top w:w="40" w:type="dxa"/>
              <w:left w:w="560" w:type="dxa"/>
              <w:bottom w:w="40" w:type="dxa"/>
              <w:right w:w="40" w:type="dxa"/>
            </w:tcMar>
          </w:tcPr>
          <w:p w14:paraId="54E90854"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U.S. government securities</w:t>
            </w:r>
          </w:p>
        </w:tc>
        <w:tc>
          <w:tcPr>
            <w:tcW w:w="0" w:type="auto"/>
            <w:shd w:val="clear" w:color="auto" w:fill="CCEEFF"/>
            <w:tcMar>
              <w:top w:w="40" w:type="dxa"/>
              <w:left w:w="40" w:type="dxa"/>
              <w:bottom w:w="40" w:type="dxa"/>
              <w:right w:w="40" w:type="dxa"/>
            </w:tcMar>
            <w:vAlign w:val="bottom"/>
          </w:tcPr>
          <w:p w14:paraId="54E9085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85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1,272</w:t>
            </w:r>
          </w:p>
        </w:tc>
        <w:tc>
          <w:tcPr>
            <w:tcW w:w="0" w:type="auto"/>
            <w:shd w:val="clear" w:color="auto" w:fill="CCEEFF"/>
            <w:vAlign w:val="bottom"/>
          </w:tcPr>
          <w:p w14:paraId="54E9085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85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85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1,272</w:t>
            </w:r>
          </w:p>
        </w:tc>
        <w:tc>
          <w:tcPr>
            <w:tcW w:w="0" w:type="auto"/>
            <w:shd w:val="clear" w:color="auto" w:fill="CCEEFF"/>
            <w:vAlign w:val="bottom"/>
          </w:tcPr>
          <w:p w14:paraId="54E9085A"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85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85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085D"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85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85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0860" w14:textId="77777777" w:rsidR="00F427A3" w:rsidRDefault="00F427A3">
            <w:pPr>
              <w:textAlignment w:val="bottom"/>
              <w:rPr>
                <w:rFonts w:ascii="Times New Roman" w:hAnsi="Times New Roman"/>
                <w:sz w:val="20"/>
                <w:szCs w:val="20"/>
              </w:rPr>
            </w:pPr>
          </w:p>
        </w:tc>
      </w:tr>
      <w:tr w:rsidR="00F427A3" w14:paraId="54E9086F" w14:textId="77777777">
        <w:tc>
          <w:tcPr>
            <w:tcW w:w="0" w:type="auto"/>
            <w:shd w:val="clear" w:color="auto" w:fill="auto"/>
            <w:tcMar>
              <w:top w:w="40" w:type="dxa"/>
              <w:left w:w="560" w:type="dxa"/>
              <w:bottom w:w="40" w:type="dxa"/>
              <w:right w:w="40" w:type="dxa"/>
            </w:tcMar>
          </w:tcPr>
          <w:p w14:paraId="54E90862"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Certificate of deposits and time deposits</w:t>
            </w:r>
          </w:p>
        </w:tc>
        <w:tc>
          <w:tcPr>
            <w:tcW w:w="0" w:type="auto"/>
            <w:shd w:val="clear" w:color="auto" w:fill="auto"/>
            <w:tcMar>
              <w:top w:w="40" w:type="dxa"/>
              <w:left w:w="40" w:type="dxa"/>
              <w:bottom w:w="40" w:type="dxa"/>
              <w:right w:w="40" w:type="dxa"/>
            </w:tcMar>
            <w:vAlign w:val="bottom"/>
          </w:tcPr>
          <w:p w14:paraId="54E9086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86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254</w:t>
            </w:r>
          </w:p>
        </w:tc>
        <w:tc>
          <w:tcPr>
            <w:tcW w:w="0" w:type="auto"/>
            <w:shd w:val="clear" w:color="auto" w:fill="auto"/>
            <w:vAlign w:val="bottom"/>
          </w:tcPr>
          <w:p w14:paraId="54E90865"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86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86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4E90868"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86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86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254</w:t>
            </w:r>
          </w:p>
        </w:tc>
        <w:tc>
          <w:tcPr>
            <w:tcW w:w="0" w:type="auto"/>
            <w:shd w:val="clear" w:color="auto" w:fill="auto"/>
            <w:vAlign w:val="bottom"/>
          </w:tcPr>
          <w:p w14:paraId="54E9086B"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86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86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4E9086E" w14:textId="77777777" w:rsidR="00F427A3" w:rsidRDefault="00F427A3">
            <w:pPr>
              <w:textAlignment w:val="bottom"/>
              <w:rPr>
                <w:rFonts w:ascii="Times New Roman" w:hAnsi="Times New Roman"/>
                <w:sz w:val="20"/>
                <w:szCs w:val="20"/>
              </w:rPr>
            </w:pPr>
          </w:p>
        </w:tc>
      </w:tr>
      <w:tr w:rsidR="00F427A3" w14:paraId="54E90879" w14:textId="77777777">
        <w:tc>
          <w:tcPr>
            <w:tcW w:w="0" w:type="auto"/>
            <w:shd w:val="clear" w:color="auto" w:fill="CCEEFF"/>
            <w:tcMar>
              <w:top w:w="40" w:type="dxa"/>
              <w:left w:w="40" w:type="dxa"/>
              <w:bottom w:w="40" w:type="dxa"/>
              <w:right w:w="40" w:type="dxa"/>
            </w:tcMar>
          </w:tcPr>
          <w:p w14:paraId="54E90870"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Marketable securities:</w:t>
            </w:r>
          </w:p>
        </w:tc>
        <w:tc>
          <w:tcPr>
            <w:tcW w:w="0" w:type="auto"/>
            <w:shd w:val="clear" w:color="auto" w:fill="CCEEFF"/>
            <w:tcMar>
              <w:top w:w="40" w:type="dxa"/>
              <w:left w:w="40" w:type="dxa"/>
              <w:bottom w:w="40" w:type="dxa"/>
              <w:right w:w="40" w:type="dxa"/>
            </w:tcMar>
            <w:vAlign w:val="bottom"/>
          </w:tcPr>
          <w:p w14:paraId="54E9087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87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87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87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87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87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87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87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887" w14:textId="77777777">
        <w:tc>
          <w:tcPr>
            <w:tcW w:w="0" w:type="auto"/>
            <w:shd w:val="clear" w:color="auto" w:fill="auto"/>
            <w:tcMar>
              <w:top w:w="40" w:type="dxa"/>
              <w:left w:w="560" w:type="dxa"/>
              <w:bottom w:w="40" w:type="dxa"/>
              <w:right w:w="40" w:type="dxa"/>
            </w:tcMar>
          </w:tcPr>
          <w:p w14:paraId="54E9087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U.S. government securities</w:t>
            </w:r>
          </w:p>
        </w:tc>
        <w:tc>
          <w:tcPr>
            <w:tcW w:w="0" w:type="auto"/>
            <w:shd w:val="clear" w:color="auto" w:fill="auto"/>
            <w:tcMar>
              <w:top w:w="40" w:type="dxa"/>
              <w:left w:w="40" w:type="dxa"/>
              <w:bottom w:w="40" w:type="dxa"/>
              <w:right w:w="40" w:type="dxa"/>
            </w:tcMar>
            <w:vAlign w:val="bottom"/>
          </w:tcPr>
          <w:p w14:paraId="54E9087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87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21,047</w:t>
            </w:r>
          </w:p>
        </w:tc>
        <w:tc>
          <w:tcPr>
            <w:tcW w:w="0" w:type="auto"/>
            <w:shd w:val="clear" w:color="auto" w:fill="auto"/>
            <w:vAlign w:val="bottom"/>
          </w:tcPr>
          <w:p w14:paraId="54E9087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87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87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21,047</w:t>
            </w:r>
          </w:p>
        </w:tc>
        <w:tc>
          <w:tcPr>
            <w:tcW w:w="0" w:type="auto"/>
            <w:shd w:val="clear" w:color="auto" w:fill="auto"/>
            <w:vAlign w:val="bottom"/>
          </w:tcPr>
          <w:p w14:paraId="54E9088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88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88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4E9088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88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88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4E90886" w14:textId="77777777" w:rsidR="00F427A3" w:rsidRDefault="00F427A3">
            <w:pPr>
              <w:textAlignment w:val="bottom"/>
              <w:rPr>
                <w:rFonts w:ascii="Times New Roman" w:hAnsi="Times New Roman"/>
                <w:sz w:val="20"/>
                <w:szCs w:val="20"/>
              </w:rPr>
            </w:pPr>
          </w:p>
        </w:tc>
      </w:tr>
      <w:tr w:rsidR="00F427A3" w14:paraId="54E90895" w14:textId="77777777">
        <w:tc>
          <w:tcPr>
            <w:tcW w:w="0" w:type="auto"/>
            <w:shd w:val="clear" w:color="auto" w:fill="CCEEFF"/>
            <w:tcMar>
              <w:top w:w="40" w:type="dxa"/>
              <w:left w:w="560" w:type="dxa"/>
              <w:bottom w:w="40" w:type="dxa"/>
              <w:right w:w="40" w:type="dxa"/>
            </w:tcMar>
          </w:tcPr>
          <w:p w14:paraId="54E90888"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U.S. government agency securities</w:t>
            </w:r>
          </w:p>
        </w:tc>
        <w:tc>
          <w:tcPr>
            <w:tcW w:w="0" w:type="auto"/>
            <w:shd w:val="clear" w:color="auto" w:fill="CCEEFF"/>
            <w:tcMar>
              <w:top w:w="40" w:type="dxa"/>
              <w:left w:w="40" w:type="dxa"/>
              <w:bottom w:w="40" w:type="dxa"/>
              <w:right w:w="40" w:type="dxa"/>
            </w:tcMar>
            <w:vAlign w:val="bottom"/>
          </w:tcPr>
          <w:p w14:paraId="54E9088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88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11,063</w:t>
            </w:r>
          </w:p>
        </w:tc>
        <w:tc>
          <w:tcPr>
            <w:tcW w:w="0" w:type="auto"/>
            <w:shd w:val="clear" w:color="auto" w:fill="CCEEFF"/>
            <w:vAlign w:val="bottom"/>
          </w:tcPr>
          <w:p w14:paraId="54E9088B"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88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88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11,063</w:t>
            </w:r>
          </w:p>
        </w:tc>
        <w:tc>
          <w:tcPr>
            <w:tcW w:w="0" w:type="auto"/>
            <w:shd w:val="clear" w:color="auto" w:fill="CCEEFF"/>
            <w:vAlign w:val="bottom"/>
          </w:tcPr>
          <w:p w14:paraId="54E9088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88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89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0891"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89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89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0894" w14:textId="77777777" w:rsidR="00F427A3" w:rsidRDefault="00F427A3">
            <w:pPr>
              <w:textAlignment w:val="bottom"/>
              <w:rPr>
                <w:rFonts w:ascii="Times New Roman" w:hAnsi="Times New Roman"/>
                <w:sz w:val="20"/>
                <w:szCs w:val="20"/>
              </w:rPr>
            </w:pPr>
          </w:p>
        </w:tc>
      </w:tr>
      <w:tr w:rsidR="00F427A3" w14:paraId="54E908A3" w14:textId="77777777">
        <w:tc>
          <w:tcPr>
            <w:tcW w:w="0" w:type="auto"/>
            <w:shd w:val="clear" w:color="auto" w:fill="auto"/>
            <w:tcMar>
              <w:top w:w="40" w:type="dxa"/>
              <w:left w:w="560" w:type="dxa"/>
              <w:bottom w:w="40" w:type="dxa"/>
              <w:right w:w="40" w:type="dxa"/>
            </w:tcMar>
          </w:tcPr>
          <w:p w14:paraId="54E90896"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Corporate debt securities</w:t>
            </w:r>
          </w:p>
        </w:tc>
        <w:tc>
          <w:tcPr>
            <w:tcW w:w="0" w:type="auto"/>
            <w:shd w:val="clear" w:color="auto" w:fill="auto"/>
            <w:tcMar>
              <w:top w:w="40" w:type="dxa"/>
              <w:left w:w="40" w:type="dxa"/>
              <w:bottom w:w="40" w:type="dxa"/>
              <w:right w:w="40" w:type="dxa"/>
            </w:tcMar>
            <w:vAlign w:val="bottom"/>
          </w:tcPr>
          <w:p w14:paraId="54E9089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089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11,893</w:t>
            </w:r>
          </w:p>
        </w:tc>
        <w:tc>
          <w:tcPr>
            <w:tcW w:w="0" w:type="auto"/>
            <w:tcBorders>
              <w:bottom w:val="single" w:sz="8" w:space="0" w:color="000000"/>
            </w:tcBorders>
            <w:shd w:val="clear" w:color="auto" w:fill="auto"/>
            <w:vAlign w:val="bottom"/>
          </w:tcPr>
          <w:p w14:paraId="54E90899"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89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089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4E9089C"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89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089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11,893</w:t>
            </w:r>
          </w:p>
        </w:tc>
        <w:tc>
          <w:tcPr>
            <w:tcW w:w="0" w:type="auto"/>
            <w:tcBorders>
              <w:bottom w:val="single" w:sz="8" w:space="0" w:color="000000"/>
            </w:tcBorders>
            <w:shd w:val="clear" w:color="auto" w:fill="auto"/>
            <w:vAlign w:val="bottom"/>
          </w:tcPr>
          <w:p w14:paraId="54E9089F"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8A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08A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4E908A2" w14:textId="77777777" w:rsidR="00F427A3" w:rsidRDefault="00F427A3">
            <w:pPr>
              <w:textAlignment w:val="bottom"/>
              <w:rPr>
                <w:rFonts w:ascii="Times New Roman" w:hAnsi="Times New Roman"/>
                <w:sz w:val="20"/>
                <w:szCs w:val="20"/>
              </w:rPr>
            </w:pPr>
          </w:p>
        </w:tc>
      </w:tr>
      <w:tr w:rsidR="00F427A3" w14:paraId="54E908B5" w14:textId="77777777">
        <w:tc>
          <w:tcPr>
            <w:tcW w:w="0" w:type="auto"/>
            <w:shd w:val="clear" w:color="auto" w:fill="CCEEFF"/>
            <w:tcMar>
              <w:top w:w="40" w:type="dxa"/>
              <w:left w:w="40" w:type="dxa"/>
              <w:bottom w:w="40" w:type="dxa"/>
              <w:right w:w="40" w:type="dxa"/>
            </w:tcMar>
          </w:tcPr>
          <w:p w14:paraId="54E908A4"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Total cash equivalents and marketable securities</w:t>
            </w:r>
          </w:p>
        </w:tc>
        <w:tc>
          <w:tcPr>
            <w:tcW w:w="0" w:type="auto"/>
            <w:shd w:val="clear" w:color="auto" w:fill="CCEEFF"/>
            <w:tcMar>
              <w:top w:w="40" w:type="dxa"/>
              <w:left w:w="40" w:type="dxa"/>
              <w:bottom w:w="40" w:type="dxa"/>
              <w:right w:w="40" w:type="dxa"/>
            </w:tcMar>
            <w:vAlign w:val="bottom"/>
          </w:tcPr>
          <w:p w14:paraId="54E908A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4E908A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908A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50,119</w:t>
            </w:r>
          </w:p>
        </w:tc>
        <w:tc>
          <w:tcPr>
            <w:tcW w:w="0" w:type="auto"/>
            <w:tcBorders>
              <w:bottom w:val="double" w:sz="6" w:space="0" w:color="000000"/>
            </w:tcBorders>
            <w:shd w:val="clear" w:color="auto" w:fill="CCEEFF"/>
            <w:vAlign w:val="bottom"/>
          </w:tcPr>
          <w:p w14:paraId="54E908A8"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8A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08A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08A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37,972</w:t>
            </w:r>
          </w:p>
        </w:tc>
        <w:tc>
          <w:tcPr>
            <w:tcW w:w="0" w:type="auto"/>
            <w:tcBorders>
              <w:top w:val="single" w:sz="8" w:space="0" w:color="000000"/>
              <w:bottom w:val="double" w:sz="6" w:space="0" w:color="000000"/>
            </w:tcBorders>
            <w:shd w:val="clear" w:color="auto" w:fill="CCEEFF"/>
            <w:vAlign w:val="bottom"/>
          </w:tcPr>
          <w:p w14:paraId="54E908A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8A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08A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08A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12,147</w:t>
            </w:r>
          </w:p>
        </w:tc>
        <w:tc>
          <w:tcPr>
            <w:tcW w:w="0" w:type="auto"/>
            <w:tcBorders>
              <w:top w:val="single" w:sz="8" w:space="0" w:color="000000"/>
              <w:bottom w:val="double" w:sz="6" w:space="0" w:color="000000"/>
            </w:tcBorders>
            <w:shd w:val="clear" w:color="auto" w:fill="CCEEFF"/>
            <w:vAlign w:val="bottom"/>
          </w:tcPr>
          <w:p w14:paraId="54E908B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8B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08B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08B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vAlign w:val="bottom"/>
          </w:tcPr>
          <w:p w14:paraId="54E908B4" w14:textId="77777777" w:rsidR="00F427A3" w:rsidRDefault="00F427A3">
            <w:pPr>
              <w:textAlignment w:val="bottom"/>
              <w:rPr>
                <w:rFonts w:ascii="Times New Roman" w:hAnsi="Times New Roman"/>
                <w:sz w:val="20"/>
                <w:szCs w:val="20"/>
              </w:rPr>
            </w:pPr>
          </w:p>
        </w:tc>
      </w:tr>
    </w:tbl>
    <w:p w14:paraId="54E908B6" w14:textId="77777777" w:rsidR="00F427A3" w:rsidRDefault="00F427A3">
      <w:pPr>
        <w:rPr>
          <w:rFonts w:ascii="Times New Roman" w:hAnsi="Times New Roman"/>
          <w:sz w:val="20"/>
          <w:szCs w:val="20"/>
        </w:rPr>
      </w:pPr>
    </w:p>
    <w:p w14:paraId="54E908B7"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19</w:t>
      </w:r>
    </w:p>
    <w:p w14:paraId="54E908B8" w14:textId="77777777" w:rsidR="00F427A3" w:rsidRDefault="0044221F">
      <w:r>
        <w:rPr>
          <w:rFonts w:ascii="Times New Roman" w:hAnsi="Times New Roman"/>
          <w:sz w:val="20"/>
          <w:szCs w:val="20"/>
        </w:rPr>
        <w:pict w14:anchorId="54E91C33">
          <v:rect id="_x0000_i1043" style="width:415.3pt;height:1.5pt" o:hralign="center" o:hrstd="t" o:hr="t" fillcolor="#a0a0a0" stroked="f"/>
        </w:pict>
      </w:r>
    </w:p>
    <w:p w14:paraId="54E908B9" w14:textId="77777777" w:rsidR="00F427A3" w:rsidRDefault="0044221F">
      <w:pPr>
        <w:spacing w:line="288" w:lineRule="auto"/>
        <w:rPr>
          <w:rFonts w:ascii="Times New Roman" w:hAnsi="Times New Roman"/>
          <w:sz w:val="20"/>
          <w:szCs w:val="20"/>
        </w:rPr>
      </w:pPr>
      <w:hyperlink r:id="rId60" w:anchor="s348EA962CF6D59B599D9921AFA89C381" w:history="1">
        <w:r>
          <w:rPr>
            <w:rStyle w:val="a5"/>
            <w:rFonts w:ascii="Times New Roman" w:eastAsia="宋体" w:hAnsi="Times New Roman"/>
            <w:sz w:val="20"/>
            <w:szCs w:val="20"/>
          </w:rPr>
          <w:t>Table of Contents</w:t>
        </w:r>
      </w:hyperlink>
    </w:p>
    <w:p w14:paraId="54E908BA" w14:textId="77777777" w:rsidR="00F427A3" w:rsidRDefault="00F427A3">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3266"/>
        <w:gridCol w:w="130"/>
        <w:gridCol w:w="141"/>
        <w:gridCol w:w="941"/>
        <w:gridCol w:w="55"/>
        <w:gridCol w:w="130"/>
        <w:gridCol w:w="141"/>
        <w:gridCol w:w="987"/>
        <w:gridCol w:w="82"/>
        <w:gridCol w:w="130"/>
        <w:gridCol w:w="141"/>
        <w:gridCol w:w="839"/>
        <w:gridCol w:w="61"/>
        <w:gridCol w:w="130"/>
        <w:gridCol w:w="141"/>
        <w:gridCol w:w="918"/>
        <w:gridCol w:w="73"/>
      </w:tblGrid>
      <w:tr w:rsidR="00F427A3" w14:paraId="54E908BC" w14:textId="77777777">
        <w:tc>
          <w:tcPr>
            <w:tcW w:w="0" w:type="auto"/>
            <w:gridSpan w:val="17"/>
            <w:shd w:val="clear" w:color="auto" w:fill="auto"/>
            <w:vAlign w:val="center"/>
          </w:tcPr>
          <w:p w14:paraId="54E908BB" w14:textId="77777777" w:rsidR="00F427A3" w:rsidRDefault="00F427A3">
            <w:pPr>
              <w:rPr>
                <w:rFonts w:ascii="Times New Roman" w:hAnsi="Times New Roman"/>
                <w:sz w:val="20"/>
                <w:szCs w:val="20"/>
              </w:rPr>
            </w:pPr>
          </w:p>
        </w:tc>
      </w:tr>
      <w:tr w:rsidR="00F427A3" w14:paraId="54E908CE" w14:textId="77777777">
        <w:tc>
          <w:tcPr>
            <w:tcW w:w="2000" w:type="pct"/>
            <w:shd w:val="clear" w:color="auto" w:fill="auto"/>
            <w:vAlign w:val="center"/>
          </w:tcPr>
          <w:p w14:paraId="54E908BD" w14:textId="77777777" w:rsidR="00F427A3" w:rsidRDefault="00F427A3">
            <w:pPr>
              <w:rPr>
                <w:rFonts w:ascii="Times New Roman" w:hAnsi="Times New Roman"/>
                <w:sz w:val="20"/>
                <w:szCs w:val="20"/>
              </w:rPr>
            </w:pPr>
          </w:p>
        </w:tc>
        <w:tc>
          <w:tcPr>
            <w:tcW w:w="50" w:type="pct"/>
            <w:shd w:val="clear" w:color="auto" w:fill="auto"/>
            <w:vAlign w:val="center"/>
          </w:tcPr>
          <w:p w14:paraId="54E908BE" w14:textId="77777777" w:rsidR="00F427A3" w:rsidRDefault="00F427A3">
            <w:pPr>
              <w:rPr>
                <w:rFonts w:ascii="Times New Roman" w:hAnsi="Times New Roman"/>
                <w:sz w:val="20"/>
                <w:szCs w:val="20"/>
              </w:rPr>
            </w:pPr>
          </w:p>
        </w:tc>
        <w:tc>
          <w:tcPr>
            <w:tcW w:w="50" w:type="pct"/>
            <w:shd w:val="clear" w:color="auto" w:fill="auto"/>
            <w:vAlign w:val="center"/>
          </w:tcPr>
          <w:p w14:paraId="54E908BF" w14:textId="77777777" w:rsidR="00F427A3" w:rsidRDefault="00F427A3">
            <w:pPr>
              <w:rPr>
                <w:rFonts w:ascii="Times New Roman" w:hAnsi="Times New Roman"/>
                <w:sz w:val="20"/>
                <w:szCs w:val="20"/>
              </w:rPr>
            </w:pPr>
          </w:p>
        </w:tc>
        <w:tc>
          <w:tcPr>
            <w:tcW w:w="600" w:type="pct"/>
            <w:shd w:val="clear" w:color="auto" w:fill="auto"/>
            <w:vAlign w:val="center"/>
          </w:tcPr>
          <w:p w14:paraId="54E908C0" w14:textId="77777777" w:rsidR="00F427A3" w:rsidRDefault="00F427A3">
            <w:pPr>
              <w:rPr>
                <w:rFonts w:ascii="Times New Roman" w:hAnsi="Times New Roman"/>
                <w:sz w:val="20"/>
                <w:szCs w:val="20"/>
              </w:rPr>
            </w:pPr>
          </w:p>
        </w:tc>
        <w:tc>
          <w:tcPr>
            <w:tcW w:w="50" w:type="pct"/>
            <w:shd w:val="clear" w:color="auto" w:fill="auto"/>
            <w:vAlign w:val="center"/>
          </w:tcPr>
          <w:p w14:paraId="54E908C1" w14:textId="77777777" w:rsidR="00F427A3" w:rsidRDefault="00F427A3">
            <w:pPr>
              <w:rPr>
                <w:rFonts w:ascii="Times New Roman" w:hAnsi="Times New Roman"/>
                <w:sz w:val="20"/>
                <w:szCs w:val="20"/>
              </w:rPr>
            </w:pPr>
          </w:p>
        </w:tc>
        <w:tc>
          <w:tcPr>
            <w:tcW w:w="50" w:type="pct"/>
            <w:shd w:val="clear" w:color="auto" w:fill="auto"/>
            <w:vAlign w:val="center"/>
          </w:tcPr>
          <w:p w14:paraId="54E908C2" w14:textId="77777777" w:rsidR="00F427A3" w:rsidRDefault="00F427A3">
            <w:pPr>
              <w:rPr>
                <w:rFonts w:ascii="Times New Roman" w:hAnsi="Times New Roman"/>
                <w:sz w:val="20"/>
                <w:szCs w:val="20"/>
              </w:rPr>
            </w:pPr>
          </w:p>
        </w:tc>
        <w:tc>
          <w:tcPr>
            <w:tcW w:w="50" w:type="pct"/>
            <w:shd w:val="clear" w:color="auto" w:fill="auto"/>
            <w:vAlign w:val="center"/>
          </w:tcPr>
          <w:p w14:paraId="54E908C3" w14:textId="77777777" w:rsidR="00F427A3" w:rsidRDefault="00F427A3">
            <w:pPr>
              <w:rPr>
                <w:rFonts w:ascii="Times New Roman" w:hAnsi="Times New Roman"/>
                <w:sz w:val="20"/>
                <w:szCs w:val="20"/>
              </w:rPr>
            </w:pPr>
          </w:p>
        </w:tc>
        <w:tc>
          <w:tcPr>
            <w:tcW w:w="600" w:type="pct"/>
            <w:shd w:val="clear" w:color="auto" w:fill="auto"/>
            <w:vAlign w:val="center"/>
          </w:tcPr>
          <w:p w14:paraId="54E908C4" w14:textId="77777777" w:rsidR="00F427A3" w:rsidRDefault="00F427A3">
            <w:pPr>
              <w:rPr>
                <w:rFonts w:ascii="Times New Roman" w:hAnsi="Times New Roman"/>
                <w:sz w:val="20"/>
                <w:szCs w:val="20"/>
              </w:rPr>
            </w:pPr>
          </w:p>
        </w:tc>
        <w:tc>
          <w:tcPr>
            <w:tcW w:w="50" w:type="pct"/>
            <w:shd w:val="clear" w:color="auto" w:fill="auto"/>
            <w:vAlign w:val="center"/>
          </w:tcPr>
          <w:p w14:paraId="54E908C5" w14:textId="77777777" w:rsidR="00F427A3" w:rsidRDefault="00F427A3">
            <w:pPr>
              <w:rPr>
                <w:rFonts w:ascii="Times New Roman" w:hAnsi="Times New Roman"/>
                <w:sz w:val="20"/>
                <w:szCs w:val="20"/>
              </w:rPr>
            </w:pPr>
          </w:p>
        </w:tc>
        <w:tc>
          <w:tcPr>
            <w:tcW w:w="50" w:type="pct"/>
            <w:shd w:val="clear" w:color="auto" w:fill="auto"/>
            <w:vAlign w:val="center"/>
          </w:tcPr>
          <w:p w14:paraId="54E908C6" w14:textId="77777777" w:rsidR="00F427A3" w:rsidRDefault="00F427A3">
            <w:pPr>
              <w:rPr>
                <w:rFonts w:ascii="Times New Roman" w:hAnsi="Times New Roman"/>
                <w:sz w:val="20"/>
                <w:szCs w:val="20"/>
              </w:rPr>
            </w:pPr>
          </w:p>
        </w:tc>
        <w:tc>
          <w:tcPr>
            <w:tcW w:w="50" w:type="pct"/>
            <w:shd w:val="clear" w:color="auto" w:fill="auto"/>
            <w:vAlign w:val="center"/>
          </w:tcPr>
          <w:p w14:paraId="54E908C7" w14:textId="77777777" w:rsidR="00F427A3" w:rsidRDefault="00F427A3">
            <w:pPr>
              <w:rPr>
                <w:rFonts w:ascii="Times New Roman" w:hAnsi="Times New Roman"/>
                <w:sz w:val="20"/>
                <w:szCs w:val="20"/>
              </w:rPr>
            </w:pPr>
          </w:p>
        </w:tc>
        <w:tc>
          <w:tcPr>
            <w:tcW w:w="600" w:type="pct"/>
            <w:shd w:val="clear" w:color="auto" w:fill="auto"/>
            <w:vAlign w:val="center"/>
          </w:tcPr>
          <w:p w14:paraId="54E908C8" w14:textId="77777777" w:rsidR="00F427A3" w:rsidRDefault="00F427A3">
            <w:pPr>
              <w:rPr>
                <w:rFonts w:ascii="Times New Roman" w:hAnsi="Times New Roman"/>
                <w:sz w:val="20"/>
                <w:szCs w:val="20"/>
              </w:rPr>
            </w:pPr>
          </w:p>
        </w:tc>
        <w:tc>
          <w:tcPr>
            <w:tcW w:w="50" w:type="pct"/>
            <w:shd w:val="clear" w:color="auto" w:fill="auto"/>
            <w:vAlign w:val="center"/>
          </w:tcPr>
          <w:p w14:paraId="54E908C9" w14:textId="77777777" w:rsidR="00F427A3" w:rsidRDefault="00F427A3">
            <w:pPr>
              <w:rPr>
                <w:rFonts w:ascii="Times New Roman" w:hAnsi="Times New Roman"/>
                <w:sz w:val="20"/>
                <w:szCs w:val="20"/>
              </w:rPr>
            </w:pPr>
          </w:p>
        </w:tc>
        <w:tc>
          <w:tcPr>
            <w:tcW w:w="50" w:type="pct"/>
            <w:shd w:val="clear" w:color="auto" w:fill="auto"/>
            <w:vAlign w:val="center"/>
          </w:tcPr>
          <w:p w14:paraId="54E908CA" w14:textId="77777777" w:rsidR="00F427A3" w:rsidRDefault="00F427A3">
            <w:pPr>
              <w:rPr>
                <w:rFonts w:ascii="Times New Roman" w:hAnsi="Times New Roman"/>
                <w:sz w:val="20"/>
                <w:szCs w:val="20"/>
              </w:rPr>
            </w:pPr>
          </w:p>
        </w:tc>
        <w:tc>
          <w:tcPr>
            <w:tcW w:w="50" w:type="pct"/>
            <w:shd w:val="clear" w:color="auto" w:fill="auto"/>
            <w:vAlign w:val="center"/>
          </w:tcPr>
          <w:p w14:paraId="54E908CB" w14:textId="77777777" w:rsidR="00F427A3" w:rsidRDefault="00F427A3">
            <w:pPr>
              <w:rPr>
                <w:rFonts w:ascii="Times New Roman" w:hAnsi="Times New Roman"/>
                <w:sz w:val="20"/>
                <w:szCs w:val="20"/>
              </w:rPr>
            </w:pPr>
          </w:p>
        </w:tc>
        <w:tc>
          <w:tcPr>
            <w:tcW w:w="600" w:type="pct"/>
            <w:shd w:val="clear" w:color="auto" w:fill="auto"/>
            <w:vAlign w:val="center"/>
          </w:tcPr>
          <w:p w14:paraId="54E908CC" w14:textId="77777777" w:rsidR="00F427A3" w:rsidRDefault="00F427A3">
            <w:pPr>
              <w:rPr>
                <w:rFonts w:ascii="Times New Roman" w:hAnsi="Times New Roman"/>
                <w:sz w:val="20"/>
                <w:szCs w:val="20"/>
              </w:rPr>
            </w:pPr>
          </w:p>
        </w:tc>
        <w:tc>
          <w:tcPr>
            <w:tcW w:w="50" w:type="pct"/>
            <w:shd w:val="clear" w:color="auto" w:fill="auto"/>
            <w:vAlign w:val="center"/>
          </w:tcPr>
          <w:p w14:paraId="54E908CD" w14:textId="77777777" w:rsidR="00F427A3" w:rsidRDefault="00F427A3">
            <w:pPr>
              <w:rPr>
                <w:rFonts w:ascii="Times New Roman" w:hAnsi="Times New Roman"/>
                <w:sz w:val="20"/>
                <w:szCs w:val="20"/>
              </w:rPr>
            </w:pPr>
          </w:p>
        </w:tc>
      </w:tr>
      <w:tr w:rsidR="00F427A3" w14:paraId="54E908D5" w14:textId="77777777">
        <w:tc>
          <w:tcPr>
            <w:tcW w:w="0" w:type="auto"/>
            <w:shd w:val="clear" w:color="auto" w:fill="auto"/>
            <w:tcMar>
              <w:top w:w="40" w:type="dxa"/>
              <w:left w:w="40" w:type="dxa"/>
              <w:bottom w:w="40" w:type="dxa"/>
              <w:right w:w="40" w:type="dxa"/>
            </w:tcMar>
            <w:vAlign w:val="bottom"/>
          </w:tcPr>
          <w:p w14:paraId="54E908CF"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08D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8D1"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08D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4E908D3"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Fair Value Measurement at</w:t>
            </w:r>
          </w:p>
          <w:p w14:paraId="54E908D4"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Reporting Date Using</w:t>
            </w:r>
          </w:p>
        </w:tc>
      </w:tr>
      <w:tr w:rsidR="00F427A3" w14:paraId="54E908E1"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4E908D6" w14:textId="77777777" w:rsidR="00F427A3" w:rsidRDefault="0044221F">
            <w:pPr>
              <w:textAlignment w:val="bottom"/>
              <w:rPr>
                <w:rFonts w:ascii="Times New Roman" w:hAnsi="Times New Roman"/>
                <w:sz w:val="16"/>
                <w:szCs w:val="16"/>
              </w:rPr>
            </w:pPr>
            <w:r>
              <w:rPr>
                <w:rFonts w:ascii="Times New Roman" w:eastAsia="宋体" w:hAnsi="Times New Roman"/>
                <w:b/>
                <w:bCs/>
                <w:sz w:val="16"/>
                <w:szCs w:val="16"/>
              </w:rPr>
              <w:t>Description</w:t>
            </w:r>
          </w:p>
        </w:tc>
        <w:tc>
          <w:tcPr>
            <w:tcW w:w="0" w:type="auto"/>
            <w:shd w:val="clear" w:color="auto" w:fill="auto"/>
            <w:tcMar>
              <w:top w:w="40" w:type="dxa"/>
              <w:left w:w="40" w:type="dxa"/>
              <w:bottom w:w="40" w:type="dxa"/>
              <w:right w:w="40" w:type="dxa"/>
            </w:tcMar>
            <w:vAlign w:val="bottom"/>
          </w:tcPr>
          <w:p w14:paraId="54E908D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8D8"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December 31, 2019</w:t>
            </w:r>
          </w:p>
        </w:tc>
        <w:tc>
          <w:tcPr>
            <w:tcW w:w="0" w:type="auto"/>
            <w:shd w:val="clear" w:color="auto" w:fill="auto"/>
            <w:tcMar>
              <w:top w:w="40" w:type="dxa"/>
              <w:left w:w="40" w:type="dxa"/>
              <w:bottom w:w="40" w:type="dxa"/>
              <w:right w:w="40" w:type="dxa"/>
            </w:tcMar>
            <w:vAlign w:val="bottom"/>
          </w:tcPr>
          <w:p w14:paraId="54E908D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8DA"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Quoted Prices in Active Markets for Identical Assets (Level 1)</w:t>
            </w:r>
          </w:p>
        </w:tc>
        <w:tc>
          <w:tcPr>
            <w:tcW w:w="0" w:type="auto"/>
            <w:shd w:val="clear" w:color="auto" w:fill="auto"/>
            <w:tcMar>
              <w:top w:w="40" w:type="dxa"/>
              <w:left w:w="40" w:type="dxa"/>
              <w:bottom w:w="40" w:type="dxa"/>
              <w:right w:w="40" w:type="dxa"/>
            </w:tcMar>
            <w:vAlign w:val="bottom"/>
          </w:tcPr>
          <w:p w14:paraId="54E908D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8DC"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Significant Other Observable Inputs</w:t>
            </w:r>
          </w:p>
          <w:p w14:paraId="54E908DD"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(Level 2)</w:t>
            </w:r>
          </w:p>
        </w:tc>
        <w:tc>
          <w:tcPr>
            <w:tcW w:w="0" w:type="auto"/>
            <w:shd w:val="clear" w:color="auto" w:fill="auto"/>
            <w:tcMar>
              <w:top w:w="40" w:type="dxa"/>
              <w:left w:w="40" w:type="dxa"/>
              <w:bottom w:w="40" w:type="dxa"/>
              <w:right w:w="40" w:type="dxa"/>
            </w:tcMar>
            <w:vAlign w:val="bottom"/>
          </w:tcPr>
          <w:p w14:paraId="54E908D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8DF"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xml:space="preserve">Significant Unobservable Inputs </w:t>
            </w:r>
          </w:p>
          <w:p w14:paraId="54E908E0"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(Level 3)</w:t>
            </w:r>
          </w:p>
        </w:tc>
      </w:tr>
      <w:tr w:rsidR="00F427A3" w14:paraId="54E908EB" w14:textId="77777777">
        <w:tc>
          <w:tcPr>
            <w:tcW w:w="0" w:type="auto"/>
            <w:shd w:val="clear" w:color="auto" w:fill="CCEEFF"/>
            <w:tcMar>
              <w:top w:w="40" w:type="dxa"/>
              <w:left w:w="40" w:type="dxa"/>
              <w:bottom w:w="40" w:type="dxa"/>
              <w:right w:w="40" w:type="dxa"/>
            </w:tcMar>
          </w:tcPr>
          <w:p w14:paraId="54E908E2"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Cash equivalents:</w:t>
            </w:r>
          </w:p>
        </w:tc>
        <w:tc>
          <w:tcPr>
            <w:tcW w:w="0" w:type="auto"/>
            <w:shd w:val="clear" w:color="auto" w:fill="CCEEFF"/>
            <w:tcMar>
              <w:top w:w="40" w:type="dxa"/>
              <w:left w:w="40" w:type="dxa"/>
              <w:bottom w:w="40" w:type="dxa"/>
              <w:right w:w="40" w:type="dxa"/>
            </w:tcMar>
            <w:vAlign w:val="bottom"/>
          </w:tcPr>
          <w:p w14:paraId="54E908E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8E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8E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8E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8E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8E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8E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8E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8FD" w14:textId="77777777">
        <w:tc>
          <w:tcPr>
            <w:tcW w:w="0" w:type="auto"/>
            <w:shd w:val="clear" w:color="auto" w:fill="auto"/>
            <w:tcMar>
              <w:top w:w="40" w:type="dxa"/>
              <w:left w:w="560" w:type="dxa"/>
              <w:bottom w:w="40" w:type="dxa"/>
              <w:right w:w="40" w:type="dxa"/>
            </w:tcMar>
          </w:tcPr>
          <w:p w14:paraId="54E908EC"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Money market funds</w:t>
            </w:r>
          </w:p>
        </w:tc>
        <w:tc>
          <w:tcPr>
            <w:tcW w:w="0" w:type="auto"/>
            <w:shd w:val="clear" w:color="auto" w:fill="auto"/>
            <w:tcMar>
              <w:top w:w="40" w:type="dxa"/>
              <w:left w:w="40" w:type="dxa"/>
              <w:bottom w:w="40" w:type="dxa"/>
              <w:right w:w="40" w:type="dxa"/>
            </w:tcMar>
            <w:vAlign w:val="bottom"/>
          </w:tcPr>
          <w:p w14:paraId="54E908E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8E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908E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12,787</w:t>
            </w:r>
          </w:p>
        </w:tc>
        <w:tc>
          <w:tcPr>
            <w:tcW w:w="0" w:type="auto"/>
            <w:shd w:val="clear" w:color="auto" w:fill="auto"/>
            <w:vAlign w:val="bottom"/>
          </w:tcPr>
          <w:p w14:paraId="54E908F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8F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8F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908F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12,787</w:t>
            </w:r>
          </w:p>
        </w:tc>
        <w:tc>
          <w:tcPr>
            <w:tcW w:w="0" w:type="auto"/>
            <w:shd w:val="clear" w:color="auto" w:fill="auto"/>
            <w:vAlign w:val="bottom"/>
          </w:tcPr>
          <w:p w14:paraId="54E908F4"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8F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8F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908F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4E908F8"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8F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8F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908F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4E908FC" w14:textId="77777777" w:rsidR="00F427A3" w:rsidRDefault="00F427A3">
            <w:pPr>
              <w:textAlignment w:val="bottom"/>
              <w:rPr>
                <w:rFonts w:ascii="Times New Roman" w:hAnsi="Times New Roman"/>
                <w:sz w:val="20"/>
                <w:szCs w:val="20"/>
              </w:rPr>
            </w:pPr>
          </w:p>
        </w:tc>
      </w:tr>
      <w:tr w:rsidR="00F427A3" w14:paraId="54E9090B" w14:textId="77777777">
        <w:tc>
          <w:tcPr>
            <w:tcW w:w="0" w:type="auto"/>
            <w:shd w:val="clear" w:color="auto" w:fill="CCEEFF"/>
            <w:tcMar>
              <w:top w:w="40" w:type="dxa"/>
              <w:left w:w="560" w:type="dxa"/>
              <w:bottom w:w="40" w:type="dxa"/>
              <w:right w:w="40" w:type="dxa"/>
            </w:tcMar>
          </w:tcPr>
          <w:p w14:paraId="54E908FE"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U.S. government securities</w:t>
            </w:r>
          </w:p>
        </w:tc>
        <w:tc>
          <w:tcPr>
            <w:tcW w:w="0" w:type="auto"/>
            <w:shd w:val="clear" w:color="auto" w:fill="CCEEFF"/>
            <w:tcMar>
              <w:top w:w="40" w:type="dxa"/>
              <w:left w:w="40" w:type="dxa"/>
              <w:bottom w:w="40" w:type="dxa"/>
              <w:right w:w="40" w:type="dxa"/>
            </w:tcMar>
            <w:vAlign w:val="bottom"/>
          </w:tcPr>
          <w:p w14:paraId="54E908F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90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815</w:t>
            </w:r>
          </w:p>
        </w:tc>
        <w:tc>
          <w:tcPr>
            <w:tcW w:w="0" w:type="auto"/>
            <w:shd w:val="clear" w:color="auto" w:fill="CCEEFF"/>
            <w:vAlign w:val="bottom"/>
          </w:tcPr>
          <w:p w14:paraId="54E90901"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90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90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815</w:t>
            </w:r>
          </w:p>
        </w:tc>
        <w:tc>
          <w:tcPr>
            <w:tcW w:w="0" w:type="auto"/>
            <w:shd w:val="clear" w:color="auto" w:fill="CCEEFF"/>
            <w:vAlign w:val="bottom"/>
          </w:tcPr>
          <w:p w14:paraId="54E90904"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90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90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090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90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90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090A" w14:textId="77777777" w:rsidR="00F427A3" w:rsidRDefault="00F427A3">
            <w:pPr>
              <w:textAlignment w:val="bottom"/>
              <w:rPr>
                <w:rFonts w:ascii="Times New Roman" w:hAnsi="Times New Roman"/>
                <w:sz w:val="20"/>
                <w:szCs w:val="20"/>
              </w:rPr>
            </w:pPr>
          </w:p>
        </w:tc>
      </w:tr>
      <w:tr w:rsidR="00F427A3" w14:paraId="54E90919" w14:textId="77777777">
        <w:tc>
          <w:tcPr>
            <w:tcW w:w="0" w:type="auto"/>
            <w:shd w:val="clear" w:color="auto" w:fill="auto"/>
            <w:tcMar>
              <w:top w:w="40" w:type="dxa"/>
              <w:left w:w="560" w:type="dxa"/>
              <w:bottom w:w="40" w:type="dxa"/>
              <w:right w:w="40" w:type="dxa"/>
            </w:tcMar>
          </w:tcPr>
          <w:p w14:paraId="54E9090C"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U.S. government agency securities</w:t>
            </w:r>
          </w:p>
        </w:tc>
        <w:tc>
          <w:tcPr>
            <w:tcW w:w="0" w:type="auto"/>
            <w:shd w:val="clear" w:color="auto" w:fill="auto"/>
            <w:tcMar>
              <w:top w:w="40" w:type="dxa"/>
              <w:left w:w="40" w:type="dxa"/>
              <w:bottom w:w="40" w:type="dxa"/>
              <w:right w:w="40" w:type="dxa"/>
            </w:tcMar>
            <w:vAlign w:val="bottom"/>
          </w:tcPr>
          <w:p w14:paraId="54E9090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90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auto"/>
            <w:vAlign w:val="bottom"/>
          </w:tcPr>
          <w:p w14:paraId="54E9090F"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91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91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444</w:t>
            </w:r>
          </w:p>
        </w:tc>
        <w:tc>
          <w:tcPr>
            <w:tcW w:w="0" w:type="auto"/>
            <w:shd w:val="clear" w:color="auto" w:fill="auto"/>
            <w:vAlign w:val="bottom"/>
          </w:tcPr>
          <w:p w14:paraId="54E90912"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91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91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4E90915"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91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91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4E90918" w14:textId="77777777" w:rsidR="00F427A3" w:rsidRDefault="00F427A3">
            <w:pPr>
              <w:textAlignment w:val="bottom"/>
              <w:rPr>
                <w:rFonts w:ascii="Times New Roman" w:hAnsi="Times New Roman"/>
                <w:sz w:val="20"/>
                <w:szCs w:val="20"/>
              </w:rPr>
            </w:pPr>
          </w:p>
        </w:tc>
      </w:tr>
      <w:tr w:rsidR="00F427A3" w14:paraId="54E90927" w14:textId="77777777">
        <w:tc>
          <w:tcPr>
            <w:tcW w:w="0" w:type="auto"/>
            <w:shd w:val="clear" w:color="auto" w:fill="CCEEFF"/>
            <w:tcMar>
              <w:top w:w="40" w:type="dxa"/>
              <w:left w:w="560" w:type="dxa"/>
              <w:bottom w:w="40" w:type="dxa"/>
              <w:right w:w="40" w:type="dxa"/>
            </w:tcMar>
          </w:tcPr>
          <w:p w14:paraId="54E9091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Certificate of deposits and time deposits</w:t>
            </w:r>
          </w:p>
        </w:tc>
        <w:tc>
          <w:tcPr>
            <w:tcW w:w="0" w:type="auto"/>
            <w:shd w:val="clear" w:color="auto" w:fill="CCEEFF"/>
            <w:tcMar>
              <w:top w:w="40" w:type="dxa"/>
              <w:left w:w="40" w:type="dxa"/>
              <w:bottom w:w="40" w:type="dxa"/>
              <w:right w:w="40" w:type="dxa"/>
            </w:tcMar>
            <w:vAlign w:val="bottom"/>
          </w:tcPr>
          <w:p w14:paraId="54E9091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91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217</w:t>
            </w:r>
          </w:p>
        </w:tc>
        <w:tc>
          <w:tcPr>
            <w:tcW w:w="0" w:type="auto"/>
            <w:shd w:val="clear" w:color="auto" w:fill="CCEEFF"/>
            <w:vAlign w:val="bottom"/>
          </w:tcPr>
          <w:p w14:paraId="54E9091D"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91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91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092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92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92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217</w:t>
            </w:r>
          </w:p>
        </w:tc>
        <w:tc>
          <w:tcPr>
            <w:tcW w:w="0" w:type="auto"/>
            <w:shd w:val="clear" w:color="auto" w:fill="CCEEFF"/>
            <w:vAlign w:val="bottom"/>
          </w:tcPr>
          <w:p w14:paraId="54E90923"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92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92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0926" w14:textId="77777777" w:rsidR="00F427A3" w:rsidRDefault="00F427A3">
            <w:pPr>
              <w:textAlignment w:val="bottom"/>
              <w:rPr>
                <w:rFonts w:ascii="Times New Roman" w:hAnsi="Times New Roman"/>
                <w:sz w:val="20"/>
                <w:szCs w:val="20"/>
              </w:rPr>
            </w:pPr>
          </w:p>
        </w:tc>
      </w:tr>
      <w:tr w:rsidR="00F427A3" w14:paraId="54E90935" w14:textId="77777777">
        <w:tc>
          <w:tcPr>
            <w:tcW w:w="0" w:type="auto"/>
            <w:shd w:val="clear" w:color="auto" w:fill="auto"/>
            <w:tcMar>
              <w:top w:w="40" w:type="dxa"/>
              <w:left w:w="560" w:type="dxa"/>
              <w:bottom w:w="40" w:type="dxa"/>
              <w:right w:w="40" w:type="dxa"/>
            </w:tcMar>
          </w:tcPr>
          <w:p w14:paraId="54E90928"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xml:space="preserve">Corporate debt </w:t>
            </w:r>
            <w:r>
              <w:rPr>
                <w:rFonts w:ascii="Times New Roman" w:eastAsia="宋体" w:hAnsi="Times New Roman"/>
                <w:sz w:val="20"/>
                <w:szCs w:val="20"/>
              </w:rPr>
              <w:t>securities</w:t>
            </w:r>
          </w:p>
        </w:tc>
        <w:tc>
          <w:tcPr>
            <w:tcW w:w="0" w:type="auto"/>
            <w:shd w:val="clear" w:color="auto" w:fill="auto"/>
            <w:tcMar>
              <w:top w:w="40" w:type="dxa"/>
              <w:left w:w="40" w:type="dxa"/>
              <w:bottom w:w="40" w:type="dxa"/>
              <w:right w:w="40" w:type="dxa"/>
            </w:tcMar>
            <w:vAlign w:val="bottom"/>
          </w:tcPr>
          <w:p w14:paraId="54E9092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92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shd w:val="clear" w:color="auto" w:fill="auto"/>
            <w:vAlign w:val="bottom"/>
          </w:tcPr>
          <w:p w14:paraId="54E9092B"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92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92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4E9092E"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92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93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shd w:val="clear" w:color="auto" w:fill="auto"/>
            <w:vAlign w:val="bottom"/>
          </w:tcPr>
          <w:p w14:paraId="54E90931"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93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93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4E90934" w14:textId="77777777" w:rsidR="00F427A3" w:rsidRDefault="00F427A3">
            <w:pPr>
              <w:textAlignment w:val="bottom"/>
              <w:rPr>
                <w:rFonts w:ascii="Times New Roman" w:hAnsi="Times New Roman"/>
                <w:sz w:val="20"/>
                <w:szCs w:val="20"/>
              </w:rPr>
            </w:pPr>
          </w:p>
        </w:tc>
      </w:tr>
      <w:tr w:rsidR="00F427A3" w14:paraId="54E9093F" w14:textId="77777777">
        <w:tc>
          <w:tcPr>
            <w:tcW w:w="0" w:type="auto"/>
            <w:shd w:val="clear" w:color="auto" w:fill="CCEEFF"/>
            <w:tcMar>
              <w:top w:w="40" w:type="dxa"/>
              <w:left w:w="40" w:type="dxa"/>
              <w:bottom w:w="40" w:type="dxa"/>
              <w:right w:w="40" w:type="dxa"/>
            </w:tcMar>
          </w:tcPr>
          <w:p w14:paraId="54E90936"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Marketable securities:</w:t>
            </w:r>
          </w:p>
        </w:tc>
        <w:tc>
          <w:tcPr>
            <w:tcW w:w="0" w:type="auto"/>
            <w:shd w:val="clear" w:color="auto" w:fill="CCEEFF"/>
            <w:tcMar>
              <w:top w:w="40" w:type="dxa"/>
              <w:left w:w="40" w:type="dxa"/>
              <w:bottom w:w="40" w:type="dxa"/>
              <w:right w:w="40" w:type="dxa"/>
            </w:tcMar>
            <w:vAlign w:val="bottom"/>
          </w:tcPr>
          <w:p w14:paraId="54E9093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93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93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93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93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93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93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93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94D" w14:textId="77777777">
        <w:tc>
          <w:tcPr>
            <w:tcW w:w="0" w:type="auto"/>
            <w:shd w:val="clear" w:color="auto" w:fill="auto"/>
            <w:tcMar>
              <w:top w:w="40" w:type="dxa"/>
              <w:left w:w="560" w:type="dxa"/>
              <w:bottom w:w="40" w:type="dxa"/>
              <w:right w:w="40" w:type="dxa"/>
            </w:tcMar>
          </w:tcPr>
          <w:p w14:paraId="54E90940"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U.S. government securities</w:t>
            </w:r>
          </w:p>
        </w:tc>
        <w:tc>
          <w:tcPr>
            <w:tcW w:w="0" w:type="auto"/>
            <w:shd w:val="clear" w:color="auto" w:fill="auto"/>
            <w:tcMar>
              <w:top w:w="40" w:type="dxa"/>
              <w:left w:w="40" w:type="dxa"/>
              <w:bottom w:w="40" w:type="dxa"/>
              <w:right w:w="40" w:type="dxa"/>
            </w:tcMar>
            <w:vAlign w:val="bottom"/>
          </w:tcPr>
          <w:p w14:paraId="54E9094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94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18,679</w:t>
            </w:r>
          </w:p>
        </w:tc>
        <w:tc>
          <w:tcPr>
            <w:tcW w:w="0" w:type="auto"/>
            <w:shd w:val="clear" w:color="auto" w:fill="auto"/>
            <w:vAlign w:val="bottom"/>
          </w:tcPr>
          <w:p w14:paraId="54E9094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94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94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18,679</w:t>
            </w:r>
          </w:p>
        </w:tc>
        <w:tc>
          <w:tcPr>
            <w:tcW w:w="0" w:type="auto"/>
            <w:shd w:val="clear" w:color="auto" w:fill="auto"/>
            <w:vAlign w:val="bottom"/>
          </w:tcPr>
          <w:p w14:paraId="54E90946"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94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94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4E90949"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94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94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4E9094C" w14:textId="77777777" w:rsidR="00F427A3" w:rsidRDefault="00F427A3">
            <w:pPr>
              <w:textAlignment w:val="bottom"/>
              <w:rPr>
                <w:rFonts w:ascii="Times New Roman" w:hAnsi="Times New Roman"/>
                <w:sz w:val="20"/>
                <w:szCs w:val="20"/>
              </w:rPr>
            </w:pPr>
          </w:p>
        </w:tc>
      </w:tr>
      <w:tr w:rsidR="00F427A3" w14:paraId="54E9095B" w14:textId="77777777">
        <w:tc>
          <w:tcPr>
            <w:tcW w:w="0" w:type="auto"/>
            <w:shd w:val="clear" w:color="auto" w:fill="CCEEFF"/>
            <w:tcMar>
              <w:top w:w="40" w:type="dxa"/>
              <w:left w:w="560" w:type="dxa"/>
              <w:bottom w:w="40" w:type="dxa"/>
              <w:right w:w="40" w:type="dxa"/>
            </w:tcMar>
          </w:tcPr>
          <w:p w14:paraId="54E9094E"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U.S. government agency securities</w:t>
            </w:r>
          </w:p>
        </w:tc>
        <w:tc>
          <w:tcPr>
            <w:tcW w:w="0" w:type="auto"/>
            <w:shd w:val="clear" w:color="auto" w:fill="CCEEFF"/>
            <w:tcMar>
              <w:top w:w="40" w:type="dxa"/>
              <w:left w:w="40" w:type="dxa"/>
              <w:bottom w:w="40" w:type="dxa"/>
              <w:right w:w="40" w:type="dxa"/>
            </w:tcMar>
            <w:vAlign w:val="bottom"/>
          </w:tcPr>
          <w:p w14:paraId="54E9094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95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6,712</w:t>
            </w:r>
          </w:p>
        </w:tc>
        <w:tc>
          <w:tcPr>
            <w:tcW w:w="0" w:type="auto"/>
            <w:shd w:val="clear" w:color="auto" w:fill="CCEEFF"/>
            <w:vAlign w:val="bottom"/>
          </w:tcPr>
          <w:p w14:paraId="54E90951"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95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95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6,712</w:t>
            </w:r>
          </w:p>
        </w:tc>
        <w:tc>
          <w:tcPr>
            <w:tcW w:w="0" w:type="auto"/>
            <w:shd w:val="clear" w:color="auto" w:fill="CCEEFF"/>
            <w:vAlign w:val="bottom"/>
          </w:tcPr>
          <w:p w14:paraId="54E90954"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95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95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095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95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95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095A" w14:textId="77777777" w:rsidR="00F427A3" w:rsidRDefault="00F427A3">
            <w:pPr>
              <w:textAlignment w:val="bottom"/>
              <w:rPr>
                <w:rFonts w:ascii="Times New Roman" w:hAnsi="Times New Roman"/>
                <w:sz w:val="20"/>
                <w:szCs w:val="20"/>
              </w:rPr>
            </w:pPr>
          </w:p>
        </w:tc>
      </w:tr>
      <w:tr w:rsidR="00F427A3" w14:paraId="54E90969" w14:textId="77777777">
        <w:tc>
          <w:tcPr>
            <w:tcW w:w="0" w:type="auto"/>
            <w:shd w:val="clear" w:color="auto" w:fill="auto"/>
            <w:tcMar>
              <w:top w:w="40" w:type="dxa"/>
              <w:left w:w="560" w:type="dxa"/>
              <w:bottom w:w="40" w:type="dxa"/>
              <w:right w:w="40" w:type="dxa"/>
            </w:tcMar>
          </w:tcPr>
          <w:p w14:paraId="54E9095C"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Corporate debt securities</w:t>
            </w:r>
          </w:p>
        </w:tc>
        <w:tc>
          <w:tcPr>
            <w:tcW w:w="0" w:type="auto"/>
            <w:shd w:val="clear" w:color="auto" w:fill="auto"/>
            <w:tcMar>
              <w:top w:w="40" w:type="dxa"/>
              <w:left w:w="40" w:type="dxa"/>
              <w:bottom w:w="40" w:type="dxa"/>
              <w:right w:w="40" w:type="dxa"/>
            </w:tcMar>
            <w:vAlign w:val="bottom"/>
          </w:tcPr>
          <w:p w14:paraId="54E9095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095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10,385</w:t>
            </w:r>
          </w:p>
        </w:tc>
        <w:tc>
          <w:tcPr>
            <w:tcW w:w="0" w:type="auto"/>
            <w:tcBorders>
              <w:bottom w:val="single" w:sz="8" w:space="0" w:color="000000"/>
            </w:tcBorders>
            <w:shd w:val="clear" w:color="auto" w:fill="auto"/>
            <w:vAlign w:val="bottom"/>
          </w:tcPr>
          <w:p w14:paraId="54E9095F"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96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096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4E90962"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96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096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10,385</w:t>
            </w:r>
          </w:p>
        </w:tc>
        <w:tc>
          <w:tcPr>
            <w:tcW w:w="0" w:type="auto"/>
            <w:tcBorders>
              <w:bottom w:val="single" w:sz="8" w:space="0" w:color="000000"/>
            </w:tcBorders>
            <w:shd w:val="clear" w:color="auto" w:fill="auto"/>
            <w:vAlign w:val="bottom"/>
          </w:tcPr>
          <w:p w14:paraId="54E90965"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96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096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4E90968" w14:textId="77777777" w:rsidR="00F427A3" w:rsidRDefault="00F427A3">
            <w:pPr>
              <w:textAlignment w:val="bottom"/>
              <w:rPr>
                <w:rFonts w:ascii="Times New Roman" w:hAnsi="Times New Roman"/>
                <w:sz w:val="20"/>
                <w:szCs w:val="20"/>
              </w:rPr>
            </w:pPr>
          </w:p>
        </w:tc>
      </w:tr>
      <w:tr w:rsidR="00F427A3" w14:paraId="54E9097B" w14:textId="77777777">
        <w:tc>
          <w:tcPr>
            <w:tcW w:w="0" w:type="auto"/>
            <w:shd w:val="clear" w:color="auto" w:fill="CCEEFF"/>
            <w:tcMar>
              <w:top w:w="40" w:type="dxa"/>
              <w:left w:w="40" w:type="dxa"/>
              <w:bottom w:w="40" w:type="dxa"/>
              <w:right w:w="40" w:type="dxa"/>
            </w:tcMar>
          </w:tcPr>
          <w:p w14:paraId="54E9096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Total cash equivalents and marketable securities</w:t>
            </w:r>
          </w:p>
        </w:tc>
        <w:tc>
          <w:tcPr>
            <w:tcW w:w="0" w:type="auto"/>
            <w:shd w:val="clear" w:color="auto" w:fill="CCEEFF"/>
            <w:tcMar>
              <w:top w:w="40" w:type="dxa"/>
              <w:left w:w="40" w:type="dxa"/>
              <w:bottom w:w="40" w:type="dxa"/>
              <w:right w:w="40" w:type="dxa"/>
            </w:tcMar>
            <w:vAlign w:val="bottom"/>
          </w:tcPr>
          <w:p w14:paraId="54E9096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4E9096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9096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50,120</w:t>
            </w:r>
          </w:p>
        </w:tc>
        <w:tc>
          <w:tcPr>
            <w:tcW w:w="0" w:type="auto"/>
            <w:tcBorders>
              <w:bottom w:val="double" w:sz="6" w:space="0" w:color="000000"/>
            </w:tcBorders>
            <w:shd w:val="clear" w:color="auto" w:fill="CCEEFF"/>
            <w:vAlign w:val="bottom"/>
          </w:tcPr>
          <w:p w14:paraId="54E9096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96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4E9097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9097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39,437</w:t>
            </w:r>
          </w:p>
        </w:tc>
        <w:tc>
          <w:tcPr>
            <w:tcW w:w="0" w:type="auto"/>
            <w:tcBorders>
              <w:bottom w:val="double" w:sz="6" w:space="0" w:color="000000"/>
            </w:tcBorders>
            <w:shd w:val="clear" w:color="auto" w:fill="CCEEFF"/>
            <w:vAlign w:val="bottom"/>
          </w:tcPr>
          <w:p w14:paraId="54E90972"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97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4E9097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9097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10,683</w:t>
            </w:r>
          </w:p>
        </w:tc>
        <w:tc>
          <w:tcPr>
            <w:tcW w:w="0" w:type="auto"/>
            <w:tcBorders>
              <w:bottom w:val="double" w:sz="6" w:space="0" w:color="000000"/>
            </w:tcBorders>
            <w:shd w:val="clear" w:color="auto" w:fill="CCEEFF"/>
            <w:vAlign w:val="bottom"/>
          </w:tcPr>
          <w:p w14:paraId="54E9097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97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4E9097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9097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vAlign w:val="bottom"/>
          </w:tcPr>
          <w:p w14:paraId="54E9097A" w14:textId="77777777" w:rsidR="00F427A3" w:rsidRDefault="00F427A3">
            <w:pPr>
              <w:textAlignment w:val="bottom"/>
              <w:rPr>
                <w:rFonts w:ascii="Times New Roman" w:hAnsi="Times New Roman"/>
                <w:sz w:val="20"/>
                <w:szCs w:val="20"/>
              </w:rPr>
            </w:pPr>
          </w:p>
        </w:tc>
      </w:tr>
    </w:tbl>
    <w:p w14:paraId="54E9097C" w14:textId="77777777" w:rsidR="00F427A3" w:rsidRDefault="00F427A3">
      <w:pPr>
        <w:spacing w:line="288" w:lineRule="auto"/>
        <w:rPr>
          <w:rFonts w:ascii="Times New Roman" w:hAnsi="Times New Roman"/>
          <w:sz w:val="20"/>
          <w:szCs w:val="20"/>
        </w:rPr>
      </w:pPr>
    </w:p>
    <w:p w14:paraId="54E9097D" w14:textId="77777777" w:rsidR="00F427A3" w:rsidRDefault="00F427A3">
      <w:pPr>
        <w:spacing w:line="288" w:lineRule="auto"/>
        <w:ind w:firstLine="720"/>
        <w:jc w:val="both"/>
        <w:rPr>
          <w:rFonts w:ascii="Times New Roman" w:hAnsi="Times New Roman"/>
          <w:sz w:val="20"/>
          <w:szCs w:val="20"/>
        </w:rPr>
      </w:pPr>
    </w:p>
    <w:p w14:paraId="54E9097E"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w:t>
      </w:r>
      <w:r>
        <w:rPr>
          <w:rFonts w:ascii="Times New Roman" w:eastAsia="宋体" w:hAnsi="Times New Roman"/>
          <w:sz w:val="20"/>
          <w:szCs w:val="20"/>
        </w:rPr>
        <w:t xml:space="preserve">classify our cash equivalents and marketable securities within Level 1 or Level 2 because we use quoted market prices or alternative pricing sources and models utilizing market observable inputs to determine their fair value. </w:t>
      </w:r>
    </w:p>
    <w:p w14:paraId="54E9097F" w14:textId="77777777" w:rsidR="00F427A3" w:rsidRDefault="00F427A3">
      <w:pPr>
        <w:spacing w:line="288" w:lineRule="auto"/>
        <w:ind w:firstLine="720"/>
        <w:jc w:val="both"/>
        <w:rPr>
          <w:rFonts w:ascii="Times New Roman" w:hAnsi="Times New Roman"/>
          <w:sz w:val="20"/>
          <w:szCs w:val="20"/>
        </w:rPr>
      </w:pPr>
    </w:p>
    <w:p w14:paraId="54E90980"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Beginning in 2020, we had </w:t>
      </w:r>
      <w:r>
        <w:rPr>
          <w:rFonts w:ascii="Times New Roman" w:eastAsia="宋体" w:hAnsi="Times New Roman"/>
          <w:sz w:val="20"/>
          <w:szCs w:val="20"/>
        </w:rPr>
        <w:t xml:space="preserve">other assets and liabilities classified within Level 3 because factors used to develop the estimated fair value are unobservable inputs that are not supported by market activity. The aggregate absolute value of these Level 3 assets and liabilities was not </w:t>
      </w:r>
      <w:r>
        <w:rPr>
          <w:rFonts w:ascii="Times New Roman" w:eastAsia="宋体" w:hAnsi="Times New Roman"/>
          <w:sz w:val="20"/>
          <w:szCs w:val="20"/>
        </w:rPr>
        <w:t>material to our condensed consolidated financial statements as of September 30, 2020.</w:t>
      </w:r>
    </w:p>
    <w:p w14:paraId="54E90981" w14:textId="77777777" w:rsidR="00F427A3" w:rsidRDefault="00F427A3">
      <w:pPr>
        <w:spacing w:line="288" w:lineRule="auto"/>
        <w:ind w:firstLine="720"/>
        <w:jc w:val="both"/>
        <w:rPr>
          <w:rFonts w:ascii="Times New Roman" w:hAnsi="Times New Roman"/>
          <w:sz w:val="20"/>
          <w:szCs w:val="20"/>
        </w:rPr>
      </w:pPr>
    </w:p>
    <w:p w14:paraId="54E90982"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On July 7, 2020, we completed our equity investment in Jio and noted observable transactions in similar securities subsequent to the date of our </w:t>
      </w:r>
      <w:r>
        <w:rPr>
          <w:rFonts w:ascii="Times New Roman" w:eastAsia="宋体" w:hAnsi="Times New Roman"/>
          <w:sz w:val="20"/>
          <w:szCs w:val="20"/>
        </w:rPr>
        <w:t xml:space="preserve">investment. Based on our assessment, we concluded no change in fair value from the initial carrying value of $5.82 billion was required as a result of these observable transactions. Had there been a change in the fair value, our investment in Jio would be </w:t>
      </w:r>
      <w:r>
        <w:rPr>
          <w:rFonts w:ascii="Times New Roman" w:eastAsia="宋体" w:hAnsi="Times New Roman"/>
          <w:sz w:val="20"/>
          <w:szCs w:val="20"/>
        </w:rPr>
        <w:t>classified within Level 3. For information regarding our investment in Jio, see Note 5 — Equity Investments.</w:t>
      </w:r>
    </w:p>
    <w:p w14:paraId="54E90983" w14:textId="77777777" w:rsidR="00F427A3" w:rsidRDefault="00F427A3">
      <w:pPr>
        <w:spacing w:line="288" w:lineRule="auto"/>
        <w:ind w:firstLine="720"/>
        <w:jc w:val="both"/>
        <w:rPr>
          <w:rFonts w:ascii="Times New Roman" w:hAnsi="Times New Roman"/>
          <w:sz w:val="20"/>
          <w:szCs w:val="20"/>
        </w:rPr>
      </w:pPr>
    </w:p>
    <w:p w14:paraId="54E90984" w14:textId="77777777" w:rsidR="00F427A3" w:rsidRDefault="00F427A3">
      <w:pPr>
        <w:rPr>
          <w:rFonts w:ascii="Times New Roman" w:hAnsi="Times New Roman"/>
          <w:sz w:val="20"/>
          <w:szCs w:val="20"/>
        </w:rPr>
      </w:pPr>
    </w:p>
    <w:p w14:paraId="54E90985"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20</w:t>
      </w:r>
    </w:p>
    <w:p w14:paraId="54E90986" w14:textId="77777777" w:rsidR="00F427A3" w:rsidRDefault="0044221F">
      <w:r>
        <w:rPr>
          <w:rFonts w:ascii="Times New Roman" w:hAnsi="Times New Roman"/>
          <w:sz w:val="20"/>
          <w:szCs w:val="20"/>
        </w:rPr>
        <w:pict w14:anchorId="54E91C34">
          <v:rect id="_x0000_i1044" style="width:415.3pt;height:1.5pt" o:hralign="center" o:hrstd="t" o:hr="t" fillcolor="#a0a0a0" stroked="f"/>
        </w:pict>
      </w:r>
    </w:p>
    <w:p w14:paraId="54E90987" w14:textId="77777777" w:rsidR="00F427A3" w:rsidRDefault="0044221F">
      <w:pPr>
        <w:spacing w:line="288" w:lineRule="auto"/>
        <w:rPr>
          <w:rFonts w:ascii="Times New Roman" w:hAnsi="Times New Roman"/>
          <w:sz w:val="20"/>
          <w:szCs w:val="20"/>
        </w:rPr>
      </w:pPr>
      <w:hyperlink r:id="rId61" w:anchor="s348EA962CF6D59B599D9921AFA89C381" w:history="1">
        <w:r>
          <w:rPr>
            <w:rStyle w:val="a5"/>
            <w:rFonts w:ascii="Times New Roman" w:eastAsia="宋体" w:hAnsi="Times New Roman"/>
            <w:sz w:val="20"/>
            <w:szCs w:val="20"/>
          </w:rPr>
          <w:t>Table of Contents</w:t>
        </w:r>
      </w:hyperlink>
    </w:p>
    <w:p w14:paraId="54E90988" w14:textId="77777777" w:rsidR="00F427A3" w:rsidRDefault="00F427A3">
      <w:pPr>
        <w:rPr>
          <w:rFonts w:ascii="Times New Roman" w:hAnsi="Times New Roman"/>
          <w:sz w:val="20"/>
          <w:szCs w:val="20"/>
        </w:rPr>
      </w:pPr>
    </w:p>
    <w:p w14:paraId="54E90989"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sz w:val="20"/>
          <w:szCs w:val="20"/>
        </w:rPr>
        <w:t>Note 7. Property and Equipment</w:t>
      </w:r>
    </w:p>
    <w:p w14:paraId="54E9098A"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Property and equipment, net consists of the following (in millions):</w:t>
      </w: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5494"/>
        <w:gridCol w:w="141"/>
        <w:gridCol w:w="1093"/>
        <w:gridCol w:w="107"/>
        <w:gridCol w:w="130"/>
        <w:gridCol w:w="141"/>
        <w:gridCol w:w="1093"/>
        <w:gridCol w:w="107"/>
      </w:tblGrid>
      <w:tr w:rsidR="00F427A3" w14:paraId="54E9098C" w14:textId="77777777">
        <w:tc>
          <w:tcPr>
            <w:tcW w:w="0" w:type="auto"/>
            <w:gridSpan w:val="8"/>
            <w:shd w:val="clear" w:color="auto" w:fill="auto"/>
            <w:vAlign w:val="center"/>
          </w:tcPr>
          <w:p w14:paraId="54E9098B" w14:textId="77777777" w:rsidR="00F427A3" w:rsidRDefault="00F427A3">
            <w:pPr>
              <w:rPr>
                <w:rFonts w:ascii="Times New Roman" w:hAnsi="Times New Roman"/>
                <w:sz w:val="20"/>
                <w:szCs w:val="20"/>
              </w:rPr>
            </w:pPr>
          </w:p>
        </w:tc>
      </w:tr>
      <w:tr w:rsidR="00F427A3" w14:paraId="54E90995" w14:textId="77777777">
        <w:tc>
          <w:tcPr>
            <w:tcW w:w="3350" w:type="pct"/>
            <w:shd w:val="clear" w:color="auto" w:fill="auto"/>
            <w:vAlign w:val="center"/>
          </w:tcPr>
          <w:p w14:paraId="54E9098D" w14:textId="77777777" w:rsidR="00F427A3" w:rsidRDefault="00F427A3">
            <w:pPr>
              <w:rPr>
                <w:rFonts w:ascii="Times New Roman" w:hAnsi="Times New Roman"/>
                <w:sz w:val="20"/>
                <w:szCs w:val="20"/>
              </w:rPr>
            </w:pPr>
          </w:p>
        </w:tc>
        <w:tc>
          <w:tcPr>
            <w:tcW w:w="50" w:type="pct"/>
            <w:shd w:val="clear" w:color="auto" w:fill="auto"/>
            <w:vAlign w:val="center"/>
          </w:tcPr>
          <w:p w14:paraId="54E9098E" w14:textId="77777777" w:rsidR="00F427A3" w:rsidRDefault="00F427A3">
            <w:pPr>
              <w:rPr>
                <w:rFonts w:ascii="Times New Roman" w:hAnsi="Times New Roman"/>
                <w:sz w:val="20"/>
                <w:szCs w:val="20"/>
              </w:rPr>
            </w:pPr>
          </w:p>
        </w:tc>
        <w:tc>
          <w:tcPr>
            <w:tcW w:w="700" w:type="pct"/>
            <w:shd w:val="clear" w:color="auto" w:fill="auto"/>
            <w:vAlign w:val="center"/>
          </w:tcPr>
          <w:p w14:paraId="54E9098F" w14:textId="77777777" w:rsidR="00F427A3" w:rsidRDefault="00F427A3">
            <w:pPr>
              <w:rPr>
                <w:rFonts w:ascii="Times New Roman" w:hAnsi="Times New Roman"/>
                <w:sz w:val="20"/>
                <w:szCs w:val="20"/>
              </w:rPr>
            </w:pPr>
          </w:p>
        </w:tc>
        <w:tc>
          <w:tcPr>
            <w:tcW w:w="50" w:type="pct"/>
            <w:shd w:val="clear" w:color="auto" w:fill="auto"/>
            <w:vAlign w:val="center"/>
          </w:tcPr>
          <w:p w14:paraId="54E90990" w14:textId="77777777" w:rsidR="00F427A3" w:rsidRDefault="00F427A3">
            <w:pPr>
              <w:rPr>
                <w:rFonts w:ascii="Times New Roman" w:hAnsi="Times New Roman"/>
                <w:sz w:val="20"/>
                <w:szCs w:val="20"/>
              </w:rPr>
            </w:pPr>
          </w:p>
        </w:tc>
        <w:tc>
          <w:tcPr>
            <w:tcW w:w="50" w:type="pct"/>
            <w:shd w:val="clear" w:color="auto" w:fill="auto"/>
            <w:vAlign w:val="center"/>
          </w:tcPr>
          <w:p w14:paraId="54E90991" w14:textId="77777777" w:rsidR="00F427A3" w:rsidRDefault="00F427A3">
            <w:pPr>
              <w:rPr>
                <w:rFonts w:ascii="Times New Roman" w:hAnsi="Times New Roman"/>
                <w:sz w:val="20"/>
                <w:szCs w:val="20"/>
              </w:rPr>
            </w:pPr>
          </w:p>
        </w:tc>
        <w:tc>
          <w:tcPr>
            <w:tcW w:w="50" w:type="pct"/>
            <w:shd w:val="clear" w:color="auto" w:fill="auto"/>
            <w:vAlign w:val="center"/>
          </w:tcPr>
          <w:p w14:paraId="54E90992" w14:textId="77777777" w:rsidR="00F427A3" w:rsidRDefault="00F427A3">
            <w:pPr>
              <w:rPr>
                <w:rFonts w:ascii="Times New Roman" w:hAnsi="Times New Roman"/>
                <w:sz w:val="20"/>
                <w:szCs w:val="20"/>
              </w:rPr>
            </w:pPr>
          </w:p>
        </w:tc>
        <w:tc>
          <w:tcPr>
            <w:tcW w:w="700" w:type="pct"/>
            <w:shd w:val="clear" w:color="auto" w:fill="auto"/>
            <w:vAlign w:val="center"/>
          </w:tcPr>
          <w:p w14:paraId="54E90993" w14:textId="77777777" w:rsidR="00F427A3" w:rsidRDefault="00F427A3">
            <w:pPr>
              <w:rPr>
                <w:rFonts w:ascii="Times New Roman" w:hAnsi="Times New Roman"/>
                <w:sz w:val="20"/>
                <w:szCs w:val="20"/>
              </w:rPr>
            </w:pPr>
          </w:p>
        </w:tc>
        <w:tc>
          <w:tcPr>
            <w:tcW w:w="50" w:type="pct"/>
            <w:shd w:val="clear" w:color="auto" w:fill="auto"/>
            <w:vAlign w:val="center"/>
          </w:tcPr>
          <w:p w14:paraId="54E90994" w14:textId="77777777" w:rsidR="00F427A3" w:rsidRDefault="00F427A3">
            <w:pPr>
              <w:rPr>
                <w:rFonts w:ascii="Times New Roman" w:hAnsi="Times New Roman"/>
                <w:sz w:val="20"/>
                <w:szCs w:val="20"/>
              </w:rPr>
            </w:pPr>
          </w:p>
        </w:tc>
      </w:tr>
      <w:tr w:rsidR="00F427A3" w14:paraId="54E9099A" w14:textId="77777777">
        <w:tc>
          <w:tcPr>
            <w:tcW w:w="0" w:type="auto"/>
            <w:shd w:val="clear" w:color="auto" w:fill="auto"/>
            <w:tcMar>
              <w:top w:w="40" w:type="dxa"/>
              <w:left w:w="40" w:type="dxa"/>
              <w:bottom w:w="40" w:type="dxa"/>
              <w:right w:w="40" w:type="dxa"/>
            </w:tcMar>
            <w:vAlign w:val="bottom"/>
          </w:tcPr>
          <w:p w14:paraId="54E9099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997"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September 30, 2020</w:t>
            </w:r>
          </w:p>
        </w:tc>
        <w:tc>
          <w:tcPr>
            <w:tcW w:w="0" w:type="auto"/>
            <w:shd w:val="clear" w:color="auto" w:fill="auto"/>
            <w:tcMar>
              <w:top w:w="40" w:type="dxa"/>
              <w:left w:w="40" w:type="dxa"/>
              <w:bottom w:w="40" w:type="dxa"/>
              <w:right w:w="40" w:type="dxa"/>
            </w:tcMar>
            <w:vAlign w:val="bottom"/>
          </w:tcPr>
          <w:p w14:paraId="54E9099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999"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December 31, 2019</w:t>
            </w:r>
          </w:p>
        </w:tc>
      </w:tr>
      <w:tr w:rsidR="00F427A3" w14:paraId="54E909A3" w14:textId="77777777">
        <w:tc>
          <w:tcPr>
            <w:tcW w:w="0" w:type="auto"/>
            <w:shd w:val="clear" w:color="auto" w:fill="CCEEFF"/>
            <w:tcMar>
              <w:top w:w="40" w:type="dxa"/>
              <w:left w:w="40" w:type="dxa"/>
              <w:bottom w:w="40" w:type="dxa"/>
              <w:right w:w="40" w:type="dxa"/>
            </w:tcMar>
            <w:vAlign w:val="bottom"/>
          </w:tcPr>
          <w:p w14:paraId="54E9099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Land</w:t>
            </w:r>
          </w:p>
        </w:tc>
        <w:tc>
          <w:tcPr>
            <w:tcW w:w="0" w:type="auto"/>
            <w:shd w:val="clear" w:color="auto" w:fill="CCEEFF"/>
            <w:tcMar>
              <w:top w:w="40" w:type="dxa"/>
              <w:left w:w="40" w:type="dxa"/>
              <w:bottom w:w="40" w:type="dxa"/>
            </w:tcMar>
            <w:vAlign w:val="bottom"/>
          </w:tcPr>
          <w:p w14:paraId="54E9099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99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1,319</w:t>
            </w:r>
          </w:p>
        </w:tc>
        <w:tc>
          <w:tcPr>
            <w:tcW w:w="0" w:type="auto"/>
            <w:shd w:val="clear" w:color="auto" w:fill="CCEEFF"/>
            <w:vAlign w:val="bottom"/>
          </w:tcPr>
          <w:p w14:paraId="54E9099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99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9A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9A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1,097</w:t>
            </w:r>
          </w:p>
        </w:tc>
        <w:tc>
          <w:tcPr>
            <w:tcW w:w="0" w:type="auto"/>
            <w:shd w:val="clear" w:color="auto" w:fill="CCEEFF"/>
            <w:vAlign w:val="bottom"/>
          </w:tcPr>
          <w:p w14:paraId="54E909A2" w14:textId="77777777" w:rsidR="00F427A3" w:rsidRDefault="00F427A3">
            <w:pPr>
              <w:textAlignment w:val="bottom"/>
              <w:rPr>
                <w:rFonts w:ascii="Times New Roman" w:hAnsi="Times New Roman"/>
                <w:sz w:val="20"/>
                <w:szCs w:val="20"/>
              </w:rPr>
            </w:pPr>
          </w:p>
        </w:tc>
      </w:tr>
      <w:tr w:rsidR="00F427A3" w14:paraId="54E909AA" w14:textId="77777777">
        <w:tc>
          <w:tcPr>
            <w:tcW w:w="0" w:type="auto"/>
            <w:shd w:val="clear" w:color="auto" w:fill="auto"/>
            <w:tcMar>
              <w:top w:w="40" w:type="dxa"/>
              <w:left w:w="40" w:type="dxa"/>
              <w:bottom w:w="40" w:type="dxa"/>
              <w:right w:w="40" w:type="dxa"/>
            </w:tcMar>
            <w:vAlign w:val="bottom"/>
          </w:tcPr>
          <w:p w14:paraId="54E909A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Buildings</w:t>
            </w:r>
          </w:p>
        </w:tc>
        <w:tc>
          <w:tcPr>
            <w:tcW w:w="0" w:type="auto"/>
            <w:gridSpan w:val="2"/>
            <w:shd w:val="clear" w:color="auto" w:fill="auto"/>
            <w:tcMar>
              <w:top w:w="40" w:type="dxa"/>
              <w:left w:w="40" w:type="dxa"/>
              <w:bottom w:w="40" w:type="dxa"/>
            </w:tcMar>
            <w:vAlign w:val="bottom"/>
          </w:tcPr>
          <w:p w14:paraId="54E909A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16,053</w:t>
            </w:r>
          </w:p>
        </w:tc>
        <w:tc>
          <w:tcPr>
            <w:tcW w:w="0" w:type="auto"/>
            <w:shd w:val="clear" w:color="auto" w:fill="auto"/>
            <w:vAlign w:val="bottom"/>
          </w:tcPr>
          <w:p w14:paraId="54E909A6"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9A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9A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11,226</w:t>
            </w:r>
          </w:p>
        </w:tc>
        <w:tc>
          <w:tcPr>
            <w:tcW w:w="0" w:type="auto"/>
            <w:shd w:val="clear" w:color="auto" w:fill="auto"/>
            <w:vAlign w:val="bottom"/>
          </w:tcPr>
          <w:p w14:paraId="54E909A9" w14:textId="77777777" w:rsidR="00F427A3" w:rsidRDefault="00F427A3">
            <w:pPr>
              <w:textAlignment w:val="bottom"/>
              <w:rPr>
                <w:rFonts w:ascii="Times New Roman" w:hAnsi="Times New Roman"/>
                <w:sz w:val="20"/>
                <w:szCs w:val="20"/>
              </w:rPr>
            </w:pPr>
          </w:p>
        </w:tc>
      </w:tr>
      <w:tr w:rsidR="00F427A3" w14:paraId="54E909B1" w14:textId="77777777">
        <w:tc>
          <w:tcPr>
            <w:tcW w:w="0" w:type="auto"/>
            <w:shd w:val="clear" w:color="auto" w:fill="CCEEFF"/>
            <w:tcMar>
              <w:top w:w="40" w:type="dxa"/>
              <w:left w:w="40" w:type="dxa"/>
              <w:bottom w:w="40" w:type="dxa"/>
              <w:right w:w="40" w:type="dxa"/>
            </w:tcMar>
            <w:vAlign w:val="bottom"/>
          </w:tcPr>
          <w:p w14:paraId="54E909A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Leasehold improvements</w:t>
            </w:r>
          </w:p>
        </w:tc>
        <w:tc>
          <w:tcPr>
            <w:tcW w:w="0" w:type="auto"/>
            <w:gridSpan w:val="2"/>
            <w:shd w:val="clear" w:color="auto" w:fill="CCEEFF"/>
            <w:tcMar>
              <w:top w:w="40" w:type="dxa"/>
              <w:left w:w="40" w:type="dxa"/>
              <w:bottom w:w="40" w:type="dxa"/>
            </w:tcMar>
            <w:vAlign w:val="bottom"/>
          </w:tcPr>
          <w:p w14:paraId="54E909A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3,799</w:t>
            </w:r>
          </w:p>
        </w:tc>
        <w:tc>
          <w:tcPr>
            <w:tcW w:w="0" w:type="auto"/>
            <w:shd w:val="clear" w:color="auto" w:fill="CCEEFF"/>
            <w:vAlign w:val="bottom"/>
          </w:tcPr>
          <w:p w14:paraId="54E909AD"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9A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9A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3,112</w:t>
            </w:r>
          </w:p>
        </w:tc>
        <w:tc>
          <w:tcPr>
            <w:tcW w:w="0" w:type="auto"/>
            <w:shd w:val="clear" w:color="auto" w:fill="CCEEFF"/>
            <w:vAlign w:val="bottom"/>
          </w:tcPr>
          <w:p w14:paraId="54E909B0" w14:textId="77777777" w:rsidR="00F427A3" w:rsidRDefault="00F427A3">
            <w:pPr>
              <w:textAlignment w:val="bottom"/>
              <w:rPr>
                <w:rFonts w:ascii="Times New Roman" w:hAnsi="Times New Roman"/>
                <w:sz w:val="20"/>
                <w:szCs w:val="20"/>
              </w:rPr>
            </w:pPr>
          </w:p>
        </w:tc>
      </w:tr>
      <w:tr w:rsidR="00F427A3" w14:paraId="54E909B8" w14:textId="77777777">
        <w:tc>
          <w:tcPr>
            <w:tcW w:w="0" w:type="auto"/>
            <w:shd w:val="clear" w:color="auto" w:fill="auto"/>
            <w:tcMar>
              <w:top w:w="40" w:type="dxa"/>
              <w:left w:w="40" w:type="dxa"/>
              <w:bottom w:w="40" w:type="dxa"/>
              <w:right w:w="40" w:type="dxa"/>
            </w:tcMar>
            <w:vAlign w:val="bottom"/>
          </w:tcPr>
          <w:p w14:paraId="54E909B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Network equipment</w:t>
            </w:r>
          </w:p>
        </w:tc>
        <w:tc>
          <w:tcPr>
            <w:tcW w:w="0" w:type="auto"/>
            <w:gridSpan w:val="2"/>
            <w:shd w:val="clear" w:color="auto" w:fill="auto"/>
            <w:tcMar>
              <w:top w:w="40" w:type="dxa"/>
              <w:left w:w="40" w:type="dxa"/>
              <w:bottom w:w="40" w:type="dxa"/>
            </w:tcMar>
            <w:vAlign w:val="bottom"/>
          </w:tcPr>
          <w:p w14:paraId="54E909B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20,527</w:t>
            </w:r>
          </w:p>
        </w:tc>
        <w:tc>
          <w:tcPr>
            <w:tcW w:w="0" w:type="auto"/>
            <w:shd w:val="clear" w:color="auto" w:fill="auto"/>
            <w:vAlign w:val="bottom"/>
          </w:tcPr>
          <w:p w14:paraId="54E909B4"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9B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9B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17,004</w:t>
            </w:r>
          </w:p>
        </w:tc>
        <w:tc>
          <w:tcPr>
            <w:tcW w:w="0" w:type="auto"/>
            <w:shd w:val="clear" w:color="auto" w:fill="auto"/>
            <w:vAlign w:val="bottom"/>
          </w:tcPr>
          <w:p w14:paraId="54E909B7" w14:textId="77777777" w:rsidR="00F427A3" w:rsidRDefault="00F427A3">
            <w:pPr>
              <w:textAlignment w:val="bottom"/>
              <w:rPr>
                <w:rFonts w:ascii="Times New Roman" w:hAnsi="Times New Roman"/>
                <w:sz w:val="20"/>
                <w:szCs w:val="20"/>
              </w:rPr>
            </w:pPr>
          </w:p>
        </w:tc>
      </w:tr>
      <w:tr w:rsidR="00F427A3" w14:paraId="54E909BF" w14:textId="77777777">
        <w:tc>
          <w:tcPr>
            <w:tcW w:w="0" w:type="auto"/>
            <w:shd w:val="clear" w:color="auto" w:fill="CCEEFF"/>
            <w:tcMar>
              <w:top w:w="40" w:type="dxa"/>
              <w:left w:w="40" w:type="dxa"/>
              <w:bottom w:w="40" w:type="dxa"/>
              <w:right w:w="40" w:type="dxa"/>
            </w:tcMar>
            <w:vAlign w:val="bottom"/>
          </w:tcPr>
          <w:p w14:paraId="54E909B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Computer software, office equipment and other</w:t>
            </w:r>
          </w:p>
        </w:tc>
        <w:tc>
          <w:tcPr>
            <w:tcW w:w="0" w:type="auto"/>
            <w:gridSpan w:val="2"/>
            <w:shd w:val="clear" w:color="auto" w:fill="CCEEFF"/>
            <w:tcMar>
              <w:top w:w="40" w:type="dxa"/>
              <w:left w:w="40" w:type="dxa"/>
              <w:bottom w:w="40" w:type="dxa"/>
            </w:tcMar>
            <w:vAlign w:val="bottom"/>
          </w:tcPr>
          <w:p w14:paraId="54E909B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2,246</w:t>
            </w:r>
          </w:p>
        </w:tc>
        <w:tc>
          <w:tcPr>
            <w:tcW w:w="0" w:type="auto"/>
            <w:shd w:val="clear" w:color="auto" w:fill="CCEEFF"/>
            <w:vAlign w:val="bottom"/>
          </w:tcPr>
          <w:p w14:paraId="54E909BB"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9B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9B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1,813</w:t>
            </w:r>
          </w:p>
        </w:tc>
        <w:tc>
          <w:tcPr>
            <w:tcW w:w="0" w:type="auto"/>
            <w:shd w:val="clear" w:color="auto" w:fill="CCEEFF"/>
            <w:vAlign w:val="bottom"/>
          </w:tcPr>
          <w:p w14:paraId="54E909BE" w14:textId="77777777" w:rsidR="00F427A3" w:rsidRDefault="00F427A3">
            <w:pPr>
              <w:textAlignment w:val="bottom"/>
              <w:rPr>
                <w:rFonts w:ascii="Times New Roman" w:hAnsi="Times New Roman"/>
                <w:sz w:val="20"/>
                <w:szCs w:val="20"/>
              </w:rPr>
            </w:pPr>
          </w:p>
        </w:tc>
      </w:tr>
      <w:tr w:rsidR="00F427A3" w14:paraId="54E909C6" w14:textId="77777777">
        <w:tc>
          <w:tcPr>
            <w:tcW w:w="0" w:type="auto"/>
            <w:shd w:val="clear" w:color="auto" w:fill="auto"/>
            <w:tcMar>
              <w:top w:w="40" w:type="dxa"/>
              <w:left w:w="40" w:type="dxa"/>
              <w:bottom w:w="40" w:type="dxa"/>
              <w:right w:w="40" w:type="dxa"/>
            </w:tcMar>
            <w:vAlign w:val="bottom"/>
          </w:tcPr>
          <w:p w14:paraId="54E909C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Finance lease right-of-use assets</w:t>
            </w:r>
          </w:p>
        </w:tc>
        <w:tc>
          <w:tcPr>
            <w:tcW w:w="0" w:type="auto"/>
            <w:gridSpan w:val="2"/>
            <w:shd w:val="clear" w:color="auto" w:fill="auto"/>
            <w:tcMar>
              <w:top w:w="40" w:type="dxa"/>
              <w:left w:w="40" w:type="dxa"/>
              <w:bottom w:w="40" w:type="dxa"/>
            </w:tcMar>
            <w:vAlign w:val="bottom"/>
          </w:tcPr>
          <w:p w14:paraId="54E909C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2,035</w:t>
            </w:r>
          </w:p>
        </w:tc>
        <w:tc>
          <w:tcPr>
            <w:tcW w:w="0" w:type="auto"/>
            <w:shd w:val="clear" w:color="auto" w:fill="auto"/>
            <w:vAlign w:val="bottom"/>
          </w:tcPr>
          <w:p w14:paraId="54E909C2"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9C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9C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1,635</w:t>
            </w:r>
          </w:p>
        </w:tc>
        <w:tc>
          <w:tcPr>
            <w:tcW w:w="0" w:type="auto"/>
            <w:shd w:val="clear" w:color="auto" w:fill="auto"/>
            <w:vAlign w:val="bottom"/>
          </w:tcPr>
          <w:p w14:paraId="54E909C5" w14:textId="77777777" w:rsidR="00F427A3" w:rsidRDefault="00F427A3">
            <w:pPr>
              <w:textAlignment w:val="bottom"/>
              <w:rPr>
                <w:rFonts w:ascii="Times New Roman" w:hAnsi="Times New Roman"/>
                <w:sz w:val="20"/>
                <w:szCs w:val="20"/>
              </w:rPr>
            </w:pPr>
          </w:p>
        </w:tc>
      </w:tr>
      <w:tr w:rsidR="00F427A3" w14:paraId="54E909CD" w14:textId="77777777">
        <w:tc>
          <w:tcPr>
            <w:tcW w:w="0" w:type="auto"/>
            <w:shd w:val="clear" w:color="auto" w:fill="CCEEFF"/>
            <w:tcMar>
              <w:top w:w="40" w:type="dxa"/>
              <w:left w:w="40" w:type="dxa"/>
              <w:bottom w:w="40" w:type="dxa"/>
              <w:right w:w="40" w:type="dxa"/>
            </w:tcMar>
            <w:vAlign w:val="bottom"/>
          </w:tcPr>
          <w:p w14:paraId="54E909C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Construction in progress</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9C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10,449</w:t>
            </w:r>
          </w:p>
        </w:tc>
        <w:tc>
          <w:tcPr>
            <w:tcW w:w="0" w:type="auto"/>
            <w:tcBorders>
              <w:bottom w:val="single" w:sz="8" w:space="0" w:color="000000"/>
            </w:tcBorders>
            <w:shd w:val="clear" w:color="auto" w:fill="CCEEFF"/>
            <w:vAlign w:val="bottom"/>
          </w:tcPr>
          <w:p w14:paraId="54E909C9"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9C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9C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10,099</w:t>
            </w:r>
          </w:p>
        </w:tc>
        <w:tc>
          <w:tcPr>
            <w:tcW w:w="0" w:type="auto"/>
            <w:tcBorders>
              <w:bottom w:val="single" w:sz="8" w:space="0" w:color="000000"/>
            </w:tcBorders>
            <w:shd w:val="clear" w:color="auto" w:fill="CCEEFF"/>
            <w:vAlign w:val="bottom"/>
          </w:tcPr>
          <w:p w14:paraId="54E909CC" w14:textId="77777777" w:rsidR="00F427A3" w:rsidRDefault="00F427A3">
            <w:pPr>
              <w:textAlignment w:val="bottom"/>
              <w:rPr>
                <w:rFonts w:ascii="Times New Roman" w:hAnsi="Times New Roman"/>
                <w:sz w:val="20"/>
                <w:szCs w:val="20"/>
              </w:rPr>
            </w:pPr>
          </w:p>
        </w:tc>
      </w:tr>
      <w:tr w:rsidR="00F427A3" w14:paraId="54E909D4" w14:textId="77777777">
        <w:tc>
          <w:tcPr>
            <w:tcW w:w="0" w:type="auto"/>
            <w:shd w:val="clear" w:color="auto" w:fill="auto"/>
            <w:tcMar>
              <w:top w:w="40" w:type="dxa"/>
              <w:left w:w="40" w:type="dxa"/>
              <w:bottom w:w="40" w:type="dxa"/>
              <w:right w:w="40" w:type="dxa"/>
            </w:tcMar>
            <w:vAlign w:val="bottom"/>
          </w:tcPr>
          <w:p w14:paraId="54E909C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Total</w:t>
            </w:r>
          </w:p>
        </w:tc>
        <w:tc>
          <w:tcPr>
            <w:tcW w:w="0" w:type="auto"/>
            <w:gridSpan w:val="2"/>
            <w:shd w:val="clear" w:color="auto" w:fill="auto"/>
            <w:tcMar>
              <w:top w:w="40" w:type="dxa"/>
              <w:left w:w="40" w:type="dxa"/>
              <w:bottom w:w="40" w:type="dxa"/>
            </w:tcMar>
            <w:vAlign w:val="bottom"/>
          </w:tcPr>
          <w:p w14:paraId="54E909C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56,428</w:t>
            </w:r>
          </w:p>
        </w:tc>
        <w:tc>
          <w:tcPr>
            <w:tcW w:w="0" w:type="auto"/>
            <w:shd w:val="clear" w:color="auto" w:fill="auto"/>
            <w:vAlign w:val="bottom"/>
          </w:tcPr>
          <w:p w14:paraId="54E909D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9D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9D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45,986</w:t>
            </w:r>
          </w:p>
        </w:tc>
        <w:tc>
          <w:tcPr>
            <w:tcW w:w="0" w:type="auto"/>
            <w:shd w:val="clear" w:color="auto" w:fill="auto"/>
            <w:vAlign w:val="bottom"/>
          </w:tcPr>
          <w:p w14:paraId="54E909D3" w14:textId="77777777" w:rsidR="00F427A3" w:rsidRDefault="00F427A3">
            <w:pPr>
              <w:textAlignment w:val="bottom"/>
              <w:rPr>
                <w:rFonts w:ascii="Times New Roman" w:hAnsi="Times New Roman"/>
                <w:sz w:val="20"/>
                <w:szCs w:val="20"/>
              </w:rPr>
            </w:pPr>
          </w:p>
        </w:tc>
      </w:tr>
      <w:tr w:rsidR="00F427A3" w14:paraId="54E909DB" w14:textId="77777777">
        <w:tc>
          <w:tcPr>
            <w:tcW w:w="0" w:type="auto"/>
            <w:shd w:val="clear" w:color="auto" w:fill="CCEEFF"/>
            <w:tcMar>
              <w:top w:w="40" w:type="dxa"/>
              <w:left w:w="40" w:type="dxa"/>
              <w:bottom w:w="40" w:type="dxa"/>
              <w:right w:w="40" w:type="dxa"/>
            </w:tcMar>
            <w:vAlign w:val="bottom"/>
          </w:tcPr>
          <w:p w14:paraId="54E909D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Less: Accumulated depreciation</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9D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(14,137</w:t>
            </w:r>
          </w:p>
        </w:tc>
        <w:tc>
          <w:tcPr>
            <w:tcW w:w="0" w:type="auto"/>
            <w:tcBorders>
              <w:bottom w:val="single" w:sz="8" w:space="0" w:color="000000"/>
            </w:tcBorders>
            <w:shd w:val="clear" w:color="auto" w:fill="CCEEFF"/>
            <w:tcMar>
              <w:top w:w="40" w:type="dxa"/>
              <w:bottom w:w="40" w:type="dxa"/>
              <w:right w:w="40" w:type="dxa"/>
            </w:tcMar>
            <w:vAlign w:val="bottom"/>
          </w:tcPr>
          <w:p w14:paraId="54E909D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9D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9D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(10,663</w:t>
            </w:r>
          </w:p>
        </w:tc>
        <w:tc>
          <w:tcPr>
            <w:tcW w:w="0" w:type="auto"/>
            <w:tcBorders>
              <w:bottom w:val="single" w:sz="8" w:space="0" w:color="000000"/>
            </w:tcBorders>
            <w:shd w:val="clear" w:color="auto" w:fill="CCEEFF"/>
            <w:tcMar>
              <w:top w:w="40" w:type="dxa"/>
              <w:bottom w:w="40" w:type="dxa"/>
              <w:right w:w="40" w:type="dxa"/>
            </w:tcMar>
            <w:vAlign w:val="bottom"/>
          </w:tcPr>
          <w:p w14:paraId="54E909D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09E4" w14:textId="77777777">
        <w:tc>
          <w:tcPr>
            <w:tcW w:w="0" w:type="auto"/>
            <w:shd w:val="clear" w:color="auto" w:fill="auto"/>
            <w:tcMar>
              <w:top w:w="40" w:type="dxa"/>
              <w:left w:w="40" w:type="dxa"/>
              <w:bottom w:w="40" w:type="dxa"/>
              <w:right w:w="40" w:type="dxa"/>
            </w:tcMar>
            <w:vAlign w:val="bottom"/>
          </w:tcPr>
          <w:p w14:paraId="54E909D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Property and equipment, net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9D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9D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42,291</w:t>
            </w:r>
          </w:p>
        </w:tc>
        <w:tc>
          <w:tcPr>
            <w:tcW w:w="0" w:type="auto"/>
            <w:tcBorders>
              <w:top w:val="single" w:sz="8" w:space="0" w:color="000000"/>
              <w:bottom w:val="double" w:sz="6" w:space="0" w:color="000000"/>
            </w:tcBorders>
            <w:shd w:val="clear" w:color="auto" w:fill="auto"/>
            <w:vAlign w:val="bottom"/>
          </w:tcPr>
          <w:p w14:paraId="54E909DF"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9E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4E909E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4E909E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35,323</w:t>
            </w:r>
          </w:p>
        </w:tc>
        <w:tc>
          <w:tcPr>
            <w:tcW w:w="0" w:type="auto"/>
            <w:tcBorders>
              <w:bottom w:val="double" w:sz="6" w:space="0" w:color="000000"/>
            </w:tcBorders>
            <w:shd w:val="clear" w:color="auto" w:fill="auto"/>
            <w:vAlign w:val="bottom"/>
          </w:tcPr>
          <w:p w14:paraId="54E909E3" w14:textId="77777777" w:rsidR="00F427A3" w:rsidRDefault="00F427A3">
            <w:pPr>
              <w:textAlignment w:val="bottom"/>
              <w:rPr>
                <w:rFonts w:ascii="Times New Roman" w:hAnsi="Times New Roman"/>
                <w:sz w:val="20"/>
                <w:szCs w:val="20"/>
              </w:rPr>
            </w:pPr>
          </w:p>
        </w:tc>
      </w:tr>
    </w:tbl>
    <w:p w14:paraId="54E909E5" w14:textId="77777777" w:rsidR="00F427A3" w:rsidRDefault="00F427A3">
      <w:pPr>
        <w:spacing w:line="288" w:lineRule="auto"/>
        <w:rPr>
          <w:rFonts w:ascii="Times New Roman" w:hAnsi="Times New Roman"/>
          <w:sz w:val="20"/>
          <w:szCs w:val="20"/>
        </w:rPr>
      </w:pPr>
    </w:p>
    <w:p w14:paraId="54E909E6"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Depreciation expense on property and equipment was </w:t>
      </w:r>
      <w:r>
        <w:rPr>
          <w:rFonts w:ascii="Times New Roman" w:eastAsia="宋体" w:hAnsi="Times New Roman"/>
          <w:color w:val="212529"/>
          <w:sz w:val="20"/>
          <w:szCs w:val="20"/>
        </w:rPr>
        <w:t>$1.58 billion</w:t>
      </w:r>
      <w:r>
        <w:rPr>
          <w:rFonts w:ascii="Times New Roman" w:eastAsia="宋体" w:hAnsi="Times New Roman"/>
          <w:sz w:val="20"/>
          <w:szCs w:val="20"/>
        </w:rPr>
        <w:t xml:space="preserve"> and </w:t>
      </w:r>
      <w:r>
        <w:rPr>
          <w:rFonts w:ascii="Times New Roman" w:eastAsia="宋体" w:hAnsi="Times New Roman"/>
          <w:color w:val="212529"/>
          <w:sz w:val="20"/>
          <w:szCs w:val="20"/>
        </w:rPr>
        <w:t>$1.27 billion</w:t>
      </w:r>
      <w:r>
        <w:rPr>
          <w:rFonts w:ascii="Times New Roman" w:eastAsia="宋体" w:hAnsi="Times New Roman"/>
          <w:sz w:val="20"/>
          <w:szCs w:val="20"/>
        </w:rPr>
        <w:t xml:space="preserve"> for the three months ended September 30, 2020 and 2019, respectively, and </w:t>
      </w:r>
      <w:r>
        <w:rPr>
          <w:rFonts w:ascii="Times New Roman" w:eastAsia="宋体" w:hAnsi="Times New Roman"/>
          <w:color w:val="212529"/>
          <w:sz w:val="20"/>
          <w:szCs w:val="20"/>
        </w:rPr>
        <w:t>$4.65 billion</w:t>
      </w:r>
      <w:r>
        <w:rPr>
          <w:rFonts w:ascii="Times New Roman" w:eastAsia="宋体" w:hAnsi="Times New Roman"/>
          <w:sz w:val="20"/>
          <w:szCs w:val="20"/>
        </w:rPr>
        <w:t xml:space="preserve"> and </w:t>
      </w:r>
      <w:r>
        <w:rPr>
          <w:rFonts w:ascii="Times New Roman" w:eastAsia="宋体" w:hAnsi="Times New Roman"/>
          <w:color w:val="212529"/>
          <w:sz w:val="20"/>
          <w:szCs w:val="20"/>
        </w:rPr>
        <w:t>$3.82 billion</w:t>
      </w:r>
      <w:r>
        <w:rPr>
          <w:rFonts w:ascii="Times New Roman" w:eastAsia="宋体" w:hAnsi="Times New Roman"/>
          <w:sz w:val="20"/>
          <w:szCs w:val="20"/>
        </w:rPr>
        <w:t xml:space="preserve"> for the nine months ended September 30, 2020 and 2019, respectively. Construction in progress includes costs mostly related to construction of data c</w:t>
      </w:r>
      <w:r>
        <w:rPr>
          <w:rFonts w:ascii="Times New Roman" w:eastAsia="宋体" w:hAnsi="Times New Roman"/>
          <w:sz w:val="20"/>
          <w:szCs w:val="20"/>
        </w:rPr>
        <w:t>enters, network equipment infrastructure to support our data centers around the world, and office buildings. No interest was capitalized for any period presented.</w:t>
      </w:r>
    </w:p>
    <w:p w14:paraId="54E909E7" w14:textId="77777777" w:rsidR="00F427A3" w:rsidRDefault="00F427A3">
      <w:pPr>
        <w:spacing w:line="288" w:lineRule="auto"/>
        <w:ind w:firstLine="720"/>
        <w:jc w:val="both"/>
        <w:rPr>
          <w:rFonts w:ascii="Times New Roman" w:hAnsi="Times New Roman"/>
          <w:sz w:val="20"/>
          <w:szCs w:val="20"/>
        </w:rPr>
      </w:pPr>
    </w:p>
    <w:p w14:paraId="54E909E8"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sz w:val="20"/>
          <w:szCs w:val="20"/>
        </w:rPr>
        <w:t>Note 8. Leases</w:t>
      </w:r>
    </w:p>
    <w:p w14:paraId="54E909E9"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have entered into various non-cancelable operating lease agreements for ce</w:t>
      </w:r>
      <w:r>
        <w:rPr>
          <w:rFonts w:ascii="Times New Roman" w:eastAsia="宋体" w:hAnsi="Times New Roman"/>
          <w:sz w:val="20"/>
          <w:szCs w:val="20"/>
        </w:rPr>
        <w:t>rtain of our offices, data centers, land, colocations, and equipment. We have also entered into various non-cancelable finance lease agreements for certain network equipment. Our leases have original lease periods expiring between the remainder of 2020 and</w:t>
      </w:r>
      <w:r>
        <w:rPr>
          <w:rFonts w:ascii="Times New Roman" w:eastAsia="宋体" w:hAnsi="Times New Roman"/>
          <w:sz w:val="20"/>
          <w:szCs w:val="20"/>
        </w:rPr>
        <w:t xml:space="preserve"> 2093. Many leases include one or more options to renew. We do not assume renewals in our determination of the lease term unless the renewals are deemed to be reasonably assured. Our lease agreements generally do not contain any material residual value gua</w:t>
      </w:r>
      <w:r>
        <w:rPr>
          <w:rFonts w:ascii="Times New Roman" w:eastAsia="宋体" w:hAnsi="Times New Roman"/>
          <w:sz w:val="20"/>
          <w:szCs w:val="20"/>
        </w:rPr>
        <w:t>rantees or material restrictive covenants.</w:t>
      </w:r>
    </w:p>
    <w:p w14:paraId="54E909EA"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components of lease costs are as follows (in millions):</w:t>
      </w:r>
    </w:p>
    <w:tbl>
      <w:tblPr>
        <w:tblW w:w="5000" w:type="pct"/>
        <w:tblCellMar>
          <w:left w:w="0" w:type="dxa"/>
          <w:right w:w="0" w:type="dxa"/>
        </w:tblCellMar>
        <w:tblLook w:val="04A0" w:firstRow="1" w:lastRow="0" w:firstColumn="1" w:lastColumn="0" w:noHBand="0" w:noVBand="1"/>
      </w:tblPr>
      <w:tblGrid>
        <w:gridCol w:w="2700"/>
        <w:gridCol w:w="140"/>
        <w:gridCol w:w="1122"/>
        <w:gridCol w:w="42"/>
        <w:gridCol w:w="130"/>
        <w:gridCol w:w="140"/>
        <w:gridCol w:w="1122"/>
        <w:gridCol w:w="42"/>
        <w:gridCol w:w="130"/>
        <w:gridCol w:w="140"/>
        <w:gridCol w:w="1122"/>
        <w:gridCol w:w="42"/>
        <w:gridCol w:w="130"/>
        <w:gridCol w:w="140"/>
        <w:gridCol w:w="1122"/>
        <w:gridCol w:w="42"/>
      </w:tblGrid>
      <w:tr w:rsidR="00F427A3" w14:paraId="54E909EC" w14:textId="77777777">
        <w:tc>
          <w:tcPr>
            <w:tcW w:w="0" w:type="auto"/>
            <w:gridSpan w:val="16"/>
            <w:shd w:val="clear" w:color="auto" w:fill="auto"/>
            <w:vAlign w:val="center"/>
          </w:tcPr>
          <w:p w14:paraId="54E909EB" w14:textId="77777777" w:rsidR="00F427A3" w:rsidRDefault="00F427A3">
            <w:pPr>
              <w:rPr>
                <w:rFonts w:ascii="Times New Roman" w:hAnsi="Times New Roman"/>
                <w:sz w:val="20"/>
                <w:szCs w:val="20"/>
              </w:rPr>
            </w:pPr>
          </w:p>
        </w:tc>
      </w:tr>
      <w:tr w:rsidR="00F427A3" w14:paraId="54E909FD" w14:textId="77777777">
        <w:tc>
          <w:tcPr>
            <w:tcW w:w="1650" w:type="pct"/>
            <w:shd w:val="clear" w:color="auto" w:fill="auto"/>
            <w:vAlign w:val="center"/>
          </w:tcPr>
          <w:p w14:paraId="54E909ED" w14:textId="77777777" w:rsidR="00F427A3" w:rsidRDefault="00F427A3">
            <w:pPr>
              <w:rPr>
                <w:rFonts w:ascii="Times New Roman" w:hAnsi="Times New Roman"/>
                <w:sz w:val="20"/>
                <w:szCs w:val="20"/>
              </w:rPr>
            </w:pPr>
          </w:p>
        </w:tc>
        <w:tc>
          <w:tcPr>
            <w:tcW w:w="50" w:type="pct"/>
            <w:shd w:val="clear" w:color="auto" w:fill="auto"/>
            <w:vAlign w:val="center"/>
          </w:tcPr>
          <w:p w14:paraId="54E909EE" w14:textId="77777777" w:rsidR="00F427A3" w:rsidRDefault="00F427A3">
            <w:pPr>
              <w:rPr>
                <w:rFonts w:ascii="Times New Roman" w:hAnsi="Times New Roman"/>
                <w:sz w:val="20"/>
                <w:szCs w:val="20"/>
              </w:rPr>
            </w:pPr>
          </w:p>
        </w:tc>
        <w:tc>
          <w:tcPr>
            <w:tcW w:w="700" w:type="pct"/>
            <w:shd w:val="clear" w:color="auto" w:fill="auto"/>
            <w:vAlign w:val="center"/>
          </w:tcPr>
          <w:p w14:paraId="54E909EF" w14:textId="77777777" w:rsidR="00F427A3" w:rsidRDefault="00F427A3">
            <w:pPr>
              <w:rPr>
                <w:rFonts w:ascii="Times New Roman" w:hAnsi="Times New Roman"/>
                <w:sz w:val="20"/>
                <w:szCs w:val="20"/>
              </w:rPr>
            </w:pPr>
          </w:p>
        </w:tc>
        <w:tc>
          <w:tcPr>
            <w:tcW w:w="50" w:type="pct"/>
            <w:shd w:val="clear" w:color="auto" w:fill="auto"/>
            <w:vAlign w:val="center"/>
          </w:tcPr>
          <w:p w14:paraId="54E909F0" w14:textId="77777777" w:rsidR="00F427A3" w:rsidRDefault="00F427A3">
            <w:pPr>
              <w:rPr>
                <w:rFonts w:ascii="Times New Roman" w:hAnsi="Times New Roman"/>
                <w:sz w:val="20"/>
                <w:szCs w:val="20"/>
              </w:rPr>
            </w:pPr>
          </w:p>
        </w:tc>
        <w:tc>
          <w:tcPr>
            <w:tcW w:w="50" w:type="pct"/>
            <w:shd w:val="clear" w:color="auto" w:fill="auto"/>
            <w:vAlign w:val="center"/>
          </w:tcPr>
          <w:p w14:paraId="54E909F1" w14:textId="77777777" w:rsidR="00F427A3" w:rsidRDefault="00F427A3">
            <w:pPr>
              <w:rPr>
                <w:rFonts w:ascii="Times New Roman" w:hAnsi="Times New Roman"/>
                <w:sz w:val="20"/>
                <w:szCs w:val="20"/>
              </w:rPr>
            </w:pPr>
          </w:p>
        </w:tc>
        <w:tc>
          <w:tcPr>
            <w:tcW w:w="50" w:type="pct"/>
            <w:shd w:val="clear" w:color="auto" w:fill="auto"/>
            <w:vAlign w:val="center"/>
          </w:tcPr>
          <w:p w14:paraId="54E909F2" w14:textId="77777777" w:rsidR="00F427A3" w:rsidRDefault="00F427A3">
            <w:pPr>
              <w:rPr>
                <w:rFonts w:ascii="Times New Roman" w:hAnsi="Times New Roman"/>
                <w:sz w:val="20"/>
                <w:szCs w:val="20"/>
              </w:rPr>
            </w:pPr>
          </w:p>
        </w:tc>
        <w:tc>
          <w:tcPr>
            <w:tcW w:w="700" w:type="pct"/>
            <w:shd w:val="clear" w:color="auto" w:fill="auto"/>
            <w:vAlign w:val="center"/>
          </w:tcPr>
          <w:p w14:paraId="54E909F3" w14:textId="77777777" w:rsidR="00F427A3" w:rsidRDefault="00F427A3">
            <w:pPr>
              <w:rPr>
                <w:rFonts w:ascii="Times New Roman" w:hAnsi="Times New Roman"/>
                <w:sz w:val="20"/>
                <w:szCs w:val="20"/>
              </w:rPr>
            </w:pPr>
          </w:p>
        </w:tc>
        <w:tc>
          <w:tcPr>
            <w:tcW w:w="50" w:type="pct"/>
            <w:shd w:val="clear" w:color="auto" w:fill="auto"/>
            <w:vAlign w:val="center"/>
          </w:tcPr>
          <w:p w14:paraId="54E909F4" w14:textId="77777777" w:rsidR="00F427A3" w:rsidRDefault="00F427A3">
            <w:pPr>
              <w:rPr>
                <w:rFonts w:ascii="Times New Roman" w:hAnsi="Times New Roman"/>
                <w:sz w:val="20"/>
                <w:szCs w:val="20"/>
              </w:rPr>
            </w:pPr>
          </w:p>
        </w:tc>
        <w:tc>
          <w:tcPr>
            <w:tcW w:w="50" w:type="pct"/>
            <w:shd w:val="clear" w:color="auto" w:fill="auto"/>
            <w:vAlign w:val="center"/>
          </w:tcPr>
          <w:p w14:paraId="54E909F5" w14:textId="77777777" w:rsidR="00F427A3" w:rsidRDefault="00F427A3">
            <w:pPr>
              <w:rPr>
                <w:rFonts w:ascii="Times New Roman" w:hAnsi="Times New Roman"/>
                <w:sz w:val="20"/>
                <w:szCs w:val="20"/>
              </w:rPr>
            </w:pPr>
          </w:p>
        </w:tc>
        <w:tc>
          <w:tcPr>
            <w:tcW w:w="50" w:type="pct"/>
            <w:shd w:val="clear" w:color="auto" w:fill="auto"/>
            <w:vAlign w:val="center"/>
          </w:tcPr>
          <w:p w14:paraId="54E909F6" w14:textId="77777777" w:rsidR="00F427A3" w:rsidRDefault="00F427A3">
            <w:pPr>
              <w:rPr>
                <w:rFonts w:ascii="Times New Roman" w:hAnsi="Times New Roman"/>
                <w:sz w:val="20"/>
                <w:szCs w:val="20"/>
              </w:rPr>
            </w:pPr>
          </w:p>
        </w:tc>
        <w:tc>
          <w:tcPr>
            <w:tcW w:w="700" w:type="pct"/>
            <w:shd w:val="clear" w:color="auto" w:fill="auto"/>
            <w:vAlign w:val="center"/>
          </w:tcPr>
          <w:p w14:paraId="54E909F7" w14:textId="77777777" w:rsidR="00F427A3" w:rsidRDefault="00F427A3">
            <w:pPr>
              <w:rPr>
                <w:rFonts w:ascii="Times New Roman" w:hAnsi="Times New Roman"/>
                <w:sz w:val="20"/>
                <w:szCs w:val="20"/>
              </w:rPr>
            </w:pPr>
          </w:p>
        </w:tc>
        <w:tc>
          <w:tcPr>
            <w:tcW w:w="50" w:type="pct"/>
            <w:shd w:val="clear" w:color="auto" w:fill="auto"/>
            <w:vAlign w:val="center"/>
          </w:tcPr>
          <w:p w14:paraId="54E909F8" w14:textId="77777777" w:rsidR="00F427A3" w:rsidRDefault="00F427A3">
            <w:pPr>
              <w:rPr>
                <w:rFonts w:ascii="Times New Roman" w:hAnsi="Times New Roman"/>
                <w:sz w:val="20"/>
                <w:szCs w:val="20"/>
              </w:rPr>
            </w:pPr>
          </w:p>
        </w:tc>
        <w:tc>
          <w:tcPr>
            <w:tcW w:w="50" w:type="pct"/>
            <w:shd w:val="clear" w:color="auto" w:fill="auto"/>
            <w:vAlign w:val="center"/>
          </w:tcPr>
          <w:p w14:paraId="54E909F9" w14:textId="77777777" w:rsidR="00F427A3" w:rsidRDefault="00F427A3">
            <w:pPr>
              <w:rPr>
                <w:rFonts w:ascii="Times New Roman" w:hAnsi="Times New Roman"/>
                <w:sz w:val="20"/>
                <w:szCs w:val="20"/>
              </w:rPr>
            </w:pPr>
          </w:p>
        </w:tc>
        <w:tc>
          <w:tcPr>
            <w:tcW w:w="50" w:type="pct"/>
            <w:shd w:val="clear" w:color="auto" w:fill="auto"/>
            <w:vAlign w:val="center"/>
          </w:tcPr>
          <w:p w14:paraId="54E909FA" w14:textId="77777777" w:rsidR="00F427A3" w:rsidRDefault="00F427A3">
            <w:pPr>
              <w:rPr>
                <w:rFonts w:ascii="Times New Roman" w:hAnsi="Times New Roman"/>
                <w:sz w:val="20"/>
                <w:szCs w:val="20"/>
              </w:rPr>
            </w:pPr>
          </w:p>
        </w:tc>
        <w:tc>
          <w:tcPr>
            <w:tcW w:w="700" w:type="pct"/>
            <w:shd w:val="clear" w:color="auto" w:fill="auto"/>
            <w:vAlign w:val="center"/>
          </w:tcPr>
          <w:p w14:paraId="54E909FB" w14:textId="77777777" w:rsidR="00F427A3" w:rsidRDefault="00F427A3">
            <w:pPr>
              <w:rPr>
                <w:rFonts w:ascii="Times New Roman" w:hAnsi="Times New Roman"/>
                <w:sz w:val="20"/>
                <w:szCs w:val="20"/>
              </w:rPr>
            </w:pPr>
          </w:p>
        </w:tc>
        <w:tc>
          <w:tcPr>
            <w:tcW w:w="50" w:type="pct"/>
            <w:shd w:val="clear" w:color="auto" w:fill="auto"/>
            <w:vAlign w:val="center"/>
          </w:tcPr>
          <w:p w14:paraId="54E909FC" w14:textId="77777777" w:rsidR="00F427A3" w:rsidRDefault="00F427A3">
            <w:pPr>
              <w:rPr>
                <w:rFonts w:ascii="Times New Roman" w:hAnsi="Times New Roman"/>
                <w:sz w:val="20"/>
                <w:szCs w:val="20"/>
              </w:rPr>
            </w:pPr>
          </w:p>
        </w:tc>
      </w:tr>
      <w:tr w:rsidR="00F427A3" w14:paraId="54E90A02" w14:textId="77777777">
        <w:tc>
          <w:tcPr>
            <w:tcW w:w="0" w:type="auto"/>
            <w:shd w:val="clear" w:color="auto" w:fill="auto"/>
            <w:tcMar>
              <w:top w:w="40" w:type="dxa"/>
              <w:left w:w="40" w:type="dxa"/>
              <w:bottom w:w="40" w:type="dxa"/>
              <w:right w:w="40" w:type="dxa"/>
            </w:tcMar>
            <w:vAlign w:val="bottom"/>
          </w:tcPr>
          <w:p w14:paraId="54E909F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09FF"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Three Months Ended September 30,</w:t>
            </w:r>
          </w:p>
        </w:tc>
        <w:tc>
          <w:tcPr>
            <w:tcW w:w="0" w:type="auto"/>
            <w:shd w:val="clear" w:color="auto" w:fill="auto"/>
            <w:tcMar>
              <w:top w:w="40" w:type="dxa"/>
              <w:left w:w="40" w:type="dxa"/>
              <w:bottom w:w="40" w:type="dxa"/>
              <w:right w:w="40" w:type="dxa"/>
            </w:tcMar>
            <w:vAlign w:val="bottom"/>
          </w:tcPr>
          <w:p w14:paraId="54E90A0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0A01"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Nine Months Ended September 30,</w:t>
            </w:r>
          </w:p>
        </w:tc>
      </w:tr>
      <w:tr w:rsidR="00F427A3" w14:paraId="54E90A0B" w14:textId="77777777">
        <w:tc>
          <w:tcPr>
            <w:tcW w:w="0" w:type="auto"/>
            <w:shd w:val="clear" w:color="auto" w:fill="auto"/>
            <w:tcMar>
              <w:top w:w="40" w:type="dxa"/>
              <w:left w:w="40" w:type="dxa"/>
              <w:bottom w:w="40" w:type="dxa"/>
              <w:right w:w="40" w:type="dxa"/>
            </w:tcMar>
            <w:vAlign w:val="bottom"/>
          </w:tcPr>
          <w:p w14:paraId="54E90A0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54E90A04" w14:textId="77777777" w:rsidR="00F427A3" w:rsidRDefault="0044221F">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center"/>
          </w:tcPr>
          <w:p w14:paraId="54E90A05" w14:textId="77777777" w:rsidR="00F427A3" w:rsidRDefault="00F427A3">
            <w:pPr>
              <w:jc w:val="center"/>
              <w:textAlignment w:val="center"/>
              <w:rPr>
                <w:rFonts w:ascii="Times New Roman" w:hAnsi="Times New Roman"/>
                <w:sz w:val="16"/>
                <w:szCs w:val="16"/>
              </w:rPr>
            </w:pP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54E90A06" w14:textId="77777777" w:rsidR="00F427A3" w:rsidRDefault="0044221F">
            <w:pPr>
              <w:jc w:val="center"/>
              <w:textAlignment w:val="center"/>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90A0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54E90A08" w14:textId="77777777" w:rsidR="00F427A3" w:rsidRDefault="0044221F">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54E90A0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54E90A0A" w14:textId="77777777" w:rsidR="00F427A3" w:rsidRDefault="0044221F">
            <w:pPr>
              <w:jc w:val="center"/>
              <w:textAlignment w:val="center"/>
              <w:rPr>
                <w:rFonts w:ascii="Times New Roman" w:hAnsi="Times New Roman"/>
                <w:sz w:val="16"/>
                <w:szCs w:val="16"/>
              </w:rPr>
            </w:pPr>
            <w:r>
              <w:rPr>
                <w:rFonts w:ascii="Times New Roman" w:eastAsia="宋体" w:hAnsi="Times New Roman"/>
                <w:b/>
                <w:bCs/>
                <w:sz w:val="16"/>
                <w:szCs w:val="16"/>
              </w:rPr>
              <w:t>2019</w:t>
            </w:r>
          </w:p>
        </w:tc>
      </w:tr>
      <w:tr w:rsidR="00F427A3" w14:paraId="54E90A14" w14:textId="77777777">
        <w:tc>
          <w:tcPr>
            <w:tcW w:w="0" w:type="auto"/>
            <w:shd w:val="clear" w:color="auto" w:fill="CCEEFF"/>
            <w:tcMar>
              <w:top w:w="40" w:type="dxa"/>
              <w:left w:w="40" w:type="dxa"/>
              <w:bottom w:w="40" w:type="dxa"/>
              <w:right w:w="40" w:type="dxa"/>
            </w:tcMar>
          </w:tcPr>
          <w:p w14:paraId="54E90A0C" w14:textId="77777777" w:rsidR="00F427A3" w:rsidRDefault="0044221F">
            <w:pPr>
              <w:textAlignment w:val="top"/>
              <w:rPr>
                <w:rFonts w:ascii="Times New Roman" w:hAnsi="Times New Roman"/>
                <w:sz w:val="20"/>
                <w:szCs w:val="20"/>
              </w:rPr>
            </w:pPr>
            <w:r>
              <w:rPr>
                <w:rFonts w:ascii="Times New Roman" w:eastAsia="宋体" w:hAnsi="Times New Roman"/>
                <w:sz w:val="20"/>
                <w:szCs w:val="20"/>
                <w:shd w:val="clear" w:color="auto" w:fill="CCEEFF"/>
              </w:rPr>
              <w:t>Finance lease cost</w:t>
            </w:r>
          </w:p>
        </w:tc>
        <w:tc>
          <w:tcPr>
            <w:tcW w:w="0" w:type="auto"/>
            <w:gridSpan w:val="3"/>
            <w:shd w:val="clear" w:color="auto" w:fill="CCEEFF"/>
            <w:tcMar>
              <w:top w:w="40" w:type="dxa"/>
              <w:left w:w="40" w:type="dxa"/>
              <w:bottom w:w="40" w:type="dxa"/>
              <w:right w:w="40" w:type="dxa"/>
            </w:tcMar>
            <w:vAlign w:val="bottom"/>
          </w:tcPr>
          <w:p w14:paraId="54E90A0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A0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A0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A1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A1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A1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A1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A25" w14:textId="77777777">
        <w:tc>
          <w:tcPr>
            <w:tcW w:w="0" w:type="auto"/>
            <w:shd w:val="clear" w:color="auto" w:fill="auto"/>
            <w:tcMar>
              <w:top w:w="40" w:type="dxa"/>
              <w:left w:w="240" w:type="dxa"/>
              <w:bottom w:w="40" w:type="dxa"/>
              <w:right w:w="40" w:type="dxa"/>
            </w:tcMar>
          </w:tcPr>
          <w:p w14:paraId="54E90A15"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Amortization of right-of-use assets</w:t>
            </w:r>
          </w:p>
        </w:tc>
        <w:tc>
          <w:tcPr>
            <w:tcW w:w="0" w:type="auto"/>
            <w:shd w:val="clear" w:color="auto" w:fill="auto"/>
            <w:tcMar>
              <w:top w:w="40" w:type="dxa"/>
              <w:left w:w="40" w:type="dxa"/>
              <w:bottom w:w="40" w:type="dxa"/>
            </w:tcMar>
          </w:tcPr>
          <w:p w14:paraId="54E90A16"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54E90A17"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65</w:t>
            </w:r>
          </w:p>
        </w:tc>
        <w:tc>
          <w:tcPr>
            <w:tcW w:w="0" w:type="auto"/>
            <w:shd w:val="clear" w:color="auto" w:fill="auto"/>
            <w:vAlign w:val="bottom"/>
          </w:tcPr>
          <w:p w14:paraId="54E90A18"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A1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54E90A1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54E90A1B"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51</w:t>
            </w:r>
          </w:p>
        </w:tc>
        <w:tc>
          <w:tcPr>
            <w:tcW w:w="0" w:type="auto"/>
            <w:shd w:val="clear" w:color="auto" w:fill="auto"/>
            <w:vAlign w:val="bottom"/>
          </w:tcPr>
          <w:p w14:paraId="54E90A1C"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A1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54E90A1E"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54E90A1F"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185</w:t>
            </w:r>
          </w:p>
        </w:tc>
        <w:tc>
          <w:tcPr>
            <w:tcW w:w="0" w:type="auto"/>
            <w:shd w:val="clear" w:color="auto" w:fill="auto"/>
            <w:vAlign w:val="bottom"/>
          </w:tcPr>
          <w:p w14:paraId="54E90A2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A2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54E90A22"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54E90A23"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140</w:t>
            </w:r>
          </w:p>
        </w:tc>
        <w:tc>
          <w:tcPr>
            <w:tcW w:w="0" w:type="auto"/>
            <w:shd w:val="clear" w:color="auto" w:fill="auto"/>
            <w:vAlign w:val="bottom"/>
          </w:tcPr>
          <w:p w14:paraId="54E90A24" w14:textId="77777777" w:rsidR="00F427A3" w:rsidRDefault="00F427A3">
            <w:pPr>
              <w:textAlignment w:val="bottom"/>
              <w:rPr>
                <w:rFonts w:ascii="Times New Roman" w:hAnsi="Times New Roman"/>
                <w:sz w:val="20"/>
                <w:szCs w:val="20"/>
              </w:rPr>
            </w:pPr>
          </w:p>
        </w:tc>
      </w:tr>
      <w:tr w:rsidR="00F427A3" w14:paraId="54E90A32" w14:textId="77777777">
        <w:tc>
          <w:tcPr>
            <w:tcW w:w="0" w:type="auto"/>
            <w:shd w:val="clear" w:color="auto" w:fill="CCEEFF"/>
            <w:tcMar>
              <w:top w:w="40" w:type="dxa"/>
              <w:left w:w="240" w:type="dxa"/>
              <w:bottom w:w="40" w:type="dxa"/>
              <w:right w:w="40" w:type="dxa"/>
            </w:tcMar>
          </w:tcPr>
          <w:p w14:paraId="54E90A26" w14:textId="77777777" w:rsidR="00F427A3" w:rsidRDefault="0044221F">
            <w:pPr>
              <w:textAlignment w:val="top"/>
              <w:rPr>
                <w:rFonts w:ascii="Times New Roman" w:hAnsi="Times New Roman"/>
                <w:sz w:val="20"/>
                <w:szCs w:val="20"/>
              </w:rPr>
            </w:pPr>
            <w:r>
              <w:rPr>
                <w:rFonts w:ascii="Times New Roman" w:eastAsia="宋体" w:hAnsi="Times New Roman"/>
                <w:sz w:val="20"/>
                <w:szCs w:val="20"/>
                <w:shd w:val="clear" w:color="auto" w:fill="CCEEFF"/>
              </w:rPr>
              <w:t>     Interest</w:t>
            </w:r>
          </w:p>
        </w:tc>
        <w:tc>
          <w:tcPr>
            <w:tcW w:w="0" w:type="auto"/>
            <w:gridSpan w:val="2"/>
            <w:shd w:val="clear" w:color="auto" w:fill="CCEEFF"/>
            <w:tcMar>
              <w:top w:w="40" w:type="dxa"/>
              <w:left w:w="40" w:type="dxa"/>
              <w:bottom w:w="40" w:type="dxa"/>
            </w:tcMar>
          </w:tcPr>
          <w:p w14:paraId="54E90A27"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vAlign w:val="bottom"/>
          </w:tcPr>
          <w:p w14:paraId="54E90A28"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A2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4E90A2A"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vAlign w:val="bottom"/>
          </w:tcPr>
          <w:p w14:paraId="54E90A2B"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A2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4E90A2D"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11</w:t>
            </w:r>
          </w:p>
        </w:tc>
        <w:tc>
          <w:tcPr>
            <w:tcW w:w="0" w:type="auto"/>
            <w:shd w:val="clear" w:color="auto" w:fill="CCEEFF"/>
            <w:vAlign w:val="bottom"/>
          </w:tcPr>
          <w:p w14:paraId="54E90A2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A2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4E90A30"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9</w:t>
            </w:r>
          </w:p>
        </w:tc>
        <w:tc>
          <w:tcPr>
            <w:tcW w:w="0" w:type="auto"/>
            <w:shd w:val="clear" w:color="auto" w:fill="CCEEFF"/>
            <w:vAlign w:val="bottom"/>
          </w:tcPr>
          <w:p w14:paraId="54E90A31" w14:textId="77777777" w:rsidR="00F427A3" w:rsidRDefault="00F427A3">
            <w:pPr>
              <w:textAlignment w:val="bottom"/>
              <w:rPr>
                <w:rFonts w:ascii="Times New Roman" w:hAnsi="Times New Roman"/>
                <w:sz w:val="20"/>
                <w:szCs w:val="20"/>
              </w:rPr>
            </w:pPr>
          </w:p>
        </w:tc>
      </w:tr>
      <w:tr w:rsidR="00F427A3" w14:paraId="54E90A3F" w14:textId="77777777">
        <w:tc>
          <w:tcPr>
            <w:tcW w:w="0" w:type="auto"/>
            <w:shd w:val="clear" w:color="auto" w:fill="auto"/>
            <w:tcMar>
              <w:top w:w="40" w:type="dxa"/>
              <w:left w:w="40" w:type="dxa"/>
              <w:bottom w:w="40" w:type="dxa"/>
              <w:right w:w="40" w:type="dxa"/>
            </w:tcMar>
          </w:tcPr>
          <w:p w14:paraId="54E90A33"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Operating lease cost</w:t>
            </w:r>
          </w:p>
        </w:tc>
        <w:tc>
          <w:tcPr>
            <w:tcW w:w="0" w:type="auto"/>
            <w:gridSpan w:val="2"/>
            <w:shd w:val="clear" w:color="auto" w:fill="auto"/>
            <w:tcMar>
              <w:top w:w="40" w:type="dxa"/>
              <w:left w:w="40" w:type="dxa"/>
              <w:bottom w:w="40" w:type="dxa"/>
            </w:tcMar>
          </w:tcPr>
          <w:p w14:paraId="54E90A34"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352</w:t>
            </w:r>
          </w:p>
        </w:tc>
        <w:tc>
          <w:tcPr>
            <w:tcW w:w="0" w:type="auto"/>
            <w:shd w:val="clear" w:color="auto" w:fill="auto"/>
            <w:vAlign w:val="bottom"/>
          </w:tcPr>
          <w:p w14:paraId="54E90A35"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A3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4E90A37"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298</w:t>
            </w:r>
          </w:p>
        </w:tc>
        <w:tc>
          <w:tcPr>
            <w:tcW w:w="0" w:type="auto"/>
            <w:shd w:val="clear" w:color="auto" w:fill="auto"/>
            <w:vAlign w:val="bottom"/>
          </w:tcPr>
          <w:p w14:paraId="54E90A38"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A3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4E90A3A"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1,036</w:t>
            </w:r>
          </w:p>
        </w:tc>
        <w:tc>
          <w:tcPr>
            <w:tcW w:w="0" w:type="auto"/>
            <w:shd w:val="clear" w:color="auto" w:fill="auto"/>
            <w:vAlign w:val="bottom"/>
          </w:tcPr>
          <w:p w14:paraId="54E90A3B"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A3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4E90A3D"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818</w:t>
            </w:r>
          </w:p>
        </w:tc>
        <w:tc>
          <w:tcPr>
            <w:tcW w:w="0" w:type="auto"/>
            <w:shd w:val="clear" w:color="auto" w:fill="auto"/>
            <w:vAlign w:val="bottom"/>
          </w:tcPr>
          <w:p w14:paraId="54E90A3E" w14:textId="77777777" w:rsidR="00F427A3" w:rsidRDefault="00F427A3">
            <w:pPr>
              <w:textAlignment w:val="bottom"/>
              <w:rPr>
                <w:rFonts w:ascii="Times New Roman" w:hAnsi="Times New Roman"/>
                <w:sz w:val="20"/>
                <w:szCs w:val="20"/>
              </w:rPr>
            </w:pPr>
          </w:p>
        </w:tc>
      </w:tr>
      <w:tr w:rsidR="00F427A3" w14:paraId="54E90A4C" w14:textId="77777777">
        <w:tc>
          <w:tcPr>
            <w:tcW w:w="0" w:type="auto"/>
            <w:shd w:val="clear" w:color="auto" w:fill="CCEEFF"/>
            <w:tcMar>
              <w:top w:w="40" w:type="dxa"/>
              <w:left w:w="40" w:type="dxa"/>
              <w:bottom w:w="40" w:type="dxa"/>
              <w:right w:w="40" w:type="dxa"/>
            </w:tcMar>
          </w:tcPr>
          <w:p w14:paraId="54E90A40" w14:textId="77777777" w:rsidR="00F427A3" w:rsidRDefault="0044221F">
            <w:pPr>
              <w:textAlignment w:val="top"/>
              <w:rPr>
                <w:rFonts w:ascii="Times New Roman" w:hAnsi="Times New Roman"/>
                <w:sz w:val="20"/>
                <w:szCs w:val="20"/>
              </w:rPr>
            </w:pPr>
            <w:r>
              <w:rPr>
                <w:rFonts w:ascii="Times New Roman" w:eastAsia="宋体" w:hAnsi="Times New Roman"/>
                <w:sz w:val="20"/>
                <w:szCs w:val="20"/>
                <w:shd w:val="clear" w:color="auto" w:fill="CCEEFF"/>
              </w:rPr>
              <w:t>Variable lease cost and other, net</w:t>
            </w:r>
          </w:p>
        </w:tc>
        <w:tc>
          <w:tcPr>
            <w:tcW w:w="0" w:type="auto"/>
            <w:gridSpan w:val="2"/>
            <w:tcBorders>
              <w:bottom w:val="single" w:sz="8" w:space="0" w:color="000000"/>
            </w:tcBorders>
            <w:shd w:val="clear" w:color="auto" w:fill="CCEEFF"/>
            <w:tcMar>
              <w:top w:w="40" w:type="dxa"/>
              <w:left w:w="40" w:type="dxa"/>
              <w:bottom w:w="40" w:type="dxa"/>
            </w:tcMar>
          </w:tcPr>
          <w:p w14:paraId="54E90A41"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57</w:t>
            </w:r>
          </w:p>
        </w:tc>
        <w:tc>
          <w:tcPr>
            <w:tcW w:w="0" w:type="auto"/>
            <w:tcBorders>
              <w:bottom w:val="single" w:sz="8" w:space="0" w:color="000000"/>
            </w:tcBorders>
            <w:shd w:val="clear" w:color="auto" w:fill="CCEEFF"/>
            <w:vAlign w:val="bottom"/>
          </w:tcPr>
          <w:p w14:paraId="54E90A42"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A4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tcPr>
          <w:p w14:paraId="54E90A44"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41</w:t>
            </w:r>
          </w:p>
        </w:tc>
        <w:tc>
          <w:tcPr>
            <w:tcW w:w="0" w:type="auto"/>
            <w:tcBorders>
              <w:bottom w:val="single" w:sz="8" w:space="0" w:color="000000"/>
            </w:tcBorders>
            <w:shd w:val="clear" w:color="auto" w:fill="CCEEFF"/>
            <w:vAlign w:val="bottom"/>
          </w:tcPr>
          <w:p w14:paraId="54E90A45"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A4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tcPr>
          <w:p w14:paraId="54E90A47"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174</w:t>
            </w:r>
          </w:p>
        </w:tc>
        <w:tc>
          <w:tcPr>
            <w:tcW w:w="0" w:type="auto"/>
            <w:tcBorders>
              <w:bottom w:val="single" w:sz="8" w:space="0" w:color="000000"/>
            </w:tcBorders>
            <w:shd w:val="clear" w:color="auto" w:fill="CCEEFF"/>
            <w:vAlign w:val="bottom"/>
          </w:tcPr>
          <w:p w14:paraId="54E90A48"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A4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tcPr>
          <w:p w14:paraId="54E90A4A"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111</w:t>
            </w:r>
          </w:p>
        </w:tc>
        <w:tc>
          <w:tcPr>
            <w:tcW w:w="0" w:type="auto"/>
            <w:tcBorders>
              <w:bottom w:val="single" w:sz="8" w:space="0" w:color="000000"/>
            </w:tcBorders>
            <w:shd w:val="clear" w:color="auto" w:fill="CCEEFF"/>
            <w:vAlign w:val="bottom"/>
          </w:tcPr>
          <w:p w14:paraId="54E90A4B" w14:textId="77777777" w:rsidR="00F427A3" w:rsidRDefault="00F427A3">
            <w:pPr>
              <w:textAlignment w:val="bottom"/>
              <w:rPr>
                <w:rFonts w:ascii="Times New Roman" w:hAnsi="Times New Roman"/>
                <w:sz w:val="20"/>
                <w:szCs w:val="20"/>
              </w:rPr>
            </w:pPr>
          </w:p>
        </w:tc>
      </w:tr>
      <w:tr w:rsidR="00F427A3" w14:paraId="54E90A5D" w14:textId="77777777">
        <w:tc>
          <w:tcPr>
            <w:tcW w:w="0" w:type="auto"/>
            <w:shd w:val="clear" w:color="auto" w:fill="auto"/>
            <w:tcMar>
              <w:top w:w="40" w:type="dxa"/>
              <w:left w:w="40" w:type="dxa"/>
              <w:bottom w:w="40" w:type="dxa"/>
              <w:right w:w="40" w:type="dxa"/>
            </w:tcMar>
          </w:tcPr>
          <w:p w14:paraId="54E90A4D"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Total lease cost</w:t>
            </w:r>
          </w:p>
        </w:tc>
        <w:tc>
          <w:tcPr>
            <w:tcW w:w="0" w:type="auto"/>
            <w:tcBorders>
              <w:bottom w:val="double" w:sz="6" w:space="0" w:color="000000"/>
            </w:tcBorders>
            <w:shd w:val="clear" w:color="auto" w:fill="auto"/>
            <w:tcMar>
              <w:top w:w="40" w:type="dxa"/>
              <w:left w:w="40" w:type="dxa"/>
              <w:bottom w:w="40" w:type="dxa"/>
            </w:tcMar>
          </w:tcPr>
          <w:p w14:paraId="54E90A4E"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tcPr>
          <w:p w14:paraId="54E90A4F"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478</w:t>
            </w:r>
          </w:p>
        </w:tc>
        <w:tc>
          <w:tcPr>
            <w:tcW w:w="0" w:type="auto"/>
            <w:tcBorders>
              <w:bottom w:val="double" w:sz="6" w:space="0" w:color="000000"/>
            </w:tcBorders>
            <w:shd w:val="clear" w:color="auto" w:fill="auto"/>
            <w:vAlign w:val="bottom"/>
          </w:tcPr>
          <w:p w14:paraId="54E90A5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A5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tcPr>
          <w:p w14:paraId="54E90A52"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tcPr>
          <w:p w14:paraId="54E90A53"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394</w:t>
            </w:r>
          </w:p>
        </w:tc>
        <w:tc>
          <w:tcPr>
            <w:tcW w:w="0" w:type="auto"/>
            <w:tcBorders>
              <w:bottom w:val="double" w:sz="6" w:space="0" w:color="000000"/>
            </w:tcBorders>
            <w:shd w:val="clear" w:color="auto" w:fill="auto"/>
            <w:vAlign w:val="bottom"/>
          </w:tcPr>
          <w:p w14:paraId="54E90A54"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A5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tcPr>
          <w:p w14:paraId="54E90A56"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tcPr>
          <w:p w14:paraId="54E90A57"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1,406</w:t>
            </w:r>
          </w:p>
        </w:tc>
        <w:tc>
          <w:tcPr>
            <w:tcW w:w="0" w:type="auto"/>
            <w:tcBorders>
              <w:bottom w:val="double" w:sz="6" w:space="0" w:color="000000"/>
            </w:tcBorders>
            <w:shd w:val="clear" w:color="auto" w:fill="auto"/>
            <w:vAlign w:val="bottom"/>
          </w:tcPr>
          <w:p w14:paraId="54E90A58"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A5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tcPr>
          <w:p w14:paraId="54E90A5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tcPr>
          <w:p w14:paraId="54E90A5B"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1,078</w:t>
            </w:r>
          </w:p>
        </w:tc>
        <w:tc>
          <w:tcPr>
            <w:tcW w:w="0" w:type="auto"/>
            <w:tcBorders>
              <w:bottom w:val="double" w:sz="6" w:space="0" w:color="000000"/>
            </w:tcBorders>
            <w:shd w:val="clear" w:color="auto" w:fill="auto"/>
            <w:vAlign w:val="bottom"/>
          </w:tcPr>
          <w:p w14:paraId="54E90A5C" w14:textId="77777777" w:rsidR="00F427A3" w:rsidRDefault="00F427A3">
            <w:pPr>
              <w:textAlignment w:val="bottom"/>
              <w:rPr>
                <w:rFonts w:ascii="Times New Roman" w:hAnsi="Times New Roman"/>
                <w:sz w:val="20"/>
                <w:szCs w:val="20"/>
              </w:rPr>
            </w:pPr>
          </w:p>
        </w:tc>
      </w:tr>
    </w:tbl>
    <w:p w14:paraId="54E90A5E" w14:textId="77777777" w:rsidR="00F427A3" w:rsidRDefault="00F427A3">
      <w:pPr>
        <w:spacing w:line="288" w:lineRule="auto"/>
        <w:jc w:val="both"/>
        <w:rPr>
          <w:rFonts w:ascii="Times New Roman" w:hAnsi="Times New Roman"/>
          <w:sz w:val="20"/>
          <w:szCs w:val="20"/>
        </w:rPr>
      </w:pPr>
    </w:p>
    <w:p w14:paraId="54E90A5F" w14:textId="77777777" w:rsidR="00F427A3" w:rsidRDefault="00F427A3">
      <w:pPr>
        <w:spacing w:line="288" w:lineRule="auto"/>
        <w:jc w:val="both"/>
        <w:rPr>
          <w:rFonts w:ascii="Times New Roman" w:hAnsi="Times New Roman"/>
          <w:sz w:val="20"/>
          <w:szCs w:val="20"/>
        </w:rPr>
      </w:pPr>
    </w:p>
    <w:p w14:paraId="54E90A60" w14:textId="77777777" w:rsidR="00F427A3" w:rsidRDefault="00F427A3">
      <w:pPr>
        <w:rPr>
          <w:rFonts w:ascii="Times New Roman" w:hAnsi="Times New Roman"/>
          <w:sz w:val="20"/>
          <w:szCs w:val="20"/>
        </w:rPr>
      </w:pPr>
    </w:p>
    <w:p w14:paraId="54E90A61"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21</w:t>
      </w:r>
    </w:p>
    <w:p w14:paraId="54E90A62" w14:textId="77777777" w:rsidR="00F427A3" w:rsidRDefault="0044221F">
      <w:r>
        <w:rPr>
          <w:rFonts w:ascii="Times New Roman" w:hAnsi="Times New Roman"/>
          <w:sz w:val="20"/>
          <w:szCs w:val="20"/>
        </w:rPr>
        <w:pict w14:anchorId="54E91C35">
          <v:rect id="_x0000_i1045" style="width:415.3pt;height:1.5pt" o:hralign="center" o:hrstd="t" o:hr="t" fillcolor="#a0a0a0" stroked="f"/>
        </w:pict>
      </w:r>
    </w:p>
    <w:p w14:paraId="54E90A63" w14:textId="77777777" w:rsidR="00F427A3" w:rsidRDefault="0044221F">
      <w:pPr>
        <w:spacing w:line="288" w:lineRule="auto"/>
        <w:rPr>
          <w:rFonts w:ascii="Times New Roman" w:hAnsi="Times New Roman"/>
          <w:sz w:val="20"/>
          <w:szCs w:val="20"/>
        </w:rPr>
      </w:pPr>
      <w:hyperlink r:id="rId62" w:anchor="s348EA962CF6D59B599D9921AFA89C381" w:history="1">
        <w:r>
          <w:rPr>
            <w:rStyle w:val="a5"/>
            <w:rFonts w:ascii="Times New Roman" w:eastAsia="宋体" w:hAnsi="Times New Roman"/>
            <w:sz w:val="20"/>
            <w:szCs w:val="20"/>
          </w:rPr>
          <w:t>Table of Contents</w:t>
        </w:r>
      </w:hyperlink>
    </w:p>
    <w:p w14:paraId="54E90A64" w14:textId="77777777" w:rsidR="00F427A3" w:rsidRDefault="00F427A3">
      <w:pPr>
        <w:rPr>
          <w:rFonts w:ascii="Times New Roman" w:hAnsi="Times New Roman"/>
          <w:sz w:val="20"/>
          <w:szCs w:val="20"/>
        </w:rPr>
      </w:pPr>
    </w:p>
    <w:p w14:paraId="54E90A65"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Supplemental balance sheet information related to </w:t>
      </w:r>
      <w:r>
        <w:rPr>
          <w:rFonts w:ascii="Times New Roman" w:eastAsia="宋体" w:hAnsi="Times New Roman"/>
          <w:sz w:val="20"/>
          <w:szCs w:val="20"/>
        </w:rPr>
        <w:t>leases is as follows:</w:t>
      </w:r>
    </w:p>
    <w:tbl>
      <w:tblPr>
        <w:tblW w:w="5000" w:type="pct"/>
        <w:jc w:val="center"/>
        <w:tblCellMar>
          <w:left w:w="0" w:type="dxa"/>
          <w:right w:w="0" w:type="dxa"/>
        </w:tblCellMar>
        <w:tblLook w:val="04A0" w:firstRow="1" w:lastRow="0" w:firstColumn="1" w:lastColumn="0" w:noHBand="0" w:noVBand="1"/>
      </w:tblPr>
      <w:tblGrid>
        <w:gridCol w:w="2663"/>
        <w:gridCol w:w="1251"/>
        <w:gridCol w:w="130"/>
        <w:gridCol w:w="1251"/>
        <w:gridCol w:w="130"/>
        <w:gridCol w:w="1168"/>
        <w:gridCol w:w="207"/>
        <w:gridCol w:w="130"/>
        <w:gridCol w:w="1169"/>
        <w:gridCol w:w="207"/>
      </w:tblGrid>
      <w:tr w:rsidR="00F427A3" w14:paraId="54E90A67" w14:textId="77777777">
        <w:trPr>
          <w:jc w:val="center"/>
        </w:trPr>
        <w:tc>
          <w:tcPr>
            <w:tcW w:w="0" w:type="auto"/>
            <w:gridSpan w:val="10"/>
            <w:shd w:val="clear" w:color="auto" w:fill="auto"/>
            <w:vAlign w:val="center"/>
          </w:tcPr>
          <w:p w14:paraId="54E90A66" w14:textId="77777777" w:rsidR="00F427A3" w:rsidRDefault="00F427A3">
            <w:pPr>
              <w:rPr>
                <w:rFonts w:ascii="Times New Roman" w:hAnsi="Times New Roman"/>
                <w:sz w:val="20"/>
                <w:szCs w:val="20"/>
              </w:rPr>
            </w:pPr>
          </w:p>
        </w:tc>
      </w:tr>
      <w:tr w:rsidR="00F427A3" w14:paraId="54E90A72" w14:textId="77777777">
        <w:trPr>
          <w:jc w:val="center"/>
        </w:trPr>
        <w:tc>
          <w:tcPr>
            <w:tcW w:w="1650" w:type="pct"/>
            <w:shd w:val="clear" w:color="auto" w:fill="auto"/>
            <w:vAlign w:val="center"/>
          </w:tcPr>
          <w:p w14:paraId="54E90A68" w14:textId="77777777" w:rsidR="00F427A3" w:rsidRDefault="00F427A3">
            <w:pPr>
              <w:rPr>
                <w:rFonts w:ascii="Times New Roman" w:hAnsi="Times New Roman"/>
                <w:sz w:val="20"/>
                <w:szCs w:val="20"/>
              </w:rPr>
            </w:pPr>
          </w:p>
        </w:tc>
        <w:tc>
          <w:tcPr>
            <w:tcW w:w="800" w:type="pct"/>
            <w:shd w:val="clear" w:color="auto" w:fill="auto"/>
            <w:vAlign w:val="center"/>
          </w:tcPr>
          <w:p w14:paraId="54E90A69" w14:textId="77777777" w:rsidR="00F427A3" w:rsidRDefault="00F427A3">
            <w:pPr>
              <w:rPr>
                <w:rFonts w:ascii="Times New Roman" w:hAnsi="Times New Roman"/>
                <w:sz w:val="20"/>
                <w:szCs w:val="20"/>
              </w:rPr>
            </w:pPr>
          </w:p>
        </w:tc>
        <w:tc>
          <w:tcPr>
            <w:tcW w:w="50" w:type="pct"/>
            <w:shd w:val="clear" w:color="auto" w:fill="auto"/>
            <w:vAlign w:val="center"/>
          </w:tcPr>
          <w:p w14:paraId="54E90A6A" w14:textId="77777777" w:rsidR="00F427A3" w:rsidRDefault="00F427A3">
            <w:pPr>
              <w:rPr>
                <w:rFonts w:ascii="Times New Roman" w:hAnsi="Times New Roman"/>
                <w:sz w:val="20"/>
                <w:szCs w:val="20"/>
              </w:rPr>
            </w:pPr>
          </w:p>
        </w:tc>
        <w:tc>
          <w:tcPr>
            <w:tcW w:w="800" w:type="pct"/>
            <w:shd w:val="clear" w:color="auto" w:fill="auto"/>
            <w:vAlign w:val="center"/>
          </w:tcPr>
          <w:p w14:paraId="54E90A6B" w14:textId="77777777" w:rsidR="00F427A3" w:rsidRDefault="00F427A3">
            <w:pPr>
              <w:rPr>
                <w:rFonts w:ascii="Times New Roman" w:hAnsi="Times New Roman"/>
                <w:sz w:val="20"/>
                <w:szCs w:val="20"/>
              </w:rPr>
            </w:pPr>
          </w:p>
        </w:tc>
        <w:tc>
          <w:tcPr>
            <w:tcW w:w="50" w:type="pct"/>
            <w:shd w:val="clear" w:color="auto" w:fill="auto"/>
            <w:vAlign w:val="center"/>
          </w:tcPr>
          <w:p w14:paraId="54E90A6C" w14:textId="77777777" w:rsidR="00F427A3" w:rsidRDefault="00F427A3">
            <w:pPr>
              <w:rPr>
                <w:rFonts w:ascii="Times New Roman" w:hAnsi="Times New Roman"/>
                <w:sz w:val="20"/>
                <w:szCs w:val="20"/>
              </w:rPr>
            </w:pPr>
          </w:p>
        </w:tc>
        <w:tc>
          <w:tcPr>
            <w:tcW w:w="750" w:type="pct"/>
            <w:shd w:val="clear" w:color="auto" w:fill="auto"/>
            <w:vAlign w:val="center"/>
          </w:tcPr>
          <w:p w14:paraId="54E90A6D" w14:textId="77777777" w:rsidR="00F427A3" w:rsidRDefault="00F427A3">
            <w:pPr>
              <w:rPr>
                <w:rFonts w:ascii="Times New Roman" w:hAnsi="Times New Roman"/>
                <w:sz w:val="20"/>
                <w:szCs w:val="20"/>
              </w:rPr>
            </w:pPr>
          </w:p>
        </w:tc>
        <w:tc>
          <w:tcPr>
            <w:tcW w:w="50" w:type="pct"/>
            <w:shd w:val="clear" w:color="auto" w:fill="auto"/>
            <w:vAlign w:val="center"/>
          </w:tcPr>
          <w:p w14:paraId="54E90A6E" w14:textId="77777777" w:rsidR="00F427A3" w:rsidRDefault="00F427A3">
            <w:pPr>
              <w:rPr>
                <w:rFonts w:ascii="Times New Roman" w:hAnsi="Times New Roman"/>
                <w:sz w:val="20"/>
                <w:szCs w:val="20"/>
              </w:rPr>
            </w:pPr>
          </w:p>
        </w:tc>
        <w:tc>
          <w:tcPr>
            <w:tcW w:w="50" w:type="pct"/>
            <w:shd w:val="clear" w:color="auto" w:fill="auto"/>
            <w:vAlign w:val="center"/>
          </w:tcPr>
          <w:p w14:paraId="54E90A6F" w14:textId="77777777" w:rsidR="00F427A3" w:rsidRDefault="00F427A3">
            <w:pPr>
              <w:rPr>
                <w:rFonts w:ascii="Times New Roman" w:hAnsi="Times New Roman"/>
                <w:sz w:val="20"/>
                <w:szCs w:val="20"/>
              </w:rPr>
            </w:pPr>
          </w:p>
        </w:tc>
        <w:tc>
          <w:tcPr>
            <w:tcW w:w="750" w:type="pct"/>
            <w:shd w:val="clear" w:color="auto" w:fill="auto"/>
            <w:vAlign w:val="center"/>
          </w:tcPr>
          <w:p w14:paraId="54E90A70" w14:textId="77777777" w:rsidR="00F427A3" w:rsidRDefault="00F427A3">
            <w:pPr>
              <w:rPr>
                <w:rFonts w:ascii="Times New Roman" w:hAnsi="Times New Roman"/>
                <w:sz w:val="20"/>
                <w:szCs w:val="20"/>
              </w:rPr>
            </w:pPr>
          </w:p>
        </w:tc>
        <w:tc>
          <w:tcPr>
            <w:tcW w:w="50" w:type="pct"/>
            <w:shd w:val="clear" w:color="auto" w:fill="auto"/>
            <w:vAlign w:val="center"/>
          </w:tcPr>
          <w:p w14:paraId="54E90A71" w14:textId="77777777" w:rsidR="00F427A3" w:rsidRDefault="00F427A3">
            <w:pPr>
              <w:rPr>
                <w:rFonts w:ascii="Times New Roman" w:hAnsi="Times New Roman"/>
                <w:sz w:val="20"/>
                <w:szCs w:val="20"/>
              </w:rPr>
            </w:pPr>
          </w:p>
        </w:tc>
      </w:tr>
      <w:tr w:rsidR="00F427A3" w14:paraId="54E90A7B" w14:textId="77777777">
        <w:trPr>
          <w:jc w:val="center"/>
        </w:trPr>
        <w:tc>
          <w:tcPr>
            <w:tcW w:w="0" w:type="auto"/>
            <w:shd w:val="clear" w:color="auto" w:fill="auto"/>
            <w:tcMar>
              <w:top w:w="40" w:type="dxa"/>
              <w:left w:w="40" w:type="dxa"/>
              <w:bottom w:w="40" w:type="dxa"/>
              <w:right w:w="40" w:type="dxa"/>
            </w:tcMar>
            <w:vAlign w:val="bottom"/>
          </w:tcPr>
          <w:p w14:paraId="54E90A7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A7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A7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A7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A7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center"/>
          </w:tcPr>
          <w:p w14:paraId="54E90A78" w14:textId="77777777" w:rsidR="00F427A3" w:rsidRDefault="0044221F">
            <w:pPr>
              <w:jc w:val="center"/>
              <w:textAlignment w:val="center"/>
              <w:rPr>
                <w:rFonts w:ascii="Times New Roman" w:hAnsi="Times New Roman"/>
                <w:sz w:val="16"/>
                <w:szCs w:val="16"/>
              </w:rPr>
            </w:pPr>
            <w:r>
              <w:rPr>
                <w:rFonts w:ascii="Times New Roman" w:eastAsia="宋体" w:hAnsi="Times New Roman"/>
                <w:b/>
                <w:bCs/>
                <w:sz w:val="16"/>
                <w:szCs w:val="16"/>
              </w:rPr>
              <w:t>September 30, 2020</w:t>
            </w:r>
          </w:p>
        </w:tc>
        <w:tc>
          <w:tcPr>
            <w:tcW w:w="0" w:type="auto"/>
            <w:shd w:val="clear" w:color="auto" w:fill="auto"/>
            <w:tcMar>
              <w:top w:w="40" w:type="dxa"/>
              <w:left w:w="40" w:type="dxa"/>
              <w:bottom w:w="40" w:type="dxa"/>
              <w:right w:w="40" w:type="dxa"/>
            </w:tcMar>
            <w:vAlign w:val="bottom"/>
          </w:tcPr>
          <w:p w14:paraId="54E90A7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center"/>
          </w:tcPr>
          <w:p w14:paraId="54E90A7A" w14:textId="77777777" w:rsidR="00F427A3" w:rsidRDefault="0044221F">
            <w:pPr>
              <w:jc w:val="center"/>
              <w:textAlignment w:val="center"/>
              <w:rPr>
                <w:rFonts w:ascii="Times New Roman" w:hAnsi="Times New Roman"/>
                <w:sz w:val="16"/>
                <w:szCs w:val="16"/>
              </w:rPr>
            </w:pPr>
            <w:r>
              <w:rPr>
                <w:rFonts w:ascii="Times New Roman" w:eastAsia="宋体" w:hAnsi="Times New Roman"/>
                <w:b/>
                <w:bCs/>
                <w:sz w:val="16"/>
                <w:szCs w:val="16"/>
              </w:rPr>
              <w:t>December 31, 2019</w:t>
            </w:r>
          </w:p>
        </w:tc>
      </w:tr>
      <w:tr w:rsidR="00F427A3" w14:paraId="54E90A84" w14:textId="77777777">
        <w:trPr>
          <w:jc w:val="center"/>
        </w:trPr>
        <w:tc>
          <w:tcPr>
            <w:tcW w:w="0" w:type="auto"/>
            <w:shd w:val="clear" w:color="auto" w:fill="CCEEFF"/>
            <w:tcMar>
              <w:top w:w="40" w:type="dxa"/>
              <w:left w:w="240" w:type="dxa"/>
              <w:bottom w:w="40" w:type="dxa"/>
              <w:right w:w="40" w:type="dxa"/>
            </w:tcMar>
          </w:tcPr>
          <w:p w14:paraId="54E90A7C" w14:textId="77777777" w:rsidR="00F427A3" w:rsidRDefault="0044221F">
            <w:pPr>
              <w:textAlignment w:val="top"/>
              <w:rPr>
                <w:rFonts w:ascii="Times New Roman" w:hAnsi="Times New Roman"/>
                <w:sz w:val="20"/>
                <w:szCs w:val="20"/>
              </w:rPr>
            </w:pPr>
            <w:r>
              <w:rPr>
                <w:rFonts w:ascii="Times New Roman" w:eastAsia="宋体" w:hAnsi="Times New Roman"/>
                <w:sz w:val="20"/>
                <w:szCs w:val="20"/>
                <w:shd w:val="clear" w:color="auto" w:fill="CCEEFF"/>
              </w:rPr>
              <w:t>Weighted-average remaining lease term</w:t>
            </w:r>
          </w:p>
        </w:tc>
        <w:tc>
          <w:tcPr>
            <w:tcW w:w="0" w:type="auto"/>
            <w:shd w:val="clear" w:color="auto" w:fill="CCEEFF"/>
            <w:tcMar>
              <w:top w:w="40" w:type="dxa"/>
              <w:left w:w="40" w:type="dxa"/>
              <w:bottom w:w="40" w:type="dxa"/>
              <w:right w:w="40" w:type="dxa"/>
            </w:tcMar>
            <w:vAlign w:val="bottom"/>
          </w:tcPr>
          <w:p w14:paraId="54E90A7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A7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A7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A8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4E90A8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A8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4E90A8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A8F" w14:textId="77777777">
        <w:trPr>
          <w:jc w:val="center"/>
        </w:trPr>
        <w:tc>
          <w:tcPr>
            <w:tcW w:w="0" w:type="auto"/>
            <w:shd w:val="clear" w:color="auto" w:fill="auto"/>
            <w:tcMar>
              <w:top w:w="40" w:type="dxa"/>
              <w:left w:w="240" w:type="dxa"/>
              <w:bottom w:w="40" w:type="dxa"/>
              <w:right w:w="40" w:type="dxa"/>
            </w:tcMar>
          </w:tcPr>
          <w:p w14:paraId="54E90A85"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Operating leases</w:t>
            </w:r>
          </w:p>
        </w:tc>
        <w:tc>
          <w:tcPr>
            <w:tcW w:w="0" w:type="auto"/>
            <w:shd w:val="clear" w:color="auto" w:fill="auto"/>
            <w:tcMar>
              <w:top w:w="40" w:type="dxa"/>
              <w:left w:w="40" w:type="dxa"/>
              <w:bottom w:w="40" w:type="dxa"/>
              <w:right w:w="40" w:type="dxa"/>
            </w:tcMar>
            <w:vAlign w:val="bottom"/>
          </w:tcPr>
          <w:p w14:paraId="54E90A8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A8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A8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A8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A8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12.4 years</w:t>
            </w:r>
          </w:p>
        </w:tc>
        <w:tc>
          <w:tcPr>
            <w:tcW w:w="0" w:type="auto"/>
            <w:shd w:val="clear" w:color="auto" w:fill="auto"/>
            <w:vAlign w:val="bottom"/>
          </w:tcPr>
          <w:p w14:paraId="54E90A8B"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A8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A8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13.0 years</w:t>
            </w:r>
          </w:p>
        </w:tc>
        <w:tc>
          <w:tcPr>
            <w:tcW w:w="0" w:type="auto"/>
            <w:shd w:val="clear" w:color="auto" w:fill="auto"/>
            <w:vAlign w:val="bottom"/>
          </w:tcPr>
          <w:p w14:paraId="54E90A8E" w14:textId="77777777" w:rsidR="00F427A3" w:rsidRDefault="00F427A3">
            <w:pPr>
              <w:textAlignment w:val="bottom"/>
              <w:rPr>
                <w:rFonts w:ascii="Times New Roman" w:hAnsi="Times New Roman"/>
                <w:sz w:val="20"/>
                <w:szCs w:val="20"/>
              </w:rPr>
            </w:pPr>
          </w:p>
        </w:tc>
      </w:tr>
      <w:tr w:rsidR="00F427A3" w14:paraId="54E90A9A" w14:textId="77777777">
        <w:trPr>
          <w:jc w:val="center"/>
        </w:trPr>
        <w:tc>
          <w:tcPr>
            <w:tcW w:w="0" w:type="auto"/>
            <w:shd w:val="clear" w:color="auto" w:fill="CCEEFF"/>
            <w:tcMar>
              <w:top w:w="40" w:type="dxa"/>
              <w:left w:w="240" w:type="dxa"/>
              <w:bottom w:w="40" w:type="dxa"/>
              <w:right w:w="40" w:type="dxa"/>
            </w:tcMar>
          </w:tcPr>
          <w:p w14:paraId="54E90A90" w14:textId="77777777" w:rsidR="00F427A3" w:rsidRDefault="0044221F">
            <w:pPr>
              <w:textAlignment w:val="top"/>
              <w:rPr>
                <w:rFonts w:ascii="Times New Roman" w:hAnsi="Times New Roman"/>
                <w:sz w:val="20"/>
                <w:szCs w:val="20"/>
              </w:rPr>
            </w:pPr>
            <w:r>
              <w:rPr>
                <w:rFonts w:ascii="Times New Roman" w:eastAsia="宋体" w:hAnsi="Times New Roman"/>
                <w:sz w:val="20"/>
                <w:szCs w:val="20"/>
                <w:shd w:val="clear" w:color="auto" w:fill="CCEEFF"/>
              </w:rPr>
              <w:t>     Finance leases</w:t>
            </w:r>
          </w:p>
        </w:tc>
        <w:tc>
          <w:tcPr>
            <w:tcW w:w="0" w:type="auto"/>
            <w:shd w:val="clear" w:color="auto" w:fill="CCEEFF"/>
            <w:tcMar>
              <w:top w:w="40" w:type="dxa"/>
              <w:left w:w="40" w:type="dxa"/>
              <w:bottom w:w="40" w:type="dxa"/>
              <w:right w:w="40" w:type="dxa"/>
            </w:tcMar>
            <w:vAlign w:val="bottom"/>
          </w:tcPr>
          <w:p w14:paraId="54E90A9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A9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A9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A9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A9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15.1 years</w:t>
            </w:r>
          </w:p>
        </w:tc>
        <w:tc>
          <w:tcPr>
            <w:tcW w:w="0" w:type="auto"/>
            <w:shd w:val="clear" w:color="auto" w:fill="CCEEFF"/>
            <w:vAlign w:val="bottom"/>
          </w:tcPr>
          <w:p w14:paraId="54E90A9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A9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A9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15.3 years</w:t>
            </w:r>
          </w:p>
        </w:tc>
        <w:tc>
          <w:tcPr>
            <w:tcW w:w="0" w:type="auto"/>
            <w:shd w:val="clear" w:color="auto" w:fill="CCEEFF"/>
            <w:vAlign w:val="bottom"/>
          </w:tcPr>
          <w:p w14:paraId="54E90A99" w14:textId="77777777" w:rsidR="00F427A3" w:rsidRDefault="00F427A3">
            <w:pPr>
              <w:textAlignment w:val="bottom"/>
              <w:rPr>
                <w:rFonts w:ascii="Times New Roman" w:hAnsi="Times New Roman"/>
                <w:sz w:val="20"/>
                <w:szCs w:val="20"/>
              </w:rPr>
            </w:pPr>
          </w:p>
        </w:tc>
      </w:tr>
      <w:tr w:rsidR="00F427A3" w14:paraId="54E90AA3" w14:textId="77777777">
        <w:trPr>
          <w:jc w:val="center"/>
        </w:trPr>
        <w:tc>
          <w:tcPr>
            <w:tcW w:w="0" w:type="auto"/>
            <w:shd w:val="clear" w:color="auto" w:fill="auto"/>
            <w:tcMar>
              <w:top w:w="40" w:type="dxa"/>
              <w:left w:w="40" w:type="dxa"/>
              <w:bottom w:w="40" w:type="dxa"/>
              <w:right w:w="40" w:type="dxa"/>
            </w:tcMar>
          </w:tcPr>
          <w:p w14:paraId="54E90A9B"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Weighted-average discount rate</w:t>
            </w:r>
          </w:p>
        </w:tc>
        <w:tc>
          <w:tcPr>
            <w:tcW w:w="0" w:type="auto"/>
            <w:shd w:val="clear" w:color="auto" w:fill="auto"/>
            <w:tcMar>
              <w:top w:w="40" w:type="dxa"/>
              <w:left w:w="40" w:type="dxa"/>
              <w:bottom w:w="40" w:type="dxa"/>
              <w:right w:w="40" w:type="dxa"/>
            </w:tcMar>
            <w:vAlign w:val="bottom"/>
          </w:tcPr>
          <w:p w14:paraId="54E90A9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A9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A9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A9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0AA0" w14:textId="77777777" w:rsidR="00F427A3" w:rsidRDefault="00F427A3">
            <w:pPr>
              <w:textAlignment w:val="bottom"/>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54E90AA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0AA2" w14:textId="77777777" w:rsidR="00F427A3" w:rsidRDefault="00F427A3">
            <w:pPr>
              <w:textAlignment w:val="bottom"/>
              <w:rPr>
                <w:rFonts w:ascii="Times New Roman" w:hAnsi="Times New Roman"/>
                <w:sz w:val="20"/>
                <w:szCs w:val="20"/>
              </w:rPr>
            </w:pPr>
          </w:p>
        </w:tc>
      </w:tr>
      <w:tr w:rsidR="00F427A3" w14:paraId="54E90AAE" w14:textId="77777777">
        <w:trPr>
          <w:jc w:val="center"/>
        </w:trPr>
        <w:tc>
          <w:tcPr>
            <w:tcW w:w="0" w:type="auto"/>
            <w:shd w:val="clear" w:color="auto" w:fill="CCEEFF"/>
            <w:tcMar>
              <w:top w:w="40" w:type="dxa"/>
              <w:left w:w="240" w:type="dxa"/>
              <w:bottom w:w="40" w:type="dxa"/>
              <w:right w:w="40" w:type="dxa"/>
            </w:tcMar>
          </w:tcPr>
          <w:p w14:paraId="54E90AA4" w14:textId="77777777" w:rsidR="00F427A3" w:rsidRDefault="0044221F">
            <w:pPr>
              <w:textAlignment w:val="top"/>
              <w:rPr>
                <w:rFonts w:ascii="Times New Roman" w:hAnsi="Times New Roman"/>
                <w:sz w:val="20"/>
                <w:szCs w:val="20"/>
              </w:rPr>
            </w:pPr>
            <w:r>
              <w:rPr>
                <w:rFonts w:ascii="Times New Roman" w:eastAsia="宋体" w:hAnsi="Times New Roman"/>
                <w:sz w:val="20"/>
                <w:szCs w:val="20"/>
                <w:shd w:val="clear" w:color="auto" w:fill="CCEEFF"/>
              </w:rPr>
              <w:t>     Operating leases</w:t>
            </w:r>
          </w:p>
        </w:tc>
        <w:tc>
          <w:tcPr>
            <w:tcW w:w="0" w:type="auto"/>
            <w:shd w:val="clear" w:color="auto" w:fill="CCEEFF"/>
            <w:tcMar>
              <w:top w:w="40" w:type="dxa"/>
              <w:left w:w="40" w:type="dxa"/>
              <w:bottom w:w="40" w:type="dxa"/>
              <w:right w:w="40" w:type="dxa"/>
            </w:tcMar>
            <w:vAlign w:val="bottom"/>
          </w:tcPr>
          <w:p w14:paraId="54E90AA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AA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AA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AA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54E90AA9"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3.1</w:t>
            </w:r>
          </w:p>
        </w:tc>
        <w:tc>
          <w:tcPr>
            <w:tcW w:w="0" w:type="auto"/>
            <w:shd w:val="clear" w:color="auto" w:fill="CCEEFF"/>
            <w:tcMar>
              <w:top w:w="40" w:type="dxa"/>
              <w:bottom w:w="40" w:type="dxa"/>
              <w:right w:w="40" w:type="dxa"/>
            </w:tcMar>
          </w:tcPr>
          <w:p w14:paraId="54E90AA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AA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54E90AAC"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3.2</w:t>
            </w:r>
          </w:p>
        </w:tc>
        <w:tc>
          <w:tcPr>
            <w:tcW w:w="0" w:type="auto"/>
            <w:shd w:val="clear" w:color="auto" w:fill="CCEEFF"/>
            <w:tcMar>
              <w:top w:w="40" w:type="dxa"/>
              <w:bottom w:w="40" w:type="dxa"/>
              <w:right w:w="40" w:type="dxa"/>
            </w:tcMar>
          </w:tcPr>
          <w:p w14:paraId="54E90AAD"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r>
      <w:tr w:rsidR="00F427A3" w14:paraId="54E90AB9" w14:textId="77777777">
        <w:trPr>
          <w:jc w:val="center"/>
        </w:trPr>
        <w:tc>
          <w:tcPr>
            <w:tcW w:w="0" w:type="auto"/>
            <w:shd w:val="clear" w:color="auto" w:fill="auto"/>
            <w:tcMar>
              <w:top w:w="40" w:type="dxa"/>
              <w:left w:w="240" w:type="dxa"/>
              <w:bottom w:w="40" w:type="dxa"/>
              <w:right w:w="40" w:type="dxa"/>
            </w:tcMar>
          </w:tcPr>
          <w:p w14:paraId="54E90AAF"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Finance leases</w:t>
            </w:r>
          </w:p>
        </w:tc>
        <w:tc>
          <w:tcPr>
            <w:tcW w:w="0" w:type="auto"/>
            <w:shd w:val="clear" w:color="auto" w:fill="auto"/>
            <w:tcMar>
              <w:top w:w="40" w:type="dxa"/>
              <w:left w:w="40" w:type="dxa"/>
              <w:bottom w:w="40" w:type="dxa"/>
              <w:right w:w="40" w:type="dxa"/>
            </w:tcMar>
            <w:vAlign w:val="bottom"/>
          </w:tcPr>
          <w:p w14:paraId="54E90AB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AB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AB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AB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54E90AB4"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2.9</w:t>
            </w:r>
          </w:p>
        </w:tc>
        <w:tc>
          <w:tcPr>
            <w:tcW w:w="0" w:type="auto"/>
            <w:shd w:val="clear" w:color="auto" w:fill="auto"/>
            <w:tcMar>
              <w:top w:w="40" w:type="dxa"/>
              <w:bottom w:w="40" w:type="dxa"/>
              <w:right w:w="40" w:type="dxa"/>
            </w:tcMar>
          </w:tcPr>
          <w:p w14:paraId="54E90AB5"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0AB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54E90AB7"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tcMar>
              <w:top w:w="40" w:type="dxa"/>
              <w:bottom w:w="40" w:type="dxa"/>
              <w:right w:w="40" w:type="dxa"/>
            </w:tcMar>
          </w:tcPr>
          <w:p w14:paraId="54E90AB8"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r>
    </w:tbl>
    <w:p w14:paraId="54E90ABA" w14:textId="77777777" w:rsidR="00F427A3" w:rsidRDefault="00F427A3">
      <w:pPr>
        <w:spacing w:line="288" w:lineRule="auto"/>
        <w:jc w:val="center"/>
        <w:rPr>
          <w:rFonts w:ascii="Times New Roman" w:hAnsi="Times New Roman"/>
          <w:sz w:val="20"/>
          <w:szCs w:val="20"/>
        </w:rPr>
      </w:pPr>
    </w:p>
    <w:p w14:paraId="54E90ABB"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following is a schedule, by years, of maturities of lease liabilities as of September 30, 2020 (in millions):</w:t>
      </w:r>
    </w:p>
    <w:tbl>
      <w:tblPr>
        <w:tblW w:w="5000" w:type="pct"/>
        <w:tblCellMar>
          <w:left w:w="0" w:type="dxa"/>
          <w:right w:w="0" w:type="dxa"/>
        </w:tblCellMar>
        <w:tblLook w:val="04A0" w:firstRow="1" w:lastRow="0" w:firstColumn="1" w:lastColumn="0" w:noHBand="0" w:noVBand="1"/>
      </w:tblPr>
      <w:tblGrid>
        <w:gridCol w:w="5661"/>
        <w:gridCol w:w="140"/>
        <w:gridCol w:w="1010"/>
        <w:gridCol w:w="107"/>
        <w:gridCol w:w="130"/>
        <w:gridCol w:w="141"/>
        <w:gridCol w:w="1010"/>
        <w:gridCol w:w="107"/>
      </w:tblGrid>
      <w:tr w:rsidR="00F427A3" w14:paraId="54E90ABD" w14:textId="77777777">
        <w:tc>
          <w:tcPr>
            <w:tcW w:w="0" w:type="auto"/>
            <w:gridSpan w:val="8"/>
            <w:shd w:val="clear" w:color="auto" w:fill="auto"/>
            <w:vAlign w:val="center"/>
          </w:tcPr>
          <w:p w14:paraId="54E90ABC" w14:textId="77777777" w:rsidR="00F427A3" w:rsidRDefault="00F427A3">
            <w:pPr>
              <w:rPr>
                <w:rFonts w:ascii="Times New Roman" w:hAnsi="Times New Roman"/>
                <w:sz w:val="20"/>
                <w:szCs w:val="20"/>
              </w:rPr>
            </w:pPr>
          </w:p>
        </w:tc>
      </w:tr>
      <w:tr w:rsidR="00F427A3" w14:paraId="54E90AC6" w14:textId="77777777">
        <w:tc>
          <w:tcPr>
            <w:tcW w:w="3449" w:type="pct"/>
            <w:shd w:val="clear" w:color="auto" w:fill="auto"/>
            <w:vAlign w:val="center"/>
          </w:tcPr>
          <w:p w14:paraId="54E90ABE" w14:textId="77777777" w:rsidR="00F427A3" w:rsidRDefault="00F427A3">
            <w:pPr>
              <w:rPr>
                <w:rFonts w:ascii="Times New Roman" w:hAnsi="Times New Roman"/>
                <w:sz w:val="20"/>
                <w:szCs w:val="20"/>
              </w:rPr>
            </w:pPr>
          </w:p>
        </w:tc>
        <w:tc>
          <w:tcPr>
            <w:tcW w:w="50" w:type="pct"/>
            <w:shd w:val="clear" w:color="auto" w:fill="auto"/>
            <w:vAlign w:val="center"/>
          </w:tcPr>
          <w:p w14:paraId="54E90ABF" w14:textId="77777777" w:rsidR="00F427A3" w:rsidRDefault="00F427A3">
            <w:pPr>
              <w:rPr>
                <w:rFonts w:ascii="Times New Roman" w:hAnsi="Times New Roman"/>
                <w:sz w:val="20"/>
                <w:szCs w:val="20"/>
              </w:rPr>
            </w:pPr>
          </w:p>
        </w:tc>
        <w:tc>
          <w:tcPr>
            <w:tcW w:w="650" w:type="pct"/>
            <w:shd w:val="clear" w:color="auto" w:fill="auto"/>
            <w:vAlign w:val="center"/>
          </w:tcPr>
          <w:p w14:paraId="54E90AC0" w14:textId="77777777" w:rsidR="00F427A3" w:rsidRDefault="00F427A3">
            <w:pPr>
              <w:rPr>
                <w:rFonts w:ascii="Times New Roman" w:hAnsi="Times New Roman"/>
                <w:sz w:val="20"/>
                <w:szCs w:val="20"/>
              </w:rPr>
            </w:pPr>
          </w:p>
        </w:tc>
        <w:tc>
          <w:tcPr>
            <w:tcW w:w="50" w:type="pct"/>
            <w:shd w:val="clear" w:color="auto" w:fill="auto"/>
            <w:vAlign w:val="center"/>
          </w:tcPr>
          <w:p w14:paraId="54E90AC1" w14:textId="77777777" w:rsidR="00F427A3" w:rsidRDefault="00F427A3">
            <w:pPr>
              <w:rPr>
                <w:rFonts w:ascii="Times New Roman" w:hAnsi="Times New Roman"/>
                <w:sz w:val="20"/>
                <w:szCs w:val="20"/>
              </w:rPr>
            </w:pPr>
          </w:p>
        </w:tc>
        <w:tc>
          <w:tcPr>
            <w:tcW w:w="50" w:type="pct"/>
            <w:shd w:val="clear" w:color="auto" w:fill="auto"/>
            <w:vAlign w:val="center"/>
          </w:tcPr>
          <w:p w14:paraId="54E90AC2" w14:textId="77777777" w:rsidR="00F427A3" w:rsidRDefault="00F427A3">
            <w:pPr>
              <w:rPr>
                <w:rFonts w:ascii="Times New Roman" w:hAnsi="Times New Roman"/>
                <w:sz w:val="20"/>
                <w:szCs w:val="20"/>
              </w:rPr>
            </w:pPr>
          </w:p>
        </w:tc>
        <w:tc>
          <w:tcPr>
            <w:tcW w:w="50" w:type="pct"/>
            <w:shd w:val="clear" w:color="auto" w:fill="auto"/>
            <w:vAlign w:val="center"/>
          </w:tcPr>
          <w:p w14:paraId="54E90AC3" w14:textId="77777777" w:rsidR="00F427A3" w:rsidRDefault="00F427A3">
            <w:pPr>
              <w:rPr>
                <w:rFonts w:ascii="Times New Roman" w:hAnsi="Times New Roman"/>
                <w:sz w:val="20"/>
                <w:szCs w:val="20"/>
              </w:rPr>
            </w:pPr>
          </w:p>
        </w:tc>
        <w:tc>
          <w:tcPr>
            <w:tcW w:w="650" w:type="pct"/>
            <w:shd w:val="clear" w:color="auto" w:fill="auto"/>
            <w:vAlign w:val="center"/>
          </w:tcPr>
          <w:p w14:paraId="54E90AC4" w14:textId="77777777" w:rsidR="00F427A3" w:rsidRDefault="00F427A3">
            <w:pPr>
              <w:rPr>
                <w:rFonts w:ascii="Times New Roman" w:hAnsi="Times New Roman"/>
                <w:sz w:val="20"/>
                <w:szCs w:val="20"/>
              </w:rPr>
            </w:pPr>
          </w:p>
        </w:tc>
        <w:tc>
          <w:tcPr>
            <w:tcW w:w="50" w:type="pct"/>
            <w:shd w:val="clear" w:color="auto" w:fill="auto"/>
            <w:vAlign w:val="center"/>
          </w:tcPr>
          <w:p w14:paraId="54E90AC5" w14:textId="77777777" w:rsidR="00F427A3" w:rsidRDefault="00F427A3">
            <w:pPr>
              <w:rPr>
                <w:rFonts w:ascii="Times New Roman" w:hAnsi="Times New Roman"/>
                <w:sz w:val="20"/>
                <w:szCs w:val="20"/>
              </w:rPr>
            </w:pPr>
          </w:p>
        </w:tc>
      </w:tr>
      <w:tr w:rsidR="00F427A3" w14:paraId="54E90ACB" w14:textId="77777777">
        <w:tc>
          <w:tcPr>
            <w:tcW w:w="0" w:type="auto"/>
            <w:shd w:val="clear" w:color="auto" w:fill="auto"/>
            <w:tcMar>
              <w:top w:w="40" w:type="dxa"/>
              <w:left w:w="40" w:type="dxa"/>
              <w:bottom w:w="40" w:type="dxa"/>
              <w:right w:w="40" w:type="dxa"/>
            </w:tcMar>
            <w:vAlign w:val="bottom"/>
          </w:tcPr>
          <w:p w14:paraId="54E90AC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54E90AC8" w14:textId="77777777" w:rsidR="00F427A3" w:rsidRDefault="0044221F">
            <w:pPr>
              <w:jc w:val="center"/>
              <w:textAlignment w:val="center"/>
              <w:rPr>
                <w:rFonts w:ascii="Times New Roman" w:hAnsi="Times New Roman"/>
                <w:sz w:val="16"/>
                <w:szCs w:val="16"/>
              </w:rPr>
            </w:pPr>
            <w:r>
              <w:rPr>
                <w:rFonts w:ascii="Times New Roman" w:eastAsia="宋体" w:hAnsi="Times New Roman"/>
                <w:b/>
                <w:bCs/>
                <w:sz w:val="16"/>
                <w:szCs w:val="16"/>
              </w:rPr>
              <w:t>Operating Leases</w:t>
            </w:r>
          </w:p>
        </w:tc>
        <w:tc>
          <w:tcPr>
            <w:tcW w:w="0" w:type="auto"/>
            <w:shd w:val="clear" w:color="auto" w:fill="auto"/>
            <w:tcMar>
              <w:top w:w="40" w:type="dxa"/>
              <w:left w:w="40" w:type="dxa"/>
              <w:bottom w:w="40" w:type="dxa"/>
              <w:right w:w="40" w:type="dxa"/>
            </w:tcMar>
            <w:vAlign w:val="bottom"/>
          </w:tcPr>
          <w:p w14:paraId="54E90AC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54E90ACA" w14:textId="77777777" w:rsidR="00F427A3" w:rsidRDefault="0044221F">
            <w:pPr>
              <w:jc w:val="center"/>
              <w:textAlignment w:val="center"/>
              <w:rPr>
                <w:rFonts w:ascii="Times New Roman" w:hAnsi="Times New Roman"/>
                <w:sz w:val="16"/>
                <w:szCs w:val="16"/>
              </w:rPr>
            </w:pPr>
            <w:r>
              <w:rPr>
                <w:rFonts w:ascii="Times New Roman" w:eastAsia="宋体" w:hAnsi="Times New Roman"/>
                <w:b/>
                <w:bCs/>
                <w:sz w:val="16"/>
                <w:szCs w:val="16"/>
              </w:rPr>
              <w:t>Finance Leases</w:t>
            </w:r>
          </w:p>
        </w:tc>
      </w:tr>
      <w:tr w:rsidR="00F427A3" w14:paraId="54E90AD4" w14:textId="77777777">
        <w:tc>
          <w:tcPr>
            <w:tcW w:w="0" w:type="auto"/>
            <w:shd w:val="clear" w:color="auto" w:fill="CCEEFF"/>
            <w:tcMar>
              <w:top w:w="40" w:type="dxa"/>
              <w:left w:w="40" w:type="dxa"/>
              <w:bottom w:w="40" w:type="dxa"/>
              <w:right w:w="40" w:type="dxa"/>
            </w:tcMar>
          </w:tcPr>
          <w:p w14:paraId="54E90ACC" w14:textId="77777777" w:rsidR="00F427A3" w:rsidRDefault="0044221F">
            <w:pPr>
              <w:textAlignment w:val="top"/>
              <w:rPr>
                <w:rFonts w:ascii="Times New Roman" w:hAnsi="Times New Roman"/>
                <w:sz w:val="20"/>
                <w:szCs w:val="20"/>
              </w:rPr>
            </w:pPr>
            <w:r>
              <w:rPr>
                <w:rFonts w:ascii="Times New Roman" w:eastAsia="宋体" w:hAnsi="Times New Roman"/>
                <w:sz w:val="20"/>
                <w:szCs w:val="20"/>
                <w:shd w:val="clear" w:color="auto" w:fill="CCEEFF"/>
              </w:rPr>
              <w:t>The remainder of 2020</w:t>
            </w:r>
          </w:p>
        </w:tc>
        <w:tc>
          <w:tcPr>
            <w:tcW w:w="0" w:type="auto"/>
            <w:shd w:val="clear" w:color="auto" w:fill="CCEEFF"/>
            <w:tcMar>
              <w:top w:w="40" w:type="dxa"/>
              <w:left w:w="40" w:type="dxa"/>
              <w:bottom w:w="40" w:type="dxa"/>
            </w:tcMar>
          </w:tcPr>
          <w:p w14:paraId="54E90ACD"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54E90ACE"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235</w:t>
            </w:r>
          </w:p>
        </w:tc>
        <w:tc>
          <w:tcPr>
            <w:tcW w:w="0" w:type="auto"/>
            <w:shd w:val="clear" w:color="auto" w:fill="CCEEFF"/>
            <w:vAlign w:val="bottom"/>
          </w:tcPr>
          <w:p w14:paraId="54E90ACF"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AD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54E90AD1"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54E90AD2"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38</w:t>
            </w:r>
          </w:p>
        </w:tc>
        <w:tc>
          <w:tcPr>
            <w:tcW w:w="0" w:type="auto"/>
            <w:shd w:val="clear" w:color="auto" w:fill="CCEEFF"/>
            <w:vAlign w:val="bottom"/>
          </w:tcPr>
          <w:p w14:paraId="54E90AD3" w14:textId="77777777" w:rsidR="00F427A3" w:rsidRDefault="00F427A3">
            <w:pPr>
              <w:textAlignment w:val="bottom"/>
              <w:rPr>
                <w:rFonts w:ascii="Times New Roman" w:hAnsi="Times New Roman"/>
                <w:sz w:val="20"/>
                <w:szCs w:val="20"/>
              </w:rPr>
            </w:pPr>
          </w:p>
        </w:tc>
      </w:tr>
      <w:tr w:rsidR="00F427A3" w14:paraId="54E90ADB" w14:textId="77777777">
        <w:tc>
          <w:tcPr>
            <w:tcW w:w="0" w:type="auto"/>
            <w:shd w:val="clear" w:color="auto" w:fill="auto"/>
            <w:tcMar>
              <w:top w:w="40" w:type="dxa"/>
              <w:left w:w="40" w:type="dxa"/>
              <w:bottom w:w="40" w:type="dxa"/>
              <w:right w:w="40" w:type="dxa"/>
            </w:tcMar>
          </w:tcPr>
          <w:p w14:paraId="54E90AD5"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2021</w:t>
            </w:r>
          </w:p>
        </w:tc>
        <w:tc>
          <w:tcPr>
            <w:tcW w:w="0" w:type="auto"/>
            <w:gridSpan w:val="2"/>
            <w:shd w:val="clear" w:color="auto" w:fill="auto"/>
            <w:tcMar>
              <w:top w:w="40" w:type="dxa"/>
              <w:left w:w="40" w:type="dxa"/>
              <w:bottom w:w="40" w:type="dxa"/>
            </w:tcMar>
          </w:tcPr>
          <w:p w14:paraId="54E90AD6"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1,365</w:t>
            </w:r>
          </w:p>
        </w:tc>
        <w:tc>
          <w:tcPr>
            <w:tcW w:w="0" w:type="auto"/>
            <w:shd w:val="clear" w:color="auto" w:fill="auto"/>
            <w:vAlign w:val="bottom"/>
          </w:tcPr>
          <w:p w14:paraId="54E90AD7"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AD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4E90AD9"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53</w:t>
            </w:r>
          </w:p>
        </w:tc>
        <w:tc>
          <w:tcPr>
            <w:tcW w:w="0" w:type="auto"/>
            <w:shd w:val="clear" w:color="auto" w:fill="auto"/>
            <w:vAlign w:val="bottom"/>
          </w:tcPr>
          <w:p w14:paraId="54E90ADA" w14:textId="77777777" w:rsidR="00F427A3" w:rsidRDefault="00F427A3">
            <w:pPr>
              <w:textAlignment w:val="bottom"/>
              <w:rPr>
                <w:rFonts w:ascii="Times New Roman" w:hAnsi="Times New Roman"/>
                <w:sz w:val="20"/>
                <w:szCs w:val="20"/>
              </w:rPr>
            </w:pPr>
          </w:p>
        </w:tc>
      </w:tr>
      <w:tr w:rsidR="00F427A3" w14:paraId="54E90AE2" w14:textId="77777777">
        <w:tc>
          <w:tcPr>
            <w:tcW w:w="0" w:type="auto"/>
            <w:shd w:val="clear" w:color="auto" w:fill="CCEEFF"/>
            <w:tcMar>
              <w:top w:w="40" w:type="dxa"/>
              <w:left w:w="40" w:type="dxa"/>
              <w:bottom w:w="40" w:type="dxa"/>
              <w:right w:w="40" w:type="dxa"/>
            </w:tcMar>
          </w:tcPr>
          <w:p w14:paraId="54E90ADC"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CCEEFF"/>
            <w:tcMar>
              <w:top w:w="40" w:type="dxa"/>
              <w:left w:w="40" w:type="dxa"/>
              <w:bottom w:w="40" w:type="dxa"/>
            </w:tcMar>
          </w:tcPr>
          <w:p w14:paraId="54E90ADD"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1,348</w:t>
            </w:r>
          </w:p>
        </w:tc>
        <w:tc>
          <w:tcPr>
            <w:tcW w:w="0" w:type="auto"/>
            <w:shd w:val="clear" w:color="auto" w:fill="CCEEFF"/>
            <w:vAlign w:val="bottom"/>
          </w:tcPr>
          <w:p w14:paraId="54E90AD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AD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4E90AE0"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46</w:t>
            </w:r>
          </w:p>
        </w:tc>
        <w:tc>
          <w:tcPr>
            <w:tcW w:w="0" w:type="auto"/>
            <w:shd w:val="clear" w:color="auto" w:fill="CCEEFF"/>
            <w:vAlign w:val="bottom"/>
          </w:tcPr>
          <w:p w14:paraId="54E90AE1" w14:textId="77777777" w:rsidR="00F427A3" w:rsidRDefault="00F427A3">
            <w:pPr>
              <w:textAlignment w:val="bottom"/>
              <w:rPr>
                <w:rFonts w:ascii="Times New Roman" w:hAnsi="Times New Roman"/>
                <w:sz w:val="20"/>
                <w:szCs w:val="20"/>
              </w:rPr>
            </w:pPr>
          </w:p>
        </w:tc>
      </w:tr>
      <w:tr w:rsidR="00F427A3" w14:paraId="54E90AE9" w14:textId="77777777">
        <w:tc>
          <w:tcPr>
            <w:tcW w:w="0" w:type="auto"/>
            <w:shd w:val="clear" w:color="auto" w:fill="auto"/>
            <w:tcMar>
              <w:top w:w="40" w:type="dxa"/>
              <w:left w:w="40" w:type="dxa"/>
              <w:bottom w:w="40" w:type="dxa"/>
              <w:right w:w="40" w:type="dxa"/>
            </w:tcMar>
          </w:tcPr>
          <w:p w14:paraId="54E90AE3"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auto"/>
            <w:tcMar>
              <w:top w:w="40" w:type="dxa"/>
              <w:left w:w="40" w:type="dxa"/>
              <w:bottom w:w="40" w:type="dxa"/>
            </w:tcMar>
          </w:tcPr>
          <w:p w14:paraId="54E90AE4"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1,213</w:t>
            </w:r>
          </w:p>
        </w:tc>
        <w:tc>
          <w:tcPr>
            <w:tcW w:w="0" w:type="auto"/>
            <w:shd w:val="clear" w:color="auto" w:fill="auto"/>
            <w:vAlign w:val="bottom"/>
          </w:tcPr>
          <w:p w14:paraId="54E90AE5"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AE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4E90AE7"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40</w:t>
            </w:r>
          </w:p>
        </w:tc>
        <w:tc>
          <w:tcPr>
            <w:tcW w:w="0" w:type="auto"/>
            <w:shd w:val="clear" w:color="auto" w:fill="auto"/>
            <w:vAlign w:val="bottom"/>
          </w:tcPr>
          <w:p w14:paraId="54E90AE8" w14:textId="77777777" w:rsidR="00F427A3" w:rsidRDefault="00F427A3">
            <w:pPr>
              <w:textAlignment w:val="bottom"/>
              <w:rPr>
                <w:rFonts w:ascii="Times New Roman" w:hAnsi="Times New Roman"/>
                <w:sz w:val="20"/>
                <w:szCs w:val="20"/>
              </w:rPr>
            </w:pPr>
          </w:p>
        </w:tc>
      </w:tr>
      <w:tr w:rsidR="00F427A3" w14:paraId="54E90AF0" w14:textId="77777777">
        <w:tc>
          <w:tcPr>
            <w:tcW w:w="0" w:type="auto"/>
            <w:shd w:val="clear" w:color="auto" w:fill="CCEEFF"/>
            <w:tcMar>
              <w:top w:w="40" w:type="dxa"/>
              <w:left w:w="40" w:type="dxa"/>
              <w:bottom w:w="40" w:type="dxa"/>
              <w:right w:w="40" w:type="dxa"/>
            </w:tcMar>
          </w:tcPr>
          <w:p w14:paraId="54E90AE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2024</w:t>
            </w:r>
          </w:p>
        </w:tc>
        <w:tc>
          <w:tcPr>
            <w:tcW w:w="0" w:type="auto"/>
            <w:gridSpan w:val="2"/>
            <w:shd w:val="clear" w:color="auto" w:fill="CCEEFF"/>
            <w:tcMar>
              <w:top w:w="40" w:type="dxa"/>
              <w:left w:w="40" w:type="dxa"/>
              <w:bottom w:w="40" w:type="dxa"/>
            </w:tcMar>
          </w:tcPr>
          <w:p w14:paraId="54E90AEB"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1,130</w:t>
            </w:r>
          </w:p>
        </w:tc>
        <w:tc>
          <w:tcPr>
            <w:tcW w:w="0" w:type="auto"/>
            <w:shd w:val="clear" w:color="auto" w:fill="CCEEFF"/>
            <w:vAlign w:val="bottom"/>
          </w:tcPr>
          <w:p w14:paraId="54E90AE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AE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4E90AEE"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40</w:t>
            </w:r>
          </w:p>
        </w:tc>
        <w:tc>
          <w:tcPr>
            <w:tcW w:w="0" w:type="auto"/>
            <w:shd w:val="clear" w:color="auto" w:fill="CCEEFF"/>
            <w:vAlign w:val="bottom"/>
          </w:tcPr>
          <w:p w14:paraId="54E90AEF" w14:textId="77777777" w:rsidR="00F427A3" w:rsidRDefault="00F427A3">
            <w:pPr>
              <w:textAlignment w:val="bottom"/>
              <w:rPr>
                <w:rFonts w:ascii="Times New Roman" w:hAnsi="Times New Roman"/>
                <w:sz w:val="20"/>
                <w:szCs w:val="20"/>
              </w:rPr>
            </w:pPr>
          </w:p>
        </w:tc>
      </w:tr>
      <w:tr w:rsidR="00F427A3" w14:paraId="54E90AF7" w14:textId="77777777">
        <w:tc>
          <w:tcPr>
            <w:tcW w:w="0" w:type="auto"/>
            <w:shd w:val="clear" w:color="auto" w:fill="auto"/>
            <w:tcMar>
              <w:top w:w="40" w:type="dxa"/>
              <w:left w:w="40" w:type="dxa"/>
              <w:bottom w:w="40" w:type="dxa"/>
              <w:right w:w="40" w:type="dxa"/>
            </w:tcMar>
          </w:tcPr>
          <w:p w14:paraId="54E90AF1"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Thereafter</w:t>
            </w:r>
          </w:p>
        </w:tc>
        <w:tc>
          <w:tcPr>
            <w:tcW w:w="0" w:type="auto"/>
            <w:gridSpan w:val="2"/>
            <w:shd w:val="clear" w:color="auto" w:fill="auto"/>
            <w:tcMar>
              <w:top w:w="40" w:type="dxa"/>
              <w:left w:w="40" w:type="dxa"/>
              <w:bottom w:w="40" w:type="dxa"/>
            </w:tcMar>
          </w:tcPr>
          <w:p w14:paraId="54E90AF2"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8,055</w:t>
            </w:r>
          </w:p>
        </w:tc>
        <w:tc>
          <w:tcPr>
            <w:tcW w:w="0" w:type="auto"/>
            <w:shd w:val="clear" w:color="auto" w:fill="auto"/>
            <w:vAlign w:val="bottom"/>
          </w:tcPr>
          <w:p w14:paraId="54E90AF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AF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4E90AF5"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432</w:t>
            </w:r>
          </w:p>
        </w:tc>
        <w:tc>
          <w:tcPr>
            <w:tcW w:w="0" w:type="auto"/>
            <w:shd w:val="clear" w:color="auto" w:fill="auto"/>
            <w:vAlign w:val="bottom"/>
          </w:tcPr>
          <w:p w14:paraId="54E90AF6" w14:textId="77777777" w:rsidR="00F427A3" w:rsidRDefault="00F427A3">
            <w:pPr>
              <w:textAlignment w:val="bottom"/>
              <w:rPr>
                <w:rFonts w:ascii="Times New Roman" w:hAnsi="Times New Roman"/>
                <w:sz w:val="20"/>
                <w:szCs w:val="20"/>
              </w:rPr>
            </w:pPr>
          </w:p>
        </w:tc>
      </w:tr>
      <w:tr w:rsidR="00F427A3" w14:paraId="54E90AFE" w14:textId="77777777">
        <w:tc>
          <w:tcPr>
            <w:tcW w:w="0" w:type="auto"/>
            <w:shd w:val="clear" w:color="auto" w:fill="CCEEFF"/>
            <w:tcMar>
              <w:top w:w="40" w:type="dxa"/>
              <w:left w:w="40" w:type="dxa"/>
              <w:bottom w:w="40" w:type="dxa"/>
              <w:right w:w="40" w:type="dxa"/>
            </w:tcMar>
          </w:tcPr>
          <w:p w14:paraId="54E90AF8" w14:textId="77777777" w:rsidR="00F427A3" w:rsidRDefault="0044221F">
            <w:pPr>
              <w:textAlignment w:val="top"/>
              <w:rPr>
                <w:rFonts w:ascii="Times New Roman" w:hAnsi="Times New Roman"/>
                <w:sz w:val="20"/>
                <w:szCs w:val="20"/>
              </w:rPr>
            </w:pPr>
            <w:r>
              <w:rPr>
                <w:rFonts w:ascii="Times New Roman" w:eastAsia="宋体" w:hAnsi="Times New Roman"/>
                <w:sz w:val="20"/>
                <w:szCs w:val="20"/>
                <w:shd w:val="clear" w:color="auto" w:fill="CCEEFF"/>
              </w:rPr>
              <w:t>Total undiscounted cash flows</w:t>
            </w:r>
          </w:p>
        </w:tc>
        <w:tc>
          <w:tcPr>
            <w:tcW w:w="0" w:type="auto"/>
            <w:gridSpan w:val="2"/>
            <w:tcBorders>
              <w:top w:val="single" w:sz="8" w:space="0" w:color="000000"/>
            </w:tcBorders>
            <w:shd w:val="clear" w:color="auto" w:fill="CCEEFF"/>
            <w:tcMar>
              <w:top w:w="40" w:type="dxa"/>
              <w:left w:w="40" w:type="dxa"/>
              <w:bottom w:w="40" w:type="dxa"/>
            </w:tcMar>
          </w:tcPr>
          <w:p w14:paraId="54E90AF9"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13,346</w:t>
            </w:r>
          </w:p>
        </w:tc>
        <w:tc>
          <w:tcPr>
            <w:tcW w:w="0" w:type="auto"/>
            <w:tcBorders>
              <w:top w:val="single" w:sz="8" w:space="0" w:color="000000"/>
            </w:tcBorders>
            <w:shd w:val="clear" w:color="auto" w:fill="CCEEFF"/>
            <w:vAlign w:val="bottom"/>
          </w:tcPr>
          <w:p w14:paraId="54E90AFA"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AF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tcPr>
          <w:p w14:paraId="54E90AFC"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649</w:t>
            </w:r>
          </w:p>
        </w:tc>
        <w:tc>
          <w:tcPr>
            <w:tcW w:w="0" w:type="auto"/>
            <w:tcBorders>
              <w:top w:val="single" w:sz="8" w:space="0" w:color="000000"/>
            </w:tcBorders>
            <w:shd w:val="clear" w:color="auto" w:fill="CCEEFF"/>
            <w:vAlign w:val="bottom"/>
          </w:tcPr>
          <w:p w14:paraId="54E90AFD" w14:textId="77777777" w:rsidR="00F427A3" w:rsidRDefault="00F427A3">
            <w:pPr>
              <w:textAlignment w:val="bottom"/>
              <w:rPr>
                <w:rFonts w:ascii="Times New Roman" w:hAnsi="Times New Roman"/>
                <w:sz w:val="20"/>
                <w:szCs w:val="20"/>
              </w:rPr>
            </w:pPr>
          </w:p>
        </w:tc>
      </w:tr>
      <w:tr w:rsidR="00F427A3" w14:paraId="54E90B05" w14:textId="77777777">
        <w:tc>
          <w:tcPr>
            <w:tcW w:w="0" w:type="auto"/>
            <w:shd w:val="clear" w:color="auto" w:fill="auto"/>
            <w:tcMar>
              <w:top w:w="40" w:type="dxa"/>
              <w:left w:w="40" w:type="dxa"/>
              <w:bottom w:w="40" w:type="dxa"/>
              <w:right w:w="40" w:type="dxa"/>
            </w:tcMar>
          </w:tcPr>
          <w:p w14:paraId="54E90AFF"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Less: Imputed interest</w:t>
            </w:r>
          </w:p>
        </w:tc>
        <w:tc>
          <w:tcPr>
            <w:tcW w:w="0" w:type="auto"/>
            <w:gridSpan w:val="2"/>
            <w:shd w:val="clear" w:color="auto" w:fill="auto"/>
            <w:tcMar>
              <w:top w:w="40" w:type="dxa"/>
              <w:left w:w="40" w:type="dxa"/>
              <w:bottom w:w="40" w:type="dxa"/>
            </w:tcMar>
          </w:tcPr>
          <w:p w14:paraId="54E90B00"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(2,730</w:t>
            </w:r>
          </w:p>
        </w:tc>
        <w:tc>
          <w:tcPr>
            <w:tcW w:w="0" w:type="auto"/>
            <w:shd w:val="clear" w:color="auto" w:fill="auto"/>
            <w:tcMar>
              <w:top w:w="40" w:type="dxa"/>
              <w:bottom w:w="40" w:type="dxa"/>
              <w:right w:w="40" w:type="dxa"/>
            </w:tcMar>
          </w:tcPr>
          <w:p w14:paraId="54E90B01"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0B0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4E90B03"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(121</w:t>
            </w:r>
          </w:p>
        </w:tc>
        <w:tc>
          <w:tcPr>
            <w:tcW w:w="0" w:type="auto"/>
            <w:shd w:val="clear" w:color="auto" w:fill="auto"/>
            <w:tcMar>
              <w:top w:w="40" w:type="dxa"/>
              <w:bottom w:w="40" w:type="dxa"/>
              <w:right w:w="40" w:type="dxa"/>
            </w:tcMar>
          </w:tcPr>
          <w:p w14:paraId="54E90B04"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r>
      <w:tr w:rsidR="00F427A3" w14:paraId="54E90B0E" w14:textId="77777777">
        <w:tc>
          <w:tcPr>
            <w:tcW w:w="0" w:type="auto"/>
            <w:shd w:val="clear" w:color="auto" w:fill="CCEEFF"/>
            <w:tcMar>
              <w:top w:w="40" w:type="dxa"/>
              <w:left w:w="40" w:type="dxa"/>
              <w:bottom w:w="40" w:type="dxa"/>
              <w:right w:w="40" w:type="dxa"/>
            </w:tcMar>
          </w:tcPr>
          <w:p w14:paraId="54E90B06" w14:textId="77777777" w:rsidR="00F427A3" w:rsidRDefault="0044221F">
            <w:pPr>
              <w:textAlignment w:val="top"/>
              <w:rPr>
                <w:rFonts w:ascii="Times New Roman" w:hAnsi="Times New Roman"/>
                <w:sz w:val="20"/>
                <w:szCs w:val="20"/>
              </w:rPr>
            </w:pPr>
            <w:r>
              <w:rPr>
                <w:rFonts w:ascii="Times New Roman" w:eastAsia="宋体" w:hAnsi="Times New Roman"/>
                <w:sz w:val="20"/>
                <w:szCs w:val="20"/>
                <w:shd w:val="clear" w:color="auto" w:fill="CCEEFF"/>
              </w:rPr>
              <w:t>Present value of lease liabilities</w:t>
            </w:r>
          </w:p>
        </w:tc>
        <w:tc>
          <w:tcPr>
            <w:tcW w:w="0" w:type="auto"/>
            <w:tcBorders>
              <w:top w:val="single" w:sz="8" w:space="0" w:color="000000"/>
              <w:bottom w:val="double" w:sz="6" w:space="0" w:color="000000"/>
            </w:tcBorders>
            <w:shd w:val="clear" w:color="auto" w:fill="CCEEFF"/>
            <w:tcMar>
              <w:top w:w="40" w:type="dxa"/>
              <w:left w:w="40" w:type="dxa"/>
              <w:bottom w:w="40" w:type="dxa"/>
            </w:tcMar>
          </w:tcPr>
          <w:p w14:paraId="54E90B07"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tcPr>
          <w:p w14:paraId="54E90B08"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10,616</w:t>
            </w:r>
          </w:p>
        </w:tc>
        <w:tc>
          <w:tcPr>
            <w:tcW w:w="0" w:type="auto"/>
            <w:tcBorders>
              <w:top w:val="single" w:sz="8" w:space="0" w:color="000000"/>
              <w:bottom w:val="double" w:sz="6" w:space="0" w:color="000000"/>
            </w:tcBorders>
            <w:shd w:val="clear" w:color="auto" w:fill="CCEEFF"/>
            <w:vAlign w:val="bottom"/>
          </w:tcPr>
          <w:p w14:paraId="54E90B09"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B0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tcPr>
          <w:p w14:paraId="54E90B0B"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tcPr>
          <w:p w14:paraId="54E90B0C"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528</w:t>
            </w:r>
          </w:p>
        </w:tc>
        <w:tc>
          <w:tcPr>
            <w:tcW w:w="0" w:type="auto"/>
            <w:tcBorders>
              <w:top w:val="single" w:sz="8" w:space="0" w:color="000000"/>
              <w:bottom w:val="double" w:sz="6" w:space="0" w:color="000000"/>
            </w:tcBorders>
            <w:shd w:val="clear" w:color="auto" w:fill="CCEEFF"/>
            <w:vAlign w:val="bottom"/>
          </w:tcPr>
          <w:p w14:paraId="54E90B0D" w14:textId="77777777" w:rsidR="00F427A3" w:rsidRDefault="00F427A3">
            <w:pPr>
              <w:textAlignment w:val="bottom"/>
              <w:rPr>
                <w:rFonts w:ascii="Times New Roman" w:hAnsi="Times New Roman"/>
                <w:sz w:val="20"/>
                <w:szCs w:val="20"/>
              </w:rPr>
            </w:pPr>
          </w:p>
        </w:tc>
      </w:tr>
      <w:tr w:rsidR="00F427A3" w14:paraId="54E90B13" w14:textId="77777777">
        <w:tc>
          <w:tcPr>
            <w:tcW w:w="0" w:type="auto"/>
            <w:shd w:val="clear" w:color="auto" w:fill="auto"/>
            <w:tcMar>
              <w:top w:w="40" w:type="dxa"/>
              <w:left w:w="40" w:type="dxa"/>
              <w:bottom w:w="40" w:type="dxa"/>
              <w:right w:w="40" w:type="dxa"/>
            </w:tcMar>
            <w:vAlign w:val="bottom"/>
          </w:tcPr>
          <w:p w14:paraId="54E90B0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B1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B1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B1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B1C" w14:textId="77777777">
        <w:tc>
          <w:tcPr>
            <w:tcW w:w="0" w:type="auto"/>
            <w:shd w:val="clear" w:color="auto" w:fill="CCEEFF"/>
            <w:tcMar>
              <w:top w:w="40" w:type="dxa"/>
              <w:left w:w="40" w:type="dxa"/>
              <w:bottom w:w="40" w:type="dxa"/>
              <w:right w:w="40" w:type="dxa"/>
            </w:tcMar>
          </w:tcPr>
          <w:p w14:paraId="54E90B14"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Lease liabilities, current</w:t>
            </w:r>
          </w:p>
        </w:tc>
        <w:tc>
          <w:tcPr>
            <w:tcW w:w="0" w:type="auto"/>
            <w:shd w:val="clear" w:color="auto" w:fill="CCEEFF"/>
            <w:tcMar>
              <w:top w:w="40" w:type="dxa"/>
              <w:left w:w="40" w:type="dxa"/>
              <w:bottom w:w="40" w:type="dxa"/>
            </w:tcMar>
            <w:vAlign w:val="bottom"/>
          </w:tcPr>
          <w:p w14:paraId="54E90B1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B1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975</w:t>
            </w:r>
          </w:p>
        </w:tc>
        <w:tc>
          <w:tcPr>
            <w:tcW w:w="0" w:type="auto"/>
            <w:shd w:val="clear" w:color="auto" w:fill="CCEEFF"/>
            <w:vAlign w:val="bottom"/>
          </w:tcPr>
          <w:p w14:paraId="54E90B1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B1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B1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B1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62</w:t>
            </w:r>
          </w:p>
        </w:tc>
        <w:tc>
          <w:tcPr>
            <w:tcW w:w="0" w:type="auto"/>
            <w:shd w:val="clear" w:color="auto" w:fill="CCEEFF"/>
            <w:vAlign w:val="bottom"/>
          </w:tcPr>
          <w:p w14:paraId="54E90B1B" w14:textId="77777777" w:rsidR="00F427A3" w:rsidRDefault="00F427A3">
            <w:pPr>
              <w:textAlignment w:val="bottom"/>
              <w:rPr>
                <w:rFonts w:ascii="Times New Roman" w:hAnsi="Times New Roman"/>
                <w:sz w:val="20"/>
                <w:szCs w:val="20"/>
              </w:rPr>
            </w:pPr>
          </w:p>
        </w:tc>
      </w:tr>
      <w:tr w:rsidR="00F427A3" w14:paraId="54E90B23" w14:textId="77777777">
        <w:tc>
          <w:tcPr>
            <w:tcW w:w="0" w:type="auto"/>
            <w:shd w:val="clear" w:color="auto" w:fill="auto"/>
            <w:tcMar>
              <w:top w:w="40" w:type="dxa"/>
              <w:left w:w="40" w:type="dxa"/>
              <w:bottom w:w="40" w:type="dxa"/>
              <w:right w:w="40" w:type="dxa"/>
            </w:tcMar>
          </w:tcPr>
          <w:p w14:paraId="54E90B1D"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Lease liabilities, non-current</w:t>
            </w:r>
          </w:p>
        </w:tc>
        <w:tc>
          <w:tcPr>
            <w:tcW w:w="0" w:type="auto"/>
            <w:gridSpan w:val="2"/>
            <w:tcBorders>
              <w:bottom w:val="single" w:sz="8" w:space="0" w:color="000000"/>
            </w:tcBorders>
            <w:shd w:val="clear" w:color="auto" w:fill="auto"/>
            <w:tcMar>
              <w:top w:w="40" w:type="dxa"/>
              <w:left w:w="40" w:type="dxa"/>
              <w:bottom w:w="40" w:type="dxa"/>
            </w:tcMar>
            <w:vAlign w:val="bottom"/>
          </w:tcPr>
          <w:p w14:paraId="54E90B1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9,641</w:t>
            </w:r>
          </w:p>
        </w:tc>
        <w:tc>
          <w:tcPr>
            <w:tcW w:w="0" w:type="auto"/>
            <w:tcBorders>
              <w:bottom w:val="single" w:sz="8" w:space="0" w:color="000000"/>
            </w:tcBorders>
            <w:shd w:val="clear" w:color="auto" w:fill="auto"/>
            <w:vAlign w:val="bottom"/>
          </w:tcPr>
          <w:p w14:paraId="54E90B1F"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B2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0B2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466</w:t>
            </w:r>
          </w:p>
        </w:tc>
        <w:tc>
          <w:tcPr>
            <w:tcW w:w="0" w:type="auto"/>
            <w:tcBorders>
              <w:bottom w:val="single" w:sz="8" w:space="0" w:color="000000"/>
            </w:tcBorders>
            <w:shd w:val="clear" w:color="auto" w:fill="auto"/>
            <w:vAlign w:val="bottom"/>
          </w:tcPr>
          <w:p w14:paraId="54E90B22" w14:textId="77777777" w:rsidR="00F427A3" w:rsidRDefault="00F427A3">
            <w:pPr>
              <w:textAlignment w:val="bottom"/>
              <w:rPr>
                <w:rFonts w:ascii="Times New Roman" w:hAnsi="Times New Roman"/>
                <w:sz w:val="20"/>
                <w:szCs w:val="20"/>
              </w:rPr>
            </w:pPr>
          </w:p>
        </w:tc>
      </w:tr>
      <w:tr w:rsidR="00F427A3" w14:paraId="54E90B2C" w14:textId="77777777">
        <w:tc>
          <w:tcPr>
            <w:tcW w:w="0" w:type="auto"/>
            <w:shd w:val="clear" w:color="auto" w:fill="CCEEFF"/>
            <w:tcMar>
              <w:top w:w="40" w:type="dxa"/>
              <w:left w:w="560" w:type="dxa"/>
              <w:bottom w:w="40" w:type="dxa"/>
              <w:right w:w="40" w:type="dxa"/>
            </w:tcMar>
          </w:tcPr>
          <w:p w14:paraId="54E90B24"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Present value of lease liabilities</w:t>
            </w:r>
          </w:p>
        </w:tc>
        <w:tc>
          <w:tcPr>
            <w:tcW w:w="0" w:type="auto"/>
            <w:tcBorders>
              <w:bottom w:val="double" w:sz="6" w:space="0" w:color="000000"/>
            </w:tcBorders>
            <w:shd w:val="clear" w:color="auto" w:fill="CCEEFF"/>
            <w:tcMar>
              <w:top w:w="40" w:type="dxa"/>
              <w:left w:w="40" w:type="dxa"/>
              <w:bottom w:w="40" w:type="dxa"/>
            </w:tcMar>
          </w:tcPr>
          <w:p w14:paraId="54E90B25"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tcPr>
          <w:p w14:paraId="54E90B26"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10,616</w:t>
            </w:r>
          </w:p>
        </w:tc>
        <w:tc>
          <w:tcPr>
            <w:tcW w:w="0" w:type="auto"/>
            <w:tcBorders>
              <w:bottom w:val="double" w:sz="6" w:space="0" w:color="000000"/>
            </w:tcBorders>
            <w:shd w:val="clear" w:color="auto" w:fill="CCEEFF"/>
            <w:vAlign w:val="bottom"/>
          </w:tcPr>
          <w:p w14:paraId="54E90B2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B2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tcPr>
          <w:p w14:paraId="54E90B29"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tcPr>
          <w:p w14:paraId="54E90B2A"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528</w:t>
            </w:r>
          </w:p>
        </w:tc>
        <w:tc>
          <w:tcPr>
            <w:tcW w:w="0" w:type="auto"/>
            <w:tcBorders>
              <w:bottom w:val="double" w:sz="6" w:space="0" w:color="000000"/>
            </w:tcBorders>
            <w:shd w:val="clear" w:color="auto" w:fill="CCEEFF"/>
            <w:vAlign w:val="bottom"/>
          </w:tcPr>
          <w:p w14:paraId="54E90B2B" w14:textId="77777777" w:rsidR="00F427A3" w:rsidRDefault="00F427A3">
            <w:pPr>
              <w:textAlignment w:val="bottom"/>
              <w:rPr>
                <w:rFonts w:ascii="Times New Roman" w:hAnsi="Times New Roman"/>
                <w:sz w:val="20"/>
                <w:szCs w:val="20"/>
              </w:rPr>
            </w:pPr>
          </w:p>
        </w:tc>
      </w:tr>
    </w:tbl>
    <w:p w14:paraId="54E90B2D" w14:textId="77777777" w:rsidR="00F427A3" w:rsidRDefault="00F427A3">
      <w:pPr>
        <w:spacing w:line="288" w:lineRule="auto"/>
        <w:rPr>
          <w:rFonts w:ascii="Times New Roman" w:hAnsi="Times New Roman"/>
          <w:sz w:val="20"/>
          <w:szCs w:val="20"/>
        </w:rPr>
      </w:pPr>
    </w:p>
    <w:p w14:paraId="54E90B2E"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table above does not include lease payments that were not fixed at commencement or modification. As of September 30, 2020, we have additional operating and finance leases mostly for offices, data centers and network equipment that have not yet commence</w:t>
      </w:r>
      <w:r>
        <w:rPr>
          <w:rFonts w:ascii="Times New Roman" w:eastAsia="宋体" w:hAnsi="Times New Roman"/>
          <w:sz w:val="20"/>
          <w:szCs w:val="20"/>
        </w:rPr>
        <w:t xml:space="preserve">d with lease obligations of approximately $7.31 billion and $398 million, respectively. These operating and finance leases will commence between the remainder of 2020 and 2023 with lease terms of greater than one year to 30 years. </w:t>
      </w:r>
    </w:p>
    <w:p w14:paraId="54E90B2F"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Supplemental cash flow i</w:t>
      </w:r>
      <w:r>
        <w:rPr>
          <w:rFonts w:ascii="Times New Roman" w:eastAsia="宋体" w:hAnsi="Times New Roman"/>
          <w:sz w:val="20"/>
          <w:szCs w:val="20"/>
        </w:rPr>
        <w:t>nformation related to leases are as follows (in millions):</w:t>
      </w:r>
    </w:p>
    <w:tbl>
      <w:tblPr>
        <w:tblW w:w="5000" w:type="pct"/>
        <w:tblCellMar>
          <w:left w:w="0" w:type="dxa"/>
          <w:right w:w="0" w:type="dxa"/>
        </w:tblCellMar>
        <w:tblLook w:val="04A0" w:firstRow="1" w:lastRow="0" w:firstColumn="1" w:lastColumn="0" w:noHBand="0" w:noVBand="1"/>
      </w:tblPr>
      <w:tblGrid>
        <w:gridCol w:w="5698"/>
        <w:gridCol w:w="140"/>
        <w:gridCol w:w="1048"/>
        <w:gridCol w:w="51"/>
        <w:gridCol w:w="130"/>
        <w:gridCol w:w="140"/>
        <w:gridCol w:w="1048"/>
        <w:gridCol w:w="51"/>
      </w:tblGrid>
      <w:tr w:rsidR="00F427A3" w14:paraId="54E90B31" w14:textId="77777777">
        <w:tc>
          <w:tcPr>
            <w:tcW w:w="0" w:type="auto"/>
            <w:gridSpan w:val="8"/>
            <w:shd w:val="clear" w:color="auto" w:fill="auto"/>
            <w:vAlign w:val="center"/>
          </w:tcPr>
          <w:p w14:paraId="54E90B30" w14:textId="77777777" w:rsidR="00F427A3" w:rsidRDefault="00F427A3">
            <w:pPr>
              <w:rPr>
                <w:rFonts w:ascii="Times New Roman" w:hAnsi="Times New Roman"/>
                <w:sz w:val="20"/>
                <w:szCs w:val="20"/>
              </w:rPr>
            </w:pPr>
          </w:p>
        </w:tc>
      </w:tr>
      <w:tr w:rsidR="00F427A3" w14:paraId="54E90B3A" w14:textId="77777777">
        <w:tc>
          <w:tcPr>
            <w:tcW w:w="3449" w:type="pct"/>
            <w:shd w:val="clear" w:color="auto" w:fill="auto"/>
            <w:vAlign w:val="center"/>
          </w:tcPr>
          <w:p w14:paraId="54E90B32" w14:textId="77777777" w:rsidR="00F427A3" w:rsidRDefault="00F427A3">
            <w:pPr>
              <w:rPr>
                <w:rFonts w:ascii="Times New Roman" w:hAnsi="Times New Roman"/>
                <w:sz w:val="20"/>
                <w:szCs w:val="20"/>
              </w:rPr>
            </w:pPr>
          </w:p>
        </w:tc>
        <w:tc>
          <w:tcPr>
            <w:tcW w:w="50" w:type="pct"/>
            <w:shd w:val="clear" w:color="auto" w:fill="auto"/>
            <w:vAlign w:val="center"/>
          </w:tcPr>
          <w:p w14:paraId="54E90B33" w14:textId="77777777" w:rsidR="00F427A3" w:rsidRDefault="00F427A3">
            <w:pPr>
              <w:rPr>
                <w:rFonts w:ascii="Times New Roman" w:hAnsi="Times New Roman"/>
                <w:sz w:val="20"/>
                <w:szCs w:val="20"/>
              </w:rPr>
            </w:pPr>
          </w:p>
        </w:tc>
        <w:tc>
          <w:tcPr>
            <w:tcW w:w="650" w:type="pct"/>
            <w:shd w:val="clear" w:color="auto" w:fill="auto"/>
            <w:vAlign w:val="center"/>
          </w:tcPr>
          <w:p w14:paraId="54E90B34" w14:textId="77777777" w:rsidR="00F427A3" w:rsidRDefault="00F427A3">
            <w:pPr>
              <w:rPr>
                <w:rFonts w:ascii="Times New Roman" w:hAnsi="Times New Roman"/>
                <w:sz w:val="20"/>
                <w:szCs w:val="20"/>
              </w:rPr>
            </w:pPr>
          </w:p>
        </w:tc>
        <w:tc>
          <w:tcPr>
            <w:tcW w:w="50" w:type="pct"/>
            <w:shd w:val="clear" w:color="auto" w:fill="auto"/>
            <w:vAlign w:val="center"/>
          </w:tcPr>
          <w:p w14:paraId="54E90B35" w14:textId="77777777" w:rsidR="00F427A3" w:rsidRDefault="00F427A3">
            <w:pPr>
              <w:rPr>
                <w:rFonts w:ascii="Times New Roman" w:hAnsi="Times New Roman"/>
                <w:sz w:val="20"/>
                <w:szCs w:val="20"/>
              </w:rPr>
            </w:pPr>
          </w:p>
        </w:tc>
        <w:tc>
          <w:tcPr>
            <w:tcW w:w="50" w:type="pct"/>
            <w:shd w:val="clear" w:color="auto" w:fill="auto"/>
            <w:vAlign w:val="center"/>
          </w:tcPr>
          <w:p w14:paraId="54E90B36" w14:textId="77777777" w:rsidR="00F427A3" w:rsidRDefault="00F427A3">
            <w:pPr>
              <w:rPr>
                <w:rFonts w:ascii="Times New Roman" w:hAnsi="Times New Roman"/>
                <w:sz w:val="20"/>
                <w:szCs w:val="20"/>
              </w:rPr>
            </w:pPr>
          </w:p>
        </w:tc>
        <w:tc>
          <w:tcPr>
            <w:tcW w:w="50" w:type="pct"/>
            <w:shd w:val="clear" w:color="auto" w:fill="auto"/>
            <w:vAlign w:val="center"/>
          </w:tcPr>
          <w:p w14:paraId="54E90B37" w14:textId="77777777" w:rsidR="00F427A3" w:rsidRDefault="00F427A3">
            <w:pPr>
              <w:rPr>
                <w:rFonts w:ascii="Times New Roman" w:hAnsi="Times New Roman"/>
                <w:sz w:val="20"/>
                <w:szCs w:val="20"/>
              </w:rPr>
            </w:pPr>
          </w:p>
        </w:tc>
        <w:tc>
          <w:tcPr>
            <w:tcW w:w="650" w:type="pct"/>
            <w:shd w:val="clear" w:color="auto" w:fill="auto"/>
            <w:vAlign w:val="center"/>
          </w:tcPr>
          <w:p w14:paraId="54E90B38" w14:textId="77777777" w:rsidR="00F427A3" w:rsidRDefault="00F427A3">
            <w:pPr>
              <w:rPr>
                <w:rFonts w:ascii="Times New Roman" w:hAnsi="Times New Roman"/>
                <w:sz w:val="20"/>
                <w:szCs w:val="20"/>
              </w:rPr>
            </w:pPr>
          </w:p>
        </w:tc>
        <w:tc>
          <w:tcPr>
            <w:tcW w:w="50" w:type="pct"/>
            <w:shd w:val="clear" w:color="auto" w:fill="auto"/>
            <w:vAlign w:val="center"/>
          </w:tcPr>
          <w:p w14:paraId="54E90B39" w14:textId="77777777" w:rsidR="00F427A3" w:rsidRDefault="00F427A3">
            <w:pPr>
              <w:rPr>
                <w:rFonts w:ascii="Times New Roman" w:hAnsi="Times New Roman"/>
                <w:sz w:val="20"/>
                <w:szCs w:val="20"/>
              </w:rPr>
            </w:pPr>
          </w:p>
        </w:tc>
      </w:tr>
      <w:tr w:rsidR="00F427A3" w14:paraId="54E90B3D" w14:textId="77777777">
        <w:tc>
          <w:tcPr>
            <w:tcW w:w="0" w:type="auto"/>
            <w:shd w:val="clear" w:color="auto" w:fill="auto"/>
            <w:tcMar>
              <w:top w:w="40" w:type="dxa"/>
              <w:left w:w="40" w:type="dxa"/>
              <w:bottom w:w="40" w:type="dxa"/>
              <w:right w:w="40" w:type="dxa"/>
            </w:tcMar>
            <w:vAlign w:val="bottom"/>
          </w:tcPr>
          <w:p w14:paraId="54E90B3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center"/>
          </w:tcPr>
          <w:p w14:paraId="54E90B3C" w14:textId="77777777" w:rsidR="00F427A3" w:rsidRDefault="0044221F">
            <w:pPr>
              <w:jc w:val="center"/>
              <w:textAlignment w:val="center"/>
              <w:rPr>
                <w:rFonts w:ascii="Times New Roman" w:hAnsi="Times New Roman"/>
                <w:sz w:val="16"/>
                <w:szCs w:val="16"/>
              </w:rPr>
            </w:pPr>
            <w:r>
              <w:rPr>
                <w:rFonts w:ascii="Times New Roman" w:eastAsia="宋体" w:hAnsi="Times New Roman"/>
                <w:b/>
                <w:bCs/>
                <w:sz w:val="16"/>
                <w:szCs w:val="16"/>
              </w:rPr>
              <w:t>Nine Months Ended September 30,</w:t>
            </w:r>
          </w:p>
        </w:tc>
      </w:tr>
      <w:tr w:rsidR="00F427A3" w14:paraId="54E90B42" w14:textId="77777777">
        <w:tc>
          <w:tcPr>
            <w:tcW w:w="0" w:type="auto"/>
            <w:shd w:val="clear" w:color="auto" w:fill="auto"/>
            <w:tcMar>
              <w:top w:w="40" w:type="dxa"/>
              <w:left w:w="40" w:type="dxa"/>
              <w:bottom w:w="40" w:type="dxa"/>
              <w:right w:w="40" w:type="dxa"/>
            </w:tcMar>
            <w:vAlign w:val="bottom"/>
          </w:tcPr>
          <w:p w14:paraId="54E90B3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54E90B3F" w14:textId="77777777" w:rsidR="00F427A3" w:rsidRDefault="0044221F">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54E90B4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54E90B41" w14:textId="77777777" w:rsidR="00F427A3" w:rsidRDefault="0044221F">
            <w:pPr>
              <w:jc w:val="center"/>
              <w:textAlignment w:val="center"/>
              <w:rPr>
                <w:rFonts w:ascii="Times New Roman" w:hAnsi="Times New Roman"/>
                <w:sz w:val="16"/>
                <w:szCs w:val="16"/>
              </w:rPr>
            </w:pPr>
            <w:r>
              <w:rPr>
                <w:rFonts w:ascii="Times New Roman" w:eastAsia="宋体" w:hAnsi="Times New Roman"/>
                <w:b/>
                <w:bCs/>
                <w:sz w:val="16"/>
                <w:szCs w:val="16"/>
              </w:rPr>
              <w:t>2019</w:t>
            </w:r>
          </w:p>
        </w:tc>
      </w:tr>
      <w:tr w:rsidR="00F427A3" w14:paraId="54E90B47" w14:textId="77777777">
        <w:tc>
          <w:tcPr>
            <w:tcW w:w="0" w:type="auto"/>
            <w:shd w:val="clear" w:color="auto" w:fill="CCEEFF"/>
            <w:tcMar>
              <w:top w:w="40" w:type="dxa"/>
              <w:left w:w="40" w:type="dxa"/>
              <w:bottom w:w="40" w:type="dxa"/>
              <w:right w:w="40" w:type="dxa"/>
            </w:tcMar>
          </w:tcPr>
          <w:p w14:paraId="54E90B43"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Cash paid for amounts included in the measurement of lease liabilities:</w:t>
            </w:r>
          </w:p>
        </w:tc>
        <w:tc>
          <w:tcPr>
            <w:tcW w:w="0" w:type="auto"/>
            <w:gridSpan w:val="3"/>
            <w:shd w:val="clear" w:color="auto" w:fill="CCEEFF"/>
            <w:tcMar>
              <w:top w:w="40" w:type="dxa"/>
              <w:left w:w="40" w:type="dxa"/>
              <w:bottom w:w="40" w:type="dxa"/>
              <w:right w:w="40" w:type="dxa"/>
            </w:tcMar>
            <w:vAlign w:val="bottom"/>
          </w:tcPr>
          <w:p w14:paraId="54E90B4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B4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B4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B50" w14:textId="77777777">
        <w:tc>
          <w:tcPr>
            <w:tcW w:w="0" w:type="auto"/>
            <w:shd w:val="clear" w:color="auto" w:fill="auto"/>
            <w:tcMar>
              <w:top w:w="40" w:type="dxa"/>
              <w:left w:w="240" w:type="dxa"/>
              <w:bottom w:w="40" w:type="dxa"/>
              <w:right w:w="40" w:type="dxa"/>
            </w:tcMar>
          </w:tcPr>
          <w:p w14:paraId="54E90B48"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Operating cash flows from operating leases</w:t>
            </w:r>
          </w:p>
        </w:tc>
        <w:tc>
          <w:tcPr>
            <w:tcW w:w="0" w:type="auto"/>
            <w:shd w:val="clear" w:color="auto" w:fill="auto"/>
            <w:tcMar>
              <w:top w:w="40" w:type="dxa"/>
              <w:left w:w="40" w:type="dxa"/>
              <w:bottom w:w="40" w:type="dxa"/>
            </w:tcMar>
          </w:tcPr>
          <w:p w14:paraId="54E90B49"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54E90B4A"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878</w:t>
            </w:r>
          </w:p>
        </w:tc>
        <w:tc>
          <w:tcPr>
            <w:tcW w:w="0" w:type="auto"/>
            <w:shd w:val="clear" w:color="auto" w:fill="auto"/>
            <w:vAlign w:val="bottom"/>
          </w:tcPr>
          <w:p w14:paraId="54E90B4B"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B4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54E90B4D"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54E90B4E"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633</w:t>
            </w:r>
          </w:p>
        </w:tc>
        <w:tc>
          <w:tcPr>
            <w:tcW w:w="0" w:type="auto"/>
            <w:shd w:val="clear" w:color="auto" w:fill="auto"/>
            <w:vAlign w:val="bottom"/>
          </w:tcPr>
          <w:p w14:paraId="54E90B4F" w14:textId="77777777" w:rsidR="00F427A3" w:rsidRDefault="00F427A3">
            <w:pPr>
              <w:textAlignment w:val="bottom"/>
              <w:rPr>
                <w:rFonts w:ascii="Times New Roman" w:hAnsi="Times New Roman"/>
                <w:sz w:val="20"/>
                <w:szCs w:val="20"/>
              </w:rPr>
            </w:pPr>
          </w:p>
        </w:tc>
      </w:tr>
      <w:tr w:rsidR="00F427A3" w14:paraId="54E90B59" w14:textId="77777777">
        <w:tc>
          <w:tcPr>
            <w:tcW w:w="0" w:type="auto"/>
            <w:shd w:val="clear" w:color="auto" w:fill="CCEEFF"/>
            <w:tcMar>
              <w:top w:w="40" w:type="dxa"/>
              <w:left w:w="240" w:type="dxa"/>
              <w:bottom w:w="40" w:type="dxa"/>
              <w:right w:w="40" w:type="dxa"/>
            </w:tcMar>
          </w:tcPr>
          <w:p w14:paraId="54E90B51" w14:textId="77777777" w:rsidR="00F427A3" w:rsidRDefault="0044221F">
            <w:pPr>
              <w:textAlignment w:val="top"/>
              <w:rPr>
                <w:rFonts w:ascii="Times New Roman" w:hAnsi="Times New Roman"/>
                <w:sz w:val="20"/>
                <w:szCs w:val="20"/>
              </w:rPr>
            </w:pPr>
            <w:r>
              <w:rPr>
                <w:rFonts w:ascii="Times New Roman" w:eastAsia="宋体" w:hAnsi="Times New Roman"/>
                <w:sz w:val="20"/>
                <w:szCs w:val="20"/>
                <w:shd w:val="clear" w:color="auto" w:fill="CCEEFF"/>
              </w:rPr>
              <w:t>     Operating cash flows from finance leases</w:t>
            </w:r>
          </w:p>
        </w:tc>
        <w:tc>
          <w:tcPr>
            <w:tcW w:w="0" w:type="auto"/>
            <w:shd w:val="clear" w:color="auto" w:fill="CCEEFF"/>
            <w:tcMar>
              <w:top w:w="40" w:type="dxa"/>
              <w:left w:w="40" w:type="dxa"/>
              <w:bottom w:w="40" w:type="dxa"/>
            </w:tcMar>
          </w:tcPr>
          <w:p w14:paraId="54E90B52"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54E90B53"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11</w:t>
            </w:r>
          </w:p>
        </w:tc>
        <w:tc>
          <w:tcPr>
            <w:tcW w:w="0" w:type="auto"/>
            <w:shd w:val="clear" w:color="auto" w:fill="CCEEFF"/>
            <w:vAlign w:val="bottom"/>
          </w:tcPr>
          <w:p w14:paraId="54E90B54"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B5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54E90B56"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54E90B57"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8</w:t>
            </w:r>
          </w:p>
        </w:tc>
        <w:tc>
          <w:tcPr>
            <w:tcW w:w="0" w:type="auto"/>
            <w:shd w:val="clear" w:color="auto" w:fill="CCEEFF"/>
            <w:vAlign w:val="bottom"/>
          </w:tcPr>
          <w:p w14:paraId="54E90B58" w14:textId="77777777" w:rsidR="00F427A3" w:rsidRDefault="00F427A3">
            <w:pPr>
              <w:textAlignment w:val="bottom"/>
              <w:rPr>
                <w:rFonts w:ascii="Times New Roman" w:hAnsi="Times New Roman"/>
                <w:sz w:val="20"/>
                <w:szCs w:val="20"/>
              </w:rPr>
            </w:pPr>
          </w:p>
        </w:tc>
      </w:tr>
      <w:tr w:rsidR="00F427A3" w14:paraId="54E90B62" w14:textId="77777777">
        <w:tc>
          <w:tcPr>
            <w:tcW w:w="0" w:type="auto"/>
            <w:shd w:val="clear" w:color="auto" w:fill="auto"/>
            <w:tcMar>
              <w:top w:w="40" w:type="dxa"/>
              <w:left w:w="240" w:type="dxa"/>
              <w:bottom w:w="40" w:type="dxa"/>
              <w:right w:w="40" w:type="dxa"/>
            </w:tcMar>
          </w:tcPr>
          <w:p w14:paraId="54E90B5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Financing cash flows from finance leases</w:t>
            </w:r>
          </w:p>
        </w:tc>
        <w:tc>
          <w:tcPr>
            <w:tcW w:w="0" w:type="auto"/>
            <w:shd w:val="clear" w:color="auto" w:fill="auto"/>
            <w:tcMar>
              <w:top w:w="40" w:type="dxa"/>
              <w:left w:w="40" w:type="dxa"/>
              <w:bottom w:w="40" w:type="dxa"/>
            </w:tcMar>
          </w:tcPr>
          <w:p w14:paraId="54E90B5B"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54E90B5C"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398</w:t>
            </w:r>
          </w:p>
        </w:tc>
        <w:tc>
          <w:tcPr>
            <w:tcW w:w="0" w:type="auto"/>
            <w:shd w:val="clear" w:color="auto" w:fill="auto"/>
            <w:vAlign w:val="bottom"/>
          </w:tcPr>
          <w:p w14:paraId="54E90B5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B5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54E90B5F"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54E90B60"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411</w:t>
            </w:r>
          </w:p>
        </w:tc>
        <w:tc>
          <w:tcPr>
            <w:tcW w:w="0" w:type="auto"/>
            <w:shd w:val="clear" w:color="auto" w:fill="auto"/>
            <w:vAlign w:val="bottom"/>
          </w:tcPr>
          <w:p w14:paraId="54E90B61" w14:textId="77777777" w:rsidR="00F427A3" w:rsidRDefault="00F427A3">
            <w:pPr>
              <w:textAlignment w:val="bottom"/>
              <w:rPr>
                <w:rFonts w:ascii="Times New Roman" w:hAnsi="Times New Roman"/>
                <w:sz w:val="20"/>
                <w:szCs w:val="20"/>
              </w:rPr>
            </w:pPr>
          </w:p>
        </w:tc>
      </w:tr>
      <w:tr w:rsidR="00F427A3" w14:paraId="54E90B67" w14:textId="77777777">
        <w:tc>
          <w:tcPr>
            <w:tcW w:w="0" w:type="auto"/>
            <w:shd w:val="clear" w:color="auto" w:fill="CCEEFF"/>
            <w:tcMar>
              <w:top w:w="40" w:type="dxa"/>
              <w:left w:w="40" w:type="dxa"/>
              <w:bottom w:w="40" w:type="dxa"/>
              <w:right w:w="40" w:type="dxa"/>
            </w:tcMar>
          </w:tcPr>
          <w:p w14:paraId="54E90B63" w14:textId="77777777" w:rsidR="00F427A3" w:rsidRDefault="0044221F">
            <w:pPr>
              <w:textAlignment w:val="top"/>
              <w:rPr>
                <w:rFonts w:ascii="Times New Roman" w:hAnsi="Times New Roman"/>
                <w:sz w:val="20"/>
                <w:szCs w:val="20"/>
              </w:rPr>
            </w:pPr>
            <w:r>
              <w:rPr>
                <w:rFonts w:ascii="Times New Roman" w:eastAsia="宋体" w:hAnsi="Times New Roman"/>
                <w:sz w:val="20"/>
                <w:szCs w:val="20"/>
                <w:shd w:val="clear" w:color="auto" w:fill="CCEEFF"/>
              </w:rPr>
              <w:t>Lease liabilities arising from obtaining right-of-use assets:</w:t>
            </w:r>
          </w:p>
        </w:tc>
        <w:tc>
          <w:tcPr>
            <w:tcW w:w="0" w:type="auto"/>
            <w:gridSpan w:val="3"/>
            <w:shd w:val="clear" w:color="auto" w:fill="CCEEFF"/>
            <w:tcMar>
              <w:top w:w="40" w:type="dxa"/>
              <w:left w:w="40" w:type="dxa"/>
              <w:bottom w:w="40" w:type="dxa"/>
              <w:right w:w="40" w:type="dxa"/>
            </w:tcMar>
            <w:vAlign w:val="bottom"/>
          </w:tcPr>
          <w:p w14:paraId="54E90B6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0B6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4E90B6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B70" w14:textId="77777777">
        <w:tc>
          <w:tcPr>
            <w:tcW w:w="0" w:type="auto"/>
            <w:shd w:val="clear" w:color="auto" w:fill="auto"/>
            <w:tcMar>
              <w:top w:w="40" w:type="dxa"/>
              <w:left w:w="240" w:type="dxa"/>
              <w:bottom w:w="40" w:type="dxa"/>
              <w:right w:w="40" w:type="dxa"/>
            </w:tcMar>
          </w:tcPr>
          <w:p w14:paraId="54E90B68"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Operating leases</w:t>
            </w:r>
          </w:p>
        </w:tc>
        <w:tc>
          <w:tcPr>
            <w:tcW w:w="0" w:type="auto"/>
            <w:shd w:val="clear" w:color="auto" w:fill="auto"/>
            <w:tcMar>
              <w:top w:w="40" w:type="dxa"/>
              <w:left w:w="40" w:type="dxa"/>
              <w:bottom w:w="40" w:type="dxa"/>
            </w:tcMar>
          </w:tcPr>
          <w:p w14:paraId="54E90B69"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54E90B6A"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954</w:t>
            </w:r>
          </w:p>
        </w:tc>
        <w:tc>
          <w:tcPr>
            <w:tcW w:w="0" w:type="auto"/>
            <w:shd w:val="clear" w:color="auto" w:fill="auto"/>
            <w:vAlign w:val="bottom"/>
          </w:tcPr>
          <w:p w14:paraId="54E90B6B"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B6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54E90B6D"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54E90B6E"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3,756</w:t>
            </w:r>
          </w:p>
        </w:tc>
        <w:tc>
          <w:tcPr>
            <w:tcW w:w="0" w:type="auto"/>
            <w:shd w:val="clear" w:color="auto" w:fill="auto"/>
            <w:vAlign w:val="bottom"/>
          </w:tcPr>
          <w:p w14:paraId="54E90B6F" w14:textId="77777777" w:rsidR="00F427A3" w:rsidRDefault="00F427A3">
            <w:pPr>
              <w:textAlignment w:val="bottom"/>
              <w:rPr>
                <w:rFonts w:ascii="Times New Roman" w:hAnsi="Times New Roman"/>
                <w:sz w:val="20"/>
                <w:szCs w:val="20"/>
              </w:rPr>
            </w:pPr>
          </w:p>
        </w:tc>
      </w:tr>
      <w:tr w:rsidR="00F427A3" w14:paraId="54E90B79" w14:textId="77777777">
        <w:tc>
          <w:tcPr>
            <w:tcW w:w="0" w:type="auto"/>
            <w:shd w:val="clear" w:color="auto" w:fill="CCEEFF"/>
            <w:tcMar>
              <w:top w:w="40" w:type="dxa"/>
              <w:left w:w="240" w:type="dxa"/>
              <w:bottom w:w="40" w:type="dxa"/>
              <w:right w:w="40" w:type="dxa"/>
            </w:tcMar>
          </w:tcPr>
          <w:p w14:paraId="54E90B71" w14:textId="77777777" w:rsidR="00F427A3" w:rsidRDefault="0044221F">
            <w:pPr>
              <w:textAlignment w:val="top"/>
              <w:rPr>
                <w:rFonts w:ascii="Times New Roman" w:hAnsi="Times New Roman"/>
                <w:sz w:val="20"/>
                <w:szCs w:val="20"/>
              </w:rPr>
            </w:pPr>
            <w:r>
              <w:rPr>
                <w:rFonts w:ascii="Times New Roman" w:eastAsia="宋体" w:hAnsi="Times New Roman"/>
                <w:sz w:val="20"/>
                <w:szCs w:val="20"/>
                <w:shd w:val="clear" w:color="auto" w:fill="CCEEFF"/>
              </w:rPr>
              <w:t>     Finance leases</w:t>
            </w:r>
          </w:p>
        </w:tc>
        <w:tc>
          <w:tcPr>
            <w:tcW w:w="0" w:type="auto"/>
            <w:shd w:val="clear" w:color="auto" w:fill="CCEEFF"/>
            <w:tcMar>
              <w:top w:w="40" w:type="dxa"/>
              <w:left w:w="40" w:type="dxa"/>
              <w:bottom w:w="40" w:type="dxa"/>
            </w:tcMar>
          </w:tcPr>
          <w:p w14:paraId="54E90B72"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54E90B73"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101</w:t>
            </w:r>
          </w:p>
        </w:tc>
        <w:tc>
          <w:tcPr>
            <w:tcW w:w="0" w:type="auto"/>
            <w:shd w:val="clear" w:color="auto" w:fill="CCEEFF"/>
            <w:vAlign w:val="bottom"/>
          </w:tcPr>
          <w:p w14:paraId="54E90B74"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B7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54E90B76"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54E90B77"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128</w:t>
            </w:r>
          </w:p>
        </w:tc>
        <w:tc>
          <w:tcPr>
            <w:tcW w:w="0" w:type="auto"/>
            <w:shd w:val="clear" w:color="auto" w:fill="CCEEFF"/>
            <w:vAlign w:val="bottom"/>
          </w:tcPr>
          <w:p w14:paraId="54E90B78" w14:textId="77777777" w:rsidR="00F427A3" w:rsidRDefault="00F427A3">
            <w:pPr>
              <w:textAlignment w:val="bottom"/>
              <w:rPr>
                <w:rFonts w:ascii="Times New Roman" w:hAnsi="Times New Roman"/>
                <w:sz w:val="20"/>
                <w:szCs w:val="20"/>
              </w:rPr>
            </w:pPr>
          </w:p>
        </w:tc>
      </w:tr>
    </w:tbl>
    <w:p w14:paraId="54E90B7A" w14:textId="77777777" w:rsidR="00F427A3" w:rsidRDefault="00F427A3">
      <w:pPr>
        <w:spacing w:line="288" w:lineRule="auto"/>
        <w:rPr>
          <w:rFonts w:ascii="Times New Roman" w:hAnsi="Times New Roman"/>
          <w:sz w:val="20"/>
          <w:szCs w:val="20"/>
        </w:rPr>
      </w:pPr>
    </w:p>
    <w:p w14:paraId="54E90B7B" w14:textId="77777777" w:rsidR="00F427A3" w:rsidRDefault="00F427A3">
      <w:pPr>
        <w:spacing w:line="288" w:lineRule="auto"/>
        <w:rPr>
          <w:rFonts w:ascii="Times New Roman" w:hAnsi="Times New Roman"/>
          <w:sz w:val="20"/>
          <w:szCs w:val="20"/>
        </w:rPr>
      </w:pPr>
    </w:p>
    <w:p w14:paraId="54E90B7C" w14:textId="77777777" w:rsidR="00F427A3" w:rsidRDefault="00F427A3">
      <w:pPr>
        <w:rPr>
          <w:rFonts w:ascii="Times New Roman" w:hAnsi="Times New Roman"/>
          <w:sz w:val="20"/>
          <w:szCs w:val="20"/>
        </w:rPr>
      </w:pPr>
    </w:p>
    <w:p w14:paraId="54E90B7D"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22</w:t>
      </w:r>
    </w:p>
    <w:p w14:paraId="54E90B7E" w14:textId="77777777" w:rsidR="00F427A3" w:rsidRDefault="0044221F">
      <w:r>
        <w:rPr>
          <w:rFonts w:ascii="Times New Roman" w:hAnsi="Times New Roman"/>
          <w:sz w:val="20"/>
          <w:szCs w:val="20"/>
        </w:rPr>
        <w:pict w14:anchorId="54E91C36">
          <v:rect id="_x0000_i1046" style="width:415.3pt;height:1.5pt" o:hralign="center" o:hrstd="t" o:hr="t" fillcolor="#a0a0a0" stroked="f"/>
        </w:pict>
      </w:r>
    </w:p>
    <w:p w14:paraId="54E90B7F" w14:textId="77777777" w:rsidR="00F427A3" w:rsidRDefault="0044221F">
      <w:pPr>
        <w:spacing w:line="288" w:lineRule="auto"/>
        <w:rPr>
          <w:rFonts w:ascii="Times New Roman" w:hAnsi="Times New Roman"/>
          <w:sz w:val="20"/>
          <w:szCs w:val="20"/>
        </w:rPr>
      </w:pPr>
      <w:hyperlink r:id="rId63" w:anchor="s348EA962CF6D59B599D9921AFA89C381" w:history="1">
        <w:r>
          <w:rPr>
            <w:rStyle w:val="a5"/>
            <w:rFonts w:ascii="Times New Roman" w:eastAsia="宋体" w:hAnsi="Times New Roman"/>
            <w:sz w:val="20"/>
            <w:szCs w:val="20"/>
          </w:rPr>
          <w:t>Table of Contents</w:t>
        </w:r>
      </w:hyperlink>
    </w:p>
    <w:p w14:paraId="54E90B80" w14:textId="77777777" w:rsidR="00F427A3" w:rsidRDefault="00F427A3">
      <w:pPr>
        <w:rPr>
          <w:rFonts w:ascii="Times New Roman" w:hAnsi="Times New Roman"/>
          <w:sz w:val="20"/>
          <w:szCs w:val="20"/>
        </w:rPr>
      </w:pPr>
    </w:p>
    <w:p w14:paraId="54E90B81"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Note 9. Goodwill and Intangible Assets</w:t>
      </w:r>
    </w:p>
    <w:p w14:paraId="54E90B82"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During the nine months ended September 30, 2020, we completed several business acquisitions that were not material to our condensed consolidated financial statements, either individually or in the aggregate. Accordingly, pro forma historical results of ope</w:t>
      </w:r>
      <w:r>
        <w:rPr>
          <w:rFonts w:ascii="Times New Roman" w:eastAsia="宋体" w:hAnsi="Times New Roman"/>
          <w:sz w:val="20"/>
          <w:szCs w:val="20"/>
        </w:rPr>
        <w:t>rations related to these business acquisitions during the nine months ended September 30, 2020 have not been presented. We have included the financial results of these business acquisitions in our condensed consolidated financial statements from their resp</w:t>
      </w:r>
      <w:r>
        <w:rPr>
          <w:rFonts w:ascii="Times New Roman" w:eastAsia="宋体" w:hAnsi="Times New Roman"/>
          <w:sz w:val="20"/>
          <w:szCs w:val="20"/>
        </w:rPr>
        <w:t xml:space="preserve">ective dates of acquisition. </w:t>
      </w:r>
    </w:p>
    <w:p w14:paraId="54E90B83"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changes in the carrying amount of goodwill for the nine months ended September 30, 2020 are as follows (in millions):</w:t>
      </w: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7041"/>
        <w:gridCol w:w="140"/>
        <w:gridCol w:w="1061"/>
        <w:gridCol w:w="64"/>
      </w:tblGrid>
      <w:tr w:rsidR="00F427A3" w14:paraId="54E90B85" w14:textId="77777777">
        <w:tc>
          <w:tcPr>
            <w:tcW w:w="0" w:type="auto"/>
            <w:gridSpan w:val="4"/>
            <w:shd w:val="clear" w:color="auto" w:fill="auto"/>
            <w:vAlign w:val="center"/>
          </w:tcPr>
          <w:p w14:paraId="54E90B84" w14:textId="77777777" w:rsidR="00F427A3" w:rsidRDefault="00F427A3">
            <w:pPr>
              <w:rPr>
                <w:rFonts w:ascii="Times New Roman" w:hAnsi="Times New Roman"/>
                <w:sz w:val="20"/>
                <w:szCs w:val="20"/>
              </w:rPr>
            </w:pPr>
          </w:p>
        </w:tc>
      </w:tr>
      <w:tr w:rsidR="00F427A3" w14:paraId="54E90B8A" w14:textId="77777777">
        <w:tc>
          <w:tcPr>
            <w:tcW w:w="4250" w:type="pct"/>
            <w:shd w:val="clear" w:color="auto" w:fill="auto"/>
            <w:vAlign w:val="center"/>
          </w:tcPr>
          <w:p w14:paraId="54E90B86" w14:textId="77777777" w:rsidR="00F427A3" w:rsidRDefault="00F427A3">
            <w:pPr>
              <w:rPr>
                <w:rFonts w:ascii="Times New Roman" w:hAnsi="Times New Roman"/>
                <w:sz w:val="20"/>
                <w:szCs w:val="20"/>
              </w:rPr>
            </w:pPr>
          </w:p>
        </w:tc>
        <w:tc>
          <w:tcPr>
            <w:tcW w:w="50" w:type="pct"/>
            <w:shd w:val="clear" w:color="auto" w:fill="auto"/>
            <w:vAlign w:val="center"/>
          </w:tcPr>
          <w:p w14:paraId="54E90B87" w14:textId="77777777" w:rsidR="00F427A3" w:rsidRDefault="00F427A3">
            <w:pPr>
              <w:rPr>
                <w:rFonts w:ascii="Times New Roman" w:hAnsi="Times New Roman"/>
                <w:sz w:val="20"/>
                <w:szCs w:val="20"/>
              </w:rPr>
            </w:pPr>
          </w:p>
        </w:tc>
        <w:tc>
          <w:tcPr>
            <w:tcW w:w="650" w:type="pct"/>
            <w:shd w:val="clear" w:color="auto" w:fill="auto"/>
            <w:vAlign w:val="center"/>
          </w:tcPr>
          <w:p w14:paraId="54E90B88" w14:textId="77777777" w:rsidR="00F427A3" w:rsidRDefault="00F427A3">
            <w:pPr>
              <w:rPr>
                <w:rFonts w:ascii="Times New Roman" w:hAnsi="Times New Roman"/>
                <w:sz w:val="20"/>
                <w:szCs w:val="20"/>
              </w:rPr>
            </w:pPr>
          </w:p>
        </w:tc>
        <w:tc>
          <w:tcPr>
            <w:tcW w:w="50" w:type="pct"/>
            <w:shd w:val="clear" w:color="auto" w:fill="auto"/>
            <w:vAlign w:val="center"/>
          </w:tcPr>
          <w:p w14:paraId="54E90B89" w14:textId="77777777" w:rsidR="00F427A3" w:rsidRDefault="00F427A3">
            <w:pPr>
              <w:rPr>
                <w:rFonts w:ascii="Times New Roman" w:hAnsi="Times New Roman"/>
                <w:sz w:val="20"/>
                <w:szCs w:val="20"/>
              </w:rPr>
            </w:pPr>
          </w:p>
        </w:tc>
      </w:tr>
      <w:tr w:rsidR="00F427A3" w14:paraId="54E90B8F" w14:textId="77777777">
        <w:tc>
          <w:tcPr>
            <w:tcW w:w="0" w:type="auto"/>
            <w:shd w:val="clear" w:color="auto" w:fill="CCEEFF"/>
            <w:tcMar>
              <w:top w:w="40" w:type="dxa"/>
              <w:left w:w="40" w:type="dxa"/>
              <w:bottom w:w="40" w:type="dxa"/>
              <w:right w:w="40" w:type="dxa"/>
            </w:tcMar>
            <w:vAlign w:val="bottom"/>
          </w:tcPr>
          <w:p w14:paraId="54E90B8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Balance as of December 31, 2019</w:t>
            </w:r>
          </w:p>
        </w:tc>
        <w:tc>
          <w:tcPr>
            <w:tcW w:w="0" w:type="auto"/>
            <w:shd w:val="clear" w:color="auto" w:fill="CCEEFF"/>
            <w:tcMar>
              <w:top w:w="40" w:type="dxa"/>
              <w:left w:w="40" w:type="dxa"/>
              <w:bottom w:w="40" w:type="dxa"/>
            </w:tcMar>
            <w:vAlign w:val="bottom"/>
          </w:tcPr>
          <w:p w14:paraId="54E90B8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B8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18,715</w:t>
            </w:r>
          </w:p>
        </w:tc>
        <w:tc>
          <w:tcPr>
            <w:tcW w:w="0" w:type="auto"/>
            <w:shd w:val="clear" w:color="auto" w:fill="CCEEFF"/>
            <w:vAlign w:val="bottom"/>
          </w:tcPr>
          <w:p w14:paraId="54E90B8E" w14:textId="77777777" w:rsidR="00F427A3" w:rsidRDefault="00F427A3">
            <w:pPr>
              <w:textAlignment w:val="bottom"/>
              <w:rPr>
                <w:rFonts w:ascii="Times New Roman" w:hAnsi="Times New Roman"/>
                <w:sz w:val="20"/>
                <w:szCs w:val="20"/>
              </w:rPr>
            </w:pPr>
          </w:p>
        </w:tc>
      </w:tr>
      <w:tr w:rsidR="00F427A3" w14:paraId="54E90B93" w14:textId="77777777">
        <w:tc>
          <w:tcPr>
            <w:tcW w:w="0" w:type="auto"/>
            <w:shd w:val="clear" w:color="auto" w:fill="auto"/>
            <w:tcMar>
              <w:top w:w="40" w:type="dxa"/>
              <w:left w:w="40" w:type="dxa"/>
              <w:bottom w:w="40" w:type="dxa"/>
              <w:right w:w="40" w:type="dxa"/>
            </w:tcMar>
            <w:vAlign w:val="bottom"/>
          </w:tcPr>
          <w:p w14:paraId="54E90B9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Goodwill acquired</w:t>
            </w:r>
          </w:p>
        </w:tc>
        <w:tc>
          <w:tcPr>
            <w:tcW w:w="0" w:type="auto"/>
            <w:gridSpan w:val="2"/>
            <w:shd w:val="clear" w:color="auto" w:fill="auto"/>
            <w:tcMar>
              <w:top w:w="40" w:type="dxa"/>
              <w:left w:w="40" w:type="dxa"/>
              <w:bottom w:w="40" w:type="dxa"/>
            </w:tcMar>
            <w:vAlign w:val="bottom"/>
          </w:tcPr>
          <w:p w14:paraId="54E90B9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314</w:t>
            </w:r>
          </w:p>
        </w:tc>
        <w:tc>
          <w:tcPr>
            <w:tcW w:w="0" w:type="auto"/>
            <w:shd w:val="clear" w:color="auto" w:fill="auto"/>
            <w:vAlign w:val="bottom"/>
          </w:tcPr>
          <w:p w14:paraId="54E90B92" w14:textId="77777777" w:rsidR="00F427A3" w:rsidRDefault="00F427A3">
            <w:pPr>
              <w:textAlignment w:val="bottom"/>
              <w:rPr>
                <w:rFonts w:ascii="Times New Roman" w:hAnsi="Times New Roman"/>
                <w:sz w:val="20"/>
                <w:szCs w:val="20"/>
              </w:rPr>
            </w:pPr>
          </w:p>
        </w:tc>
      </w:tr>
      <w:tr w:rsidR="00F427A3" w14:paraId="54E90B97" w14:textId="77777777">
        <w:tc>
          <w:tcPr>
            <w:tcW w:w="0" w:type="auto"/>
            <w:shd w:val="clear" w:color="auto" w:fill="CCEEFF"/>
            <w:tcMar>
              <w:top w:w="40" w:type="dxa"/>
              <w:left w:w="40" w:type="dxa"/>
              <w:bottom w:w="40" w:type="dxa"/>
              <w:right w:w="40" w:type="dxa"/>
            </w:tcMar>
            <w:vAlign w:val="bottom"/>
          </w:tcPr>
          <w:p w14:paraId="54E90B9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xml:space="preserve">Effect of currency </w:t>
            </w:r>
            <w:r>
              <w:rPr>
                <w:rFonts w:ascii="Times New Roman" w:eastAsia="宋体" w:hAnsi="Times New Roman"/>
                <w:sz w:val="20"/>
                <w:szCs w:val="20"/>
              </w:rPr>
              <w:t>translation adjustment</w:t>
            </w:r>
          </w:p>
        </w:tc>
        <w:tc>
          <w:tcPr>
            <w:tcW w:w="0" w:type="auto"/>
            <w:gridSpan w:val="2"/>
            <w:shd w:val="clear" w:color="auto" w:fill="CCEEFF"/>
            <w:tcMar>
              <w:top w:w="40" w:type="dxa"/>
              <w:left w:w="40" w:type="dxa"/>
              <w:bottom w:w="40" w:type="dxa"/>
            </w:tcMar>
            <w:vAlign w:val="bottom"/>
          </w:tcPr>
          <w:p w14:paraId="54E90B9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54E90B96" w14:textId="77777777" w:rsidR="00F427A3" w:rsidRDefault="00F427A3">
            <w:pPr>
              <w:textAlignment w:val="bottom"/>
              <w:rPr>
                <w:rFonts w:ascii="Times New Roman" w:hAnsi="Times New Roman"/>
                <w:sz w:val="20"/>
                <w:szCs w:val="20"/>
              </w:rPr>
            </w:pPr>
          </w:p>
        </w:tc>
      </w:tr>
      <w:tr w:rsidR="00F427A3" w14:paraId="54E90B9C" w14:textId="77777777">
        <w:tc>
          <w:tcPr>
            <w:tcW w:w="0" w:type="auto"/>
            <w:shd w:val="clear" w:color="auto" w:fill="auto"/>
            <w:tcMar>
              <w:top w:w="40" w:type="dxa"/>
              <w:left w:w="40" w:type="dxa"/>
              <w:bottom w:w="40" w:type="dxa"/>
              <w:right w:w="40" w:type="dxa"/>
            </w:tcMar>
            <w:vAlign w:val="bottom"/>
          </w:tcPr>
          <w:p w14:paraId="54E90B9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Balance as of September 30, 2020</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B9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B9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19,031</w:t>
            </w:r>
          </w:p>
        </w:tc>
        <w:tc>
          <w:tcPr>
            <w:tcW w:w="0" w:type="auto"/>
            <w:tcBorders>
              <w:top w:val="single" w:sz="8" w:space="0" w:color="000000"/>
              <w:bottom w:val="double" w:sz="6" w:space="0" w:color="000000"/>
            </w:tcBorders>
            <w:shd w:val="clear" w:color="auto" w:fill="auto"/>
            <w:vAlign w:val="bottom"/>
          </w:tcPr>
          <w:p w14:paraId="54E90B9B" w14:textId="77777777" w:rsidR="00F427A3" w:rsidRDefault="00F427A3">
            <w:pPr>
              <w:textAlignment w:val="bottom"/>
              <w:rPr>
                <w:rFonts w:ascii="Times New Roman" w:hAnsi="Times New Roman"/>
                <w:sz w:val="20"/>
                <w:szCs w:val="20"/>
              </w:rPr>
            </w:pPr>
          </w:p>
        </w:tc>
      </w:tr>
    </w:tbl>
    <w:p w14:paraId="54E90B9D"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following table sets forth the major categories of the intangible assets and the weighted</w:t>
      </w:r>
      <w:r>
        <w:rPr>
          <w:rFonts w:ascii="Times New Roman" w:eastAsia="宋体" w:hAnsi="Times New Roman"/>
          <w:sz w:val="20"/>
          <w:szCs w:val="20"/>
        </w:rPr>
        <w:noBreakHyphen/>
        <w:t xml:space="preserve">average remaining useful lives for those assets that are not already fully </w:t>
      </w:r>
      <w:r>
        <w:rPr>
          <w:rFonts w:ascii="Times New Roman" w:eastAsia="宋体" w:hAnsi="Times New Roman"/>
          <w:sz w:val="20"/>
          <w:szCs w:val="20"/>
        </w:rPr>
        <w:t>amortized (in millions):</w:t>
      </w:r>
    </w:p>
    <w:tbl>
      <w:tblPr>
        <w:tblW w:w="5000" w:type="pct"/>
        <w:tblCellMar>
          <w:left w:w="0" w:type="dxa"/>
          <w:right w:w="0" w:type="dxa"/>
        </w:tblCellMar>
        <w:tblLook w:val="04A0" w:firstRow="1" w:lastRow="0" w:firstColumn="1" w:lastColumn="0" w:noHBand="0" w:noVBand="1"/>
      </w:tblPr>
      <w:tblGrid>
        <w:gridCol w:w="960"/>
        <w:gridCol w:w="1347"/>
        <w:gridCol w:w="130"/>
        <w:gridCol w:w="140"/>
        <w:gridCol w:w="563"/>
        <w:gridCol w:w="70"/>
        <w:gridCol w:w="129"/>
        <w:gridCol w:w="139"/>
        <w:gridCol w:w="821"/>
        <w:gridCol w:w="106"/>
        <w:gridCol w:w="129"/>
        <w:gridCol w:w="140"/>
        <w:gridCol w:w="563"/>
        <w:gridCol w:w="70"/>
        <w:gridCol w:w="129"/>
        <w:gridCol w:w="140"/>
        <w:gridCol w:w="563"/>
        <w:gridCol w:w="70"/>
        <w:gridCol w:w="129"/>
        <w:gridCol w:w="139"/>
        <w:gridCol w:w="821"/>
        <w:gridCol w:w="106"/>
        <w:gridCol w:w="129"/>
        <w:gridCol w:w="140"/>
        <w:gridCol w:w="563"/>
        <w:gridCol w:w="70"/>
      </w:tblGrid>
      <w:tr w:rsidR="00F427A3" w14:paraId="54E90B9F" w14:textId="77777777">
        <w:tc>
          <w:tcPr>
            <w:tcW w:w="0" w:type="auto"/>
            <w:gridSpan w:val="26"/>
            <w:shd w:val="clear" w:color="auto" w:fill="auto"/>
            <w:vAlign w:val="center"/>
          </w:tcPr>
          <w:p w14:paraId="54E90B9E" w14:textId="77777777" w:rsidR="00F427A3" w:rsidRDefault="00F427A3">
            <w:pPr>
              <w:rPr>
                <w:rFonts w:ascii="Times New Roman" w:hAnsi="Times New Roman"/>
                <w:sz w:val="20"/>
                <w:szCs w:val="20"/>
              </w:rPr>
            </w:pPr>
          </w:p>
        </w:tc>
      </w:tr>
      <w:tr w:rsidR="00F427A3" w14:paraId="54E90BBA" w14:textId="77777777">
        <w:tc>
          <w:tcPr>
            <w:tcW w:w="900" w:type="pct"/>
            <w:shd w:val="clear" w:color="auto" w:fill="auto"/>
            <w:vAlign w:val="center"/>
          </w:tcPr>
          <w:p w14:paraId="54E90BA0" w14:textId="77777777" w:rsidR="00F427A3" w:rsidRDefault="00F427A3">
            <w:pPr>
              <w:rPr>
                <w:rFonts w:ascii="Times New Roman" w:hAnsi="Times New Roman"/>
                <w:sz w:val="20"/>
                <w:szCs w:val="20"/>
              </w:rPr>
            </w:pPr>
          </w:p>
        </w:tc>
        <w:tc>
          <w:tcPr>
            <w:tcW w:w="600" w:type="pct"/>
            <w:shd w:val="clear" w:color="auto" w:fill="auto"/>
            <w:vAlign w:val="center"/>
          </w:tcPr>
          <w:p w14:paraId="54E90BA1" w14:textId="77777777" w:rsidR="00F427A3" w:rsidRDefault="00F427A3">
            <w:pPr>
              <w:rPr>
                <w:rFonts w:ascii="Times New Roman" w:hAnsi="Times New Roman"/>
                <w:sz w:val="20"/>
                <w:szCs w:val="20"/>
              </w:rPr>
            </w:pPr>
          </w:p>
        </w:tc>
        <w:tc>
          <w:tcPr>
            <w:tcW w:w="50" w:type="pct"/>
            <w:shd w:val="clear" w:color="auto" w:fill="auto"/>
            <w:vAlign w:val="center"/>
          </w:tcPr>
          <w:p w14:paraId="54E90BA2" w14:textId="77777777" w:rsidR="00F427A3" w:rsidRDefault="00F427A3">
            <w:pPr>
              <w:rPr>
                <w:rFonts w:ascii="Times New Roman" w:hAnsi="Times New Roman"/>
                <w:sz w:val="20"/>
                <w:szCs w:val="20"/>
              </w:rPr>
            </w:pPr>
          </w:p>
        </w:tc>
        <w:tc>
          <w:tcPr>
            <w:tcW w:w="50" w:type="pct"/>
            <w:shd w:val="clear" w:color="auto" w:fill="auto"/>
            <w:vAlign w:val="center"/>
          </w:tcPr>
          <w:p w14:paraId="54E90BA3" w14:textId="77777777" w:rsidR="00F427A3" w:rsidRDefault="00F427A3">
            <w:pPr>
              <w:rPr>
                <w:rFonts w:ascii="Times New Roman" w:hAnsi="Times New Roman"/>
                <w:sz w:val="20"/>
                <w:szCs w:val="20"/>
              </w:rPr>
            </w:pPr>
          </w:p>
        </w:tc>
        <w:tc>
          <w:tcPr>
            <w:tcW w:w="400" w:type="pct"/>
            <w:shd w:val="clear" w:color="auto" w:fill="auto"/>
            <w:vAlign w:val="center"/>
          </w:tcPr>
          <w:p w14:paraId="54E90BA4" w14:textId="77777777" w:rsidR="00F427A3" w:rsidRDefault="00F427A3">
            <w:pPr>
              <w:rPr>
                <w:rFonts w:ascii="Times New Roman" w:hAnsi="Times New Roman"/>
                <w:sz w:val="20"/>
                <w:szCs w:val="20"/>
              </w:rPr>
            </w:pPr>
          </w:p>
        </w:tc>
        <w:tc>
          <w:tcPr>
            <w:tcW w:w="50" w:type="pct"/>
            <w:shd w:val="clear" w:color="auto" w:fill="auto"/>
            <w:vAlign w:val="center"/>
          </w:tcPr>
          <w:p w14:paraId="54E90BA5" w14:textId="77777777" w:rsidR="00F427A3" w:rsidRDefault="00F427A3">
            <w:pPr>
              <w:rPr>
                <w:rFonts w:ascii="Times New Roman" w:hAnsi="Times New Roman"/>
                <w:sz w:val="20"/>
                <w:szCs w:val="20"/>
              </w:rPr>
            </w:pPr>
          </w:p>
        </w:tc>
        <w:tc>
          <w:tcPr>
            <w:tcW w:w="50" w:type="pct"/>
            <w:shd w:val="clear" w:color="auto" w:fill="auto"/>
            <w:vAlign w:val="center"/>
          </w:tcPr>
          <w:p w14:paraId="54E90BA6" w14:textId="77777777" w:rsidR="00F427A3" w:rsidRDefault="00F427A3">
            <w:pPr>
              <w:rPr>
                <w:rFonts w:ascii="Times New Roman" w:hAnsi="Times New Roman"/>
                <w:sz w:val="20"/>
                <w:szCs w:val="20"/>
              </w:rPr>
            </w:pPr>
          </w:p>
        </w:tc>
        <w:tc>
          <w:tcPr>
            <w:tcW w:w="50" w:type="pct"/>
            <w:shd w:val="clear" w:color="auto" w:fill="auto"/>
            <w:vAlign w:val="center"/>
          </w:tcPr>
          <w:p w14:paraId="54E90BA7" w14:textId="77777777" w:rsidR="00F427A3" w:rsidRDefault="00F427A3">
            <w:pPr>
              <w:rPr>
                <w:rFonts w:ascii="Times New Roman" w:hAnsi="Times New Roman"/>
                <w:sz w:val="20"/>
                <w:szCs w:val="20"/>
              </w:rPr>
            </w:pPr>
          </w:p>
        </w:tc>
        <w:tc>
          <w:tcPr>
            <w:tcW w:w="500" w:type="pct"/>
            <w:shd w:val="clear" w:color="auto" w:fill="auto"/>
            <w:vAlign w:val="center"/>
          </w:tcPr>
          <w:p w14:paraId="54E90BA8" w14:textId="77777777" w:rsidR="00F427A3" w:rsidRDefault="00F427A3">
            <w:pPr>
              <w:rPr>
                <w:rFonts w:ascii="Times New Roman" w:hAnsi="Times New Roman"/>
                <w:sz w:val="20"/>
                <w:szCs w:val="20"/>
              </w:rPr>
            </w:pPr>
          </w:p>
        </w:tc>
        <w:tc>
          <w:tcPr>
            <w:tcW w:w="50" w:type="pct"/>
            <w:shd w:val="clear" w:color="auto" w:fill="auto"/>
            <w:vAlign w:val="center"/>
          </w:tcPr>
          <w:p w14:paraId="54E90BA9" w14:textId="77777777" w:rsidR="00F427A3" w:rsidRDefault="00F427A3">
            <w:pPr>
              <w:rPr>
                <w:rFonts w:ascii="Times New Roman" w:hAnsi="Times New Roman"/>
                <w:sz w:val="20"/>
                <w:szCs w:val="20"/>
              </w:rPr>
            </w:pPr>
          </w:p>
        </w:tc>
        <w:tc>
          <w:tcPr>
            <w:tcW w:w="50" w:type="pct"/>
            <w:shd w:val="clear" w:color="auto" w:fill="auto"/>
            <w:vAlign w:val="center"/>
          </w:tcPr>
          <w:p w14:paraId="54E90BAA" w14:textId="77777777" w:rsidR="00F427A3" w:rsidRDefault="00F427A3">
            <w:pPr>
              <w:rPr>
                <w:rFonts w:ascii="Times New Roman" w:hAnsi="Times New Roman"/>
                <w:sz w:val="20"/>
                <w:szCs w:val="20"/>
              </w:rPr>
            </w:pPr>
          </w:p>
        </w:tc>
        <w:tc>
          <w:tcPr>
            <w:tcW w:w="50" w:type="pct"/>
            <w:shd w:val="clear" w:color="auto" w:fill="auto"/>
            <w:vAlign w:val="center"/>
          </w:tcPr>
          <w:p w14:paraId="54E90BAB" w14:textId="77777777" w:rsidR="00F427A3" w:rsidRDefault="00F427A3">
            <w:pPr>
              <w:rPr>
                <w:rFonts w:ascii="Times New Roman" w:hAnsi="Times New Roman"/>
                <w:sz w:val="20"/>
                <w:szCs w:val="20"/>
              </w:rPr>
            </w:pPr>
          </w:p>
        </w:tc>
        <w:tc>
          <w:tcPr>
            <w:tcW w:w="400" w:type="pct"/>
            <w:shd w:val="clear" w:color="auto" w:fill="auto"/>
            <w:vAlign w:val="center"/>
          </w:tcPr>
          <w:p w14:paraId="54E90BAC" w14:textId="77777777" w:rsidR="00F427A3" w:rsidRDefault="00F427A3">
            <w:pPr>
              <w:rPr>
                <w:rFonts w:ascii="Times New Roman" w:hAnsi="Times New Roman"/>
                <w:sz w:val="20"/>
                <w:szCs w:val="20"/>
              </w:rPr>
            </w:pPr>
          </w:p>
        </w:tc>
        <w:tc>
          <w:tcPr>
            <w:tcW w:w="50" w:type="pct"/>
            <w:shd w:val="clear" w:color="auto" w:fill="auto"/>
            <w:vAlign w:val="center"/>
          </w:tcPr>
          <w:p w14:paraId="54E90BAD" w14:textId="77777777" w:rsidR="00F427A3" w:rsidRDefault="00F427A3">
            <w:pPr>
              <w:rPr>
                <w:rFonts w:ascii="Times New Roman" w:hAnsi="Times New Roman"/>
                <w:sz w:val="20"/>
                <w:szCs w:val="20"/>
              </w:rPr>
            </w:pPr>
          </w:p>
        </w:tc>
        <w:tc>
          <w:tcPr>
            <w:tcW w:w="50" w:type="pct"/>
            <w:shd w:val="clear" w:color="auto" w:fill="auto"/>
            <w:vAlign w:val="center"/>
          </w:tcPr>
          <w:p w14:paraId="54E90BAE" w14:textId="77777777" w:rsidR="00F427A3" w:rsidRDefault="00F427A3">
            <w:pPr>
              <w:rPr>
                <w:rFonts w:ascii="Times New Roman" w:hAnsi="Times New Roman"/>
                <w:sz w:val="20"/>
                <w:szCs w:val="20"/>
              </w:rPr>
            </w:pPr>
          </w:p>
        </w:tc>
        <w:tc>
          <w:tcPr>
            <w:tcW w:w="50" w:type="pct"/>
            <w:shd w:val="clear" w:color="auto" w:fill="auto"/>
            <w:vAlign w:val="center"/>
          </w:tcPr>
          <w:p w14:paraId="54E90BAF" w14:textId="77777777" w:rsidR="00F427A3" w:rsidRDefault="00F427A3">
            <w:pPr>
              <w:rPr>
                <w:rFonts w:ascii="Times New Roman" w:hAnsi="Times New Roman"/>
                <w:sz w:val="20"/>
                <w:szCs w:val="20"/>
              </w:rPr>
            </w:pPr>
          </w:p>
        </w:tc>
        <w:tc>
          <w:tcPr>
            <w:tcW w:w="400" w:type="pct"/>
            <w:shd w:val="clear" w:color="auto" w:fill="auto"/>
            <w:vAlign w:val="center"/>
          </w:tcPr>
          <w:p w14:paraId="54E90BB0" w14:textId="77777777" w:rsidR="00F427A3" w:rsidRDefault="00F427A3">
            <w:pPr>
              <w:rPr>
                <w:rFonts w:ascii="Times New Roman" w:hAnsi="Times New Roman"/>
                <w:sz w:val="20"/>
                <w:szCs w:val="20"/>
              </w:rPr>
            </w:pPr>
          </w:p>
        </w:tc>
        <w:tc>
          <w:tcPr>
            <w:tcW w:w="50" w:type="pct"/>
            <w:shd w:val="clear" w:color="auto" w:fill="auto"/>
            <w:vAlign w:val="center"/>
          </w:tcPr>
          <w:p w14:paraId="54E90BB1" w14:textId="77777777" w:rsidR="00F427A3" w:rsidRDefault="00F427A3">
            <w:pPr>
              <w:rPr>
                <w:rFonts w:ascii="Times New Roman" w:hAnsi="Times New Roman"/>
                <w:sz w:val="20"/>
                <w:szCs w:val="20"/>
              </w:rPr>
            </w:pPr>
          </w:p>
        </w:tc>
        <w:tc>
          <w:tcPr>
            <w:tcW w:w="50" w:type="pct"/>
            <w:shd w:val="clear" w:color="auto" w:fill="auto"/>
            <w:vAlign w:val="center"/>
          </w:tcPr>
          <w:p w14:paraId="54E90BB2" w14:textId="77777777" w:rsidR="00F427A3" w:rsidRDefault="00F427A3">
            <w:pPr>
              <w:rPr>
                <w:rFonts w:ascii="Times New Roman" w:hAnsi="Times New Roman"/>
                <w:sz w:val="20"/>
                <w:szCs w:val="20"/>
              </w:rPr>
            </w:pPr>
          </w:p>
        </w:tc>
        <w:tc>
          <w:tcPr>
            <w:tcW w:w="50" w:type="pct"/>
            <w:shd w:val="clear" w:color="auto" w:fill="auto"/>
            <w:vAlign w:val="center"/>
          </w:tcPr>
          <w:p w14:paraId="54E90BB3" w14:textId="77777777" w:rsidR="00F427A3" w:rsidRDefault="00F427A3">
            <w:pPr>
              <w:rPr>
                <w:rFonts w:ascii="Times New Roman" w:hAnsi="Times New Roman"/>
                <w:sz w:val="20"/>
                <w:szCs w:val="20"/>
              </w:rPr>
            </w:pPr>
          </w:p>
        </w:tc>
        <w:tc>
          <w:tcPr>
            <w:tcW w:w="500" w:type="pct"/>
            <w:shd w:val="clear" w:color="auto" w:fill="auto"/>
            <w:vAlign w:val="center"/>
          </w:tcPr>
          <w:p w14:paraId="54E90BB4" w14:textId="77777777" w:rsidR="00F427A3" w:rsidRDefault="00F427A3">
            <w:pPr>
              <w:rPr>
                <w:rFonts w:ascii="Times New Roman" w:hAnsi="Times New Roman"/>
                <w:sz w:val="20"/>
                <w:szCs w:val="20"/>
              </w:rPr>
            </w:pPr>
          </w:p>
        </w:tc>
        <w:tc>
          <w:tcPr>
            <w:tcW w:w="50" w:type="pct"/>
            <w:shd w:val="clear" w:color="auto" w:fill="auto"/>
            <w:vAlign w:val="center"/>
          </w:tcPr>
          <w:p w14:paraId="54E90BB5" w14:textId="77777777" w:rsidR="00F427A3" w:rsidRDefault="00F427A3">
            <w:pPr>
              <w:rPr>
                <w:rFonts w:ascii="Times New Roman" w:hAnsi="Times New Roman"/>
                <w:sz w:val="20"/>
                <w:szCs w:val="20"/>
              </w:rPr>
            </w:pPr>
          </w:p>
        </w:tc>
        <w:tc>
          <w:tcPr>
            <w:tcW w:w="50" w:type="pct"/>
            <w:shd w:val="clear" w:color="auto" w:fill="auto"/>
            <w:vAlign w:val="center"/>
          </w:tcPr>
          <w:p w14:paraId="54E90BB6" w14:textId="77777777" w:rsidR="00F427A3" w:rsidRDefault="00F427A3">
            <w:pPr>
              <w:rPr>
                <w:rFonts w:ascii="Times New Roman" w:hAnsi="Times New Roman"/>
                <w:sz w:val="20"/>
                <w:szCs w:val="20"/>
              </w:rPr>
            </w:pPr>
          </w:p>
        </w:tc>
        <w:tc>
          <w:tcPr>
            <w:tcW w:w="50" w:type="pct"/>
            <w:shd w:val="clear" w:color="auto" w:fill="auto"/>
            <w:vAlign w:val="center"/>
          </w:tcPr>
          <w:p w14:paraId="54E90BB7" w14:textId="77777777" w:rsidR="00F427A3" w:rsidRDefault="00F427A3">
            <w:pPr>
              <w:rPr>
                <w:rFonts w:ascii="Times New Roman" w:hAnsi="Times New Roman"/>
                <w:sz w:val="20"/>
                <w:szCs w:val="20"/>
              </w:rPr>
            </w:pPr>
          </w:p>
        </w:tc>
        <w:tc>
          <w:tcPr>
            <w:tcW w:w="400" w:type="pct"/>
            <w:shd w:val="clear" w:color="auto" w:fill="auto"/>
            <w:vAlign w:val="center"/>
          </w:tcPr>
          <w:p w14:paraId="54E90BB8" w14:textId="77777777" w:rsidR="00F427A3" w:rsidRDefault="00F427A3">
            <w:pPr>
              <w:rPr>
                <w:rFonts w:ascii="Times New Roman" w:hAnsi="Times New Roman"/>
                <w:sz w:val="20"/>
                <w:szCs w:val="20"/>
              </w:rPr>
            </w:pPr>
          </w:p>
        </w:tc>
        <w:tc>
          <w:tcPr>
            <w:tcW w:w="50" w:type="pct"/>
            <w:shd w:val="clear" w:color="auto" w:fill="auto"/>
            <w:vAlign w:val="center"/>
          </w:tcPr>
          <w:p w14:paraId="54E90BB9" w14:textId="77777777" w:rsidR="00F427A3" w:rsidRDefault="00F427A3">
            <w:pPr>
              <w:rPr>
                <w:rFonts w:ascii="Times New Roman" w:hAnsi="Times New Roman"/>
                <w:sz w:val="20"/>
                <w:szCs w:val="20"/>
              </w:rPr>
            </w:pPr>
          </w:p>
        </w:tc>
      </w:tr>
      <w:tr w:rsidR="00F427A3" w14:paraId="54E90BC1" w14:textId="77777777">
        <w:tc>
          <w:tcPr>
            <w:tcW w:w="0" w:type="auto"/>
            <w:shd w:val="clear" w:color="auto" w:fill="auto"/>
            <w:tcMar>
              <w:top w:w="40" w:type="dxa"/>
              <w:left w:w="40" w:type="dxa"/>
              <w:bottom w:w="40" w:type="dxa"/>
              <w:right w:w="40" w:type="dxa"/>
            </w:tcMar>
            <w:vAlign w:val="bottom"/>
          </w:tcPr>
          <w:p w14:paraId="54E90BB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BB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BB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4E90BBE"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September 30, 2020</w:t>
            </w:r>
          </w:p>
        </w:tc>
        <w:tc>
          <w:tcPr>
            <w:tcW w:w="0" w:type="auto"/>
            <w:shd w:val="clear" w:color="auto" w:fill="auto"/>
            <w:tcMar>
              <w:top w:w="40" w:type="dxa"/>
              <w:left w:w="40" w:type="dxa"/>
              <w:bottom w:w="40" w:type="dxa"/>
              <w:right w:w="40" w:type="dxa"/>
            </w:tcMar>
            <w:vAlign w:val="bottom"/>
          </w:tcPr>
          <w:p w14:paraId="54E90BB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4E90BC0"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December 31, 2019</w:t>
            </w:r>
          </w:p>
        </w:tc>
      </w:tr>
      <w:tr w:rsidR="00F427A3" w14:paraId="54E90BD0" w14:textId="77777777">
        <w:tc>
          <w:tcPr>
            <w:tcW w:w="0" w:type="auto"/>
            <w:shd w:val="clear" w:color="auto" w:fill="auto"/>
            <w:tcMar>
              <w:top w:w="40" w:type="dxa"/>
              <w:left w:w="40" w:type="dxa"/>
              <w:bottom w:w="40" w:type="dxa"/>
              <w:right w:w="40" w:type="dxa"/>
            </w:tcMar>
            <w:vAlign w:val="bottom"/>
          </w:tcPr>
          <w:p w14:paraId="54E90BC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4E90BC3"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xml:space="preserve">Weighted-Average Remaining Useful Lives </w:t>
            </w:r>
            <w:r>
              <w:rPr>
                <w:rFonts w:ascii="Times New Roman" w:eastAsia="宋体" w:hAnsi="Times New Roman"/>
                <w:b/>
                <w:bCs/>
                <w:sz w:val="16"/>
                <w:szCs w:val="16"/>
              </w:rPr>
              <w:br/>
              <w:t>(in years)</w:t>
            </w:r>
          </w:p>
        </w:tc>
        <w:tc>
          <w:tcPr>
            <w:tcW w:w="0" w:type="auto"/>
            <w:shd w:val="clear" w:color="auto" w:fill="auto"/>
            <w:tcMar>
              <w:top w:w="40" w:type="dxa"/>
              <w:left w:w="40" w:type="dxa"/>
              <w:bottom w:w="40" w:type="dxa"/>
              <w:right w:w="40" w:type="dxa"/>
            </w:tcMar>
            <w:vAlign w:val="bottom"/>
          </w:tcPr>
          <w:p w14:paraId="54E90BC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BC5"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Gross Carrying Amount</w:t>
            </w:r>
          </w:p>
        </w:tc>
        <w:tc>
          <w:tcPr>
            <w:tcW w:w="0" w:type="auto"/>
            <w:shd w:val="clear" w:color="auto" w:fill="auto"/>
            <w:tcMar>
              <w:top w:w="40" w:type="dxa"/>
              <w:left w:w="40" w:type="dxa"/>
              <w:bottom w:w="40" w:type="dxa"/>
              <w:right w:w="40" w:type="dxa"/>
            </w:tcMar>
            <w:vAlign w:val="bottom"/>
          </w:tcPr>
          <w:p w14:paraId="54E90BC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BC7"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Accumulated Amortization</w:t>
            </w:r>
          </w:p>
        </w:tc>
        <w:tc>
          <w:tcPr>
            <w:tcW w:w="0" w:type="auto"/>
            <w:shd w:val="clear" w:color="auto" w:fill="auto"/>
            <w:tcMar>
              <w:top w:w="40" w:type="dxa"/>
              <w:left w:w="40" w:type="dxa"/>
              <w:bottom w:w="40" w:type="dxa"/>
              <w:right w:w="40" w:type="dxa"/>
            </w:tcMar>
            <w:vAlign w:val="bottom"/>
          </w:tcPr>
          <w:p w14:paraId="54E90BC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BC9"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Net Carrying Amount</w:t>
            </w:r>
          </w:p>
        </w:tc>
        <w:tc>
          <w:tcPr>
            <w:tcW w:w="0" w:type="auto"/>
            <w:shd w:val="clear" w:color="auto" w:fill="auto"/>
            <w:tcMar>
              <w:top w:w="40" w:type="dxa"/>
              <w:left w:w="40" w:type="dxa"/>
              <w:bottom w:w="40" w:type="dxa"/>
              <w:right w:w="40" w:type="dxa"/>
            </w:tcMar>
            <w:vAlign w:val="bottom"/>
          </w:tcPr>
          <w:p w14:paraId="54E90BC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BCB"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Gross Carrying Amount</w:t>
            </w:r>
          </w:p>
        </w:tc>
        <w:tc>
          <w:tcPr>
            <w:tcW w:w="0" w:type="auto"/>
            <w:shd w:val="clear" w:color="auto" w:fill="auto"/>
            <w:tcMar>
              <w:top w:w="40" w:type="dxa"/>
              <w:left w:w="40" w:type="dxa"/>
              <w:bottom w:w="40" w:type="dxa"/>
              <w:right w:w="40" w:type="dxa"/>
            </w:tcMar>
            <w:vAlign w:val="bottom"/>
          </w:tcPr>
          <w:p w14:paraId="54E90BC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BCD"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Accumulated Amortization</w:t>
            </w:r>
          </w:p>
        </w:tc>
        <w:tc>
          <w:tcPr>
            <w:tcW w:w="0" w:type="auto"/>
            <w:shd w:val="clear" w:color="auto" w:fill="auto"/>
            <w:tcMar>
              <w:top w:w="40" w:type="dxa"/>
              <w:left w:w="40" w:type="dxa"/>
              <w:bottom w:w="40" w:type="dxa"/>
              <w:right w:w="40" w:type="dxa"/>
            </w:tcMar>
            <w:vAlign w:val="bottom"/>
          </w:tcPr>
          <w:p w14:paraId="54E90BC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BCF"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Net Carrying Amount</w:t>
            </w:r>
          </w:p>
        </w:tc>
      </w:tr>
      <w:tr w:rsidR="00F427A3" w14:paraId="54E90BEB" w14:textId="77777777">
        <w:tc>
          <w:tcPr>
            <w:tcW w:w="0" w:type="auto"/>
            <w:shd w:val="clear" w:color="auto" w:fill="CCEEFF"/>
            <w:tcMar>
              <w:top w:w="40" w:type="dxa"/>
              <w:left w:w="40" w:type="dxa"/>
              <w:bottom w:w="40" w:type="dxa"/>
              <w:right w:w="40" w:type="dxa"/>
            </w:tcMar>
            <w:vAlign w:val="bottom"/>
          </w:tcPr>
          <w:p w14:paraId="54E90BD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Acquired users</w:t>
            </w:r>
          </w:p>
        </w:tc>
        <w:tc>
          <w:tcPr>
            <w:tcW w:w="0" w:type="auto"/>
            <w:shd w:val="clear" w:color="auto" w:fill="CCEEFF"/>
            <w:tcMar>
              <w:top w:w="40" w:type="dxa"/>
              <w:left w:w="40" w:type="dxa"/>
              <w:bottom w:w="40" w:type="dxa"/>
              <w:right w:w="40" w:type="dxa"/>
            </w:tcMar>
            <w:vAlign w:val="bottom"/>
          </w:tcPr>
          <w:p w14:paraId="54E90BD2" w14:textId="77777777" w:rsidR="00F427A3" w:rsidRDefault="0044221F">
            <w:pPr>
              <w:jc w:val="center"/>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tcMar>
              <w:top w:w="40" w:type="dxa"/>
              <w:left w:w="40" w:type="dxa"/>
              <w:bottom w:w="40" w:type="dxa"/>
              <w:right w:w="40" w:type="dxa"/>
            </w:tcMar>
            <w:vAlign w:val="bottom"/>
          </w:tcPr>
          <w:p w14:paraId="54E90BD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BD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BD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2,056</w:t>
            </w:r>
          </w:p>
        </w:tc>
        <w:tc>
          <w:tcPr>
            <w:tcW w:w="0" w:type="auto"/>
            <w:shd w:val="clear" w:color="auto" w:fill="CCEEFF"/>
            <w:vAlign w:val="bottom"/>
          </w:tcPr>
          <w:p w14:paraId="54E90BD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BD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BD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BD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(1,767</w:t>
            </w:r>
          </w:p>
        </w:tc>
        <w:tc>
          <w:tcPr>
            <w:tcW w:w="0" w:type="auto"/>
            <w:shd w:val="clear" w:color="auto" w:fill="CCEEFF"/>
            <w:tcMar>
              <w:top w:w="40" w:type="dxa"/>
              <w:bottom w:w="40" w:type="dxa"/>
              <w:right w:w="40" w:type="dxa"/>
            </w:tcMar>
            <w:vAlign w:val="bottom"/>
          </w:tcPr>
          <w:p w14:paraId="54E90BD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BD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BD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BD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289</w:t>
            </w:r>
          </w:p>
        </w:tc>
        <w:tc>
          <w:tcPr>
            <w:tcW w:w="0" w:type="auto"/>
            <w:shd w:val="clear" w:color="auto" w:fill="CCEEFF"/>
            <w:vAlign w:val="bottom"/>
          </w:tcPr>
          <w:p w14:paraId="54E90BD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BD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BE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BE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2,056</w:t>
            </w:r>
          </w:p>
        </w:tc>
        <w:tc>
          <w:tcPr>
            <w:tcW w:w="0" w:type="auto"/>
            <w:shd w:val="clear" w:color="auto" w:fill="CCEEFF"/>
            <w:vAlign w:val="bottom"/>
          </w:tcPr>
          <w:p w14:paraId="54E90BE2"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BE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BE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BE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(1,550</w:t>
            </w:r>
          </w:p>
        </w:tc>
        <w:tc>
          <w:tcPr>
            <w:tcW w:w="0" w:type="auto"/>
            <w:shd w:val="clear" w:color="auto" w:fill="CCEEFF"/>
            <w:tcMar>
              <w:top w:w="40" w:type="dxa"/>
              <w:bottom w:w="40" w:type="dxa"/>
              <w:right w:w="40" w:type="dxa"/>
            </w:tcMar>
            <w:vAlign w:val="bottom"/>
          </w:tcPr>
          <w:p w14:paraId="54E90BE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BE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BE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BE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506</w:t>
            </w:r>
          </w:p>
        </w:tc>
        <w:tc>
          <w:tcPr>
            <w:tcW w:w="0" w:type="auto"/>
            <w:shd w:val="clear" w:color="auto" w:fill="CCEEFF"/>
            <w:vAlign w:val="bottom"/>
          </w:tcPr>
          <w:p w14:paraId="54E90BEA" w14:textId="77777777" w:rsidR="00F427A3" w:rsidRDefault="00F427A3">
            <w:pPr>
              <w:textAlignment w:val="bottom"/>
              <w:rPr>
                <w:rFonts w:ascii="Times New Roman" w:hAnsi="Times New Roman"/>
                <w:sz w:val="20"/>
                <w:szCs w:val="20"/>
              </w:rPr>
            </w:pPr>
          </w:p>
        </w:tc>
      </w:tr>
      <w:tr w:rsidR="00F427A3" w14:paraId="54E90C00" w14:textId="77777777">
        <w:tc>
          <w:tcPr>
            <w:tcW w:w="0" w:type="auto"/>
            <w:shd w:val="clear" w:color="auto" w:fill="auto"/>
            <w:tcMar>
              <w:top w:w="40" w:type="dxa"/>
              <w:left w:w="40" w:type="dxa"/>
              <w:bottom w:w="40" w:type="dxa"/>
              <w:right w:w="40" w:type="dxa"/>
            </w:tcMar>
            <w:vAlign w:val="bottom"/>
          </w:tcPr>
          <w:p w14:paraId="54E90BE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Acquired technology</w:t>
            </w:r>
          </w:p>
        </w:tc>
        <w:tc>
          <w:tcPr>
            <w:tcW w:w="0" w:type="auto"/>
            <w:shd w:val="clear" w:color="auto" w:fill="auto"/>
            <w:tcMar>
              <w:top w:w="40" w:type="dxa"/>
              <w:left w:w="40" w:type="dxa"/>
              <w:bottom w:w="40" w:type="dxa"/>
              <w:right w:w="40" w:type="dxa"/>
            </w:tcMar>
            <w:vAlign w:val="bottom"/>
          </w:tcPr>
          <w:p w14:paraId="54E90BED" w14:textId="77777777" w:rsidR="00F427A3" w:rsidRDefault="0044221F">
            <w:pPr>
              <w:jc w:val="center"/>
              <w:textAlignment w:val="bottom"/>
              <w:rPr>
                <w:rFonts w:ascii="Times New Roman" w:hAnsi="Times New Roman"/>
                <w:sz w:val="20"/>
                <w:szCs w:val="20"/>
              </w:rPr>
            </w:pPr>
            <w:r>
              <w:rPr>
                <w:rFonts w:ascii="Times New Roman" w:eastAsia="宋体" w:hAnsi="Times New Roman"/>
                <w:sz w:val="20"/>
                <w:szCs w:val="20"/>
              </w:rPr>
              <w:t>3.0</w:t>
            </w:r>
          </w:p>
        </w:tc>
        <w:tc>
          <w:tcPr>
            <w:tcW w:w="0" w:type="auto"/>
            <w:shd w:val="clear" w:color="auto" w:fill="auto"/>
            <w:tcMar>
              <w:top w:w="40" w:type="dxa"/>
              <w:left w:w="40" w:type="dxa"/>
              <w:bottom w:w="40" w:type="dxa"/>
              <w:right w:w="40" w:type="dxa"/>
            </w:tcMar>
            <w:vAlign w:val="bottom"/>
          </w:tcPr>
          <w:p w14:paraId="54E90BE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BE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1,293</w:t>
            </w:r>
          </w:p>
        </w:tc>
        <w:tc>
          <w:tcPr>
            <w:tcW w:w="0" w:type="auto"/>
            <w:shd w:val="clear" w:color="auto" w:fill="auto"/>
            <w:vAlign w:val="bottom"/>
          </w:tcPr>
          <w:p w14:paraId="54E90BF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BF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BF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(1,060</w:t>
            </w:r>
          </w:p>
        </w:tc>
        <w:tc>
          <w:tcPr>
            <w:tcW w:w="0" w:type="auto"/>
            <w:shd w:val="clear" w:color="auto" w:fill="auto"/>
            <w:tcMar>
              <w:top w:w="40" w:type="dxa"/>
              <w:bottom w:w="40" w:type="dxa"/>
              <w:right w:w="40" w:type="dxa"/>
            </w:tcMar>
            <w:vAlign w:val="bottom"/>
          </w:tcPr>
          <w:p w14:paraId="54E90BF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0BF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BF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233</w:t>
            </w:r>
          </w:p>
        </w:tc>
        <w:tc>
          <w:tcPr>
            <w:tcW w:w="0" w:type="auto"/>
            <w:shd w:val="clear" w:color="auto" w:fill="auto"/>
            <w:vAlign w:val="bottom"/>
          </w:tcPr>
          <w:p w14:paraId="54E90BF6"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BF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BF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1,158</w:t>
            </w:r>
          </w:p>
        </w:tc>
        <w:tc>
          <w:tcPr>
            <w:tcW w:w="0" w:type="auto"/>
            <w:shd w:val="clear" w:color="auto" w:fill="auto"/>
            <w:vAlign w:val="bottom"/>
          </w:tcPr>
          <w:p w14:paraId="54E90BF9"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BF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BF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(986</w:t>
            </w:r>
          </w:p>
        </w:tc>
        <w:tc>
          <w:tcPr>
            <w:tcW w:w="0" w:type="auto"/>
            <w:shd w:val="clear" w:color="auto" w:fill="auto"/>
            <w:tcMar>
              <w:top w:w="40" w:type="dxa"/>
              <w:bottom w:w="40" w:type="dxa"/>
              <w:right w:w="40" w:type="dxa"/>
            </w:tcMar>
            <w:vAlign w:val="bottom"/>
          </w:tcPr>
          <w:p w14:paraId="54E90BF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0BF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BF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172</w:t>
            </w:r>
          </w:p>
        </w:tc>
        <w:tc>
          <w:tcPr>
            <w:tcW w:w="0" w:type="auto"/>
            <w:shd w:val="clear" w:color="auto" w:fill="auto"/>
            <w:vAlign w:val="bottom"/>
          </w:tcPr>
          <w:p w14:paraId="54E90BFF" w14:textId="77777777" w:rsidR="00F427A3" w:rsidRDefault="00F427A3">
            <w:pPr>
              <w:textAlignment w:val="bottom"/>
              <w:rPr>
                <w:rFonts w:ascii="Times New Roman" w:hAnsi="Times New Roman"/>
                <w:sz w:val="20"/>
                <w:szCs w:val="20"/>
              </w:rPr>
            </w:pPr>
          </w:p>
        </w:tc>
      </w:tr>
      <w:tr w:rsidR="00F427A3" w14:paraId="54E90C15" w14:textId="77777777">
        <w:tc>
          <w:tcPr>
            <w:tcW w:w="0" w:type="auto"/>
            <w:shd w:val="clear" w:color="auto" w:fill="CCEEFF"/>
            <w:tcMar>
              <w:top w:w="40" w:type="dxa"/>
              <w:left w:w="40" w:type="dxa"/>
              <w:bottom w:w="40" w:type="dxa"/>
              <w:right w:w="40" w:type="dxa"/>
            </w:tcMar>
            <w:vAlign w:val="bottom"/>
          </w:tcPr>
          <w:p w14:paraId="54E90C0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Acquired patents</w:t>
            </w:r>
          </w:p>
        </w:tc>
        <w:tc>
          <w:tcPr>
            <w:tcW w:w="0" w:type="auto"/>
            <w:shd w:val="clear" w:color="auto" w:fill="CCEEFF"/>
            <w:tcMar>
              <w:top w:w="40" w:type="dxa"/>
              <w:left w:w="40" w:type="dxa"/>
              <w:bottom w:w="40" w:type="dxa"/>
              <w:right w:w="40" w:type="dxa"/>
            </w:tcMar>
            <w:vAlign w:val="bottom"/>
          </w:tcPr>
          <w:p w14:paraId="54E90C02" w14:textId="77777777" w:rsidR="00F427A3" w:rsidRDefault="0044221F">
            <w:pPr>
              <w:jc w:val="center"/>
              <w:textAlignment w:val="bottom"/>
              <w:rPr>
                <w:rFonts w:ascii="Times New Roman" w:hAnsi="Times New Roman"/>
                <w:sz w:val="20"/>
                <w:szCs w:val="20"/>
              </w:rPr>
            </w:pPr>
            <w:r>
              <w:rPr>
                <w:rFonts w:ascii="Times New Roman" w:eastAsia="宋体" w:hAnsi="Times New Roman"/>
                <w:sz w:val="20"/>
                <w:szCs w:val="20"/>
              </w:rPr>
              <w:t>4.2</w:t>
            </w:r>
          </w:p>
        </w:tc>
        <w:tc>
          <w:tcPr>
            <w:tcW w:w="0" w:type="auto"/>
            <w:shd w:val="clear" w:color="auto" w:fill="CCEEFF"/>
            <w:tcMar>
              <w:top w:w="40" w:type="dxa"/>
              <w:left w:w="40" w:type="dxa"/>
              <w:bottom w:w="40" w:type="dxa"/>
              <w:right w:w="40" w:type="dxa"/>
            </w:tcMar>
            <w:vAlign w:val="bottom"/>
          </w:tcPr>
          <w:p w14:paraId="54E90C0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C0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805</w:t>
            </w:r>
          </w:p>
        </w:tc>
        <w:tc>
          <w:tcPr>
            <w:tcW w:w="0" w:type="auto"/>
            <w:shd w:val="clear" w:color="auto" w:fill="CCEEFF"/>
            <w:vAlign w:val="bottom"/>
          </w:tcPr>
          <w:p w14:paraId="54E90C05"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C0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C0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(665</w:t>
            </w:r>
          </w:p>
        </w:tc>
        <w:tc>
          <w:tcPr>
            <w:tcW w:w="0" w:type="auto"/>
            <w:shd w:val="clear" w:color="auto" w:fill="CCEEFF"/>
            <w:tcMar>
              <w:top w:w="40" w:type="dxa"/>
              <w:bottom w:w="40" w:type="dxa"/>
              <w:right w:w="40" w:type="dxa"/>
            </w:tcMar>
            <w:vAlign w:val="bottom"/>
          </w:tcPr>
          <w:p w14:paraId="54E90C0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C0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C0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140</w:t>
            </w:r>
          </w:p>
        </w:tc>
        <w:tc>
          <w:tcPr>
            <w:tcW w:w="0" w:type="auto"/>
            <w:shd w:val="clear" w:color="auto" w:fill="CCEEFF"/>
            <w:vAlign w:val="bottom"/>
          </w:tcPr>
          <w:p w14:paraId="54E90C0B"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C0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C0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805</w:t>
            </w:r>
          </w:p>
        </w:tc>
        <w:tc>
          <w:tcPr>
            <w:tcW w:w="0" w:type="auto"/>
            <w:shd w:val="clear" w:color="auto" w:fill="CCEEFF"/>
            <w:vAlign w:val="bottom"/>
          </w:tcPr>
          <w:p w14:paraId="54E90C0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C0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C1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(625</w:t>
            </w:r>
          </w:p>
        </w:tc>
        <w:tc>
          <w:tcPr>
            <w:tcW w:w="0" w:type="auto"/>
            <w:shd w:val="clear" w:color="auto" w:fill="CCEEFF"/>
            <w:tcMar>
              <w:top w:w="40" w:type="dxa"/>
              <w:bottom w:w="40" w:type="dxa"/>
              <w:right w:w="40" w:type="dxa"/>
            </w:tcMar>
            <w:vAlign w:val="bottom"/>
          </w:tcPr>
          <w:p w14:paraId="54E90C1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C1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C1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180</w:t>
            </w:r>
          </w:p>
        </w:tc>
        <w:tc>
          <w:tcPr>
            <w:tcW w:w="0" w:type="auto"/>
            <w:shd w:val="clear" w:color="auto" w:fill="CCEEFF"/>
            <w:vAlign w:val="bottom"/>
          </w:tcPr>
          <w:p w14:paraId="54E90C14" w14:textId="77777777" w:rsidR="00F427A3" w:rsidRDefault="00F427A3">
            <w:pPr>
              <w:textAlignment w:val="bottom"/>
              <w:rPr>
                <w:rFonts w:ascii="Times New Roman" w:hAnsi="Times New Roman"/>
                <w:sz w:val="20"/>
                <w:szCs w:val="20"/>
              </w:rPr>
            </w:pPr>
          </w:p>
        </w:tc>
      </w:tr>
      <w:tr w:rsidR="00F427A3" w14:paraId="54E90C2A" w14:textId="77777777">
        <w:tc>
          <w:tcPr>
            <w:tcW w:w="0" w:type="auto"/>
            <w:shd w:val="clear" w:color="auto" w:fill="auto"/>
            <w:tcMar>
              <w:top w:w="40" w:type="dxa"/>
              <w:left w:w="40" w:type="dxa"/>
              <w:bottom w:w="40" w:type="dxa"/>
              <w:right w:w="40" w:type="dxa"/>
            </w:tcMar>
            <w:vAlign w:val="bottom"/>
          </w:tcPr>
          <w:p w14:paraId="54E90C1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Trade names</w:t>
            </w:r>
          </w:p>
        </w:tc>
        <w:tc>
          <w:tcPr>
            <w:tcW w:w="0" w:type="auto"/>
            <w:shd w:val="clear" w:color="auto" w:fill="auto"/>
            <w:tcMar>
              <w:top w:w="40" w:type="dxa"/>
              <w:left w:w="40" w:type="dxa"/>
              <w:bottom w:w="40" w:type="dxa"/>
              <w:right w:w="40" w:type="dxa"/>
            </w:tcMar>
            <w:vAlign w:val="bottom"/>
          </w:tcPr>
          <w:p w14:paraId="54E90C17" w14:textId="77777777" w:rsidR="00F427A3" w:rsidRDefault="0044221F">
            <w:pPr>
              <w:jc w:val="center"/>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tcMar>
              <w:top w:w="40" w:type="dxa"/>
              <w:left w:w="40" w:type="dxa"/>
              <w:bottom w:w="40" w:type="dxa"/>
              <w:right w:w="40" w:type="dxa"/>
            </w:tcMar>
            <w:vAlign w:val="bottom"/>
          </w:tcPr>
          <w:p w14:paraId="54E90C1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C1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641</w:t>
            </w:r>
          </w:p>
        </w:tc>
        <w:tc>
          <w:tcPr>
            <w:tcW w:w="0" w:type="auto"/>
            <w:shd w:val="clear" w:color="auto" w:fill="auto"/>
            <w:vAlign w:val="bottom"/>
          </w:tcPr>
          <w:p w14:paraId="54E90C1A"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C1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C1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(618</w:t>
            </w:r>
          </w:p>
        </w:tc>
        <w:tc>
          <w:tcPr>
            <w:tcW w:w="0" w:type="auto"/>
            <w:shd w:val="clear" w:color="auto" w:fill="auto"/>
            <w:tcMar>
              <w:top w:w="40" w:type="dxa"/>
              <w:bottom w:w="40" w:type="dxa"/>
              <w:right w:w="40" w:type="dxa"/>
            </w:tcMar>
            <w:vAlign w:val="bottom"/>
          </w:tcPr>
          <w:p w14:paraId="54E90C1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0C1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C1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shd w:val="clear" w:color="auto" w:fill="auto"/>
            <w:vAlign w:val="bottom"/>
          </w:tcPr>
          <w:p w14:paraId="54E90C2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C2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C2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635</w:t>
            </w:r>
          </w:p>
        </w:tc>
        <w:tc>
          <w:tcPr>
            <w:tcW w:w="0" w:type="auto"/>
            <w:shd w:val="clear" w:color="auto" w:fill="auto"/>
            <w:vAlign w:val="bottom"/>
          </w:tcPr>
          <w:p w14:paraId="54E90C2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C2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C2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(604</w:t>
            </w:r>
          </w:p>
        </w:tc>
        <w:tc>
          <w:tcPr>
            <w:tcW w:w="0" w:type="auto"/>
            <w:shd w:val="clear" w:color="auto" w:fill="auto"/>
            <w:tcMar>
              <w:top w:w="40" w:type="dxa"/>
              <w:bottom w:w="40" w:type="dxa"/>
              <w:right w:w="40" w:type="dxa"/>
            </w:tcMar>
            <w:vAlign w:val="bottom"/>
          </w:tcPr>
          <w:p w14:paraId="54E90C2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0C2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C2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vAlign w:val="bottom"/>
          </w:tcPr>
          <w:p w14:paraId="54E90C29" w14:textId="77777777" w:rsidR="00F427A3" w:rsidRDefault="00F427A3">
            <w:pPr>
              <w:textAlignment w:val="bottom"/>
              <w:rPr>
                <w:rFonts w:ascii="Times New Roman" w:hAnsi="Times New Roman"/>
                <w:sz w:val="20"/>
                <w:szCs w:val="20"/>
              </w:rPr>
            </w:pPr>
          </w:p>
        </w:tc>
      </w:tr>
      <w:tr w:rsidR="00F427A3" w14:paraId="54E90C3F" w14:textId="77777777">
        <w:tc>
          <w:tcPr>
            <w:tcW w:w="0" w:type="auto"/>
            <w:shd w:val="clear" w:color="auto" w:fill="CCEEFF"/>
            <w:tcMar>
              <w:top w:w="40" w:type="dxa"/>
              <w:left w:w="40" w:type="dxa"/>
              <w:bottom w:w="40" w:type="dxa"/>
              <w:right w:w="40" w:type="dxa"/>
            </w:tcMar>
            <w:vAlign w:val="bottom"/>
          </w:tcPr>
          <w:p w14:paraId="54E90C2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Other</w:t>
            </w:r>
          </w:p>
        </w:tc>
        <w:tc>
          <w:tcPr>
            <w:tcW w:w="0" w:type="auto"/>
            <w:shd w:val="clear" w:color="auto" w:fill="CCEEFF"/>
            <w:tcMar>
              <w:top w:w="40" w:type="dxa"/>
              <w:left w:w="40" w:type="dxa"/>
              <w:bottom w:w="40" w:type="dxa"/>
              <w:right w:w="40" w:type="dxa"/>
            </w:tcMar>
            <w:vAlign w:val="bottom"/>
          </w:tcPr>
          <w:p w14:paraId="54E90C2C" w14:textId="77777777" w:rsidR="00F427A3" w:rsidRDefault="0044221F">
            <w:pPr>
              <w:jc w:val="center"/>
              <w:textAlignment w:val="bottom"/>
              <w:rPr>
                <w:rFonts w:ascii="Times New Roman" w:hAnsi="Times New Roman"/>
                <w:sz w:val="20"/>
                <w:szCs w:val="20"/>
              </w:rPr>
            </w:pPr>
            <w:r>
              <w:rPr>
                <w:rFonts w:ascii="Times New Roman" w:eastAsia="宋体" w:hAnsi="Times New Roman"/>
                <w:sz w:val="20"/>
                <w:szCs w:val="20"/>
              </w:rPr>
              <w:t>3.4</w:t>
            </w:r>
          </w:p>
        </w:tc>
        <w:tc>
          <w:tcPr>
            <w:tcW w:w="0" w:type="auto"/>
            <w:shd w:val="clear" w:color="auto" w:fill="CCEEFF"/>
            <w:tcMar>
              <w:top w:w="40" w:type="dxa"/>
              <w:left w:w="40" w:type="dxa"/>
              <w:bottom w:w="40" w:type="dxa"/>
              <w:right w:w="40" w:type="dxa"/>
            </w:tcMar>
            <w:vAlign w:val="bottom"/>
          </w:tcPr>
          <w:p w14:paraId="54E90C2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C2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223</w:t>
            </w:r>
          </w:p>
        </w:tc>
        <w:tc>
          <w:tcPr>
            <w:tcW w:w="0" w:type="auto"/>
            <w:shd w:val="clear" w:color="auto" w:fill="CCEEFF"/>
            <w:vAlign w:val="bottom"/>
          </w:tcPr>
          <w:p w14:paraId="54E90C2F"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C3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C3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(164</w:t>
            </w:r>
          </w:p>
        </w:tc>
        <w:tc>
          <w:tcPr>
            <w:tcW w:w="0" w:type="auto"/>
            <w:shd w:val="clear" w:color="auto" w:fill="CCEEFF"/>
            <w:tcMar>
              <w:top w:w="40" w:type="dxa"/>
              <w:bottom w:w="40" w:type="dxa"/>
              <w:right w:w="40" w:type="dxa"/>
            </w:tcMar>
            <w:vAlign w:val="bottom"/>
          </w:tcPr>
          <w:p w14:paraId="54E90C3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C3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C3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59</w:t>
            </w:r>
          </w:p>
        </w:tc>
        <w:tc>
          <w:tcPr>
            <w:tcW w:w="0" w:type="auto"/>
            <w:shd w:val="clear" w:color="auto" w:fill="CCEEFF"/>
            <w:vAlign w:val="bottom"/>
          </w:tcPr>
          <w:p w14:paraId="54E90C35"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C3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C3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162</w:t>
            </w:r>
          </w:p>
        </w:tc>
        <w:tc>
          <w:tcPr>
            <w:tcW w:w="0" w:type="auto"/>
            <w:shd w:val="clear" w:color="auto" w:fill="CCEEFF"/>
            <w:vAlign w:val="bottom"/>
          </w:tcPr>
          <w:p w14:paraId="54E90C38"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C3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C3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(157</w:t>
            </w:r>
          </w:p>
        </w:tc>
        <w:tc>
          <w:tcPr>
            <w:tcW w:w="0" w:type="auto"/>
            <w:shd w:val="clear" w:color="auto" w:fill="CCEEFF"/>
            <w:tcMar>
              <w:top w:w="40" w:type="dxa"/>
              <w:bottom w:w="40" w:type="dxa"/>
              <w:right w:w="40" w:type="dxa"/>
            </w:tcMar>
            <w:vAlign w:val="bottom"/>
          </w:tcPr>
          <w:p w14:paraId="54E90C3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C3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C3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vAlign w:val="bottom"/>
          </w:tcPr>
          <w:p w14:paraId="54E90C3E" w14:textId="77777777" w:rsidR="00F427A3" w:rsidRDefault="00F427A3">
            <w:pPr>
              <w:textAlignment w:val="bottom"/>
              <w:rPr>
                <w:rFonts w:ascii="Times New Roman" w:hAnsi="Times New Roman"/>
                <w:sz w:val="20"/>
                <w:szCs w:val="20"/>
              </w:rPr>
            </w:pPr>
          </w:p>
        </w:tc>
      </w:tr>
      <w:tr w:rsidR="00F427A3" w14:paraId="54E90C5A" w14:textId="77777777">
        <w:tc>
          <w:tcPr>
            <w:tcW w:w="0" w:type="auto"/>
            <w:shd w:val="clear" w:color="auto" w:fill="auto"/>
            <w:tcMar>
              <w:top w:w="40" w:type="dxa"/>
              <w:left w:w="40" w:type="dxa"/>
              <w:bottom w:w="40" w:type="dxa"/>
              <w:right w:w="40" w:type="dxa"/>
            </w:tcMar>
            <w:vAlign w:val="bottom"/>
          </w:tcPr>
          <w:p w14:paraId="54E90C4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Total intangible assets</w:t>
            </w:r>
          </w:p>
        </w:tc>
        <w:tc>
          <w:tcPr>
            <w:tcW w:w="0" w:type="auto"/>
            <w:shd w:val="clear" w:color="auto" w:fill="auto"/>
            <w:tcMar>
              <w:top w:w="40" w:type="dxa"/>
              <w:left w:w="40" w:type="dxa"/>
              <w:bottom w:w="40" w:type="dxa"/>
              <w:right w:w="40" w:type="dxa"/>
            </w:tcMar>
            <w:vAlign w:val="bottom"/>
          </w:tcPr>
          <w:p w14:paraId="54E90C4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C4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C4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C4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5,018</w:t>
            </w:r>
          </w:p>
        </w:tc>
        <w:tc>
          <w:tcPr>
            <w:tcW w:w="0" w:type="auto"/>
            <w:tcBorders>
              <w:top w:val="single" w:sz="8" w:space="0" w:color="000000"/>
              <w:bottom w:val="double" w:sz="6" w:space="0" w:color="000000"/>
            </w:tcBorders>
            <w:shd w:val="clear" w:color="auto" w:fill="auto"/>
            <w:vAlign w:val="bottom"/>
          </w:tcPr>
          <w:p w14:paraId="54E90C45"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C4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C4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C4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(4,274</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4E90C4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0C4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C4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C4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744</w:t>
            </w:r>
          </w:p>
        </w:tc>
        <w:tc>
          <w:tcPr>
            <w:tcW w:w="0" w:type="auto"/>
            <w:tcBorders>
              <w:top w:val="single" w:sz="8" w:space="0" w:color="000000"/>
              <w:bottom w:val="double" w:sz="6" w:space="0" w:color="000000"/>
            </w:tcBorders>
            <w:shd w:val="clear" w:color="auto" w:fill="auto"/>
            <w:vAlign w:val="bottom"/>
          </w:tcPr>
          <w:p w14:paraId="54E90C4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C4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C4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C5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4,816</w:t>
            </w:r>
          </w:p>
        </w:tc>
        <w:tc>
          <w:tcPr>
            <w:tcW w:w="0" w:type="auto"/>
            <w:tcBorders>
              <w:top w:val="single" w:sz="8" w:space="0" w:color="000000"/>
              <w:bottom w:val="double" w:sz="6" w:space="0" w:color="000000"/>
            </w:tcBorders>
            <w:shd w:val="clear" w:color="auto" w:fill="auto"/>
            <w:vAlign w:val="bottom"/>
          </w:tcPr>
          <w:p w14:paraId="54E90C51"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C5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C5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C5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(3,922</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4E90C5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0C5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C5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C5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894</w:t>
            </w:r>
          </w:p>
        </w:tc>
        <w:tc>
          <w:tcPr>
            <w:tcW w:w="0" w:type="auto"/>
            <w:tcBorders>
              <w:top w:val="single" w:sz="8" w:space="0" w:color="000000"/>
              <w:bottom w:val="double" w:sz="6" w:space="0" w:color="000000"/>
            </w:tcBorders>
            <w:shd w:val="clear" w:color="auto" w:fill="auto"/>
            <w:vAlign w:val="bottom"/>
          </w:tcPr>
          <w:p w14:paraId="54E90C59" w14:textId="77777777" w:rsidR="00F427A3" w:rsidRDefault="00F427A3">
            <w:pPr>
              <w:textAlignment w:val="bottom"/>
              <w:rPr>
                <w:rFonts w:ascii="Times New Roman" w:hAnsi="Times New Roman"/>
                <w:sz w:val="20"/>
                <w:szCs w:val="20"/>
              </w:rPr>
            </w:pPr>
          </w:p>
        </w:tc>
      </w:tr>
    </w:tbl>
    <w:p w14:paraId="54E90C5B" w14:textId="77777777" w:rsidR="00F427A3" w:rsidRDefault="00F427A3">
      <w:pPr>
        <w:spacing w:line="288" w:lineRule="auto"/>
        <w:rPr>
          <w:rFonts w:ascii="Times New Roman" w:hAnsi="Times New Roman"/>
          <w:sz w:val="20"/>
          <w:szCs w:val="20"/>
        </w:rPr>
      </w:pPr>
    </w:p>
    <w:p w14:paraId="54E90C5C"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Amortization expense of intangible assets was </w:t>
      </w:r>
      <w:r>
        <w:rPr>
          <w:rFonts w:ascii="Times New Roman" w:eastAsia="宋体" w:hAnsi="Times New Roman"/>
          <w:color w:val="212529"/>
          <w:sz w:val="20"/>
          <w:szCs w:val="20"/>
        </w:rPr>
        <w:t>$123 million</w:t>
      </w:r>
      <w:r>
        <w:rPr>
          <w:rFonts w:ascii="Times New Roman" w:eastAsia="宋体" w:hAnsi="Times New Roman"/>
          <w:sz w:val="20"/>
          <w:szCs w:val="20"/>
        </w:rPr>
        <w:t xml:space="preserve"> and </w:t>
      </w:r>
      <w:r>
        <w:rPr>
          <w:rFonts w:ascii="Times New Roman" w:eastAsia="宋体" w:hAnsi="Times New Roman"/>
          <w:color w:val="212529"/>
          <w:sz w:val="20"/>
          <w:szCs w:val="20"/>
        </w:rPr>
        <w:t>$145 million</w:t>
      </w:r>
      <w:r>
        <w:rPr>
          <w:rFonts w:ascii="Times New Roman" w:eastAsia="宋体" w:hAnsi="Times New Roman"/>
          <w:sz w:val="20"/>
          <w:szCs w:val="20"/>
        </w:rPr>
        <w:t xml:space="preserve"> for the three mont</w:t>
      </w:r>
      <w:r>
        <w:rPr>
          <w:rFonts w:ascii="Times New Roman" w:eastAsia="宋体" w:hAnsi="Times New Roman"/>
          <w:sz w:val="20"/>
          <w:szCs w:val="20"/>
        </w:rPr>
        <w:t xml:space="preserve">hs ended September 30, 2020 and 2019, respectively, and </w:t>
      </w:r>
      <w:r>
        <w:rPr>
          <w:rFonts w:ascii="Times New Roman" w:eastAsia="宋体" w:hAnsi="Times New Roman"/>
          <w:color w:val="212529"/>
          <w:sz w:val="20"/>
          <w:szCs w:val="20"/>
        </w:rPr>
        <w:t>$352 million</w:t>
      </w:r>
      <w:r>
        <w:rPr>
          <w:rFonts w:ascii="Times New Roman" w:eastAsia="宋体" w:hAnsi="Times New Roman"/>
          <w:sz w:val="20"/>
          <w:szCs w:val="20"/>
        </w:rPr>
        <w:t xml:space="preserve"> and </w:t>
      </w:r>
      <w:r>
        <w:rPr>
          <w:rFonts w:ascii="Times New Roman" w:eastAsia="宋体" w:hAnsi="Times New Roman"/>
          <w:color w:val="212529"/>
          <w:sz w:val="20"/>
          <w:szCs w:val="20"/>
        </w:rPr>
        <w:t>$457 million</w:t>
      </w:r>
      <w:r>
        <w:rPr>
          <w:rFonts w:ascii="Times New Roman" w:eastAsia="宋体" w:hAnsi="Times New Roman"/>
          <w:sz w:val="20"/>
          <w:szCs w:val="20"/>
        </w:rPr>
        <w:t xml:space="preserve"> for the nine months ended September 30, 2020 and 2019, respectively.</w:t>
      </w:r>
    </w:p>
    <w:p w14:paraId="54E90C5D"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As of September 30, 2020, expected amortization expense for the unamortized acquired intangible asset</w:t>
      </w:r>
      <w:r>
        <w:rPr>
          <w:rFonts w:ascii="Times New Roman" w:eastAsia="宋体" w:hAnsi="Times New Roman"/>
          <w:sz w:val="20"/>
          <w:szCs w:val="20"/>
        </w:rPr>
        <w:t>s for the next five years and thereafter is as follows (in millions):</w:t>
      </w:r>
    </w:p>
    <w:tbl>
      <w:tblPr>
        <w:tblW w:w="5000" w:type="pct"/>
        <w:tblCellMar>
          <w:left w:w="0" w:type="dxa"/>
          <w:right w:w="0" w:type="dxa"/>
        </w:tblCellMar>
        <w:tblLook w:val="04A0" w:firstRow="1" w:lastRow="0" w:firstColumn="1" w:lastColumn="0" w:noHBand="0" w:noVBand="1"/>
      </w:tblPr>
      <w:tblGrid>
        <w:gridCol w:w="7041"/>
        <w:gridCol w:w="140"/>
        <w:gridCol w:w="1061"/>
        <w:gridCol w:w="64"/>
      </w:tblGrid>
      <w:tr w:rsidR="00F427A3" w14:paraId="54E90C5F" w14:textId="77777777">
        <w:tc>
          <w:tcPr>
            <w:tcW w:w="0" w:type="auto"/>
            <w:gridSpan w:val="4"/>
            <w:shd w:val="clear" w:color="auto" w:fill="auto"/>
            <w:vAlign w:val="center"/>
          </w:tcPr>
          <w:p w14:paraId="54E90C5E" w14:textId="77777777" w:rsidR="00F427A3" w:rsidRDefault="00F427A3">
            <w:pPr>
              <w:rPr>
                <w:rFonts w:ascii="Times New Roman" w:hAnsi="Times New Roman"/>
                <w:sz w:val="20"/>
                <w:szCs w:val="20"/>
              </w:rPr>
            </w:pPr>
          </w:p>
        </w:tc>
      </w:tr>
      <w:tr w:rsidR="00F427A3" w14:paraId="54E90C64" w14:textId="77777777">
        <w:tc>
          <w:tcPr>
            <w:tcW w:w="4250" w:type="pct"/>
            <w:shd w:val="clear" w:color="auto" w:fill="auto"/>
            <w:vAlign w:val="center"/>
          </w:tcPr>
          <w:p w14:paraId="54E90C60" w14:textId="77777777" w:rsidR="00F427A3" w:rsidRDefault="00F427A3">
            <w:pPr>
              <w:rPr>
                <w:rFonts w:ascii="Times New Roman" w:hAnsi="Times New Roman"/>
                <w:sz w:val="20"/>
                <w:szCs w:val="20"/>
              </w:rPr>
            </w:pPr>
          </w:p>
        </w:tc>
        <w:tc>
          <w:tcPr>
            <w:tcW w:w="50" w:type="pct"/>
            <w:shd w:val="clear" w:color="auto" w:fill="auto"/>
            <w:vAlign w:val="center"/>
          </w:tcPr>
          <w:p w14:paraId="54E90C61" w14:textId="77777777" w:rsidR="00F427A3" w:rsidRDefault="00F427A3">
            <w:pPr>
              <w:rPr>
                <w:rFonts w:ascii="Times New Roman" w:hAnsi="Times New Roman"/>
                <w:sz w:val="20"/>
                <w:szCs w:val="20"/>
              </w:rPr>
            </w:pPr>
          </w:p>
        </w:tc>
        <w:tc>
          <w:tcPr>
            <w:tcW w:w="650" w:type="pct"/>
            <w:shd w:val="clear" w:color="auto" w:fill="auto"/>
            <w:vAlign w:val="center"/>
          </w:tcPr>
          <w:p w14:paraId="54E90C62" w14:textId="77777777" w:rsidR="00F427A3" w:rsidRDefault="00F427A3">
            <w:pPr>
              <w:rPr>
                <w:rFonts w:ascii="Times New Roman" w:hAnsi="Times New Roman"/>
                <w:sz w:val="20"/>
                <w:szCs w:val="20"/>
              </w:rPr>
            </w:pPr>
          </w:p>
        </w:tc>
        <w:tc>
          <w:tcPr>
            <w:tcW w:w="50" w:type="pct"/>
            <w:shd w:val="clear" w:color="auto" w:fill="auto"/>
            <w:vAlign w:val="center"/>
          </w:tcPr>
          <w:p w14:paraId="54E90C63" w14:textId="77777777" w:rsidR="00F427A3" w:rsidRDefault="00F427A3">
            <w:pPr>
              <w:rPr>
                <w:rFonts w:ascii="Times New Roman" w:hAnsi="Times New Roman"/>
                <w:sz w:val="20"/>
                <w:szCs w:val="20"/>
              </w:rPr>
            </w:pPr>
          </w:p>
        </w:tc>
      </w:tr>
      <w:tr w:rsidR="00F427A3" w14:paraId="54E90C69" w14:textId="77777777">
        <w:tc>
          <w:tcPr>
            <w:tcW w:w="0" w:type="auto"/>
            <w:shd w:val="clear" w:color="auto" w:fill="CCEEFF"/>
            <w:tcMar>
              <w:top w:w="40" w:type="dxa"/>
              <w:left w:w="40" w:type="dxa"/>
              <w:bottom w:w="40" w:type="dxa"/>
              <w:right w:w="40" w:type="dxa"/>
            </w:tcMar>
          </w:tcPr>
          <w:p w14:paraId="54E90C65"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The remainder of 2020</w:t>
            </w:r>
          </w:p>
        </w:tc>
        <w:tc>
          <w:tcPr>
            <w:tcW w:w="0" w:type="auto"/>
            <w:shd w:val="clear" w:color="auto" w:fill="CCEEFF"/>
            <w:tcMar>
              <w:top w:w="40" w:type="dxa"/>
              <w:left w:w="40" w:type="dxa"/>
              <w:bottom w:w="40" w:type="dxa"/>
            </w:tcMar>
            <w:vAlign w:val="bottom"/>
          </w:tcPr>
          <w:p w14:paraId="54E90C6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C6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120</w:t>
            </w:r>
          </w:p>
        </w:tc>
        <w:tc>
          <w:tcPr>
            <w:tcW w:w="0" w:type="auto"/>
            <w:shd w:val="clear" w:color="auto" w:fill="CCEEFF"/>
            <w:vAlign w:val="bottom"/>
          </w:tcPr>
          <w:p w14:paraId="54E90C68" w14:textId="77777777" w:rsidR="00F427A3" w:rsidRDefault="00F427A3">
            <w:pPr>
              <w:textAlignment w:val="bottom"/>
              <w:rPr>
                <w:rFonts w:ascii="Times New Roman" w:hAnsi="Times New Roman"/>
                <w:sz w:val="20"/>
                <w:szCs w:val="20"/>
              </w:rPr>
            </w:pPr>
          </w:p>
        </w:tc>
      </w:tr>
      <w:tr w:rsidR="00F427A3" w14:paraId="54E90C6D" w14:textId="77777777">
        <w:tc>
          <w:tcPr>
            <w:tcW w:w="0" w:type="auto"/>
            <w:shd w:val="clear" w:color="auto" w:fill="auto"/>
            <w:tcMar>
              <w:top w:w="40" w:type="dxa"/>
              <w:left w:w="40" w:type="dxa"/>
              <w:bottom w:w="40" w:type="dxa"/>
              <w:right w:w="40" w:type="dxa"/>
            </w:tcMar>
          </w:tcPr>
          <w:p w14:paraId="54E90C6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2021</w:t>
            </w:r>
          </w:p>
        </w:tc>
        <w:tc>
          <w:tcPr>
            <w:tcW w:w="0" w:type="auto"/>
            <w:gridSpan w:val="2"/>
            <w:shd w:val="clear" w:color="auto" w:fill="auto"/>
            <w:tcMar>
              <w:top w:w="40" w:type="dxa"/>
              <w:left w:w="40" w:type="dxa"/>
              <w:bottom w:w="40" w:type="dxa"/>
            </w:tcMar>
            <w:vAlign w:val="bottom"/>
          </w:tcPr>
          <w:p w14:paraId="54E90C6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388</w:t>
            </w:r>
          </w:p>
        </w:tc>
        <w:tc>
          <w:tcPr>
            <w:tcW w:w="0" w:type="auto"/>
            <w:shd w:val="clear" w:color="auto" w:fill="auto"/>
            <w:vAlign w:val="bottom"/>
          </w:tcPr>
          <w:p w14:paraId="54E90C6C" w14:textId="77777777" w:rsidR="00F427A3" w:rsidRDefault="00F427A3">
            <w:pPr>
              <w:textAlignment w:val="bottom"/>
              <w:rPr>
                <w:rFonts w:ascii="Times New Roman" w:hAnsi="Times New Roman"/>
                <w:sz w:val="20"/>
                <w:szCs w:val="20"/>
              </w:rPr>
            </w:pPr>
          </w:p>
        </w:tc>
      </w:tr>
      <w:tr w:rsidR="00F427A3" w14:paraId="54E90C71" w14:textId="77777777">
        <w:tc>
          <w:tcPr>
            <w:tcW w:w="0" w:type="auto"/>
            <w:shd w:val="clear" w:color="auto" w:fill="CCEEFF"/>
            <w:tcMar>
              <w:top w:w="40" w:type="dxa"/>
              <w:left w:w="40" w:type="dxa"/>
              <w:bottom w:w="40" w:type="dxa"/>
              <w:right w:w="40" w:type="dxa"/>
            </w:tcMar>
          </w:tcPr>
          <w:p w14:paraId="54E90C6E"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CCEEFF"/>
            <w:tcMar>
              <w:top w:w="40" w:type="dxa"/>
              <w:left w:w="40" w:type="dxa"/>
              <w:bottom w:w="40" w:type="dxa"/>
            </w:tcMar>
            <w:vAlign w:val="bottom"/>
          </w:tcPr>
          <w:p w14:paraId="54E90C6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122</w:t>
            </w:r>
          </w:p>
        </w:tc>
        <w:tc>
          <w:tcPr>
            <w:tcW w:w="0" w:type="auto"/>
            <w:shd w:val="clear" w:color="auto" w:fill="CCEEFF"/>
            <w:vAlign w:val="bottom"/>
          </w:tcPr>
          <w:p w14:paraId="54E90C70" w14:textId="77777777" w:rsidR="00F427A3" w:rsidRDefault="00F427A3">
            <w:pPr>
              <w:textAlignment w:val="bottom"/>
              <w:rPr>
                <w:rFonts w:ascii="Times New Roman" w:hAnsi="Times New Roman"/>
                <w:sz w:val="20"/>
                <w:szCs w:val="20"/>
              </w:rPr>
            </w:pPr>
          </w:p>
        </w:tc>
      </w:tr>
      <w:tr w:rsidR="00F427A3" w14:paraId="54E90C75" w14:textId="77777777">
        <w:tc>
          <w:tcPr>
            <w:tcW w:w="0" w:type="auto"/>
            <w:shd w:val="clear" w:color="auto" w:fill="auto"/>
            <w:tcMar>
              <w:top w:w="40" w:type="dxa"/>
              <w:left w:w="40" w:type="dxa"/>
              <w:bottom w:w="40" w:type="dxa"/>
              <w:right w:w="40" w:type="dxa"/>
            </w:tcMar>
          </w:tcPr>
          <w:p w14:paraId="54E90C72"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auto"/>
            <w:tcMar>
              <w:top w:w="40" w:type="dxa"/>
              <w:left w:w="40" w:type="dxa"/>
              <w:bottom w:w="40" w:type="dxa"/>
            </w:tcMar>
            <w:vAlign w:val="bottom"/>
          </w:tcPr>
          <w:p w14:paraId="54E90C7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shd w:val="clear" w:color="auto" w:fill="auto"/>
            <w:vAlign w:val="bottom"/>
          </w:tcPr>
          <w:p w14:paraId="54E90C74" w14:textId="77777777" w:rsidR="00F427A3" w:rsidRDefault="00F427A3">
            <w:pPr>
              <w:textAlignment w:val="bottom"/>
              <w:rPr>
                <w:rFonts w:ascii="Times New Roman" w:hAnsi="Times New Roman"/>
                <w:sz w:val="20"/>
                <w:szCs w:val="20"/>
              </w:rPr>
            </w:pPr>
          </w:p>
        </w:tc>
      </w:tr>
      <w:tr w:rsidR="00F427A3" w14:paraId="54E90C79" w14:textId="77777777">
        <w:tc>
          <w:tcPr>
            <w:tcW w:w="0" w:type="auto"/>
            <w:shd w:val="clear" w:color="auto" w:fill="CCEEFF"/>
            <w:tcMar>
              <w:top w:w="40" w:type="dxa"/>
              <w:left w:w="40" w:type="dxa"/>
              <w:bottom w:w="40" w:type="dxa"/>
              <w:right w:w="40" w:type="dxa"/>
            </w:tcMar>
          </w:tcPr>
          <w:p w14:paraId="54E90C76"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2024</w:t>
            </w:r>
          </w:p>
        </w:tc>
        <w:tc>
          <w:tcPr>
            <w:tcW w:w="0" w:type="auto"/>
            <w:gridSpan w:val="2"/>
            <w:shd w:val="clear" w:color="auto" w:fill="CCEEFF"/>
            <w:tcMar>
              <w:top w:w="40" w:type="dxa"/>
              <w:left w:w="40" w:type="dxa"/>
              <w:bottom w:w="40" w:type="dxa"/>
            </w:tcMar>
            <w:vAlign w:val="bottom"/>
          </w:tcPr>
          <w:p w14:paraId="54E90C7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CCEEFF"/>
            <w:vAlign w:val="bottom"/>
          </w:tcPr>
          <w:p w14:paraId="54E90C78" w14:textId="77777777" w:rsidR="00F427A3" w:rsidRDefault="00F427A3">
            <w:pPr>
              <w:textAlignment w:val="bottom"/>
              <w:rPr>
                <w:rFonts w:ascii="Times New Roman" w:hAnsi="Times New Roman"/>
                <w:sz w:val="20"/>
                <w:szCs w:val="20"/>
              </w:rPr>
            </w:pPr>
          </w:p>
        </w:tc>
      </w:tr>
      <w:tr w:rsidR="00F427A3" w14:paraId="54E90C7D" w14:textId="77777777">
        <w:tc>
          <w:tcPr>
            <w:tcW w:w="0" w:type="auto"/>
            <w:shd w:val="clear" w:color="auto" w:fill="auto"/>
            <w:tcMar>
              <w:top w:w="40" w:type="dxa"/>
              <w:left w:w="40" w:type="dxa"/>
              <w:bottom w:w="40" w:type="dxa"/>
              <w:right w:w="40" w:type="dxa"/>
            </w:tcMar>
          </w:tcPr>
          <w:p w14:paraId="54E90C7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Thereafter</w:t>
            </w:r>
          </w:p>
        </w:tc>
        <w:tc>
          <w:tcPr>
            <w:tcW w:w="0" w:type="auto"/>
            <w:gridSpan w:val="2"/>
            <w:shd w:val="clear" w:color="auto" w:fill="auto"/>
            <w:tcMar>
              <w:top w:w="40" w:type="dxa"/>
              <w:left w:w="40" w:type="dxa"/>
              <w:bottom w:w="40" w:type="dxa"/>
            </w:tcMar>
            <w:vAlign w:val="bottom"/>
          </w:tcPr>
          <w:p w14:paraId="54E90C7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vAlign w:val="bottom"/>
          </w:tcPr>
          <w:p w14:paraId="54E90C7C" w14:textId="77777777" w:rsidR="00F427A3" w:rsidRDefault="00F427A3">
            <w:pPr>
              <w:textAlignment w:val="bottom"/>
              <w:rPr>
                <w:rFonts w:ascii="Times New Roman" w:hAnsi="Times New Roman"/>
                <w:sz w:val="20"/>
                <w:szCs w:val="20"/>
              </w:rPr>
            </w:pPr>
          </w:p>
        </w:tc>
      </w:tr>
      <w:tr w:rsidR="00F427A3" w14:paraId="54E90C82" w14:textId="77777777">
        <w:tc>
          <w:tcPr>
            <w:tcW w:w="0" w:type="auto"/>
            <w:shd w:val="clear" w:color="auto" w:fill="CCEEFF"/>
            <w:tcMar>
              <w:top w:w="40" w:type="dxa"/>
              <w:left w:w="400" w:type="dxa"/>
              <w:bottom w:w="40" w:type="dxa"/>
              <w:right w:w="40" w:type="dxa"/>
            </w:tcMar>
          </w:tcPr>
          <w:p w14:paraId="54E90C7E"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0C7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0C8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744</w:t>
            </w:r>
          </w:p>
        </w:tc>
        <w:tc>
          <w:tcPr>
            <w:tcW w:w="0" w:type="auto"/>
            <w:tcBorders>
              <w:top w:val="single" w:sz="8" w:space="0" w:color="000000"/>
              <w:bottom w:val="double" w:sz="6" w:space="0" w:color="000000"/>
            </w:tcBorders>
            <w:shd w:val="clear" w:color="auto" w:fill="CCEEFF"/>
            <w:vAlign w:val="bottom"/>
          </w:tcPr>
          <w:p w14:paraId="54E90C81" w14:textId="77777777" w:rsidR="00F427A3" w:rsidRDefault="00F427A3">
            <w:pPr>
              <w:textAlignment w:val="bottom"/>
              <w:rPr>
                <w:rFonts w:ascii="Times New Roman" w:hAnsi="Times New Roman"/>
                <w:sz w:val="20"/>
                <w:szCs w:val="20"/>
              </w:rPr>
            </w:pPr>
          </w:p>
        </w:tc>
      </w:tr>
    </w:tbl>
    <w:p w14:paraId="54E90C83" w14:textId="77777777" w:rsidR="00F427A3" w:rsidRDefault="00F427A3">
      <w:pPr>
        <w:spacing w:line="288" w:lineRule="auto"/>
        <w:rPr>
          <w:rFonts w:ascii="Times New Roman" w:hAnsi="Times New Roman"/>
          <w:sz w:val="20"/>
          <w:szCs w:val="20"/>
        </w:rPr>
      </w:pPr>
    </w:p>
    <w:p w14:paraId="54E90C84" w14:textId="77777777" w:rsidR="00F427A3" w:rsidRDefault="00F427A3">
      <w:pPr>
        <w:spacing w:line="288" w:lineRule="auto"/>
        <w:rPr>
          <w:rFonts w:ascii="Times New Roman" w:hAnsi="Times New Roman"/>
          <w:sz w:val="20"/>
          <w:szCs w:val="20"/>
        </w:rPr>
      </w:pPr>
    </w:p>
    <w:p w14:paraId="54E90C85"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Note 10. Long-term Debt</w:t>
      </w:r>
    </w:p>
    <w:p w14:paraId="54E90C86"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May 2016, we entered into a $2.0 billion senior unsecured revolving credit facility, and any amounts outstanding under this facility will be due and payable on May 20, 2021. As of </w:t>
      </w:r>
      <w:r>
        <w:rPr>
          <w:rFonts w:ascii="Times New Roman" w:eastAsia="宋体" w:hAnsi="Times New Roman"/>
          <w:color w:val="000000"/>
          <w:sz w:val="20"/>
          <w:szCs w:val="20"/>
        </w:rPr>
        <w:t>September 30, 2020</w:t>
      </w:r>
      <w:r>
        <w:rPr>
          <w:rFonts w:ascii="Times New Roman" w:eastAsia="宋体" w:hAnsi="Times New Roman"/>
          <w:sz w:val="20"/>
          <w:szCs w:val="20"/>
        </w:rPr>
        <w:t>, no amounts had been drawn down, and we were in compli</w:t>
      </w:r>
      <w:r>
        <w:rPr>
          <w:rFonts w:ascii="Times New Roman" w:eastAsia="宋体" w:hAnsi="Times New Roman"/>
          <w:sz w:val="20"/>
          <w:szCs w:val="20"/>
        </w:rPr>
        <w:t>ance with the covenants under this facility.</w:t>
      </w:r>
    </w:p>
    <w:p w14:paraId="54E90C87" w14:textId="77777777" w:rsidR="00F427A3" w:rsidRDefault="00F427A3">
      <w:pPr>
        <w:rPr>
          <w:rFonts w:ascii="Times New Roman" w:hAnsi="Times New Roman"/>
          <w:sz w:val="20"/>
          <w:szCs w:val="20"/>
        </w:rPr>
      </w:pPr>
    </w:p>
    <w:p w14:paraId="54E90C88"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23</w:t>
      </w:r>
    </w:p>
    <w:p w14:paraId="54E90C89" w14:textId="77777777" w:rsidR="00F427A3" w:rsidRDefault="0044221F">
      <w:r>
        <w:rPr>
          <w:rFonts w:ascii="Times New Roman" w:hAnsi="Times New Roman"/>
          <w:sz w:val="20"/>
          <w:szCs w:val="20"/>
        </w:rPr>
        <w:pict w14:anchorId="54E91C37">
          <v:rect id="_x0000_i1047" style="width:415.3pt;height:1.5pt" o:hralign="center" o:hrstd="t" o:hr="t" fillcolor="#a0a0a0" stroked="f"/>
        </w:pict>
      </w:r>
    </w:p>
    <w:p w14:paraId="54E90C8A" w14:textId="77777777" w:rsidR="00F427A3" w:rsidRDefault="0044221F">
      <w:pPr>
        <w:spacing w:line="288" w:lineRule="auto"/>
        <w:rPr>
          <w:rFonts w:ascii="Times New Roman" w:hAnsi="Times New Roman"/>
          <w:sz w:val="20"/>
          <w:szCs w:val="20"/>
        </w:rPr>
      </w:pPr>
      <w:hyperlink r:id="rId64" w:anchor="s348EA962CF6D59B599D9921AFA89C381" w:history="1">
        <w:r>
          <w:rPr>
            <w:rStyle w:val="a5"/>
            <w:rFonts w:ascii="Times New Roman" w:eastAsia="宋体" w:hAnsi="Times New Roman"/>
            <w:sz w:val="20"/>
            <w:szCs w:val="20"/>
          </w:rPr>
          <w:t>Table of Contents</w:t>
        </w:r>
      </w:hyperlink>
    </w:p>
    <w:p w14:paraId="54E90C8B" w14:textId="77777777" w:rsidR="00F427A3" w:rsidRDefault="00F427A3">
      <w:pPr>
        <w:rPr>
          <w:rFonts w:ascii="Times New Roman" w:hAnsi="Times New Roman"/>
          <w:sz w:val="20"/>
          <w:szCs w:val="20"/>
        </w:rPr>
      </w:pPr>
    </w:p>
    <w:p w14:paraId="54E90C8C"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 xml:space="preserve">Note 11. Commitments and Contingencies </w:t>
      </w:r>
    </w:p>
    <w:p w14:paraId="54E90C8D" w14:textId="77777777" w:rsidR="00F427A3" w:rsidRDefault="0044221F">
      <w:pPr>
        <w:spacing w:line="288" w:lineRule="auto"/>
        <w:rPr>
          <w:rFonts w:ascii="Times New Roman" w:hAnsi="Times New Roman"/>
          <w:sz w:val="20"/>
          <w:szCs w:val="20"/>
        </w:rPr>
      </w:pPr>
      <w:r>
        <w:rPr>
          <w:rFonts w:ascii="Times New Roman" w:eastAsia="宋体" w:hAnsi="Times New Roman"/>
          <w:b/>
          <w:bCs/>
          <w:i/>
          <w:iCs/>
          <w:sz w:val="20"/>
          <w:szCs w:val="20"/>
        </w:rPr>
        <w:t>Guarantee</w:t>
      </w:r>
    </w:p>
    <w:p w14:paraId="54E90C8E"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In 2018, we established a multi-currency notional cash pool for certain of our entities with a third-party bank provider. Actual cash balances are not physically converted and are not commingled between par</w:t>
      </w:r>
      <w:r>
        <w:rPr>
          <w:rFonts w:ascii="Times New Roman" w:eastAsia="宋体" w:hAnsi="Times New Roman"/>
          <w:sz w:val="20"/>
          <w:szCs w:val="20"/>
        </w:rPr>
        <w:t xml:space="preserve">ticipating legal entities. As part of the notional cash pool agreement, the bank extends overdraft credit to our participating entities as needed, provided that the overall notionally pooled balance of all accounts in the pool at the end of each day is at </w:t>
      </w:r>
      <w:r>
        <w:rPr>
          <w:rFonts w:ascii="Times New Roman" w:eastAsia="宋体" w:hAnsi="Times New Roman"/>
          <w:sz w:val="20"/>
          <w:szCs w:val="20"/>
        </w:rPr>
        <w:t>least zero. In the unlikely event of a default by our collective entities participating in the pool, any overdraft balances incurred would be guaranteed by Facebook, Inc.</w:t>
      </w:r>
    </w:p>
    <w:p w14:paraId="54E90C8F"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Other contractual commitments</w:t>
      </w:r>
    </w:p>
    <w:p w14:paraId="54E90C90"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also have $7.91 billion of non-cancelable contractua</w:t>
      </w:r>
      <w:r>
        <w:rPr>
          <w:rFonts w:ascii="Times New Roman" w:eastAsia="宋体" w:hAnsi="Times New Roman"/>
          <w:sz w:val="20"/>
          <w:szCs w:val="20"/>
        </w:rPr>
        <w:t>l commitments as of September 30, 2020, which are mostly related to our investments in network infrastructure, consumer hardware, content acquisitions and data center operations. The majority of these commitments are due within five years.</w:t>
      </w:r>
    </w:p>
    <w:p w14:paraId="54E90C91" w14:textId="77777777" w:rsidR="00F427A3" w:rsidRDefault="0044221F">
      <w:pPr>
        <w:spacing w:line="288" w:lineRule="auto"/>
        <w:rPr>
          <w:rFonts w:ascii="Times New Roman" w:hAnsi="Times New Roman"/>
          <w:sz w:val="20"/>
          <w:szCs w:val="20"/>
        </w:rPr>
      </w:pPr>
      <w:r>
        <w:rPr>
          <w:rFonts w:ascii="Times New Roman" w:eastAsia="宋体" w:hAnsi="Times New Roman"/>
          <w:b/>
          <w:bCs/>
          <w:i/>
          <w:iCs/>
          <w:sz w:val="20"/>
          <w:szCs w:val="20"/>
        </w:rPr>
        <w:t>Legal Matters</w:t>
      </w:r>
    </w:p>
    <w:p w14:paraId="54E90C92"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Be</w:t>
      </w:r>
      <w:r>
        <w:rPr>
          <w:rFonts w:ascii="Times New Roman" w:eastAsia="宋体" w:hAnsi="Times New Roman"/>
          <w:sz w:val="20"/>
          <w:szCs w:val="20"/>
        </w:rPr>
        <w:t xml:space="preserve">ginning on March 20, 2018, multiple putative class actions and derivative actions were filed in state and federal courts in the United States and elsewhere against us and certain of our directors and officers alleging violations of securities laws, breach </w:t>
      </w:r>
      <w:r>
        <w:rPr>
          <w:rFonts w:ascii="Times New Roman" w:eastAsia="宋体" w:hAnsi="Times New Roman"/>
          <w:sz w:val="20"/>
          <w:szCs w:val="20"/>
        </w:rPr>
        <w:t>of fiduciary duties, and other causes of action in connection with our platform and user data practices as well as the misuse of certain data by a developer that shared such data with third parties in violation of our terms and policies, and seeking unspec</w:t>
      </w:r>
      <w:r>
        <w:rPr>
          <w:rFonts w:ascii="Times New Roman" w:eastAsia="宋体" w:hAnsi="Times New Roman"/>
          <w:sz w:val="20"/>
          <w:szCs w:val="20"/>
        </w:rPr>
        <w:t xml:space="preserve">ified damages and injunctive relief. Beginning on July 27, 2018, two putative class actions were filed in federal court in the United States against us and certain of our directors and officers alleging violations of securities laws in connection with the </w:t>
      </w:r>
      <w:r>
        <w:rPr>
          <w:rFonts w:ascii="Times New Roman" w:eastAsia="宋体" w:hAnsi="Times New Roman"/>
          <w:sz w:val="20"/>
          <w:szCs w:val="20"/>
        </w:rPr>
        <w:t>disclosure of our earnings results for the second quarter of 2018 and seeking unspecified damages. These two actions subsequently were transferred and consolidated in the U.S. District Court for the Northern District of California with the putative securit</w:t>
      </w:r>
      <w:r>
        <w:rPr>
          <w:rFonts w:ascii="Times New Roman" w:eastAsia="宋体" w:hAnsi="Times New Roman"/>
          <w:sz w:val="20"/>
          <w:szCs w:val="20"/>
        </w:rPr>
        <w:t>ies class action described above relating to our platform and user data practices. On September 25, 2019, the district court granted our motion to dismiss the consolidated putative securities class action, with leave to amend. On November 15, 2019, a secon</w:t>
      </w:r>
      <w:r>
        <w:rPr>
          <w:rFonts w:ascii="Times New Roman" w:eastAsia="宋体" w:hAnsi="Times New Roman"/>
          <w:sz w:val="20"/>
          <w:szCs w:val="20"/>
        </w:rPr>
        <w:t>d amended complaint was filed in the consolidated putative securities class action. On August 7, 2020, the district court granted our motion to dismiss the second amended complaint, with leave to amend. On October 16, 2020, a third amended complaint was fi</w:t>
      </w:r>
      <w:r>
        <w:rPr>
          <w:rFonts w:ascii="Times New Roman" w:eastAsia="宋体" w:hAnsi="Times New Roman"/>
          <w:sz w:val="20"/>
          <w:szCs w:val="20"/>
        </w:rPr>
        <w:t xml:space="preserve">led in the consolidated putative securities class action. We believe these lawsuits are without merit, and we are vigorously defending them. In addition, our platform and user data practices, as well as the events surrounding the misuse of certain data by </w:t>
      </w:r>
      <w:r>
        <w:rPr>
          <w:rFonts w:ascii="Times New Roman" w:eastAsia="宋体" w:hAnsi="Times New Roman"/>
          <w:sz w:val="20"/>
          <w:szCs w:val="20"/>
        </w:rPr>
        <w:t xml:space="preserve">a developer, became the subject of U.S. Federal Trade Commission (FTC), state attorneys general, and other government inquiries in the United States, Europe, and other jurisdictions. In July 2019, we entered into a settlement and modified consent order to </w:t>
      </w:r>
      <w:r>
        <w:rPr>
          <w:rFonts w:ascii="Times New Roman" w:eastAsia="宋体" w:hAnsi="Times New Roman"/>
          <w:sz w:val="20"/>
          <w:szCs w:val="20"/>
        </w:rPr>
        <w:t>resolve the FTC inquiry, which was approved by the federal court and took effect in April 2020. Among other matters, our settlement with the FTC required us to pay a penalty of $5.0 billion which was paid in April 2020 upon the effectiveness of the modifie</w:t>
      </w:r>
      <w:r>
        <w:rPr>
          <w:rFonts w:ascii="Times New Roman" w:eastAsia="宋体" w:hAnsi="Times New Roman"/>
          <w:sz w:val="20"/>
          <w:szCs w:val="20"/>
        </w:rPr>
        <w:t>d consent order.</w:t>
      </w:r>
    </w:p>
    <w:p w14:paraId="54E90C93"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On April 1, 2015, a putative class action was filed against us in the U.S. District Court for the Northern District of California by Facebook users alleging that the "tag suggestions" facial recognition feature violates the Illinois Biomet</w:t>
      </w:r>
      <w:r>
        <w:rPr>
          <w:rFonts w:ascii="Times New Roman" w:eastAsia="宋体" w:hAnsi="Times New Roman"/>
          <w:sz w:val="20"/>
          <w:szCs w:val="20"/>
        </w:rPr>
        <w:t>ric Information Privacy Act, and seeking statutory damages and injunctive relief. On April 16, 2018, the district court certified a class of Illinois residents, and on May 14, 2018, the district court denied both parties' motions for summary judgment. On M</w:t>
      </w:r>
      <w:r>
        <w:rPr>
          <w:rFonts w:ascii="Times New Roman" w:eastAsia="宋体" w:hAnsi="Times New Roman"/>
          <w:sz w:val="20"/>
          <w:szCs w:val="20"/>
        </w:rPr>
        <w:t>ay 29, 2018, the U.S. Court of Appeals for the Ninth Circuit granted our petition for review of the class certification order and stayed the proceeding. On August 8, 2019, the Ninth Circuit affirmed the class certification order. On December 2, 2019, we fi</w:t>
      </w:r>
      <w:r>
        <w:rPr>
          <w:rFonts w:ascii="Times New Roman" w:eastAsia="宋体" w:hAnsi="Times New Roman"/>
          <w:sz w:val="20"/>
          <w:szCs w:val="20"/>
        </w:rPr>
        <w:t>led a petition with the U.S. Supreme Court seeking review of the decision of the Ninth Circuit, which was denied. On January 15, 2020, the parties agreed to a settlement in principle to resolve the lawsuit, which provided for a payment of $550 million by u</w:t>
      </w:r>
      <w:r>
        <w:rPr>
          <w:rFonts w:ascii="Times New Roman" w:eastAsia="宋体" w:hAnsi="Times New Roman"/>
          <w:sz w:val="20"/>
          <w:szCs w:val="20"/>
        </w:rPr>
        <w:t>s and was subject to court approval. On or about May 8, 2020, the parties executed a formal settlement agreement, and plaintiffs filed a motion for preliminary approval of the settlement by the district court. On June 4, 2020, the district court denied the</w:t>
      </w:r>
      <w:r>
        <w:rPr>
          <w:rFonts w:ascii="Times New Roman" w:eastAsia="宋体" w:hAnsi="Times New Roman"/>
          <w:sz w:val="20"/>
          <w:szCs w:val="20"/>
        </w:rPr>
        <w:t xml:space="preserve"> plaintiffs' motion without prejudice. On July 22, 2020, the parties executed an amended settlement agreement, which, among other terms, provides for a payment of $650 million by us. On August 19, 2020, the court granted preliminary approval of the settlem</w:t>
      </w:r>
      <w:r>
        <w:rPr>
          <w:rFonts w:ascii="Times New Roman" w:eastAsia="宋体" w:hAnsi="Times New Roman"/>
          <w:sz w:val="20"/>
          <w:szCs w:val="20"/>
        </w:rPr>
        <w:t>ent. The settlement is subject to final court approval. The settlement amount is reflected in accrued expenses and other current liabilities on our condensed consolidated balance sheet as of September 30, 2020.</w:t>
      </w:r>
    </w:p>
    <w:p w14:paraId="54E90C94"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Beginning on September 28, 2018, multiple put</w:t>
      </w:r>
      <w:r>
        <w:rPr>
          <w:rFonts w:ascii="Times New Roman" w:eastAsia="宋体" w:hAnsi="Times New Roman"/>
          <w:sz w:val="20"/>
          <w:szCs w:val="20"/>
        </w:rPr>
        <w:t>ative class actions were filed in state and federal courts in the United States and elsewhere against us alleging violations of consumer protection laws and other causes of action in connection with a third-party cyber-attack that exploited a vulnerability</w:t>
      </w:r>
      <w:r>
        <w:rPr>
          <w:rFonts w:ascii="Times New Roman" w:eastAsia="宋体" w:hAnsi="Times New Roman"/>
          <w:sz w:val="20"/>
          <w:szCs w:val="20"/>
        </w:rPr>
        <w:t xml:space="preserve"> in Facebook's code to steal user access tokens and access certain profile information from user accounts on Facebook, and seeking unspecified damages and injunctive relief. The actions filed in the </w:t>
      </w:r>
    </w:p>
    <w:p w14:paraId="54E90C95" w14:textId="77777777" w:rsidR="00F427A3" w:rsidRDefault="00F427A3">
      <w:pPr>
        <w:rPr>
          <w:rFonts w:ascii="Times New Roman" w:hAnsi="Times New Roman"/>
          <w:sz w:val="20"/>
          <w:szCs w:val="20"/>
        </w:rPr>
      </w:pPr>
    </w:p>
    <w:p w14:paraId="54E90C96"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24</w:t>
      </w:r>
    </w:p>
    <w:p w14:paraId="54E90C97" w14:textId="77777777" w:rsidR="00F427A3" w:rsidRDefault="0044221F">
      <w:r>
        <w:rPr>
          <w:rFonts w:ascii="Times New Roman" w:hAnsi="Times New Roman"/>
          <w:sz w:val="20"/>
          <w:szCs w:val="20"/>
        </w:rPr>
        <w:pict w14:anchorId="54E91C38">
          <v:rect id="_x0000_i1048" style="width:415.3pt;height:1.5pt" o:hralign="center" o:hrstd="t" o:hr="t" fillcolor="#a0a0a0" stroked="f"/>
        </w:pict>
      </w:r>
    </w:p>
    <w:p w14:paraId="54E90C98" w14:textId="77777777" w:rsidR="00F427A3" w:rsidRDefault="0044221F">
      <w:pPr>
        <w:spacing w:line="288" w:lineRule="auto"/>
        <w:rPr>
          <w:rFonts w:ascii="Times New Roman" w:hAnsi="Times New Roman"/>
          <w:sz w:val="20"/>
          <w:szCs w:val="20"/>
        </w:rPr>
      </w:pPr>
      <w:hyperlink r:id="rId65" w:anchor="s348EA962CF6D59B599D9921AFA89C381" w:history="1">
        <w:r>
          <w:rPr>
            <w:rStyle w:val="a5"/>
            <w:rFonts w:ascii="Times New Roman" w:eastAsia="宋体" w:hAnsi="Times New Roman"/>
            <w:sz w:val="20"/>
            <w:szCs w:val="20"/>
          </w:rPr>
          <w:t>Table of Contents</w:t>
        </w:r>
      </w:hyperlink>
    </w:p>
    <w:p w14:paraId="54E90C99" w14:textId="77777777" w:rsidR="00F427A3" w:rsidRDefault="00F427A3">
      <w:pPr>
        <w:rPr>
          <w:rFonts w:ascii="Times New Roman" w:hAnsi="Times New Roman"/>
          <w:sz w:val="20"/>
          <w:szCs w:val="20"/>
        </w:rPr>
      </w:pPr>
    </w:p>
    <w:p w14:paraId="54E90C9A" w14:textId="77777777" w:rsidR="00F427A3" w:rsidRDefault="0044221F">
      <w:pPr>
        <w:spacing w:line="288" w:lineRule="auto"/>
        <w:jc w:val="both"/>
        <w:rPr>
          <w:rFonts w:ascii="Times New Roman" w:hAnsi="Times New Roman"/>
          <w:sz w:val="20"/>
          <w:szCs w:val="20"/>
        </w:rPr>
      </w:pPr>
      <w:r>
        <w:rPr>
          <w:rFonts w:ascii="Times New Roman" w:eastAsia="宋体" w:hAnsi="Times New Roman"/>
          <w:sz w:val="20"/>
          <w:szCs w:val="20"/>
        </w:rPr>
        <w:t>United States were consolidated in the U.S. District Court for the Northern District of California. On November 26, 2019, the district</w:t>
      </w:r>
      <w:r>
        <w:rPr>
          <w:rFonts w:ascii="Times New Roman" w:eastAsia="宋体" w:hAnsi="Times New Roman"/>
          <w:sz w:val="20"/>
          <w:szCs w:val="20"/>
        </w:rPr>
        <w:t xml:space="preserve"> court certified a class for injunctive relief purposes but denied certification of a class for purposes of pursuing damages. On January 16, 2020, the parties agreed to a settlement in principle to resolve the lawsuit. The settlement is subject to court ap</w:t>
      </w:r>
      <w:r>
        <w:rPr>
          <w:rFonts w:ascii="Times New Roman" w:eastAsia="宋体" w:hAnsi="Times New Roman"/>
          <w:sz w:val="20"/>
          <w:szCs w:val="20"/>
        </w:rPr>
        <w:t xml:space="preserve">proval. We believe the remaining lawsuits are without merit, and we are vigorously defending them. In addition, the events surrounding this cyber-attack became the subject of Irish Data Protection Commission (IDPC) and other government inquiries. </w:t>
      </w:r>
    </w:p>
    <w:p w14:paraId="54E90C9B"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From tim</w:t>
      </w:r>
      <w:r>
        <w:rPr>
          <w:rFonts w:ascii="Times New Roman" w:eastAsia="宋体" w:hAnsi="Times New Roman"/>
          <w:sz w:val="20"/>
          <w:szCs w:val="20"/>
        </w:rPr>
        <w:t>e to time we also notify the IDPC, our designated European privacy regulator under the General Data Protection Regulation, of certain other personal data breaches and privacy issues, and are subject to inquiries and investigations regarding various aspects</w:t>
      </w:r>
      <w:r>
        <w:rPr>
          <w:rFonts w:ascii="Times New Roman" w:eastAsia="宋体" w:hAnsi="Times New Roman"/>
          <w:sz w:val="20"/>
          <w:szCs w:val="20"/>
        </w:rPr>
        <w:t xml:space="preserve"> of our regulatory compliance. Although we are vigorously defending our regulatory compliance, we believe there is a reasonable possibility that the ultimate potential loss related to the inquiries and investigations by the IDPC could be material in the ag</w:t>
      </w:r>
      <w:r>
        <w:rPr>
          <w:rFonts w:ascii="Times New Roman" w:eastAsia="宋体" w:hAnsi="Times New Roman"/>
          <w:sz w:val="20"/>
          <w:szCs w:val="20"/>
        </w:rPr>
        <w:t>gregate.</w:t>
      </w:r>
    </w:p>
    <w:p w14:paraId="54E90C9C"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from time to time, we are subject to litigation and other proceedings involving law enforcement and other regulatory agencies, including in particular in Brazil and Europe, in order to ascertain the precise scope of our legal obligati</w:t>
      </w:r>
      <w:r>
        <w:rPr>
          <w:rFonts w:ascii="Times New Roman" w:eastAsia="宋体" w:hAnsi="Times New Roman"/>
          <w:sz w:val="20"/>
          <w:szCs w:val="20"/>
        </w:rPr>
        <w:t xml:space="preserve">ons to comply with the requests of those agencies, including our obligation to disclose user information in particular circumstances. A number of such instances have resulted in the assessment of fines and penalties against us. We believe we have multiple </w:t>
      </w:r>
      <w:r>
        <w:rPr>
          <w:rFonts w:ascii="Times New Roman" w:eastAsia="宋体" w:hAnsi="Times New Roman"/>
          <w:sz w:val="20"/>
          <w:szCs w:val="20"/>
        </w:rPr>
        <w:t xml:space="preserve">legal grounds to satisfy these requests or prevail against associated fines and penalties, and we intend to vigorously defend such fines and penalties. </w:t>
      </w:r>
    </w:p>
    <w:p w14:paraId="54E90C9D"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With respect to the cases, actions, and inquiries described above, we evaluate the associated developme</w:t>
      </w:r>
      <w:r>
        <w:rPr>
          <w:rFonts w:ascii="Times New Roman" w:eastAsia="宋体" w:hAnsi="Times New Roman"/>
          <w:sz w:val="20"/>
          <w:szCs w:val="20"/>
        </w:rPr>
        <w:t>nts on a regular basis and accrue a liability when we believe a loss is probable and the amount can be reasonably estimated. In addition, we believe there is a reasonable possibility that we may incur a loss in some of these matters. With respect to the ma</w:t>
      </w:r>
      <w:r>
        <w:rPr>
          <w:rFonts w:ascii="Times New Roman" w:eastAsia="宋体" w:hAnsi="Times New Roman"/>
          <w:sz w:val="20"/>
          <w:szCs w:val="20"/>
        </w:rPr>
        <w:t>tters described above that do not include an estimate of the amount of loss or range of possible loss, such losses or range of possible losses either cannot be estimated or are not individually material, but we believe there is a reasonable possibility tha</w:t>
      </w:r>
      <w:r>
        <w:rPr>
          <w:rFonts w:ascii="Times New Roman" w:eastAsia="宋体" w:hAnsi="Times New Roman"/>
          <w:sz w:val="20"/>
          <w:szCs w:val="20"/>
        </w:rPr>
        <w:t>t they may be material in the aggregate.</w:t>
      </w:r>
    </w:p>
    <w:p w14:paraId="54E90C9E"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are also party to various other legal proceedings, claims, and regulatory, tax or government inquiries and investigations that arise in the ordinary course of business. Additionally, we are required to comply wit</w:t>
      </w:r>
      <w:r>
        <w:rPr>
          <w:rFonts w:ascii="Times New Roman" w:eastAsia="宋体" w:hAnsi="Times New Roman"/>
          <w:sz w:val="20"/>
          <w:szCs w:val="20"/>
        </w:rPr>
        <w:t>h various legal and regulatory obligations around the world. The requirements for complying with these obligations may be uncertain and subject to interpretation and enforcement by regulatory and other authorities, and any failure to comply with such oblig</w:t>
      </w:r>
      <w:r>
        <w:rPr>
          <w:rFonts w:ascii="Times New Roman" w:eastAsia="宋体" w:hAnsi="Times New Roman"/>
          <w:sz w:val="20"/>
          <w:szCs w:val="20"/>
        </w:rPr>
        <w:t xml:space="preserve">ations could eventually lead to asserted legal or regulatory action. With respect to these other matters, asserted and unasserted, we evaluate the associated developments on a regular basis and accrue a liability when we believe a loss is probable and the </w:t>
      </w:r>
      <w:r>
        <w:rPr>
          <w:rFonts w:ascii="Times New Roman" w:eastAsia="宋体" w:hAnsi="Times New Roman"/>
          <w:sz w:val="20"/>
          <w:szCs w:val="20"/>
        </w:rPr>
        <w:t>amount can be reasonably estimated. In addition, we believe there is a reasonable possibility that we may incur a loss in some of these other matters. We believe that the amount of losses or any estimable range of possible losses with respect to these othe</w:t>
      </w:r>
      <w:r>
        <w:rPr>
          <w:rFonts w:ascii="Times New Roman" w:eastAsia="宋体" w:hAnsi="Times New Roman"/>
          <w:sz w:val="20"/>
          <w:szCs w:val="20"/>
        </w:rPr>
        <w:t xml:space="preserve">r matters will not, either individually or in the aggregate, have a material adverse effect on our business and condensed consolidated financial statements. </w:t>
      </w:r>
    </w:p>
    <w:p w14:paraId="54E90C9F" w14:textId="77777777" w:rsidR="00F427A3" w:rsidRDefault="00F427A3">
      <w:pPr>
        <w:spacing w:line="288" w:lineRule="auto"/>
        <w:ind w:firstLine="720"/>
        <w:jc w:val="both"/>
        <w:rPr>
          <w:rFonts w:ascii="Times New Roman" w:hAnsi="Times New Roman"/>
          <w:sz w:val="20"/>
          <w:szCs w:val="20"/>
        </w:rPr>
      </w:pPr>
    </w:p>
    <w:p w14:paraId="54E90CA0"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ultimate outcome of the legal matters described in this section, such as whether the </w:t>
      </w:r>
      <w:r>
        <w:rPr>
          <w:rFonts w:ascii="Times New Roman" w:eastAsia="宋体" w:hAnsi="Times New Roman"/>
          <w:sz w:val="20"/>
          <w:szCs w:val="20"/>
        </w:rPr>
        <w:t>likelihood of loss is remote, reasonably possible, or probable, or if and when the reasonably possible range of loss is estimable, is inherently uncertain. Therefore, if one or more of these matters were resolved against us for amounts in excess of managem</w:t>
      </w:r>
      <w:r>
        <w:rPr>
          <w:rFonts w:ascii="Times New Roman" w:eastAsia="宋体" w:hAnsi="Times New Roman"/>
          <w:sz w:val="20"/>
          <w:szCs w:val="20"/>
        </w:rPr>
        <w:t>ent's estimates of loss, our results of operations and financial condition, including in a particular reporting period in which any such outcome becomes probable and estimable, could be materially adversely affected.</w:t>
      </w:r>
    </w:p>
    <w:p w14:paraId="54E90CA1" w14:textId="77777777" w:rsidR="00F427A3" w:rsidRDefault="00F427A3">
      <w:pPr>
        <w:spacing w:line="288" w:lineRule="auto"/>
        <w:ind w:firstLine="720"/>
        <w:rPr>
          <w:rFonts w:ascii="Times New Roman" w:hAnsi="Times New Roman"/>
          <w:sz w:val="20"/>
          <w:szCs w:val="20"/>
        </w:rPr>
      </w:pPr>
    </w:p>
    <w:p w14:paraId="54E90CA2" w14:textId="77777777" w:rsidR="00F427A3" w:rsidRDefault="0044221F">
      <w:pPr>
        <w:spacing w:line="288" w:lineRule="auto"/>
        <w:ind w:firstLine="720"/>
        <w:rPr>
          <w:rFonts w:ascii="Times New Roman" w:hAnsi="Times New Roman"/>
          <w:sz w:val="20"/>
          <w:szCs w:val="20"/>
        </w:rPr>
      </w:pPr>
      <w:r>
        <w:rPr>
          <w:rFonts w:ascii="Times New Roman" w:eastAsia="宋体" w:hAnsi="Times New Roman"/>
          <w:sz w:val="20"/>
          <w:szCs w:val="20"/>
        </w:rPr>
        <w:t>For information regarding income tax c</w:t>
      </w:r>
      <w:r>
        <w:rPr>
          <w:rFonts w:ascii="Times New Roman" w:eastAsia="宋体" w:hAnsi="Times New Roman"/>
          <w:sz w:val="20"/>
          <w:szCs w:val="20"/>
        </w:rPr>
        <w:t>ontingencies, see Note 13 — Income Taxes.</w:t>
      </w:r>
    </w:p>
    <w:p w14:paraId="54E90CA3" w14:textId="77777777" w:rsidR="00F427A3" w:rsidRDefault="0044221F">
      <w:pPr>
        <w:spacing w:line="288" w:lineRule="auto"/>
        <w:rPr>
          <w:rFonts w:ascii="Times New Roman" w:hAnsi="Times New Roman"/>
          <w:sz w:val="20"/>
          <w:szCs w:val="20"/>
        </w:rPr>
      </w:pPr>
      <w:r>
        <w:rPr>
          <w:rFonts w:ascii="Times New Roman" w:eastAsia="宋体" w:hAnsi="Times New Roman"/>
          <w:b/>
          <w:bCs/>
          <w:i/>
          <w:iCs/>
          <w:sz w:val="20"/>
          <w:szCs w:val="20"/>
        </w:rPr>
        <w:t>Indemnifications</w:t>
      </w:r>
    </w:p>
    <w:p w14:paraId="54E90CA4" w14:textId="77777777" w:rsidR="00F427A3" w:rsidRDefault="00F427A3">
      <w:pPr>
        <w:spacing w:line="288" w:lineRule="auto"/>
        <w:rPr>
          <w:rFonts w:ascii="Times New Roman" w:hAnsi="Times New Roman"/>
          <w:sz w:val="20"/>
          <w:szCs w:val="20"/>
        </w:rPr>
      </w:pPr>
    </w:p>
    <w:p w14:paraId="54E90CA5"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the normal course of business, to facilitate transactions of services and products, we have agreed to indemnify certain parties with respect to certain matters. We have agreed to hold </w:t>
      </w:r>
      <w:r>
        <w:rPr>
          <w:rFonts w:ascii="Times New Roman" w:eastAsia="宋体" w:hAnsi="Times New Roman"/>
          <w:sz w:val="20"/>
          <w:szCs w:val="20"/>
        </w:rPr>
        <w:t>certain parties harmless against losses arising from a breach of representations or covenants, or out of intellectual property infringement or other claims made by third parties. These agreements may limit the time within which an indemnification claim can</w:t>
      </w:r>
      <w:r>
        <w:rPr>
          <w:rFonts w:ascii="Times New Roman" w:eastAsia="宋体" w:hAnsi="Times New Roman"/>
          <w:sz w:val="20"/>
          <w:szCs w:val="20"/>
        </w:rPr>
        <w:t xml:space="preserve"> be made and the amount of the claim. In addition, we have entered into indemnification agreements with our officers, directors, and certain employees, and our certificate of incorporation and bylaws contain similar indemnification obligations.</w:t>
      </w:r>
    </w:p>
    <w:p w14:paraId="54E90CA6" w14:textId="77777777" w:rsidR="00F427A3" w:rsidRDefault="00F427A3">
      <w:pPr>
        <w:spacing w:line="288" w:lineRule="auto"/>
        <w:jc w:val="both"/>
        <w:rPr>
          <w:rFonts w:ascii="Times New Roman" w:hAnsi="Times New Roman"/>
          <w:sz w:val="20"/>
          <w:szCs w:val="20"/>
        </w:rPr>
      </w:pPr>
    </w:p>
    <w:p w14:paraId="54E90CA7"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It is not </w:t>
      </w:r>
      <w:r>
        <w:rPr>
          <w:rFonts w:ascii="Times New Roman" w:eastAsia="宋体" w:hAnsi="Times New Roman"/>
          <w:sz w:val="20"/>
          <w:szCs w:val="20"/>
        </w:rPr>
        <w:t>possible to determine the maximum potential amount under these indemnification agreements due to the limited history of prior indemnification claims and the unique facts and circumstances involved in each particular agreement. Historically, payments made b</w:t>
      </w:r>
      <w:r>
        <w:rPr>
          <w:rFonts w:ascii="Times New Roman" w:eastAsia="宋体" w:hAnsi="Times New Roman"/>
          <w:sz w:val="20"/>
          <w:szCs w:val="20"/>
        </w:rPr>
        <w:t xml:space="preserve">y us under these agreements have not had a material impact on our consolidated financial statements. In our opinion, as of September 30, 2020, there was not at least a reasonable possibility we had incurred a material loss with respect </w:t>
      </w:r>
    </w:p>
    <w:p w14:paraId="54E90CA8" w14:textId="77777777" w:rsidR="00F427A3" w:rsidRDefault="00F427A3">
      <w:pPr>
        <w:rPr>
          <w:rFonts w:ascii="Times New Roman" w:hAnsi="Times New Roman"/>
          <w:sz w:val="20"/>
          <w:szCs w:val="20"/>
        </w:rPr>
      </w:pPr>
    </w:p>
    <w:p w14:paraId="54E90CA9"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25</w:t>
      </w:r>
    </w:p>
    <w:p w14:paraId="54E90CAA" w14:textId="77777777" w:rsidR="00F427A3" w:rsidRDefault="0044221F">
      <w:r>
        <w:rPr>
          <w:rFonts w:ascii="Times New Roman" w:hAnsi="Times New Roman"/>
          <w:sz w:val="20"/>
          <w:szCs w:val="20"/>
        </w:rPr>
        <w:pict w14:anchorId="54E91C39">
          <v:rect id="_x0000_i1049" style="width:415.3pt;height:1.5pt" o:hralign="center" o:hrstd="t" o:hr="t" fillcolor="#a0a0a0" stroked="f"/>
        </w:pict>
      </w:r>
    </w:p>
    <w:p w14:paraId="54E90CAB" w14:textId="77777777" w:rsidR="00F427A3" w:rsidRDefault="0044221F">
      <w:pPr>
        <w:spacing w:line="288" w:lineRule="auto"/>
        <w:rPr>
          <w:rFonts w:ascii="Times New Roman" w:hAnsi="Times New Roman"/>
          <w:sz w:val="20"/>
          <w:szCs w:val="20"/>
        </w:rPr>
      </w:pPr>
      <w:hyperlink r:id="rId66" w:anchor="s348EA962CF6D59B599D9921AFA89C381" w:history="1">
        <w:r>
          <w:rPr>
            <w:rStyle w:val="a5"/>
            <w:rFonts w:ascii="Times New Roman" w:eastAsia="宋体" w:hAnsi="Times New Roman"/>
            <w:sz w:val="20"/>
            <w:szCs w:val="20"/>
          </w:rPr>
          <w:t>Table of Contents</w:t>
        </w:r>
      </w:hyperlink>
    </w:p>
    <w:p w14:paraId="54E90CAC" w14:textId="77777777" w:rsidR="00F427A3" w:rsidRDefault="00F427A3">
      <w:pPr>
        <w:rPr>
          <w:rFonts w:ascii="Times New Roman" w:hAnsi="Times New Roman"/>
          <w:sz w:val="20"/>
          <w:szCs w:val="20"/>
        </w:rPr>
      </w:pPr>
    </w:p>
    <w:p w14:paraId="54E90CAD" w14:textId="77777777" w:rsidR="00F427A3" w:rsidRDefault="0044221F">
      <w:pPr>
        <w:spacing w:line="288" w:lineRule="auto"/>
        <w:jc w:val="both"/>
        <w:rPr>
          <w:rFonts w:ascii="Times New Roman" w:hAnsi="Times New Roman"/>
          <w:sz w:val="20"/>
          <w:szCs w:val="20"/>
        </w:rPr>
      </w:pPr>
      <w:r>
        <w:rPr>
          <w:rFonts w:ascii="Times New Roman" w:eastAsia="宋体" w:hAnsi="Times New Roman"/>
          <w:sz w:val="20"/>
          <w:szCs w:val="20"/>
        </w:rPr>
        <w:t>to indemnification of such parties. We have not recorded any liability for costs related to indem</w:t>
      </w:r>
      <w:r>
        <w:rPr>
          <w:rFonts w:ascii="Times New Roman" w:eastAsia="宋体" w:hAnsi="Times New Roman"/>
          <w:sz w:val="20"/>
          <w:szCs w:val="20"/>
        </w:rPr>
        <w:t>nification through September 30, 2020.</w:t>
      </w:r>
    </w:p>
    <w:p w14:paraId="54E90CAE" w14:textId="77777777" w:rsidR="00F427A3" w:rsidRDefault="00F427A3">
      <w:pPr>
        <w:spacing w:line="288" w:lineRule="auto"/>
        <w:ind w:firstLine="720"/>
        <w:rPr>
          <w:rFonts w:ascii="Times New Roman" w:hAnsi="Times New Roman"/>
          <w:sz w:val="20"/>
          <w:szCs w:val="20"/>
        </w:rPr>
      </w:pPr>
    </w:p>
    <w:p w14:paraId="54E90CAF"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Note 12. Stockholders' Equity</w:t>
      </w:r>
    </w:p>
    <w:p w14:paraId="54E90CB0" w14:textId="77777777" w:rsidR="00F427A3" w:rsidRDefault="0044221F">
      <w:pPr>
        <w:spacing w:line="288" w:lineRule="auto"/>
        <w:rPr>
          <w:rFonts w:ascii="Times New Roman" w:hAnsi="Times New Roman"/>
          <w:sz w:val="20"/>
          <w:szCs w:val="20"/>
        </w:rPr>
      </w:pPr>
      <w:r>
        <w:rPr>
          <w:rFonts w:ascii="Times New Roman" w:eastAsia="宋体" w:hAnsi="Times New Roman"/>
          <w:b/>
          <w:bCs/>
          <w:i/>
          <w:iCs/>
          <w:sz w:val="20"/>
          <w:szCs w:val="20"/>
        </w:rPr>
        <w:t>Share Repurchase Program</w:t>
      </w:r>
    </w:p>
    <w:p w14:paraId="54E90CB1"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board of directors has authorized a share repurchase program of our Class A common stock, which does not have an expiration date. As of December 31, 2019, </w:t>
      </w:r>
      <w:r>
        <w:rPr>
          <w:rFonts w:ascii="Times New Roman" w:eastAsia="宋体" w:hAnsi="Times New Roman"/>
          <w:color w:val="212529"/>
          <w:sz w:val="20"/>
          <w:szCs w:val="20"/>
        </w:rPr>
        <w:t>$4</w:t>
      </w:r>
      <w:r>
        <w:rPr>
          <w:rFonts w:ascii="Times New Roman" w:eastAsia="宋体" w:hAnsi="Times New Roman"/>
          <w:color w:val="212529"/>
          <w:sz w:val="20"/>
          <w:szCs w:val="20"/>
        </w:rPr>
        <w:t>.90 billion</w:t>
      </w:r>
      <w:r>
        <w:rPr>
          <w:rFonts w:ascii="Times New Roman" w:eastAsia="宋体" w:hAnsi="Times New Roman"/>
          <w:sz w:val="20"/>
          <w:szCs w:val="20"/>
        </w:rPr>
        <w:t xml:space="preserve"> remained available and authorized for repurchases. In January 2020, an additional </w:t>
      </w:r>
      <w:r>
        <w:rPr>
          <w:rFonts w:ascii="Times New Roman" w:eastAsia="宋体" w:hAnsi="Times New Roman"/>
          <w:color w:val="212529"/>
          <w:sz w:val="20"/>
          <w:szCs w:val="20"/>
        </w:rPr>
        <w:t>$10.0 billion</w:t>
      </w:r>
      <w:r>
        <w:rPr>
          <w:rFonts w:ascii="Times New Roman" w:eastAsia="宋体" w:hAnsi="Times New Roman"/>
          <w:sz w:val="20"/>
          <w:szCs w:val="20"/>
        </w:rPr>
        <w:t xml:space="preserve"> of repurchases was authorized under this program. During the nine months ended September 30, 2020, we repurchased and subsequently retired 20 millio</w:t>
      </w:r>
      <w:r>
        <w:rPr>
          <w:rFonts w:ascii="Times New Roman" w:eastAsia="宋体" w:hAnsi="Times New Roman"/>
          <w:sz w:val="20"/>
          <w:szCs w:val="20"/>
        </w:rPr>
        <w:t xml:space="preserve">n shares of our Class A common stock for an aggregate amount of </w:t>
      </w:r>
      <w:r>
        <w:rPr>
          <w:rFonts w:ascii="Times New Roman" w:eastAsia="宋体" w:hAnsi="Times New Roman"/>
          <w:color w:val="212529"/>
          <w:sz w:val="20"/>
          <w:szCs w:val="20"/>
        </w:rPr>
        <w:t>$4.36 billion</w:t>
      </w:r>
      <w:r>
        <w:rPr>
          <w:rFonts w:ascii="Times New Roman" w:eastAsia="宋体" w:hAnsi="Times New Roman"/>
          <w:sz w:val="20"/>
          <w:szCs w:val="20"/>
        </w:rPr>
        <w:t xml:space="preserve">. As of September 30, 2020, </w:t>
      </w:r>
      <w:r>
        <w:rPr>
          <w:rFonts w:ascii="Times New Roman" w:eastAsia="宋体" w:hAnsi="Times New Roman"/>
          <w:color w:val="212529"/>
          <w:sz w:val="20"/>
          <w:szCs w:val="20"/>
        </w:rPr>
        <w:t>$10.55 billion</w:t>
      </w:r>
      <w:r>
        <w:rPr>
          <w:rFonts w:ascii="Times New Roman" w:eastAsia="宋体" w:hAnsi="Times New Roman"/>
          <w:sz w:val="20"/>
          <w:szCs w:val="20"/>
        </w:rPr>
        <w:t xml:space="preserve"> remained available and authorized for repurchases.</w:t>
      </w:r>
    </w:p>
    <w:p w14:paraId="54E90CB2"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timing and actual number of shares repurchased under the repurchase program depen</w:t>
      </w:r>
      <w:r>
        <w:rPr>
          <w:rFonts w:ascii="Times New Roman" w:eastAsia="宋体" w:hAnsi="Times New Roman"/>
          <w:sz w:val="20"/>
          <w:szCs w:val="20"/>
        </w:rPr>
        <w:t>d on a variety of factors, including price, general business and market conditions, and other investment opportunities, and shares may be repurchased through open market purchases or privately negotiated transactions, including through the use of trading p</w:t>
      </w:r>
      <w:r>
        <w:rPr>
          <w:rFonts w:ascii="Times New Roman" w:eastAsia="宋体" w:hAnsi="Times New Roman"/>
          <w:sz w:val="20"/>
          <w:szCs w:val="20"/>
        </w:rPr>
        <w:t xml:space="preserve">lans intended to qualify under Rule 10b5-1 under the Securities Exchange Act of 1934, as amended. </w:t>
      </w:r>
    </w:p>
    <w:p w14:paraId="54E90CB3" w14:textId="77777777" w:rsidR="00F427A3" w:rsidRDefault="0044221F">
      <w:pPr>
        <w:spacing w:line="288" w:lineRule="auto"/>
        <w:rPr>
          <w:rFonts w:ascii="Times New Roman" w:hAnsi="Times New Roman"/>
          <w:sz w:val="20"/>
          <w:szCs w:val="20"/>
        </w:rPr>
      </w:pPr>
      <w:r>
        <w:rPr>
          <w:rFonts w:ascii="Times New Roman" w:eastAsia="宋体" w:hAnsi="Times New Roman"/>
          <w:b/>
          <w:bCs/>
          <w:i/>
          <w:iCs/>
          <w:sz w:val="20"/>
          <w:szCs w:val="20"/>
        </w:rPr>
        <w:t>Share-based Compensation Plans</w:t>
      </w:r>
    </w:p>
    <w:p w14:paraId="54E90CB4"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maintain two share-based employee compensation plans: the 2012 Equity Incentive Plan, which was amended in each of June 201</w:t>
      </w:r>
      <w:r>
        <w:rPr>
          <w:rFonts w:ascii="Times New Roman" w:eastAsia="宋体" w:hAnsi="Times New Roman"/>
          <w:sz w:val="20"/>
          <w:szCs w:val="20"/>
        </w:rPr>
        <w:t>6 and February 2018 (Amended 2012 Plan), and the 2005 Stock Plan (collectively, Stock Plans). Our Amended 2012 Plan serves as the successor to our 2005 Stock Plan and provides for the issuance of incentive and nonstatutory stock options, restricted stock a</w:t>
      </w:r>
      <w:r>
        <w:rPr>
          <w:rFonts w:ascii="Times New Roman" w:eastAsia="宋体" w:hAnsi="Times New Roman"/>
          <w:sz w:val="20"/>
          <w:szCs w:val="20"/>
        </w:rPr>
        <w:t xml:space="preserve">wards, stock appreciation rights, RSUs, performance shares, and stock bonuses to qualified employees, directors and consultants. Outstanding awards under the 2005 Stock Plan continue to be subject to the terms and conditions of the 2005 Stock Plan. Shares </w:t>
      </w:r>
      <w:r>
        <w:rPr>
          <w:rFonts w:ascii="Times New Roman" w:eastAsia="宋体" w:hAnsi="Times New Roman"/>
          <w:sz w:val="20"/>
          <w:szCs w:val="20"/>
        </w:rPr>
        <w:t>that are withheld in connection with the net settlement of RSUs or forfeited under our Stock Plans are added to the reserves of the Amended 2012 Plan. We account for forfeitures as they occur.</w:t>
      </w:r>
    </w:p>
    <w:p w14:paraId="54E90CB5"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Share-based compensation expense consists of our RSU expense. R</w:t>
      </w:r>
      <w:r>
        <w:rPr>
          <w:rFonts w:ascii="Times New Roman" w:eastAsia="宋体" w:hAnsi="Times New Roman"/>
          <w:sz w:val="20"/>
          <w:szCs w:val="20"/>
        </w:rPr>
        <w:t>SUs granted to employees are measured based on the grant-date fair value. In general, our RSUs vest over a service period of four years. Share-based compensation expense is generally recognized based on the straight-line basis over the requisite service pe</w:t>
      </w:r>
      <w:r>
        <w:rPr>
          <w:rFonts w:ascii="Times New Roman" w:eastAsia="宋体" w:hAnsi="Times New Roman"/>
          <w:sz w:val="20"/>
          <w:szCs w:val="20"/>
        </w:rPr>
        <w:t>riod.</w:t>
      </w:r>
    </w:p>
    <w:p w14:paraId="54E90CB6"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Effective January 1, 2020, there were 171 million shares of our Class A common stock reserved for future issuance under our Amended 2012 Plan. The number of shares reserved for issuance under our Amended 2012 Plan increases automatically on January 1</w:t>
      </w:r>
      <w:r>
        <w:rPr>
          <w:rFonts w:ascii="Times New Roman" w:eastAsia="宋体" w:hAnsi="Times New Roman"/>
          <w:sz w:val="20"/>
          <w:szCs w:val="20"/>
        </w:rPr>
        <w:t xml:space="preserve"> of each of the calendar years during the term of the Amended 2012 Plan, which will continue through April 2026, by a number of shares of Class A common stock equal to the lesser of (i) 2.5% of the total issued and outstanding shares of our Class A common </w:t>
      </w:r>
      <w:r>
        <w:rPr>
          <w:rFonts w:ascii="Times New Roman" w:eastAsia="宋体" w:hAnsi="Times New Roman"/>
          <w:sz w:val="20"/>
          <w:szCs w:val="20"/>
        </w:rPr>
        <w:t>stock as of the immediately preceding December 31st or (ii) a number of shares determined by our board of directors.</w:t>
      </w:r>
    </w:p>
    <w:p w14:paraId="54E90CB7"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following table summarizes the activities for our unvested RSUs for the nine months ended September 30, 2020:</w:t>
      </w:r>
    </w:p>
    <w:tbl>
      <w:tblPr>
        <w:tblW w:w="5000" w:type="pct"/>
        <w:tblCellMar>
          <w:left w:w="0" w:type="dxa"/>
          <w:right w:w="0" w:type="dxa"/>
        </w:tblCellMar>
        <w:tblLook w:val="04A0" w:firstRow="1" w:lastRow="0" w:firstColumn="1" w:lastColumn="0" w:noHBand="0" w:noVBand="1"/>
      </w:tblPr>
      <w:tblGrid>
        <w:gridCol w:w="5613"/>
        <w:gridCol w:w="1045"/>
        <w:gridCol w:w="108"/>
        <w:gridCol w:w="130"/>
        <w:gridCol w:w="141"/>
        <w:gridCol w:w="1179"/>
        <w:gridCol w:w="90"/>
      </w:tblGrid>
      <w:tr w:rsidR="00F427A3" w14:paraId="54E90CB9" w14:textId="77777777">
        <w:tc>
          <w:tcPr>
            <w:tcW w:w="0" w:type="auto"/>
            <w:gridSpan w:val="7"/>
            <w:shd w:val="clear" w:color="auto" w:fill="auto"/>
            <w:vAlign w:val="center"/>
          </w:tcPr>
          <w:p w14:paraId="54E90CB8" w14:textId="77777777" w:rsidR="00F427A3" w:rsidRDefault="00F427A3">
            <w:pPr>
              <w:rPr>
                <w:rFonts w:ascii="Times New Roman" w:hAnsi="Times New Roman"/>
                <w:sz w:val="20"/>
                <w:szCs w:val="20"/>
              </w:rPr>
            </w:pPr>
          </w:p>
        </w:tc>
      </w:tr>
      <w:tr w:rsidR="00F427A3" w14:paraId="54E90CC1" w14:textId="77777777">
        <w:tc>
          <w:tcPr>
            <w:tcW w:w="3449" w:type="pct"/>
            <w:shd w:val="clear" w:color="auto" w:fill="auto"/>
            <w:vAlign w:val="center"/>
          </w:tcPr>
          <w:p w14:paraId="54E90CBA" w14:textId="77777777" w:rsidR="00F427A3" w:rsidRDefault="00F427A3">
            <w:pPr>
              <w:rPr>
                <w:rFonts w:ascii="Times New Roman" w:hAnsi="Times New Roman"/>
                <w:sz w:val="20"/>
                <w:szCs w:val="20"/>
              </w:rPr>
            </w:pPr>
          </w:p>
        </w:tc>
        <w:tc>
          <w:tcPr>
            <w:tcW w:w="700" w:type="pct"/>
            <w:shd w:val="clear" w:color="auto" w:fill="auto"/>
            <w:vAlign w:val="center"/>
          </w:tcPr>
          <w:p w14:paraId="54E90CBB" w14:textId="77777777" w:rsidR="00F427A3" w:rsidRDefault="00F427A3">
            <w:pPr>
              <w:rPr>
                <w:rFonts w:ascii="Times New Roman" w:hAnsi="Times New Roman"/>
                <w:sz w:val="20"/>
                <w:szCs w:val="20"/>
              </w:rPr>
            </w:pPr>
          </w:p>
        </w:tc>
        <w:tc>
          <w:tcPr>
            <w:tcW w:w="50" w:type="pct"/>
            <w:shd w:val="clear" w:color="auto" w:fill="auto"/>
            <w:vAlign w:val="center"/>
          </w:tcPr>
          <w:p w14:paraId="54E90CBC" w14:textId="77777777" w:rsidR="00F427A3" w:rsidRDefault="00F427A3">
            <w:pPr>
              <w:rPr>
                <w:rFonts w:ascii="Times New Roman" w:hAnsi="Times New Roman"/>
                <w:sz w:val="20"/>
                <w:szCs w:val="20"/>
              </w:rPr>
            </w:pPr>
          </w:p>
        </w:tc>
        <w:tc>
          <w:tcPr>
            <w:tcW w:w="50" w:type="pct"/>
            <w:shd w:val="clear" w:color="auto" w:fill="auto"/>
            <w:vAlign w:val="center"/>
          </w:tcPr>
          <w:p w14:paraId="54E90CBD" w14:textId="77777777" w:rsidR="00F427A3" w:rsidRDefault="00F427A3">
            <w:pPr>
              <w:rPr>
                <w:rFonts w:ascii="Times New Roman" w:hAnsi="Times New Roman"/>
                <w:sz w:val="20"/>
                <w:szCs w:val="20"/>
              </w:rPr>
            </w:pPr>
          </w:p>
        </w:tc>
        <w:tc>
          <w:tcPr>
            <w:tcW w:w="50" w:type="pct"/>
            <w:shd w:val="clear" w:color="auto" w:fill="auto"/>
            <w:vAlign w:val="center"/>
          </w:tcPr>
          <w:p w14:paraId="54E90CBE" w14:textId="77777777" w:rsidR="00F427A3" w:rsidRDefault="00F427A3">
            <w:pPr>
              <w:rPr>
                <w:rFonts w:ascii="Times New Roman" w:hAnsi="Times New Roman"/>
                <w:sz w:val="20"/>
                <w:szCs w:val="20"/>
              </w:rPr>
            </w:pPr>
          </w:p>
        </w:tc>
        <w:tc>
          <w:tcPr>
            <w:tcW w:w="650" w:type="pct"/>
            <w:shd w:val="clear" w:color="auto" w:fill="auto"/>
            <w:vAlign w:val="center"/>
          </w:tcPr>
          <w:p w14:paraId="54E90CBF" w14:textId="77777777" w:rsidR="00F427A3" w:rsidRDefault="00F427A3">
            <w:pPr>
              <w:rPr>
                <w:rFonts w:ascii="Times New Roman" w:hAnsi="Times New Roman"/>
                <w:sz w:val="20"/>
                <w:szCs w:val="20"/>
              </w:rPr>
            </w:pPr>
          </w:p>
        </w:tc>
        <w:tc>
          <w:tcPr>
            <w:tcW w:w="50" w:type="pct"/>
            <w:shd w:val="clear" w:color="auto" w:fill="auto"/>
            <w:vAlign w:val="center"/>
          </w:tcPr>
          <w:p w14:paraId="54E90CC0" w14:textId="77777777" w:rsidR="00F427A3" w:rsidRDefault="00F427A3">
            <w:pPr>
              <w:rPr>
                <w:rFonts w:ascii="Times New Roman" w:hAnsi="Times New Roman"/>
                <w:sz w:val="20"/>
                <w:szCs w:val="20"/>
              </w:rPr>
            </w:pPr>
          </w:p>
        </w:tc>
      </w:tr>
      <w:tr w:rsidR="00F427A3" w14:paraId="54E90CC4" w14:textId="77777777">
        <w:tc>
          <w:tcPr>
            <w:tcW w:w="0" w:type="auto"/>
            <w:shd w:val="clear" w:color="auto" w:fill="auto"/>
            <w:tcMar>
              <w:top w:w="40" w:type="dxa"/>
              <w:left w:w="40" w:type="dxa"/>
              <w:bottom w:w="40" w:type="dxa"/>
              <w:right w:w="40" w:type="dxa"/>
            </w:tcMar>
            <w:vAlign w:val="bottom"/>
          </w:tcPr>
          <w:p w14:paraId="54E90CC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shd w:val="clear" w:color="auto" w:fill="auto"/>
            <w:tcMar>
              <w:top w:w="40" w:type="dxa"/>
              <w:left w:w="40" w:type="dxa"/>
              <w:bottom w:w="40" w:type="dxa"/>
            </w:tcMar>
            <w:vAlign w:val="bottom"/>
          </w:tcPr>
          <w:p w14:paraId="54E90CC3"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Unvested RSUs</w:t>
            </w:r>
          </w:p>
        </w:tc>
      </w:tr>
      <w:tr w:rsidR="00F427A3" w14:paraId="54E90CC9" w14:textId="77777777">
        <w:tc>
          <w:tcPr>
            <w:tcW w:w="0" w:type="auto"/>
            <w:shd w:val="clear" w:color="auto" w:fill="auto"/>
            <w:tcMar>
              <w:top w:w="40" w:type="dxa"/>
              <w:left w:w="40" w:type="dxa"/>
              <w:bottom w:w="40" w:type="dxa"/>
              <w:right w:w="40" w:type="dxa"/>
            </w:tcMar>
            <w:vAlign w:val="bottom"/>
          </w:tcPr>
          <w:p w14:paraId="54E90CC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0CC6"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Number of Shares</w:t>
            </w:r>
          </w:p>
        </w:tc>
        <w:tc>
          <w:tcPr>
            <w:tcW w:w="0" w:type="auto"/>
            <w:shd w:val="clear" w:color="auto" w:fill="auto"/>
            <w:tcMar>
              <w:top w:w="40" w:type="dxa"/>
              <w:left w:w="40" w:type="dxa"/>
              <w:bottom w:w="40" w:type="dxa"/>
              <w:right w:w="40" w:type="dxa"/>
            </w:tcMar>
            <w:vAlign w:val="bottom"/>
          </w:tcPr>
          <w:p w14:paraId="54E90CC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0CC8"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Weighted-Average Grant Date Fair Value</w:t>
            </w:r>
          </w:p>
        </w:tc>
      </w:tr>
      <w:tr w:rsidR="00F427A3" w14:paraId="54E90CCE" w14:textId="77777777">
        <w:tc>
          <w:tcPr>
            <w:tcW w:w="0" w:type="auto"/>
            <w:shd w:val="clear" w:color="auto" w:fill="auto"/>
            <w:tcMar>
              <w:top w:w="40" w:type="dxa"/>
              <w:left w:w="40" w:type="dxa"/>
              <w:bottom w:w="40" w:type="dxa"/>
              <w:right w:w="40" w:type="dxa"/>
            </w:tcMar>
            <w:vAlign w:val="bottom"/>
          </w:tcPr>
          <w:p w14:paraId="54E90CC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0CCB"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(in thousands)</w:t>
            </w:r>
          </w:p>
        </w:tc>
        <w:tc>
          <w:tcPr>
            <w:tcW w:w="0" w:type="auto"/>
            <w:shd w:val="clear" w:color="auto" w:fill="auto"/>
            <w:tcMar>
              <w:top w:w="40" w:type="dxa"/>
              <w:left w:w="40" w:type="dxa"/>
              <w:bottom w:w="40" w:type="dxa"/>
              <w:right w:w="40" w:type="dxa"/>
            </w:tcMar>
            <w:vAlign w:val="bottom"/>
          </w:tcPr>
          <w:p w14:paraId="54E90CC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CC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CD6" w14:textId="77777777">
        <w:tc>
          <w:tcPr>
            <w:tcW w:w="0" w:type="auto"/>
            <w:shd w:val="clear" w:color="auto" w:fill="CCEEFF"/>
            <w:tcMar>
              <w:top w:w="40" w:type="dxa"/>
              <w:left w:w="40" w:type="dxa"/>
              <w:bottom w:w="40" w:type="dxa"/>
              <w:right w:w="40" w:type="dxa"/>
            </w:tcMar>
            <w:vAlign w:val="bottom"/>
          </w:tcPr>
          <w:p w14:paraId="54E90CC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Unvested at December 31, 2019</w:t>
            </w:r>
          </w:p>
        </w:tc>
        <w:tc>
          <w:tcPr>
            <w:tcW w:w="0" w:type="auto"/>
            <w:shd w:val="clear" w:color="auto" w:fill="CCEEFF"/>
            <w:tcMar>
              <w:top w:w="40" w:type="dxa"/>
              <w:left w:w="40" w:type="dxa"/>
              <w:bottom w:w="40" w:type="dxa"/>
            </w:tcMar>
            <w:vAlign w:val="bottom"/>
          </w:tcPr>
          <w:p w14:paraId="54E90CD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78,851</w:t>
            </w:r>
          </w:p>
        </w:tc>
        <w:tc>
          <w:tcPr>
            <w:tcW w:w="0" w:type="auto"/>
            <w:shd w:val="clear" w:color="auto" w:fill="CCEEFF"/>
            <w:vAlign w:val="bottom"/>
          </w:tcPr>
          <w:p w14:paraId="54E90CD1"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CD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CD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CD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165.74</w:t>
            </w:r>
          </w:p>
        </w:tc>
        <w:tc>
          <w:tcPr>
            <w:tcW w:w="0" w:type="auto"/>
            <w:shd w:val="clear" w:color="auto" w:fill="CCEEFF"/>
            <w:vAlign w:val="bottom"/>
          </w:tcPr>
          <w:p w14:paraId="54E90CD5" w14:textId="77777777" w:rsidR="00F427A3" w:rsidRDefault="00F427A3">
            <w:pPr>
              <w:textAlignment w:val="bottom"/>
              <w:rPr>
                <w:rFonts w:ascii="Times New Roman" w:hAnsi="Times New Roman"/>
                <w:sz w:val="20"/>
                <w:szCs w:val="20"/>
              </w:rPr>
            </w:pPr>
          </w:p>
        </w:tc>
      </w:tr>
      <w:tr w:rsidR="00F427A3" w14:paraId="54E90CDE" w14:textId="77777777">
        <w:tc>
          <w:tcPr>
            <w:tcW w:w="0" w:type="auto"/>
            <w:shd w:val="clear" w:color="auto" w:fill="auto"/>
            <w:tcMar>
              <w:top w:w="40" w:type="dxa"/>
              <w:left w:w="400" w:type="dxa"/>
              <w:bottom w:w="40" w:type="dxa"/>
              <w:right w:w="40" w:type="dxa"/>
            </w:tcMar>
            <w:vAlign w:val="bottom"/>
          </w:tcPr>
          <w:p w14:paraId="54E90CD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Granted</w:t>
            </w:r>
          </w:p>
        </w:tc>
        <w:tc>
          <w:tcPr>
            <w:tcW w:w="0" w:type="auto"/>
            <w:shd w:val="clear" w:color="auto" w:fill="auto"/>
            <w:tcMar>
              <w:top w:w="40" w:type="dxa"/>
              <w:left w:w="40" w:type="dxa"/>
              <w:bottom w:w="40" w:type="dxa"/>
            </w:tcMar>
            <w:vAlign w:val="bottom"/>
          </w:tcPr>
          <w:p w14:paraId="54E90CD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56,546</w:t>
            </w:r>
          </w:p>
        </w:tc>
        <w:tc>
          <w:tcPr>
            <w:tcW w:w="0" w:type="auto"/>
            <w:shd w:val="clear" w:color="auto" w:fill="auto"/>
            <w:vAlign w:val="bottom"/>
          </w:tcPr>
          <w:p w14:paraId="54E90CD9"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CD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CD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90CD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180.84</w:t>
            </w:r>
          </w:p>
        </w:tc>
        <w:tc>
          <w:tcPr>
            <w:tcW w:w="0" w:type="auto"/>
            <w:shd w:val="clear" w:color="auto" w:fill="auto"/>
            <w:vAlign w:val="bottom"/>
          </w:tcPr>
          <w:p w14:paraId="54E90CDD" w14:textId="77777777" w:rsidR="00F427A3" w:rsidRDefault="00F427A3">
            <w:pPr>
              <w:textAlignment w:val="bottom"/>
              <w:rPr>
                <w:rFonts w:ascii="Times New Roman" w:hAnsi="Times New Roman"/>
                <w:sz w:val="20"/>
                <w:szCs w:val="20"/>
              </w:rPr>
            </w:pPr>
          </w:p>
        </w:tc>
      </w:tr>
      <w:tr w:rsidR="00F427A3" w14:paraId="54E90CE6" w14:textId="77777777">
        <w:tc>
          <w:tcPr>
            <w:tcW w:w="0" w:type="auto"/>
            <w:shd w:val="clear" w:color="auto" w:fill="CCEEFF"/>
            <w:tcMar>
              <w:top w:w="40" w:type="dxa"/>
              <w:left w:w="400" w:type="dxa"/>
              <w:bottom w:w="40" w:type="dxa"/>
              <w:right w:w="40" w:type="dxa"/>
            </w:tcMar>
            <w:vAlign w:val="bottom"/>
          </w:tcPr>
          <w:p w14:paraId="54E90CD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Vested</w:t>
            </w:r>
          </w:p>
        </w:tc>
        <w:tc>
          <w:tcPr>
            <w:tcW w:w="0" w:type="auto"/>
            <w:shd w:val="clear" w:color="auto" w:fill="CCEEFF"/>
            <w:tcMar>
              <w:top w:w="40" w:type="dxa"/>
              <w:left w:w="40" w:type="dxa"/>
              <w:bottom w:w="40" w:type="dxa"/>
            </w:tcMar>
            <w:vAlign w:val="bottom"/>
          </w:tcPr>
          <w:p w14:paraId="54E90CE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(28,388</w:t>
            </w:r>
          </w:p>
        </w:tc>
        <w:tc>
          <w:tcPr>
            <w:tcW w:w="0" w:type="auto"/>
            <w:shd w:val="clear" w:color="auto" w:fill="CCEEFF"/>
            <w:tcMar>
              <w:top w:w="40" w:type="dxa"/>
              <w:bottom w:w="40" w:type="dxa"/>
              <w:right w:w="40" w:type="dxa"/>
            </w:tcMar>
            <w:vAlign w:val="bottom"/>
          </w:tcPr>
          <w:p w14:paraId="54E90CE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CE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CE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CE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159.74</w:t>
            </w:r>
          </w:p>
        </w:tc>
        <w:tc>
          <w:tcPr>
            <w:tcW w:w="0" w:type="auto"/>
            <w:shd w:val="clear" w:color="auto" w:fill="CCEEFF"/>
            <w:vAlign w:val="bottom"/>
          </w:tcPr>
          <w:p w14:paraId="54E90CE5" w14:textId="77777777" w:rsidR="00F427A3" w:rsidRDefault="00F427A3">
            <w:pPr>
              <w:textAlignment w:val="bottom"/>
              <w:rPr>
                <w:rFonts w:ascii="Times New Roman" w:hAnsi="Times New Roman"/>
                <w:sz w:val="20"/>
                <w:szCs w:val="20"/>
              </w:rPr>
            </w:pPr>
          </w:p>
        </w:tc>
      </w:tr>
      <w:tr w:rsidR="00F427A3" w14:paraId="54E90CEE" w14:textId="77777777">
        <w:tc>
          <w:tcPr>
            <w:tcW w:w="0" w:type="auto"/>
            <w:shd w:val="clear" w:color="auto" w:fill="auto"/>
            <w:tcMar>
              <w:top w:w="40" w:type="dxa"/>
              <w:left w:w="400" w:type="dxa"/>
              <w:bottom w:w="40" w:type="dxa"/>
              <w:right w:w="40" w:type="dxa"/>
            </w:tcMar>
            <w:vAlign w:val="bottom"/>
          </w:tcPr>
          <w:p w14:paraId="54E90CE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Forfeited</w:t>
            </w:r>
          </w:p>
        </w:tc>
        <w:tc>
          <w:tcPr>
            <w:tcW w:w="0" w:type="auto"/>
            <w:shd w:val="clear" w:color="auto" w:fill="auto"/>
            <w:tcMar>
              <w:top w:w="40" w:type="dxa"/>
              <w:left w:w="40" w:type="dxa"/>
              <w:bottom w:w="40" w:type="dxa"/>
            </w:tcMar>
            <w:vAlign w:val="bottom"/>
          </w:tcPr>
          <w:p w14:paraId="54E90CE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(3,952</w:t>
            </w:r>
          </w:p>
        </w:tc>
        <w:tc>
          <w:tcPr>
            <w:tcW w:w="0" w:type="auto"/>
            <w:shd w:val="clear" w:color="auto" w:fill="auto"/>
            <w:tcMar>
              <w:top w:w="40" w:type="dxa"/>
              <w:bottom w:w="40" w:type="dxa"/>
              <w:right w:w="40" w:type="dxa"/>
            </w:tcMar>
            <w:vAlign w:val="bottom"/>
          </w:tcPr>
          <w:p w14:paraId="54E90CE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0CE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CE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90CE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162.91</w:t>
            </w:r>
          </w:p>
        </w:tc>
        <w:tc>
          <w:tcPr>
            <w:tcW w:w="0" w:type="auto"/>
            <w:shd w:val="clear" w:color="auto" w:fill="auto"/>
            <w:vAlign w:val="bottom"/>
          </w:tcPr>
          <w:p w14:paraId="54E90CED" w14:textId="77777777" w:rsidR="00F427A3" w:rsidRDefault="00F427A3">
            <w:pPr>
              <w:textAlignment w:val="bottom"/>
              <w:rPr>
                <w:rFonts w:ascii="Times New Roman" w:hAnsi="Times New Roman"/>
                <w:sz w:val="20"/>
                <w:szCs w:val="20"/>
              </w:rPr>
            </w:pPr>
          </w:p>
        </w:tc>
      </w:tr>
      <w:tr w:rsidR="00F427A3" w14:paraId="54E90CF6" w14:textId="77777777">
        <w:tc>
          <w:tcPr>
            <w:tcW w:w="0" w:type="auto"/>
            <w:shd w:val="clear" w:color="auto" w:fill="CCEEFF"/>
            <w:tcMar>
              <w:top w:w="40" w:type="dxa"/>
              <w:left w:w="40" w:type="dxa"/>
              <w:bottom w:w="40" w:type="dxa"/>
              <w:right w:w="40" w:type="dxa"/>
            </w:tcMar>
            <w:vAlign w:val="bottom"/>
          </w:tcPr>
          <w:p w14:paraId="54E90CE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xml:space="preserve">Unvested at </w:t>
            </w:r>
            <w:r>
              <w:rPr>
                <w:rFonts w:ascii="Times New Roman" w:eastAsia="宋体" w:hAnsi="Times New Roman"/>
                <w:sz w:val="20"/>
                <w:szCs w:val="20"/>
              </w:rPr>
              <w:t>September 30, 2020</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0CF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103,057</w:t>
            </w:r>
          </w:p>
        </w:tc>
        <w:tc>
          <w:tcPr>
            <w:tcW w:w="0" w:type="auto"/>
            <w:tcBorders>
              <w:top w:val="single" w:sz="8" w:space="0" w:color="000000"/>
              <w:bottom w:val="double" w:sz="6" w:space="0" w:color="000000"/>
            </w:tcBorders>
            <w:shd w:val="clear" w:color="auto" w:fill="CCEEFF"/>
            <w:vAlign w:val="bottom"/>
          </w:tcPr>
          <w:p w14:paraId="54E90CF1"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CF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CF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CF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175.78</w:t>
            </w:r>
          </w:p>
        </w:tc>
        <w:tc>
          <w:tcPr>
            <w:tcW w:w="0" w:type="auto"/>
            <w:shd w:val="clear" w:color="auto" w:fill="CCEEFF"/>
            <w:vAlign w:val="bottom"/>
          </w:tcPr>
          <w:p w14:paraId="54E90CF5" w14:textId="77777777" w:rsidR="00F427A3" w:rsidRDefault="00F427A3">
            <w:pPr>
              <w:textAlignment w:val="bottom"/>
              <w:rPr>
                <w:rFonts w:ascii="Times New Roman" w:hAnsi="Times New Roman"/>
                <w:sz w:val="20"/>
                <w:szCs w:val="20"/>
              </w:rPr>
            </w:pPr>
          </w:p>
        </w:tc>
      </w:tr>
    </w:tbl>
    <w:p w14:paraId="54E90CF7" w14:textId="77777777" w:rsidR="00F427A3" w:rsidRDefault="00F427A3"/>
    <w:p w14:paraId="54E90CF8"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fair value as of the respective vesting dates of RSUs that vested during the three months ended September 30, 2020 and 2019 was </w:t>
      </w:r>
      <w:r>
        <w:rPr>
          <w:rFonts w:ascii="Times New Roman" w:eastAsia="宋体" w:hAnsi="Times New Roman"/>
          <w:color w:val="212529"/>
          <w:sz w:val="20"/>
          <w:szCs w:val="20"/>
        </w:rPr>
        <w:t>$2.65 billion</w:t>
      </w:r>
      <w:r>
        <w:rPr>
          <w:rFonts w:ascii="Times New Roman" w:eastAsia="宋体" w:hAnsi="Times New Roman"/>
          <w:sz w:val="20"/>
          <w:szCs w:val="20"/>
        </w:rPr>
        <w:t xml:space="preserve"> and </w:t>
      </w:r>
      <w:r>
        <w:rPr>
          <w:rFonts w:ascii="Times New Roman" w:eastAsia="宋体" w:hAnsi="Times New Roman"/>
          <w:color w:val="212529"/>
          <w:sz w:val="20"/>
          <w:szCs w:val="20"/>
        </w:rPr>
        <w:t>$1.53 billion</w:t>
      </w:r>
      <w:r>
        <w:rPr>
          <w:rFonts w:ascii="Times New Roman" w:eastAsia="宋体" w:hAnsi="Times New Roman"/>
          <w:sz w:val="20"/>
          <w:szCs w:val="20"/>
        </w:rPr>
        <w:t xml:space="preserve">, respectively, and </w:t>
      </w:r>
      <w:r>
        <w:rPr>
          <w:rFonts w:ascii="Times New Roman" w:eastAsia="宋体" w:hAnsi="Times New Roman"/>
          <w:color w:val="212529"/>
          <w:sz w:val="20"/>
          <w:szCs w:val="20"/>
        </w:rPr>
        <w:t>$6.48 billion</w:t>
      </w:r>
      <w:r>
        <w:rPr>
          <w:rFonts w:ascii="Times New Roman" w:eastAsia="宋体" w:hAnsi="Times New Roman"/>
          <w:sz w:val="20"/>
          <w:szCs w:val="20"/>
        </w:rPr>
        <w:t xml:space="preserve"> and </w:t>
      </w:r>
      <w:r>
        <w:rPr>
          <w:rFonts w:ascii="Times New Roman" w:eastAsia="宋体" w:hAnsi="Times New Roman"/>
          <w:color w:val="212529"/>
          <w:sz w:val="20"/>
          <w:szCs w:val="20"/>
        </w:rPr>
        <w:t>$4.42 billion</w:t>
      </w:r>
      <w:r>
        <w:rPr>
          <w:rFonts w:ascii="Times New Roman" w:eastAsia="宋体" w:hAnsi="Times New Roman"/>
          <w:sz w:val="20"/>
          <w:szCs w:val="20"/>
        </w:rPr>
        <w:t xml:space="preserve"> during the nine months ended September 30</w:t>
      </w:r>
      <w:r>
        <w:rPr>
          <w:rFonts w:ascii="Times New Roman" w:eastAsia="宋体" w:hAnsi="Times New Roman"/>
          <w:sz w:val="20"/>
          <w:szCs w:val="20"/>
        </w:rPr>
        <w:t>, 2020 and 2019, respectively.</w:t>
      </w:r>
    </w:p>
    <w:p w14:paraId="54E90CF9" w14:textId="77777777" w:rsidR="00F427A3" w:rsidRDefault="00F427A3">
      <w:pPr>
        <w:rPr>
          <w:rFonts w:ascii="Times New Roman" w:hAnsi="Times New Roman"/>
          <w:sz w:val="20"/>
          <w:szCs w:val="20"/>
        </w:rPr>
      </w:pPr>
    </w:p>
    <w:p w14:paraId="54E90CFA"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26</w:t>
      </w:r>
    </w:p>
    <w:p w14:paraId="54E90CFB" w14:textId="77777777" w:rsidR="00F427A3" w:rsidRDefault="0044221F">
      <w:r>
        <w:rPr>
          <w:rFonts w:ascii="Times New Roman" w:hAnsi="Times New Roman"/>
          <w:sz w:val="20"/>
          <w:szCs w:val="20"/>
        </w:rPr>
        <w:pict w14:anchorId="54E91C3A">
          <v:rect id="_x0000_i1050" style="width:415.3pt;height:1.5pt" o:hralign="center" o:hrstd="t" o:hr="t" fillcolor="#a0a0a0" stroked="f"/>
        </w:pict>
      </w:r>
    </w:p>
    <w:p w14:paraId="54E90CFC" w14:textId="77777777" w:rsidR="00F427A3" w:rsidRDefault="0044221F">
      <w:pPr>
        <w:spacing w:line="288" w:lineRule="auto"/>
        <w:rPr>
          <w:rFonts w:ascii="Times New Roman" w:hAnsi="Times New Roman"/>
          <w:sz w:val="20"/>
          <w:szCs w:val="20"/>
        </w:rPr>
      </w:pPr>
      <w:hyperlink r:id="rId67" w:anchor="s348EA962CF6D59B599D9921AFA89C381" w:history="1">
        <w:r>
          <w:rPr>
            <w:rStyle w:val="a5"/>
            <w:rFonts w:ascii="Times New Roman" w:eastAsia="宋体" w:hAnsi="Times New Roman"/>
            <w:sz w:val="20"/>
            <w:szCs w:val="20"/>
          </w:rPr>
          <w:t>Table of Contents</w:t>
        </w:r>
      </w:hyperlink>
    </w:p>
    <w:p w14:paraId="54E90CFD" w14:textId="77777777" w:rsidR="00F427A3" w:rsidRDefault="00F427A3">
      <w:pPr>
        <w:rPr>
          <w:rFonts w:ascii="Times New Roman" w:hAnsi="Times New Roman"/>
          <w:sz w:val="20"/>
          <w:szCs w:val="20"/>
        </w:rPr>
      </w:pPr>
    </w:p>
    <w:p w14:paraId="54E90CFE"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As of September 30, 2020, there was </w:t>
      </w:r>
      <w:r>
        <w:rPr>
          <w:rFonts w:ascii="Times New Roman" w:eastAsia="宋体" w:hAnsi="Times New Roman"/>
          <w:color w:val="212529"/>
          <w:sz w:val="20"/>
          <w:szCs w:val="20"/>
        </w:rPr>
        <w:t>$17.04 bill</w:t>
      </w:r>
      <w:r>
        <w:rPr>
          <w:rFonts w:ascii="Times New Roman" w:eastAsia="宋体" w:hAnsi="Times New Roman"/>
          <w:color w:val="212529"/>
          <w:sz w:val="20"/>
          <w:szCs w:val="20"/>
        </w:rPr>
        <w:t>ion</w:t>
      </w:r>
      <w:r>
        <w:rPr>
          <w:rFonts w:ascii="Times New Roman" w:eastAsia="宋体" w:hAnsi="Times New Roman"/>
          <w:sz w:val="20"/>
          <w:szCs w:val="20"/>
        </w:rPr>
        <w:t xml:space="preserve"> of unrecognized share-based compensation expense related to RSUs awards. This unrecognized compensation expense is expected to be recognized over a weighted-average period of approximately three years based on vesting under the award service conditions</w:t>
      </w:r>
      <w:r>
        <w:rPr>
          <w:rFonts w:ascii="Times New Roman" w:eastAsia="宋体" w:hAnsi="Times New Roman"/>
          <w:sz w:val="20"/>
          <w:szCs w:val="20"/>
        </w:rPr>
        <w:t>.</w:t>
      </w:r>
    </w:p>
    <w:p w14:paraId="54E90CFF" w14:textId="77777777" w:rsidR="00F427A3" w:rsidRDefault="00F427A3">
      <w:pPr>
        <w:spacing w:line="288" w:lineRule="auto"/>
        <w:ind w:firstLine="720"/>
        <w:jc w:val="both"/>
        <w:rPr>
          <w:rFonts w:ascii="Times New Roman" w:hAnsi="Times New Roman"/>
          <w:sz w:val="20"/>
          <w:szCs w:val="20"/>
        </w:rPr>
      </w:pPr>
    </w:p>
    <w:p w14:paraId="54E90D00"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Note 13. Income Taxes</w:t>
      </w:r>
    </w:p>
    <w:p w14:paraId="54E90D01"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tax provision for interim periods is determined using an estimated annual effective tax rate, adjusted for discrete items arising in that quarter. In each quarter, we update the estimated annual effective tax rate and make a </w:t>
      </w:r>
      <w:r>
        <w:rPr>
          <w:rFonts w:ascii="Times New Roman" w:eastAsia="宋体" w:hAnsi="Times New Roman"/>
          <w:sz w:val="20"/>
          <w:szCs w:val="20"/>
        </w:rPr>
        <w:t>year-to-date adjustment to the provision. The estimated annual effective tax rate is subject to significant volatility due to several factors, including our ability to accurately predict the proportion of our income (loss) before provision for income taxes</w:t>
      </w:r>
      <w:r>
        <w:rPr>
          <w:rFonts w:ascii="Times New Roman" w:eastAsia="宋体" w:hAnsi="Times New Roman"/>
          <w:sz w:val="20"/>
          <w:szCs w:val="20"/>
        </w:rPr>
        <w:t xml:space="preserve"> in multiple jurisdictions, the U.S. tax benefits from foreign derived intangible income, the effects of tax law changes, the effects of acquisitions, and the integration of those acquisitions.</w:t>
      </w:r>
    </w:p>
    <w:p w14:paraId="54E90D02"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Our gross unrecognized tax benefits were $8.42 billion and $7.</w:t>
      </w:r>
      <w:r>
        <w:rPr>
          <w:rFonts w:ascii="Times New Roman" w:eastAsia="宋体" w:hAnsi="Times New Roman"/>
          <w:sz w:val="20"/>
          <w:szCs w:val="20"/>
        </w:rPr>
        <w:t>86 billion on September 30, 2020 and December 31, 2019, respectively. If the gross unrecognized tax benefits as of September 30, 2020 were realized in a subsequent period, this would result in a tax benefit of $4.62 billion within our provision of income t</w:t>
      </w:r>
      <w:r>
        <w:rPr>
          <w:rFonts w:ascii="Times New Roman" w:eastAsia="宋体" w:hAnsi="Times New Roman"/>
          <w:sz w:val="20"/>
          <w:szCs w:val="20"/>
        </w:rPr>
        <w:t>axes at such time. The amount of interest and penalties accrued was $833 million and $747 million as of September 30, 2020 and December 31, 2019, respectively. We expect to continue to accrue unrecognized tax benefits for certain recurring tax positions.</w:t>
      </w:r>
    </w:p>
    <w:p w14:paraId="54E90D03" w14:textId="77777777" w:rsidR="00F427A3" w:rsidRDefault="0044221F">
      <w:pPr>
        <w:spacing w:line="288" w:lineRule="auto"/>
        <w:ind w:firstLine="660"/>
        <w:jc w:val="both"/>
        <w:rPr>
          <w:rFonts w:ascii="Times New Roman" w:hAnsi="Times New Roman"/>
          <w:sz w:val="20"/>
          <w:szCs w:val="20"/>
        </w:rPr>
      </w:pPr>
      <w:r>
        <w:rPr>
          <w:rFonts w:ascii="Times New Roman" w:eastAsia="宋体" w:hAnsi="Times New Roman"/>
          <w:sz w:val="20"/>
          <w:szCs w:val="20"/>
        </w:rPr>
        <w:t>I</w:t>
      </w:r>
      <w:r>
        <w:rPr>
          <w:rFonts w:ascii="Times New Roman" w:eastAsia="宋体" w:hAnsi="Times New Roman"/>
          <w:sz w:val="20"/>
          <w:szCs w:val="20"/>
        </w:rPr>
        <w:t>n the third quarter of 2020, as part of finalizing our U.S. income tax return, we elected to capitalize and amortize certain research and development expenses for U.S. income tax purposes. As a result, we recorded a one-time income tax benefit of $913 mill</w:t>
      </w:r>
      <w:r>
        <w:rPr>
          <w:rFonts w:ascii="Times New Roman" w:eastAsia="宋体" w:hAnsi="Times New Roman"/>
          <w:sz w:val="20"/>
          <w:szCs w:val="20"/>
        </w:rPr>
        <w:t>ion, which is comprised of an increase in current income tax liability of $746 million offset by an increase in deferred income tax assets of $1.66 billion. The deferred income tax asset amount is greater than the current income tax liability due to differ</w:t>
      </w:r>
      <w:r>
        <w:rPr>
          <w:rFonts w:ascii="Times New Roman" w:eastAsia="宋体" w:hAnsi="Times New Roman"/>
          <w:sz w:val="20"/>
          <w:szCs w:val="20"/>
        </w:rPr>
        <w:t xml:space="preserve">ent tax rates applicable for the periods in which capitalized expenses will be amortized versus the period in which the increased current tax liability was accrued. </w:t>
      </w:r>
    </w:p>
    <w:p w14:paraId="54E90D04"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On July 27, 2015, the United States Tax Court issued a decision (Tax Court Decision) in </w:t>
      </w:r>
      <w:r>
        <w:rPr>
          <w:rFonts w:ascii="Times New Roman" w:eastAsia="宋体" w:hAnsi="Times New Roman"/>
          <w:i/>
          <w:iCs/>
          <w:sz w:val="20"/>
          <w:szCs w:val="20"/>
        </w:rPr>
        <w:t>Al</w:t>
      </w:r>
      <w:r>
        <w:rPr>
          <w:rFonts w:ascii="Times New Roman" w:eastAsia="宋体" w:hAnsi="Times New Roman"/>
          <w:i/>
          <w:iCs/>
          <w:sz w:val="20"/>
          <w:szCs w:val="20"/>
        </w:rPr>
        <w:t>tera Corp. v. Commissioner</w:t>
      </w:r>
      <w:r>
        <w:rPr>
          <w:rFonts w:ascii="Times New Roman" w:eastAsia="宋体" w:hAnsi="Times New Roman"/>
          <w:sz w:val="20"/>
          <w:szCs w:val="20"/>
        </w:rPr>
        <w:t xml:space="preserve">, which concluded that related parties in a cost sharing arrangement are not required to share expenses related to share-based compensation. The Tax Court Decision was appealed by the Commissioner to the Ninth Circuit Court of </w:t>
      </w:r>
      <w:r>
        <w:rPr>
          <w:rFonts w:ascii="Times New Roman" w:eastAsia="宋体" w:hAnsi="Times New Roman"/>
          <w:sz w:val="20"/>
          <w:szCs w:val="20"/>
        </w:rPr>
        <w:t>Appeals (Ninth Circuit). On June 7, 2019, the Ninth Circuit issued an opinion (</w:t>
      </w:r>
      <w:r>
        <w:rPr>
          <w:rFonts w:ascii="Times New Roman" w:eastAsia="宋体" w:hAnsi="Times New Roman"/>
          <w:i/>
          <w:iCs/>
          <w:sz w:val="20"/>
          <w:szCs w:val="20"/>
        </w:rPr>
        <w:t>Altera</w:t>
      </w:r>
      <w:r>
        <w:rPr>
          <w:rFonts w:ascii="Times New Roman" w:eastAsia="宋体" w:hAnsi="Times New Roman"/>
          <w:sz w:val="20"/>
          <w:szCs w:val="20"/>
        </w:rPr>
        <w:t xml:space="preserve"> Ninth Circuit Opinion) that reversed the Tax Court Decision. Based on the </w:t>
      </w:r>
      <w:r>
        <w:rPr>
          <w:rFonts w:ascii="Times New Roman" w:eastAsia="宋体" w:hAnsi="Times New Roman"/>
          <w:i/>
          <w:iCs/>
          <w:sz w:val="20"/>
          <w:szCs w:val="20"/>
        </w:rPr>
        <w:t>Altera</w:t>
      </w:r>
      <w:r>
        <w:rPr>
          <w:rFonts w:ascii="Times New Roman" w:eastAsia="宋体" w:hAnsi="Times New Roman"/>
          <w:sz w:val="20"/>
          <w:szCs w:val="20"/>
        </w:rPr>
        <w:t xml:space="preserve"> Ninth Circuit Opinion, we recorded a cumulative income tax expense of $1.11 billion in th</w:t>
      </w:r>
      <w:r>
        <w:rPr>
          <w:rFonts w:ascii="Times New Roman" w:eastAsia="宋体" w:hAnsi="Times New Roman"/>
          <w:sz w:val="20"/>
          <w:szCs w:val="20"/>
        </w:rPr>
        <w:t>e second quarter of 2019. On July 22, 2019, the taxpayer requested a rehearing before the full Ninth Circuit and the request was denied on November 12, 2019. The taxpayer requested a hearing before the Supreme Court of the United States and the request was</w:t>
      </w:r>
      <w:r>
        <w:rPr>
          <w:rFonts w:ascii="Times New Roman" w:eastAsia="宋体" w:hAnsi="Times New Roman"/>
          <w:sz w:val="20"/>
          <w:szCs w:val="20"/>
        </w:rPr>
        <w:t xml:space="preserve"> denied on June 22, 2020. Since we started to accrue income tax for stock-based compensation cost-sharing in the second quarter of 2019, the denial of the request by the Supreme Court did not have a material impact to our financial results in 2020. </w:t>
      </w:r>
    </w:p>
    <w:p w14:paraId="54E90D05"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are</w:t>
      </w:r>
      <w:r>
        <w:rPr>
          <w:rFonts w:ascii="Times New Roman" w:eastAsia="宋体" w:hAnsi="Times New Roman"/>
          <w:sz w:val="20"/>
          <w:szCs w:val="20"/>
        </w:rPr>
        <w:t xml:space="preserve"> subject to taxation in the United States and various other state and foreign jurisdictions. The material jurisdictions in which we are subject to potential examination include the United States and Ireland. We are under examination by the Internal Revenue</w:t>
      </w:r>
      <w:r>
        <w:rPr>
          <w:rFonts w:ascii="Times New Roman" w:eastAsia="宋体" w:hAnsi="Times New Roman"/>
          <w:sz w:val="20"/>
          <w:szCs w:val="20"/>
        </w:rPr>
        <w:t xml:space="preserve"> Service (IRS) for our 2014 through 2016 tax years and by the Ireland tax authorities for our 2012 through 2018 tax years. Our 2017 and subsequent tax years remain open to examination by the IRS. Our 2019 and subsequent tax years remain open to examination</w:t>
      </w:r>
      <w:r>
        <w:rPr>
          <w:rFonts w:ascii="Times New Roman" w:eastAsia="宋体" w:hAnsi="Times New Roman"/>
          <w:sz w:val="20"/>
          <w:szCs w:val="20"/>
        </w:rPr>
        <w:t xml:space="preserve"> in Ireland.</w:t>
      </w:r>
    </w:p>
    <w:p w14:paraId="54E90D06"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July 2016, we received a Statutory Notice of Deficiency (Notice) from the IRS related to transfer pricing with our foreign subsidiaries in conjunction with the examination of the 2010 tax year. While the Notice applies only to the 2010 tax </w:t>
      </w:r>
      <w:r>
        <w:rPr>
          <w:rFonts w:ascii="Times New Roman" w:eastAsia="宋体" w:hAnsi="Times New Roman"/>
          <w:sz w:val="20"/>
          <w:szCs w:val="20"/>
        </w:rPr>
        <w:t>year, the IRS stated that it will also apply its position for tax years subsequent to 2010. We do not agree with the position of the IRS and have filed a petition in the Tax Court challenging the Notice. On January 15, 2020, the IRS filed its Pretrial Memo</w:t>
      </w:r>
      <w:r>
        <w:rPr>
          <w:rFonts w:ascii="Times New Roman" w:eastAsia="宋体" w:hAnsi="Times New Roman"/>
          <w:sz w:val="20"/>
          <w:szCs w:val="20"/>
        </w:rPr>
        <w:t>randum in the case stating that it planned to assert at trial an adjustment that is higher than the adjustment stated in the Notice. The first session of the trial began in February 2020 and a second session is expected to continue in 2021. It is not clear</w:t>
      </w:r>
      <w:r>
        <w:rPr>
          <w:rFonts w:ascii="Times New Roman" w:eastAsia="宋体" w:hAnsi="Times New Roman"/>
          <w:sz w:val="20"/>
          <w:szCs w:val="20"/>
        </w:rPr>
        <w:t xml:space="preserve"> how the IRS intends to apply the revised adjustment to future years. Based on the information provided, we believe that, if the IRS prevails in its updated position, this could result in an additional federal tax liability of an estimated, aggregate amoun</w:t>
      </w:r>
      <w:r>
        <w:rPr>
          <w:rFonts w:ascii="Times New Roman" w:eastAsia="宋体" w:hAnsi="Times New Roman"/>
          <w:sz w:val="20"/>
          <w:szCs w:val="20"/>
        </w:rPr>
        <w:t xml:space="preserve">t of up to approximately $9.0 billion in excess of the amounts in our originally filed U.S. return, plus interest and any penalties asserted. </w:t>
      </w:r>
    </w:p>
    <w:p w14:paraId="54E90D07"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In March 2018, we received a second Notice from the IRS in conjunction with the examination of our 2011 through 2</w:t>
      </w:r>
      <w:r>
        <w:rPr>
          <w:rFonts w:ascii="Times New Roman" w:eastAsia="宋体" w:hAnsi="Times New Roman"/>
          <w:sz w:val="20"/>
          <w:szCs w:val="20"/>
        </w:rPr>
        <w:t xml:space="preserve">013 tax years. The IRS applied its position from the 2010 tax year to each of these years and also proposed new adjustments related to other transfer pricing with our foreign subsidiaries and certain tax credits that we claimed. If the IRS prevails in its </w:t>
      </w:r>
      <w:r>
        <w:rPr>
          <w:rFonts w:ascii="Times New Roman" w:eastAsia="宋体" w:hAnsi="Times New Roman"/>
          <w:sz w:val="20"/>
          <w:szCs w:val="20"/>
        </w:rPr>
        <w:t xml:space="preserve">position for these new adjustments, this could result in an additional federal tax liability of up to approximately $680 million in excess </w:t>
      </w:r>
    </w:p>
    <w:p w14:paraId="54E90D08" w14:textId="77777777" w:rsidR="00F427A3" w:rsidRDefault="00F427A3">
      <w:pPr>
        <w:rPr>
          <w:rFonts w:ascii="Times New Roman" w:hAnsi="Times New Roman"/>
          <w:sz w:val="20"/>
          <w:szCs w:val="20"/>
        </w:rPr>
      </w:pPr>
    </w:p>
    <w:p w14:paraId="54E90D09"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27</w:t>
      </w:r>
    </w:p>
    <w:p w14:paraId="54E90D0A" w14:textId="77777777" w:rsidR="00F427A3" w:rsidRDefault="0044221F">
      <w:r>
        <w:rPr>
          <w:rFonts w:ascii="Times New Roman" w:hAnsi="Times New Roman"/>
          <w:sz w:val="20"/>
          <w:szCs w:val="20"/>
        </w:rPr>
        <w:pict w14:anchorId="54E91C3B">
          <v:rect id="_x0000_i1051" style="width:415.3pt;height:1.5pt" o:hralign="center" o:hrstd="t" o:hr="t" fillcolor="#a0a0a0" stroked="f"/>
        </w:pict>
      </w:r>
    </w:p>
    <w:p w14:paraId="54E90D0B" w14:textId="77777777" w:rsidR="00F427A3" w:rsidRDefault="0044221F">
      <w:pPr>
        <w:spacing w:line="288" w:lineRule="auto"/>
        <w:rPr>
          <w:rFonts w:ascii="Times New Roman" w:hAnsi="Times New Roman"/>
          <w:sz w:val="20"/>
          <w:szCs w:val="20"/>
        </w:rPr>
      </w:pPr>
      <w:hyperlink r:id="rId68" w:anchor="s348EA962CF6D59B599D9921AFA89C381" w:history="1">
        <w:r>
          <w:rPr>
            <w:rStyle w:val="a5"/>
            <w:rFonts w:ascii="Times New Roman" w:eastAsia="宋体" w:hAnsi="Times New Roman"/>
            <w:sz w:val="20"/>
            <w:szCs w:val="20"/>
          </w:rPr>
          <w:t>Table of Contents</w:t>
        </w:r>
      </w:hyperlink>
    </w:p>
    <w:p w14:paraId="54E90D0C" w14:textId="77777777" w:rsidR="00F427A3" w:rsidRDefault="00F427A3">
      <w:pPr>
        <w:rPr>
          <w:rFonts w:ascii="Times New Roman" w:hAnsi="Times New Roman"/>
          <w:sz w:val="20"/>
          <w:szCs w:val="20"/>
        </w:rPr>
      </w:pPr>
    </w:p>
    <w:p w14:paraId="54E90D0D" w14:textId="77777777" w:rsidR="00F427A3" w:rsidRDefault="0044221F">
      <w:pPr>
        <w:spacing w:line="288" w:lineRule="auto"/>
        <w:jc w:val="both"/>
        <w:rPr>
          <w:rFonts w:ascii="Times New Roman" w:hAnsi="Times New Roman"/>
          <w:sz w:val="20"/>
          <w:szCs w:val="20"/>
        </w:rPr>
      </w:pPr>
      <w:r>
        <w:rPr>
          <w:rFonts w:ascii="Times New Roman" w:eastAsia="宋体" w:hAnsi="Times New Roman"/>
          <w:sz w:val="20"/>
          <w:szCs w:val="20"/>
        </w:rPr>
        <w:t>of the amounts in our originally filed U.S. returns, plus interest and any penalties asserted. We do not agree with the positions of the IRS in the second Notice and have filed a petition in the</w:t>
      </w:r>
      <w:r>
        <w:rPr>
          <w:rFonts w:ascii="Times New Roman" w:eastAsia="宋体" w:hAnsi="Times New Roman"/>
          <w:sz w:val="20"/>
          <w:szCs w:val="20"/>
        </w:rPr>
        <w:t xml:space="preserve"> Tax Court challenging the second Notice. </w:t>
      </w:r>
    </w:p>
    <w:p w14:paraId="54E90D0E"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have previously accrued an estimated unrecognized tax benefit consistent with the guidance in ASC 740,</w:t>
      </w:r>
      <w:r>
        <w:rPr>
          <w:rFonts w:ascii="Times New Roman" w:eastAsia="宋体" w:hAnsi="Times New Roman"/>
          <w:i/>
          <w:iCs/>
          <w:sz w:val="20"/>
          <w:szCs w:val="20"/>
        </w:rPr>
        <w:t xml:space="preserve"> Income Taxes</w:t>
      </w:r>
      <w:r>
        <w:rPr>
          <w:rFonts w:ascii="Times New Roman" w:eastAsia="宋体" w:hAnsi="Times New Roman"/>
          <w:sz w:val="20"/>
          <w:szCs w:val="20"/>
        </w:rPr>
        <w:t>, that is lower than the potential additional federal tax liability from the positions taken by</w:t>
      </w:r>
      <w:r>
        <w:rPr>
          <w:rFonts w:ascii="Times New Roman" w:eastAsia="宋体" w:hAnsi="Times New Roman"/>
          <w:sz w:val="20"/>
          <w:szCs w:val="20"/>
        </w:rPr>
        <w:t xml:space="preserve"> the IRS in the two Notices and its Pretrial Memorandum. In addition, if the IRS prevails in its positions related to transfer pricing with our foreign subsidiaries, the additional tax that we would owe would be partially offset by a reduction in the tax t</w:t>
      </w:r>
      <w:r>
        <w:rPr>
          <w:rFonts w:ascii="Times New Roman" w:eastAsia="宋体" w:hAnsi="Times New Roman"/>
          <w:sz w:val="20"/>
          <w:szCs w:val="20"/>
        </w:rPr>
        <w:t>hat we owe under the mandatory transition tax on accumulated foreign earnings from the 2017 Tax Cuts and Jobs Act (Tax Act). As of September 30, 2020, we have not resolved these matters and proceedings continue in the Tax Court.</w:t>
      </w:r>
    </w:p>
    <w:p w14:paraId="54E90D0F"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believe that adequate am</w:t>
      </w:r>
      <w:r>
        <w:rPr>
          <w:rFonts w:ascii="Times New Roman" w:eastAsia="宋体" w:hAnsi="Times New Roman"/>
          <w:sz w:val="20"/>
          <w:szCs w:val="20"/>
        </w:rPr>
        <w:t>ounts have been reserved in accordance with ASC 740 for any adjustments to the provision for income taxes or other tax items that may ultimately result from these examinations. The timing of the resolution, settlement, and closure of any audits is highly u</w:t>
      </w:r>
      <w:r>
        <w:rPr>
          <w:rFonts w:ascii="Times New Roman" w:eastAsia="宋体" w:hAnsi="Times New Roman"/>
          <w:sz w:val="20"/>
          <w:szCs w:val="20"/>
        </w:rPr>
        <w:t>ncertain, and it is reasonably possible that the balance of gross unrecognized tax benefits could significantly change in the next 12 months. Given the number of years remaining that are subject to examination, we are unable to estimate the full range of p</w:t>
      </w:r>
      <w:r>
        <w:rPr>
          <w:rFonts w:ascii="Times New Roman" w:eastAsia="宋体" w:hAnsi="Times New Roman"/>
          <w:sz w:val="20"/>
          <w:szCs w:val="20"/>
        </w:rPr>
        <w:t>ossible adjustments to the balance of gross unrecognized tax benefits. If the taxing authorities prevail in the assessment of additional tax due, the assessed tax, interest, and penalties, if any, could have a material adverse impact on our financial posit</w:t>
      </w:r>
      <w:r>
        <w:rPr>
          <w:rFonts w:ascii="Times New Roman" w:eastAsia="宋体" w:hAnsi="Times New Roman"/>
          <w:sz w:val="20"/>
          <w:szCs w:val="20"/>
        </w:rPr>
        <w:t>ion, results of operations, and cash flows.</w:t>
      </w:r>
    </w:p>
    <w:p w14:paraId="54E90D10" w14:textId="77777777" w:rsidR="00F427A3" w:rsidRDefault="00F427A3">
      <w:pPr>
        <w:spacing w:line="288" w:lineRule="auto"/>
        <w:ind w:firstLine="720"/>
        <w:jc w:val="both"/>
        <w:rPr>
          <w:rFonts w:ascii="Times New Roman" w:hAnsi="Times New Roman"/>
          <w:sz w:val="20"/>
          <w:szCs w:val="20"/>
        </w:rPr>
      </w:pPr>
    </w:p>
    <w:p w14:paraId="54E90D11"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Note 14. Geographical Information</w:t>
      </w:r>
    </w:p>
    <w:p w14:paraId="54E90D12"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following table sets forth our long-lived assets by geographic area, which consist of property and equipment, net and operating lease right-of-use assets, net (in millions):</w:t>
      </w:r>
    </w:p>
    <w:tbl>
      <w:tblPr>
        <w:tblW w:w="5000" w:type="pct"/>
        <w:tblCellMar>
          <w:left w:w="0" w:type="dxa"/>
          <w:right w:w="0" w:type="dxa"/>
        </w:tblCellMar>
        <w:tblLook w:val="04A0" w:firstRow="1" w:lastRow="0" w:firstColumn="1" w:lastColumn="0" w:noHBand="0" w:noVBand="1"/>
      </w:tblPr>
      <w:tblGrid>
        <w:gridCol w:w="5692"/>
        <w:gridCol w:w="141"/>
        <w:gridCol w:w="1042"/>
        <w:gridCol w:w="70"/>
        <w:gridCol w:w="130"/>
        <w:gridCol w:w="141"/>
        <w:gridCol w:w="1023"/>
        <w:gridCol w:w="67"/>
      </w:tblGrid>
      <w:tr w:rsidR="00F427A3" w14:paraId="54E90D14" w14:textId="77777777">
        <w:tc>
          <w:tcPr>
            <w:tcW w:w="0" w:type="auto"/>
            <w:gridSpan w:val="8"/>
            <w:shd w:val="clear" w:color="auto" w:fill="auto"/>
            <w:vAlign w:val="center"/>
          </w:tcPr>
          <w:p w14:paraId="54E90D13" w14:textId="77777777" w:rsidR="00F427A3" w:rsidRDefault="00F427A3">
            <w:pPr>
              <w:rPr>
                <w:rFonts w:ascii="Times New Roman" w:hAnsi="Times New Roman"/>
                <w:sz w:val="20"/>
                <w:szCs w:val="20"/>
              </w:rPr>
            </w:pPr>
          </w:p>
        </w:tc>
      </w:tr>
      <w:tr w:rsidR="00F427A3" w14:paraId="54E90D1D" w14:textId="77777777">
        <w:tc>
          <w:tcPr>
            <w:tcW w:w="3449" w:type="pct"/>
            <w:shd w:val="clear" w:color="auto" w:fill="auto"/>
            <w:vAlign w:val="center"/>
          </w:tcPr>
          <w:p w14:paraId="54E90D15" w14:textId="77777777" w:rsidR="00F427A3" w:rsidRDefault="00F427A3">
            <w:pPr>
              <w:rPr>
                <w:rFonts w:ascii="Times New Roman" w:hAnsi="Times New Roman"/>
                <w:sz w:val="20"/>
                <w:szCs w:val="20"/>
              </w:rPr>
            </w:pPr>
          </w:p>
        </w:tc>
        <w:tc>
          <w:tcPr>
            <w:tcW w:w="50" w:type="pct"/>
            <w:shd w:val="clear" w:color="auto" w:fill="auto"/>
            <w:vAlign w:val="center"/>
          </w:tcPr>
          <w:p w14:paraId="54E90D16" w14:textId="77777777" w:rsidR="00F427A3" w:rsidRDefault="00F427A3">
            <w:pPr>
              <w:rPr>
                <w:rFonts w:ascii="Times New Roman" w:hAnsi="Times New Roman"/>
                <w:sz w:val="20"/>
                <w:szCs w:val="20"/>
              </w:rPr>
            </w:pPr>
          </w:p>
        </w:tc>
        <w:tc>
          <w:tcPr>
            <w:tcW w:w="650" w:type="pct"/>
            <w:shd w:val="clear" w:color="auto" w:fill="auto"/>
            <w:vAlign w:val="center"/>
          </w:tcPr>
          <w:p w14:paraId="54E90D17" w14:textId="77777777" w:rsidR="00F427A3" w:rsidRDefault="00F427A3">
            <w:pPr>
              <w:rPr>
                <w:rFonts w:ascii="Times New Roman" w:hAnsi="Times New Roman"/>
                <w:sz w:val="20"/>
                <w:szCs w:val="20"/>
              </w:rPr>
            </w:pPr>
          </w:p>
        </w:tc>
        <w:tc>
          <w:tcPr>
            <w:tcW w:w="50" w:type="pct"/>
            <w:shd w:val="clear" w:color="auto" w:fill="auto"/>
            <w:vAlign w:val="center"/>
          </w:tcPr>
          <w:p w14:paraId="54E90D18" w14:textId="77777777" w:rsidR="00F427A3" w:rsidRDefault="00F427A3">
            <w:pPr>
              <w:rPr>
                <w:rFonts w:ascii="Times New Roman" w:hAnsi="Times New Roman"/>
                <w:sz w:val="20"/>
                <w:szCs w:val="20"/>
              </w:rPr>
            </w:pPr>
          </w:p>
        </w:tc>
        <w:tc>
          <w:tcPr>
            <w:tcW w:w="50" w:type="pct"/>
            <w:shd w:val="clear" w:color="auto" w:fill="auto"/>
            <w:vAlign w:val="center"/>
          </w:tcPr>
          <w:p w14:paraId="54E90D19" w14:textId="77777777" w:rsidR="00F427A3" w:rsidRDefault="00F427A3">
            <w:pPr>
              <w:rPr>
                <w:rFonts w:ascii="Times New Roman" w:hAnsi="Times New Roman"/>
                <w:sz w:val="20"/>
                <w:szCs w:val="20"/>
              </w:rPr>
            </w:pPr>
          </w:p>
        </w:tc>
        <w:tc>
          <w:tcPr>
            <w:tcW w:w="50" w:type="pct"/>
            <w:shd w:val="clear" w:color="auto" w:fill="auto"/>
            <w:vAlign w:val="center"/>
          </w:tcPr>
          <w:p w14:paraId="54E90D1A" w14:textId="77777777" w:rsidR="00F427A3" w:rsidRDefault="00F427A3">
            <w:pPr>
              <w:rPr>
                <w:rFonts w:ascii="Times New Roman" w:hAnsi="Times New Roman"/>
                <w:sz w:val="20"/>
                <w:szCs w:val="20"/>
              </w:rPr>
            </w:pPr>
          </w:p>
        </w:tc>
        <w:tc>
          <w:tcPr>
            <w:tcW w:w="650" w:type="pct"/>
            <w:shd w:val="clear" w:color="auto" w:fill="auto"/>
            <w:vAlign w:val="center"/>
          </w:tcPr>
          <w:p w14:paraId="54E90D1B" w14:textId="77777777" w:rsidR="00F427A3" w:rsidRDefault="00F427A3">
            <w:pPr>
              <w:rPr>
                <w:rFonts w:ascii="Times New Roman" w:hAnsi="Times New Roman"/>
                <w:sz w:val="20"/>
                <w:szCs w:val="20"/>
              </w:rPr>
            </w:pPr>
          </w:p>
        </w:tc>
        <w:tc>
          <w:tcPr>
            <w:tcW w:w="50" w:type="pct"/>
            <w:shd w:val="clear" w:color="auto" w:fill="auto"/>
            <w:vAlign w:val="center"/>
          </w:tcPr>
          <w:p w14:paraId="54E90D1C" w14:textId="77777777" w:rsidR="00F427A3" w:rsidRDefault="00F427A3">
            <w:pPr>
              <w:rPr>
                <w:rFonts w:ascii="Times New Roman" w:hAnsi="Times New Roman"/>
                <w:sz w:val="20"/>
                <w:szCs w:val="20"/>
              </w:rPr>
            </w:pPr>
          </w:p>
        </w:tc>
      </w:tr>
      <w:tr w:rsidR="00F427A3" w14:paraId="54E90D22" w14:textId="77777777">
        <w:tc>
          <w:tcPr>
            <w:tcW w:w="0" w:type="auto"/>
            <w:shd w:val="clear" w:color="auto" w:fill="auto"/>
            <w:tcMar>
              <w:top w:w="40" w:type="dxa"/>
              <w:left w:w="40" w:type="dxa"/>
              <w:bottom w:w="40" w:type="dxa"/>
              <w:right w:w="40" w:type="dxa"/>
            </w:tcMar>
            <w:vAlign w:val="bottom"/>
          </w:tcPr>
          <w:p w14:paraId="54E90D1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D1F"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September 30, 2020</w:t>
            </w:r>
          </w:p>
        </w:tc>
        <w:tc>
          <w:tcPr>
            <w:tcW w:w="0" w:type="auto"/>
            <w:shd w:val="clear" w:color="auto" w:fill="auto"/>
            <w:tcMar>
              <w:top w:w="40" w:type="dxa"/>
              <w:left w:w="40" w:type="dxa"/>
              <w:bottom w:w="40" w:type="dxa"/>
              <w:right w:w="40" w:type="dxa"/>
            </w:tcMar>
            <w:vAlign w:val="bottom"/>
          </w:tcPr>
          <w:p w14:paraId="54E90D2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D21"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December 31, 2019</w:t>
            </w:r>
          </w:p>
        </w:tc>
      </w:tr>
      <w:tr w:rsidR="00F427A3" w14:paraId="54E90D2B" w14:textId="77777777">
        <w:tc>
          <w:tcPr>
            <w:tcW w:w="0" w:type="auto"/>
            <w:shd w:val="clear" w:color="auto" w:fill="CCEEFF"/>
            <w:tcMar>
              <w:top w:w="40" w:type="dxa"/>
              <w:left w:w="40" w:type="dxa"/>
              <w:bottom w:w="40" w:type="dxa"/>
              <w:right w:w="40" w:type="dxa"/>
            </w:tcMar>
          </w:tcPr>
          <w:p w14:paraId="54E90D23"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United States</w:t>
            </w:r>
          </w:p>
        </w:tc>
        <w:tc>
          <w:tcPr>
            <w:tcW w:w="0" w:type="auto"/>
            <w:shd w:val="clear" w:color="auto" w:fill="CCEEFF"/>
            <w:tcMar>
              <w:top w:w="40" w:type="dxa"/>
              <w:left w:w="40" w:type="dxa"/>
              <w:bottom w:w="40" w:type="dxa"/>
            </w:tcMar>
            <w:vAlign w:val="bottom"/>
          </w:tcPr>
          <w:p w14:paraId="54E90D2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D2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40,970</w:t>
            </w:r>
          </w:p>
        </w:tc>
        <w:tc>
          <w:tcPr>
            <w:tcW w:w="0" w:type="auto"/>
            <w:shd w:val="clear" w:color="auto" w:fill="CCEEFF"/>
            <w:vAlign w:val="bottom"/>
          </w:tcPr>
          <w:p w14:paraId="54E90D2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D2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D2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D2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35,858</w:t>
            </w:r>
          </w:p>
        </w:tc>
        <w:tc>
          <w:tcPr>
            <w:tcW w:w="0" w:type="auto"/>
            <w:shd w:val="clear" w:color="auto" w:fill="CCEEFF"/>
            <w:vAlign w:val="bottom"/>
          </w:tcPr>
          <w:p w14:paraId="54E90D2A" w14:textId="77777777" w:rsidR="00F427A3" w:rsidRDefault="00F427A3">
            <w:pPr>
              <w:textAlignment w:val="bottom"/>
              <w:rPr>
                <w:rFonts w:ascii="Times New Roman" w:hAnsi="Times New Roman"/>
                <w:sz w:val="20"/>
                <w:szCs w:val="20"/>
              </w:rPr>
            </w:pPr>
          </w:p>
        </w:tc>
      </w:tr>
      <w:tr w:rsidR="00F427A3" w14:paraId="54E90D32" w14:textId="77777777">
        <w:tc>
          <w:tcPr>
            <w:tcW w:w="0" w:type="auto"/>
            <w:shd w:val="clear" w:color="auto" w:fill="auto"/>
            <w:tcMar>
              <w:top w:w="40" w:type="dxa"/>
              <w:left w:w="40" w:type="dxa"/>
              <w:bottom w:w="40" w:type="dxa"/>
              <w:right w:w="40" w:type="dxa"/>
            </w:tcMar>
          </w:tcPr>
          <w:p w14:paraId="54E90D2C"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xml:space="preserve">Rest of the world </w:t>
            </w:r>
            <w:r>
              <w:rPr>
                <w:rFonts w:ascii="Times New Roman" w:eastAsia="宋体" w:hAnsi="Times New Roman"/>
                <w:sz w:val="14"/>
                <w:szCs w:val="14"/>
              </w:rPr>
              <w:t>(1)</w:t>
            </w:r>
          </w:p>
        </w:tc>
        <w:tc>
          <w:tcPr>
            <w:tcW w:w="0" w:type="auto"/>
            <w:gridSpan w:val="2"/>
            <w:tcBorders>
              <w:bottom w:val="single" w:sz="8" w:space="0" w:color="000000"/>
            </w:tcBorders>
            <w:shd w:val="clear" w:color="auto" w:fill="auto"/>
            <w:tcMar>
              <w:top w:w="40" w:type="dxa"/>
              <w:left w:w="40" w:type="dxa"/>
              <w:bottom w:w="40" w:type="dxa"/>
            </w:tcMar>
            <w:vAlign w:val="bottom"/>
          </w:tcPr>
          <w:p w14:paraId="54E90D2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10,760</w:t>
            </w:r>
          </w:p>
        </w:tc>
        <w:tc>
          <w:tcPr>
            <w:tcW w:w="0" w:type="auto"/>
            <w:tcBorders>
              <w:bottom w:val="single" w:sz="8" w:space="0" w:color="000000"/>
            </w:tcBorders>
            <w:shd w:val="clear" w:color="auto" w:fill="auto"/>
            <w:vAlign w:val="bottom"/>
          </w:tcPr>
          <w:p w14:paraId="54E90D2E"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D2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0D3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8,925</w:t>
            </w:r>
          </w:p>
        </w:tc>
        <w:tc>
          <w:tcPr>
            <w:tcW w:w="0" w:type="auto"/>
            <w:tcBorders>
              <w:bottom w:val="single" w:sz="8" w:space="0" w:color="000000"/>
            </w:tcBorders>
            <w:shd w:val="clear" w:color="auto" w:fill="auto"/>
            <w:vAlign w:val="bottom"/>
          </w:tcPr>
          <w:p w14:paraId="54E90D31" w14:textId="77777777" w:rsidR="00F427A3" w:rsidRDefault="00F427A3">
            <w:pPr>
              <w:textAlignment w:val="bottom"/>
              <w:rPr>
                <w:rFonts w:ascii="Times New Roman" w:hAnsi="Times New Roman"/>
                <w:sz w:val="20"/>
                <w:szCs w:val="20"/>
              </w:rPr>
            </w:pPr>
          </w:p>
        </w:tc>
      </w:tr>
      <w:tr w:rsidR="00F427A3" w14:paraId="54E90D3B" w14:textId="77777777">
        <w:tc>
          <w:tcPr>
            <w:tcW w:w="0" w:type="auto"/>
            <w:shd w:val="clear" w:color="auto" w:fill="CCEEFF"/>
            <w:tcMar>
              <w:top w:w="40" w:type="dxa"/>
              <w:left w:w="400" w:type="dxa"/>
              <w:bottom w:w="40" w:type="dxa"/>
              <w:right w:w="40" w:type="dxa"/>
            </w:tcMar>
          </w:tcPr>
          <w:p w14:paraId="54E90D33"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Total long-lived assets</w:t>
            </w:r>
          </w:p>
        </w:tc>
        <w:tc>
          <w:tcPr>
            <w:tcW w:w="0" w:type="auto"/>
            <w:tcBorders>
              <w:bottom w:val="double" w:sz="6" w:space="0" w:color="000000"/>
            </w:tcBorders>
            <w:shd w:val="clear" w:color="auto" w:fill="CCEEFF"/>
            <w:tcMar>
              <w:top w:w="40" w:type="dxa"/>
              <w:left w:w="40" w:type="dxa"/>
              <w:bottom w:w="40" w:type="dxa"/>
            </w:tcMar>
            <w:vAlign w:val="bottom"/>
          </w:tcPr>
          <w:p w14:paraId="54E90D3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90D3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51,730</w:t>
            </w:r>
          </w:p>
        </w:tc>
        <w:tc>
          <w:tcPr>
            <w:tcW w:w="0" w:type="auto"/>
            <w:tcBorders>
              <w:bottom w:val="double" w:sz="6" w:space="0" w:color="000000"/>
            </w:tcBorders>
            <w:shd w:val="clear" w:color="auto" w:fill="CCEEFF"/>
            <w:vAlign w:val="bottom"/>
          </w:tcPr>
          <w:p w14:paraId="54E90D3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D3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4E90D3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90D3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44,783</w:t>
            </w:r>
          </w:p>
        </w:tc>
        <w:tc>
          <w:tcPr>
            <w:tcW w:w="0" w:type="auto"/>
            <w:tcBorders>
              <w:bottom w:val="double" w:sz="6" w:space="0" w:color="000000"/>
            </w:tcBorders>
            <w:shd w:val="clear" w:color="auto" w:fill="CCEEFF"/>
            <w:vAlign w:val="bottom"/>
          </w:tcPr>
          <w:p w14:paraId="54E90D3A" w14:textId="77777777" w:rsidR="00F427A3" w:rsidRDefault="00F427A3">
            <w:pPr>
              <w:textAlignment w:val="bottom"/>
              <w:rPr>
                <w:rFonts w:ascii="Times New Roman" w:hAnsi="Times New Roman"/>
                <w:sz w:val="20"/>
                <w:szCs w:val="20"/>
              </w:rPr>
            </w:pPr>
          </w:p>
        </w:tc>
      </w:tr>
    </w:tbl>
    <w:p w14:paraId="54E90D3C" w14:textId="77777777" w:rsidR="00F427A3" w:rsidRDefault="0044221F">
      <w:pPr>
        <w:rPr>
          <w:rFonts w:ascii="Times New Roman" w:hAnsi="Times New Roman"/>
          <w:sz w:val="20"/>
          <w:szCs w:val="20"/>
        </w:rPr>
      </w:pPr>
      <w:r>
        <w:rPr>
          <w:rFonts w:ascii="Times New Roman" w:eastAsia="宋体" w:hAnsi="Times New Roman"/>
          <w:sz w:val="12"/>
          <w:szCs w:val="12"/>
        </w:rPr>
        <w:t>____________________________________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427A3" w14:paraId="54E90D3F" w14:textId="77777777">
        <w:trPr>
          <w:tblCellSpacing w:w="0" w:type="dxa"/>
        </w:trPr>
        <w:tc>
          <w:tcPr>
            <w:tcW w:w="480" w:type="dxa"/>
            <w:shd w:val="clear" w:color="auto" w:fill="auto"/>
            <w:vAlign w:val="center"/>
          </w:tcPr>
          <w:p w14:paraId="54E90D3D" w14:textId="77777777" w:rsidR="00F427A3" w:rsidRDefault="00F427A3">
            <w:pPr>
              <w:rPr>
                <w:rFonts w:ascii="Times New Roman" w:hAnsi="Times New Roman"/>
                <w:sz w:val="20"/>
                <w:szCs w:val="20"/>
              </w:rPr>
            </w:pPr>
          </w:p>
        </w:tc>
        <w:tc>
          <w:tcPr>
            <w:tcW w:w="0" w:type="auto"/>
            <w:shd w:val="clear" w:color="auto" w:fill="auto"/>
            <w:vAlign w:val="center"/>
          </w:tcPr>
          <w:p w14:paraId="54E90D3E" w14:textId="77777777" w:rsidR="00F427A3" w:rsidRDefault="00F427A3">
            <w:pPr>
              <w:rPr>
                <w:rFonts w:ascii="Times New Roman" w:hAnsi="Times New Roman"/>
                <w:sz w:val="20"/>
                <w:szCs w:val="20"/>
              </w:rPr>
            </w:pPr>
          </w:p>
        </w:tc>
      </w:tr>
      <w:tr w:rsidR="00F427A3" w14:paraId="54E90D42" w14:textId="77777777">
        <w:trPr>
          <w:tblCellSpacing w:w="0" w:type="dxa"/>
        </w:trPr>
        <w:tc>
          <w:tcPr>
            <w:tcW w:w="0" w:type="auto"/>
            <w:shd w:val="clear" w:color="auto" w:fill="auto"/>
          </w:tcPr>
          <w:p w14:paraId="54E90D40" w14:textId="77777777" w:rsidR="00F427A3" w:rsidRDefault="0044221F">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54E90D41" w14:textId="77777777" w:rsidR="00F427A3" w:rsidRDefault="0044221F">
            <w:pPr>
              <w:spacing w:line="288" w:lineRule="auto"/>
              <w:jc w:val="both"/>
              <w:textAlignment w:val="top"/>
              <w:rPr>
                <w:rFonts w:ascii="Times New Roman" w:hAnsi="Times New Roman"/>
                <w:sz w:val="18"/>
                <w:szCs w:val="18"/>
              </w:rPr>
            </w:pPr>
            <w:r>
              <w:rPr>
                <w:rFonts w:ascii="Times New Roman" w:eastAsia="宋体" w:hAnsi="Times New Roman"/>
                <w:sz w:val="18"/>
                <w:szCs w:val="18"/>
              </w:rPr>
              <w:t xml:space="preserve">No individual country, other </w:t>
            </w:r>
            <w:r>
              <w:rPr>
                <w:rFonts w:ascii="Times New Roman" w:eastAsia="宋体" w:hAnsi="Times New Roman"/>
                <w:sz w:val="18"/>
                <w:szCs w:val="18"/>
              </w:rPr>
              <w:t>than disclosed above, exceeded 10% of our total long-lived assets for any period presented.</w:t>
            </w:r>
          </w:p>
        </w:tc>
      </w:tr>
    </w:tbl>
    <w:p w14:paraId="54E90D43" w14:textId="77777777" w:rsidR="00F427A3" w:rsidRDefault="00F427A3">
      <w:pPr>
        <w:rPr>
          <w:rFonts w:ascii="Times New Roman" w:hAnsi="Times New Roman"/>
          <w:sz w:val="20"/>
          <w:szCs w:val="20"/>
        </w:rPr>
      </w:pPr>
    </w:p>
    <w:p w14:paraId="54E90D44"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28</w:t>
      </w:r>
    </w:p>
    <w:p w14:paraId="54E90D45" w14:textId="77777777" w:rsidR="00F427A3" w:rsidRDefault="0044221F">
      <w:r>
        <w:rPr>
          <w:rFonts w:ascii="Times New Roman" w:hAnsi="Times New Roman"/>
          <w:sz w:val="20"/>
          <w:szCs w:val="20"/>
        </w:rPr>
        <w:pict w14:anchorId="54E91C3C">
          <v:rect id="_x0000_i1052" style="width:415.3pt;height:1.5pt" o:hralign="center" o:hrstd="t" o:hr="t" fillcolor="#a0a0a0" stroked="f"/>
        </w:pict>
      </w:r>
    </w:p>
    <w:p w14:paraId="54E90D46" w14:textId="77777777" w:rsidR="00F427A3" w:rsidRDefault="0044221F">
      <w:pPr>
        <w:spacing w:line="288" w:lineRule="auto"/>
        <w:rPr>
          <w:rFonts w:ascii="Times New Roman" w:hAnsi="Times New Roman"/>
          <w:sz w:val="20"/>
          <w:szCs w:val="20"/>
        </w:rPr>
      </w:pPr>
      <w:hyperlink r:id="rId69" w:anchor="s348EA962CF6D59B599D9921AFA89C381" w:history="1">
        <w:r>
          <w:rPr>
            <w:rStyle w:val="a5"/>
            <w:rFonts w:ascii="Times New Roman" w:eastAsia="宋体" w:hAnsi="Times New Roman"/>
            <w:sz w:val="20"/>
            <w:szCs w:val="20"/>
          </w:rPr>
          <w:t>Table o</w:t>
        </w:r>
        <w:r>
          <w:rPr>
            <w:rStyle w:val="a5"/>
            <w:rFonts w:ascii="Times New Roman" w:eastAsia="宋体" w:hAnsi="Times New Roman"/>
            <w:sz w:val="20"/>
            <w:szCs w:val="20"/>
          </w:rPr>
          <w:t>f Contents</w:t>
        </w:r>
      </w:hyperlink>
    </w:p>
    <w:p w14:paraId="54E90D47" w14:textId="77777777" w:rsidR="00F427A3" w:rsidRDefault="00F427A3">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427A3" w14:paraId="54E90D4A" w14:textId="77777777">
        <w:trPr>
          <w:tblCellSpacing w:w="0" w:type="dxa"/>
        </w:trPr>
        <w:tc>
          <w:tcPr>
            <w:tcW w:w="960" w:type="dxa"/>
            <w:shd w:val="clear" w:color="auto" w:fill="auto"/>
            <w:vAlign w:val="center"/>
          </w:tcPr>
          <w:p w14:paraId="54E90D48" w14:textId="77777777" w:rsidR="00F427A3" w:rsidRDefault="00F427A3">
            <w:pPr>
              <w:rPr>
                <w:rFonts w:ascii="Times New Roman" w:hAnsi="Times New Roman"/>
                <w:sz w:val="20"/>
                <w:szCs w:val="20"/>
              </w:rPr>
            </w:pPr>
          </w:p>
        </w:tc>
        <w:tc>
          <w:tcPr>
            <w:tcW w:w="0" w:type="auto"/>
            <w:shd w:val="clear" w:color="auto" w:fill="auto"/>
            <w:vAlign w:val="center"/>
          </w:tcPr>
          <w:p w14:paraId="54E90D49" w14:textId="77777777" w:rsidR="00F427A3" w:rsidRDefault="00F427A3">
            <w:pPr>
              <w:rPr>
                <w:rFonts w:ascii="Times New Roman" w:hAnsi="Times New Roman"/>
                <w:sz w:val="20"/>
                <w:szCs w:val="20"/>
              </w:rPr>
            </w:pPr>
          </w:p>
        </w:tc>
      </w:tr>
      <w:tr w:rsidR="00F427A3" w14:paraId="54E90D4D" w14:textId="77777777">
        <w:trPr>
          <w:tblCellSpacing w:w="0" w:type="dxa"/>
        </w:trPr>
        <w:tc>
          <w:tcPr>
            <w:tcW w:w="0" w:type="auto"/>
            <w:shd w:val="clear" w:color="auto" w:fill="auto"/>
          </w:tcPr>
          <w:p w14:paraId="54E90D4B"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b/>
                <w:bCs/>
                <w:sz w:val="20"/>
                <w:szCs w:val="20"/>
              </w:rPr>
              <w:t>Item 2.</w:t>
            </w:r>
          </w:p>
        </w:tc>
        <w:tc>
          <w:tcPr>
            <w:tcW w:w="0" w:type="auto"/>
            <w:shd w:val="clear" w:color="auto" w:fill="auto"/>
          </w:tcPr>
          <w:p w14:paraId="54E90D4C"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b/>
                <w:bCs/>
                <w:sz w:val="20"/>
                <w:szCs w:val="20"/>
              </w:rPr>
              <w:t>Management's Discussion and Analysis of Financial Condition and Results of Operations</w:t>
            </w:r>
          </w:p>
        </w:tc>
      </w:tr>
    </w:tbl>
    <w:p w14:paraId="54E90D4E" w14:textId="77777777" w:rsidR="00F427A3" w:rsidRDefault="0044221F">
      <w:pPr>
        <w:spacing w:line="288" w:lineRule="auto"/>
        <w:jc w:val="both"/>
        <w:rPr>
          <w:rFonts w:ascii="Times New Roman" w:hAnsi="Times New Roman"/>
          <w:sz w:val="20"/>
          <w:szCs w:val="20"/>
        </w:rPr>
      </w:pPr>
      <w:r>
        <w:rPr>
          <w:rFonts w:ascii="Times New Roman" w:eastAsia="宋体" w:hAnsi="Times New Roman"/>
          <w:i/>
          <w:iCs/>
          <w:sz w:val="20"/>
          <w:szCs w:val="20"/>
        </w:rPr>
        <w:t xml:space="preserve">You should read the following discussion of our financial condition and results of operations in conjunction with our condensed </w:t>
      </w:r>
      <w:r>
        <w:rPr>
          <w:rFonts w:ascii="Times New Roman" w:eastAsia="宋体" w:hAnsi="Times New Roman"/>
          <w:i/>
          <w:iCs/>
          <w:sz w:val="20"/>
          <w:szCs w:val="20"/>
        </w:rPr>
        <w:t>consolidated financial statements and the related notes included elsewhere in this Quarterly Report on Form 10-Q and with our audited consolidated financial statements included in our Annual Report on Form 10-K for the year ended December 31, 2019, as file</w:t>
      </w:r>
      <w:r>
        <w:rPr>
          <w:rFonts w:ascii="Times New Roman" w:eastAsia="宋体" w:hAnsi="Times New Roman"/>
          <w:i/>
          <w:iCs/>
          <w:sz w:val="20"/>
          <w:szCs w:val="20"/>
        </w:rPr>
        <w:t>d with the Securities and Exchange Commission. In addition to our historical condensed consolidated financial information, the following discussion contains forward-looking statements that reflect our plans, estimates, and beliefs. Our actual results could</w:t>
      </w:r>
      <w:r>
        <w:rPr>
          <w:rFonts w:ascii="Times New Roman" w:eastAsia="宋体" w:hAnsi="Times New Roman"/>
          <w:i/>
          <w:iCs/>
          <w:sz w:val="20"/>
          <w:szCs w:val="20"/>
        </w:rPr>
        <w:t xml:space="preserve"> differ materially from those discussed in the forward-looking statements. Factors that could cause or contribute to these differences include those discussed below and elsewhere in this Quarterly Report on Form 10-Q, particularly in Part II, Item 1A, "Ris</w:t>
      </w:r>
      <w:r>
        <w:rPr>
          <w:rFonts w:ascii="Times New Roman" w:eastAsia="宋体" w:hAnsi="Times New Roman"/>
          <w:i/>
          <w:iCs/>
          <w:sz w:val="20"/>
          <w:szCs w:val="20"/>
        </w:rPr>
        <w:t>k Factors." For a discussion of limitations in the measurement of certain of our community metrics, see the section entitled "Limitations of Key Metrics and Other Data" in this Quarterly Report on Form 10-Q.</w:t>
      </w:r>
    </w:p>
    <w:p w14:paraId="54E90D4F" w14:textId="77777777" w:rsidR="00F427A3" w:rsidRDefault="0044221F">
      <w:pPr>
        <w:spacing w:line="288" w:lineRule="auto"/>
        <w:jc w:val="both"/>
        <w:rPr>
          <w:rFonts w:ascii="Times New Roman" w:hAnsi="Times New Roman"/>
          <w:sz w:val="20"/>
          <w:szCs w:val="20"/>
        </w:rPr>
      </w:pPr>
      <w:r>
        <w:rPr>
          <w:rFonts w:ascii="Times New Roman" w:eastAsia="宋体" w:hAnsi="Times New Roman"/>
          <w:i/>
          <w:iCs/>
          <w:sz w:val="20"/>
          <w:szCs w:val="20"/>
        </w:rPr>
        <w:t>Certain revenue information in the section entit</w:t>
      </w:r>
      <w:r>
        <w:rPr>
          <w:rFonts w:ascii="Times New Roman" w:eastAsia="宋体" w:hAnsi="Times New Roman"/>
          <w:i/>
          <w:iCs/>
          <w:sz w:val="20"/>
          <w:szCs w:val="20"/>
        </w:rPr>
        <w:t>led "—Three and Nine Months Ended September 30, 2020 and 2019—Revenue</w:t>
      </w:r>
      <w:r>
        <w:rPr>
          <w:rFonts w:ascii="Times New Roman" w:eastAsia="宋体" w:hAnsi="Times New Roman"/>
          <w:sz w:val="20"/>
          <w:szCs w:val="20"/>
        </w:rPr>
        <w:t>—</w:t>
      </w:r>
      <w:r>
        <w:rPr>
          <w:rFonts w:ascii="Times New Roman" w:eastAsia="宋体" w:hAnsi="Times New Roman"/>
          <w:i/>
          <w:iCs/>
          <w:sz w:val="20"/>
          <w:szCs w:val="20"/>
        </w:rPr>
        <w:t>Foreign Exchange Impact on Revenue" is presented on a constant currency basis. This information is a non-GAAP financial measure. To calculate revenue on a constant currency basis, we tra</w:t>
      </w:r>
      <w:r>
        <w:rPr>
          <w:rFonts w:ascii="Times New Roman" w:eastAsia="宋体" w:hAnsi="Times New Roman"/>
          <w:i/>
          <w:iCs/>
          <w:sz w:val="20"/>
          <w:szCs w:val="20"/>
        </w:rPr>
        <w:t>nslated revenue for the three and nine months ended September 30, 2020 using the prior year's monthly exchange rates for our settlement or billing currencies other than the U.S. dollar. This non-GAAP financial measure is not intended to be considered in is</w:t>
      </w:r>
      <w:r>
        <w:rPr>
          <w:rFonts w:ascii="Times New Roman" w:eastAsia="宋体" w:hAnsi="Times New Roman"/>
          <w:i/>
          <w:iCs/>
          <w:sz w:val="20"/>
          <w:szCs w:val="20"/>
        </w:rPr>
        <w:t>olation or as a substitute for, or superior to, financial information prepared and presented in accordance with GAAP. This measure may be different from non-GAAP financial measures used by other companies, limiting its usefulness for comparison purposes. M</w:t>
      </w:r>
      <w:r>
        <w:rPr>
          <w:rFonts w:ascii="Times New Roman" w:eastAsia="宋体" w:hAnsi="Times New Roman"/>
          <w:i/>
          <w:iCs/>
          <w:sz w:val="20"/>
          <w:szCs w:val="20"/>
        </w:rPr>
        <w:t>oreover, presentation of revenue on a constant currency basis is provided for year-over-year comparison purposes, and investors should be cautioned that the effect of changing foreign currency exchange rates has an actual effect on our operating results. W</w:t>
      </w:r>
      <w:r>
        <w:rPr>
          <w:rFonts w:ascii="Times New Roman" w:eastAsia="宋体" w:hAnsi="Times New Roman"/>
          <w:i/>
          <w:iCs/>
          <w:sz w:val="20"/>
          <w:szCs w:val="20"/>
        </w:rPr>
        <w:t xml:space="preserve">e believe this non-GAAP financial measure provides investors with useful supplemental information about the financial performance of our business, enables comparison of financial results between periods where certain items may vary independent of business </w:t>
      </w:r>
      <w:r>
        <w:rPr>
          <w:rFonts w:ascii="Times New Roman" w:eastAsia="宋体" w:hAnsi="Times New Roman"/>
          <w:i/>
          <w:iCs/>
          <w:sz w:val="20"/>
          <w:szCs w:val="20"/>
        </w:rPr>
        <w:t>performance, and allows for greater transparency with respect to key metrics used by management in operating our business.</w:t>
      </w:r>
    </w:p>
    <w:p w14:paraId="54E90D50"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Executive Overview of Third Quarter Results</w:t>
      </w:r>
    </w:p>
    <w:p w14:paraId="54E90D51" w14:textId="77777777" w:rsidR="00F427A3" w:rsidRDefault="0044221F">
      <w:pPr>
        <w:spacing w:line="288" w:lineRule="auto"/>
        <w:ind w:firstLine="720"/>
        <w:rPr>
          <w:rFonts w:ascii="Times New Roman" w:hAnsi="Times New Roman"/>
          <w:sz w:val="20"/>
          <w:szCs w:val="20"/>
        </w:rPr>
      </w:pPr>
      <w:r>
        <w:rPr>
          <w:rFonts w:ascii="Times New Roman" w:eastAsia="宋体" w:hAnsi="Times New Roman"/>
          <w:sz w:val="20"/>
          <w:szCs w:val="20"/>
        </w:rPr>
        <w:t>Our key community metrics and financial results for the third quarter of 2020 are as foll</w:t>
      </w:r>
      <w:r>
        <w:rPr>
          <w:rFonts w:ascii="Times New Roman" w:eastAsia="宋体" w:hAnsi="Times New Roman"/>
          <w:sz w:val="20"/>
          <w:szCs w:val="20"/>
        </w:rPr>
        <w:t>ows:</w:t>
      </w:r>
    </w:p>
    <w:p w14:paraId="54E90D52"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Community growth:</w:t>
      </w:r>
    </w:p>
    <w:tbl>
      <w:tblPr>
        <w:tblW w:w="0" w:type="auto"/>
        <w:tblCellSpacing w:w="0" w:type="dxa"/>
        <w:tblCellMar>
          <w:top w:w="240" w:type="dxa"/>
          <w:left w:w="0" w:type="dxa"/>
          <w:right w:w="0" w:type="dxa"/>
        </w:tblCellMar>
        <w:tblLook w:val="04A0" w:firstRow="1" w:lastRow="0" w:firstColumn="1" w:lastColumn="0" w:noHBand="0" w:noVBand="1"/>
      </w:tblPr>
      <w:tblGrid>
        <w:gridCol w:w="840"/>
        <w:gridCol w:w="7466"/>
      </w:tblGrid>
      <w:tr w:rsidR="00F427A3" w14:paraId="54E90D55" w14:textId="77777777">
        <w:trPr>
          <w:tblCellSpacing w:w="0" w:type="dxa"/>
        </w:trPr>
        <w:tc>
          <w:tcPr>
            <w:tcW w:w="840" w:type="dxa"/>
            <w:shd w:val="clear" w:color="auto" w:fill="auto"/>
            <w:vAlign w:val="center"/>
          </w:tcPr>
          <w:p w14:paraId="54E90D53" w14:textId="77777777" w:rsidR="00F427A3" w:rsidRDefault="00F427A3">
            <w:pPr>
              <w:rPr>
                <w:rFonts w:ascii="Times New Roman" w:hAnsi="Times New Roman"/>
                <w:sz w:val="20"/>
                <w:szCs w:val="20"/>
              </w:rPr>
            </w:pPr>
          </w:p>
        </w:tc>
        <w:tc>
          <w:tcPr>
            <w:tcW w:w="0" w:type="auto"/>
            <w:shd w:val="clear" w:color="auto" w:fill="auto"/>
            <w:vAlign w:val="center"/>
          </w:tcPr>
          <w:p w14:paraId="54E90D54" w14:textId="77777777" w:rsidR="00F427A3" w:rsidRDefault="00F427A3">
            <w:pPr>
              <w:rPr>
                <w:rFonts w:ascii="Times New Roman" w:hAnsi="Times New Roman"/>
                <w:sz w:val="20"/>
                <w:szCs w:val="20"/>
              </w:rPr>
            </w:pPr>
          </w:p>
        </w:tc>
      </w:tr>
      <w:tr w:rsidR="00F427A3" w14:paraId="54E90D58" w14:textId="77777777">
        <w:trPr>
          <w:tblCellSpacing w:w="0" w:type="dxa"/>
        </w:trPr>
        <w:tc>
          <w:tcPr>
            <w:tcW w:w="0" w:type="auto"/>
            <w:shd w:val="clear" w:color="auto" w:fill="auto"/>
          </w:tcPr>
          <w:p w14:paraId="54E90D56"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left w:w="120" w:type="dxa"/>
            </w:tcMar>
          </w:tcPr>
          <w:p w14:paraId="54E90D57" w14:textId="77777777" w:rsidR="00F427A3" w:rsidRDefault="0044221F">
            <w:pPr>
              <w:spacing w:line="288" w:lineRule="auto"/>
              <w:ind w:hanging="120"/>
              <w:jc w:val="both"/>
              <w:textAlignment w:val="top"/>
              <w:rPr>
                <w:rFonts w:ascii="Times New Roman" w:hAnsi="Times New Roman"/>
                <w:sz w:val="20"/>
                <w:szCs w:val="20"/>
              </w:rPr>
            </w:pPr>
            <w:r>
              <w:rPr>
                <w:rFonts w:ascii="Times New Roman" w:eastAsia="宋体" w:hAnsi="Times New Roman"/>
                <w:sz w:val="20"/>
                <w:szCs w:val="20"/>
              </w:rPr>
              <w:t>Facebook daily active users (DAUs) were 1.82 billion on average for September 2020, an increase of 12% year-over-year.</w:t>
            </w:r>
          </w:p>
        </w:tc>
      </w:tr>
    </w:tbl>
    <w:p w14:paraId="54E90D59" w14:textId="77777777" w:rsidR="00F427A3" w:rsidRDefault="00F427A3">
      <w:pPr>
        <w:rPr>
          <w:vanish/>
        </w:rPr>
      </w:pPr>
    </w:p>
    <w:tbl>
      <w:tblPr>
        <w:tblW w:w="0" w:type="auto"/>
        <w:tblCellSpacing w:w="0" w:type="dxa"/>
        <w:tblCellMar>
          <w:left w:w="0" w:type="dxa"/>
          <w:right w:w="0" w:type="dxa"/>
        </w:tblCellMar>
        <w:tblLook w:val="04A0" w:firstRow="1" w:lastRow="0" w:firstColumn="1" w:lastColumn="0" w:noHBand="0" w:noVBand="1"/>
      </w:tblPr>
      <w:tblGrid>
        <w:gridCol w:w="840"/>
        <w:gridCol w:w="7466"/>
      </w:tblGrid>
      <w:tr w:rsidR="00F427A3" w14:paraId="54E90D5C" w14:textId="77777777">
        <w:trPr>
          <w:tblCellSpacing w:w="0" w:type="dxa"/>
        </w:trPr>
        <w:tc>
          <w:tcPr>
            <w:tcW w:w="840" w:type="dxa"/>
            <w:shd w:val="clear" w:color="auto" w:fill="auto"/>
            <w:vAlign w:val="center"/>
          </w:tcPr>
          <w:p w14:paraId="54E90D5A" w14:textId="77777777" w:rsidR="00F427A3" w:rsidRDefault="00F427A3">
            <w:pPr>
              <w:rPr>
                <w:rFonts w:ascii="Times New Roman" w:hAnsi="Times New Roman"/>
                <w:sz w:val="20"/>
                <w:szCs w:val="20"/>
              </w:rPr>
            </w:pPr>
          </w:p>
        </w:tc>
        <w:tc>
          <w:tcPr>
            <w:tcW w:w="0" w:type="auto"/>
            <w:shd w:val="clear" w:color="auto" w:fill="auto"/>
            <w:vAlign w:val="center"/>
          </w:tcPr>
          <w:p w14:paraId="54E90D5B" w14:textId="77777777" w:rsidR="00F427A3" w:rsidRDefault="00F427A3">
            <w:pPr>
              <w:rPr>
                <w:rFonts w:ascii="Times New Roman" w:hAnsi="Times New Roman"/>
                <w:sz w:val="20"/>
                <w:szCs w:val="20"/>
              </w:rPr>
            </w:pPr>
          </w:p>
        </w:tc>
      </w:tr>
      <w:tr w:rsidR="00F427A3" w14:paraId="54E90D5F" w14:textId="77777777">
        <w:trPr>
          <w:tblCellSpacing w:w="0" w:type="dxa"/>
        </w:trPr>
        <w:tc>
          <w:tcPr>
            <w:tcW w:w="0" w:type="auto"/>
            <w:shd w:val="clear" w:color="auto" w:fill="auto"/>
          </w:tcPr>
          <w:p w14:paraId="54E90D5D"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left w:w="120" w:type="dxa"/>
            </w:tcMar>
          </w:tcPr>
          <w:p w14:paraId="54E90D5E" w14:textId="77777777" w:rsidR="00F427A3" w:rsidRDefault="0044221F">
            <w:pPr>
              <w:spacing w:line="288" w:lineRule="auto"/>
              <w:ind w:hanging="120"/>
              <w:jc w:val="both"/>
              <w:textAlignment w:val="top"/>
              <w:rPr>
                <w:rFonts w:ascii="Times New Roman" w:hAnsi="Times New Roman"/>
                <w:sz w:val="20"/>
                <w:szCs w:val="20"/>
              </w:rPr>
            </w:pPr>
            <w:r>
              <w:rPr>
                <w:rFonts w:ascii="Times New Roman" w:eastAsia="宋体" w:hAnsi="Times New Roman"/>
                <w:sz w:val="20"/>
                <w:szCs w:val="20"/>
              </w:rPr>
              <w:t xml:space="preserve">Facebook monthly active users (MAUs) were 2.74 billion as of September 30, 2020, an increase of 12% </w:t>
            </w:r>
            <w:r>
              <w:rPr>
                <w:rFonts w:ascii="Times New Roman" w:eastAsia="宋体" w:hAnsi="Times New Roman"/>
                <w:sz w:val="20"/>
                <w:szCs w:val="20"/>
              </w:rPr>
              <w:t>year-over-year.</w:t>
            </w:r>
          </w:p>
        </w:tc>
      </w:tr>
    </w:tbl>
    <w:p w14:paraId="54E90D60" w14:textId="77777777" w:rsidR="00F427A3" w:rsidRDefault="00F427A3">
      <w:pPr>
        <w:rPr>
          <w:vanish/>
        </w:rPr>
      </w:pPr>
    </w:p>
    <w:tbl>
      <w:tblPr>
        <w:tblW w:w="0" w:type="auto"/>
        <w:tblCellSpacing w:w="0" w:type="dxa"/>
        <w:tblCellMar>
          <w:left w:w="0" w:type="dxa"/>
          <w:right w:w="0" w:type="dxa"/>
        </w:tblCellMar>
        <w:tblLook w:val="04A0" w:firstRow="1" w:lastRow="0" w:firstColumn="1" w:lastColumn="0" w:noHBand="0" w:noVBand="1"/>
      </w:tblPr>
      <w:tblGrid>
        <w:gridCol w:w="840"/>
        <w:gridCol w:w="7466"/>
      </w:tblGrid>
      <w:tr w:rsidR="00F427A3" w14:paraId="54E90D63" w14:textId="77777777">
        <w:trPr>
          <w:tblCellSpacing w:w="0" w:type="dxa"/>
        </w:trPr>
        <w:tc>
          <w:tcPr>
            <w:tcW w:w="840" w:type="dxa"/>
            <w:shd w:val="clear" w:color="auto" w:fill="auto"/>
            <w:vAlign w:val="center"/>
          </w:tcPr>
          <w:p w14:paraId="54E90D61" w14:textId="77777777" w:rsidR="00F427A3" w:rsidRDefault="00F427A3">
            <w:pPr>
              <w:rPr>
                <w:rFonts w:ascii="Times New Roman" w:hAnsi="Times New Roman"/>
                <w:sz w:val="20"/>
                <w:szCs w:val="20"/>
              </w:rPr>
            </w:pPr>
          </w:p>
        </w:tc>
        <w:tc>
          <w:tcPr>
            <w:tcW w:w="0" w:type="auto"/>
            <w:shd w:val="clear" w:color="auto" w:fill="auto"/>
            <w:vAlign w:val="center"/>
          </w:tcPr>
          <w:p w14:paraId="54E90D62" w14:textId="77777777" w:rsidR="00F427A3" w:rsidRDefault="00F427A3">
            <w:pPr>
              <w:rPr>
                <w:rFonts w:ascii="Times New Roman" w:hAnsi="Times New Roman"/>
                <w:sz w:val="20"/>
                <w:szCs w:val="20"/>
              </w:rPr>
            </w:pPr>
          </w:p>
        </w:tc>
      </w:tr>
      <w:tr w:rsidR="00F427A3" w14:paraId="54E90D66" w14:textId="77777777">
        <w:trPr>
          <w:tblCellSpacing w:w="0" w:type="dxa"/>
        </w:trPr>
        <w:tc>
          <w:tcPr>
            <w:tcW w:w="0" w:type="auto"/>
            <w:shd w:val="clear" w:color="auto" w:fill="auto"/>
          </w:tcPr>
          <w:p w14:paraId="54E90D64"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left w:w="120" w:type="dxa"/>
            </w:tcMar>
          </w:tcPr>
          <w:p w14:paraId="54E90D65" w14:textId="77777777" w:rsidR="00F427A3" w:rsidRDefault="0044221F">
            <w:pPr>
              <w:spacing w:line="288" w:lineRule="auto"/>
              <w:ind w:hanging="120"/>
              <w:jc w:val="both"/>
              <w:textAlignment w:val="top"/>
              <w:rPr>
                <w:rFonts w:ascii="Times New Roman" w:hAnsi="Times New Roman"/>
                <w:sz w:val="20"/>
                <w:szCs w:val="20"/>
              </w:rPr>
            </w:pPr>
            <w:r>
              <w:rPr>
                <w:rFonts w:ascii="Times New Roman" w:eastAsia="宋体" w:hAnsi="Times New Roman"/>
                <w:sz w:val="20"/>
                <w:szCs w:val="20"/>
              </w:rPr>
              <w:t>Family daily active people (DAP) was 2.54 billion on average for September 2020, an increase of 15% year-over-year.</w:t>
            </w:r>
          </w:p>
        </w:tc>
      </w:tr>
    </w:tbl>
    <w:p w14:paraId="54E90D67" w14:textId="77777777" w:rsidR="00F427A3" w:rsidRDefault="00F427A3">
      <w:pPr>
        <w:rPr>
          <w:vanish/>
        </w:rPr>
      </w:pPr>
    </w:p>
    <w:tbl>
      <w:tblPr>
        <w:tblW w:w="0" w:type="auto"/>
        <w:tblCellSpacing w:w="0" w:type="dxa"/>
        <w:tblCellMar>
          <w:left w:w="0" w:type="dxa"/>
          <w:right w:w="0" w:type="dxa"/>
        </w:tblCellMar>
        <w:tblLook w:val="04A0" w:firstRow="1" w:lastRow="0" w:firstColumn="1" w:lastColumn="0" w:noHBand="0" w:noVBand="1"/>
      </w:tblPr>
      <w:tblGrid>
        <w:gridCol w:w="840"/>
        <w:gridCol w:w="7466"/>
      </w:tblGrid>
      <w:tr w:rsidR="00F427A3" w14:paraId="54E90D6A" w14:textId="77777777">
        <w:trPr>
          <w:tblCellSpacing w:w="0" w:type="dxa"/>
        </w:trPr>
        <w:tc>
          <w:tcPr>
            <w:tcW w:w="840" w:type="dxa"/>
            <w:shd w:val="clear" w:color="auto" w:fill="auto"/>
            <w:vAlign w:val="center"/>
          </w:tcPr>
          <w:p w14:paraId="54E90D68" w14:textId="77777777" w:rsidR="00F427A3" w:rsidRDefault="00F427A3">
            <w:pPr>
              <w:rPr>
                <w:rFonts w:ascii="Times New Roman" w:hAnsi="Times New Roman"/>
                <w:sz w:val="20"/>
                <w:szCs w:val="20"/>
              </w:rPr>
            </w:pPr>
          </w:p>
        </w:tc>
        <w:tc>
          <w:tcPr>
            <w:tcW w:w="0" w:type="auto"/>
            <w:shd w:val="clear" w:color="auto" w:fill="auto"/>
            <w:vAlign w:val="center"/>
          </w:tcPr>
          <w:p w14:paraId="54E90D69" w14:textId="77777777" w:rsidR="00F427A3" w:rsidRDefault="00F427A3">
            <w:pPr>
              <w:rPr>
                <w:rFonts w:ascii="Times New Roman" w:hAnsi="Times New Roman"/>
                <w:sz w:val="20"/>
                <w:szCs w:val="20"/>
              </w:rPr>
            </w:pPr>
          </w:p>
        </w:tc>
      </w:tr>
      <w:tr w:rsidR="00F427A3" w14:paraId="54E90D6D" w14:textId="77777777">
        <w:trPr>
          <w:tblCellSpacing w:w="0" w:type="dxa"/>
        </w:trPr>
        <w:tc>
          <w:tcPr>
            <w:tcW w:w="0" w:type="auto"/>
            <w:shd w:val="clear" w:color="auto" w:fill="auto"/>
          </w:tcPr>
          <w:p w14:paraId="54E90D6B"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left w:w="120" w:type="dxa"/>
            </w:tcMar>
          </w:tcPr>
          <w:p w14:paraId="54E90D6C" w14:textId="77777777" w:rsidR="00F427A3" w:rsidRDefault="0044221F">
            <w:pPr>
              <w:spacing w:line="288" w:lineRule="auto"/>
              <w:ind w:hanging="120"/>
              <w:jc w:val="both"/>
              <w:textAlignment w:val="top"/>
              <w:rPr>
                <w:rFonts w:ascii="Times New Roman" w:hAnsi="Times New Roman"/>
                <w:sz w:val="20"/>
                <w:szCs w:val="20"/>
              </w:rPr>
            </w:pPr>
            <w:r>
              <w:rPr>
                <w:rFonts w:ascii="Times New Roman" w:eastAsia="宋体" w:hAnsi="Times New Roman"/>
                <w:sz w:val="20"/>
                <w:szCs w:val="20"/>
              </w:rPr>
              <w:t xml:space="preserve">Family monthly active people (MAP) was 3.21 billion as of September 30, 2020, an increase of 14% </w:t>
            </w:r>
            <w:r>
              <w:rPr>
                <w:rFonts w:ascii="Times New Roman" w:eastAsia="宋体" w:hAnsi="Times New Roman"/>
                <w:sz w:val="20"/>
                <w:szCs w:val="20"/>
              </w:rPr>
              <w:t>year-over-year.</w:t>
            </w:r>
          </w:p>
        </w:tc>
      </w:tr>
    </w:tbl>
    <w:p w14:paraId="54E90D6E"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sz w:val="20"/>
          <w:szCs w:val="20"/>
        </w:rPr>
        <w:t>Financial results:</w:t>
      </w:r>
    </w:p>
    <w:tbl>
      <w:tblPr>
        <w:tblW w:w="0" w:type="auto"/>
        <w:tblCellSpacing w:w="0" w:type="dxa"/>
        <w:tblCellMar>
          <w:top w:w="240" w:type="dxa"/>
          <w:left w:w="0" w:type="dxa"/>
          <w:right w:w="0" w:type="dxa"/>
        </w:tblCellMar>
        <w:tblLook w:val="04A0" w:firstRow="1" w:lastRow="0" w:firstColumn="1" w:lastColumn="0" w:noHBand="0" w:noVBand="1"/>
      </w:tblPr>
      <w:tblGrid>
        <w:gridCol w:w="840"/>
        <w:gridCol w:w="7466"/>
      </w:tblGrid>
      <w:tr w:rsidR="00F427A3" w14:paraId="54E90D71" w14:textId="77777777">
        <w:trPr>
          <w:tblCellSpacing w:w="0" w:type="dxa"/>
        </w:trPr>
        <w:tc>
          <w:tcPr>
            <w:tcW w:w="840" w:type="dxa"/>
            <w:shd w:val="clear" w:color="auto" w:fill="auto"/>
            <w:vAlign w:val="center"/>
          </w:tcPr>
          <w:p w14:paraId="54E90D6F" w14:textId="77777777" w:rsidR="00F427A3" w:rsidRDefault="00F427A3">
            <w:pPr>
              <w:rPr>
                <w:rFonts w:ascii="Times New Roman" w:hAnsi="Times New Roman"/>
                <w:sz w:val="20"/>
                <w:szCs w:val="20"/>
              </w:rPr>
            </w:pPr>
          </w:p>
        </w:tc>
        <w:tc>
          <w:tcPr>
            <w:tcW w:w="0" w:type="auto"/>
            <w:shd w:val="clear" w:color="auto" w:fill="auto"/>
            <w:vAlign w:val="center"/>
          </w:tcPr>
          <w:p w14:paraId="54E90D70" w14:textId="77777777" w:rsidR="00F427A3" w:rsidRDefault="00F427A3">
            <w:pPr>
              <w:rPr>
                <w:rFonts w:ascii="Times New Roman" w:hAnsi="Times New Roman"/>
                <w:sz w:val="20"/>
                <w:szCs w:val="20"/>
              </w:rPr>
            </w:pPr>
          </w:p>
        </w:tc>
      </w:tr>
      <w:tr w:rsidR="00F427A3" w14:paraId="54E90D74" w14:textId="77777777">
        <w:trPr>
          <w:tblCellSpacing w:w="0" w:type="dxa"/>
        </w:trPr>
        <w:tc>
          <w:tcPr>
            <w:tcW w:w="0" w:type="auto"/>
            <w:shd w:val="clear" w:color="auto" w:fill="auto"/>
          </w:tcPr>
          <w:p w14:paraId="54E90D72"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0D73"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Revenue was </w:t>
            </w:r>
            <w:r>
              <w:rPr>
                <w:rFonts w:ascii="Times New Roman" w:eastAsia="宋体" w:hAnsi="Times New Roman"/>
                <w:color w:val="212529"/>
                <w:sz w:val="20"/>
                <w:szCs w:val="20"/>
              </w:rPr>
              <w:t>$21.47 billion</w:t>
            </w:r>
            <w:r>
              <w:rPr>
                <w:rFonts w:ascii="Times New Roman" w:eastAsia="宋体" w:hAnsi="Times New Roman"/>
                <w:sz w:val="20"/>
                <w:szCs w:val="20"/>
              </w:rPr>
              <w:t xml:space="preserve">, up 22% year-over-year, and advertising revenue was </w:t>
            </w:r>
            <w:r>
              <w:rPr>
                <w:rFonts w:ascii="Times New Roman" w:eastAsia="宋体" w:hAnsi="Times New Roman"/>
                <w:color w:val="212529"/>
                <w:sz w:val="20"/>
                <w:szCs w:val="20"/>
              </w:rPr>
              <w:t>$21.22 billion</w:t>
            </w:r>
            <w:r>
              <w:rPr>
                <w:rFonts w:ascii="Times New Roman" w:eastAsia="宋体" w:hAnsi="Times New Roman"/>
                <w:sz w:val="20"/>
                <w:szCs w:val="20"/>
              </w:rPr>
              <w:t>, up 22% year-over</w:t>
            </w:r>
            <w:r>
              <w:rPr>
                <w:rFonts w:ascii="Times New Roman" w:eastAsia="宋体" w:hAnsi="Times New Roman"/>
                <w:sz w:val="20"/>
                <w:szCs w:val="20"/>
              </w:rPr>
              <w:noBreakHyphen/>
              <w:t>year.</w:t>
            </w:r>
          </w:p>
        </w:tc>
      </w:tr>
    </w:tbl>
    <w:p w14:paraId="54E90D75" w14:textId="77777777" w:rsidR="00F427A3" w:rsidRDefault="00F427A3">
      <w:pPr>
        <w:rPr>
          <w:vanish/>
        </w:rPr>
      </w:pPr>
    </w:p>
    <w:tbl>
      <w:tblPr>
        <w:tblW w:w="0" w:type="auto"/>
        <w:tblCellSpacing w:w="0" w:type="dxa"/>
        <w:tblCellMar>
          <w:left w:w="0" w:type="dxa"/>
          <w:right w:w="0" w:type="dxa"/>
        </w:tblCellMar>
        <w:tblLook w:val="04A0" w:firstRow="1" w:lastRow="0" w:firstColumn="1" w:lastColumn="0" w:noHBand="0" w:noVBand="1"/>
      </w:tblPr>
      <w:tblGrid>
        <w:gridCol w:w="840"/>
        <w:gridCol w:w="3644"/>
      </w:tblGrid>
      <w:tr w:rsidR="00F427A3" w14:paraId="54E90D78" w14:textId="77777777">
        <w:trPr>
          <w:tblCellSpacing w:w="0" w:type="dxa"/>
        </w:trPr>
        <w:tc>
          <w:tcPr>
            <w:tcW w:w="840" w:type="dxa"/>
            <w:shd w:val="clear" w:color="auto" w:fill="auto"/>
            <w:vAlign w:val="center"/>
          </w:tcPr>
          <w:p w14:paraId="54E90D76" w14:textId="77777777" w:rsidR="00F427A3" w:rsidRDefault="00F427A3">
            <w:pPr>
              <w:rPr>
                <w:rFonts w:ascii="Times New Roman" w:hAnsi="Times New Roman"/>
                <w:sz w:val="20"/>
                <w:szCs w:val="20"/>
              </w:rPr>
            </w:pPr>
          </w:p>
        </w:tc>
        <w:tc>
          <w:tcPr>
            <w:tcW w:w="0" w:type="auto"/>
            <w:shd w:val="clear" w:color="auto" w:fill="auto"/>
            <w:vAlign w:val="center"/>
          </w:tcPr>
          <w:p w14:paraId="54E90D77" w14:textId="77777777" w:rsidR="00F427A3" w:rsidRDefault="00F427A3">
            <w:pPr>
              <w:rPr>
                <w:rFonts w:ascii="Times New Roman" w:hAnsi="Times New Roman"/>
                <w:sz w:val="20"/>
                <w:szCs w:val="20"/>
              </w:rPr>
            </w:pPr>
          </w:p>
        </w:tc>
      </w:tr>
      <w:tr w:rsidR="00F427A3" w14:paraId="54E90D7B" w14:textId="77777777">
        <w:trPr>
          <w:tblCellSpacing w:w="0" w:type="dxa"/>
        </w:trPr>
        <w:tc>
          <w:tcPr>
            <w:tcW w:w="0" w:type="auto"/>
            <w:shd w:val="clear" w:color="auto" w:fill="auto"/>
          </w:tcPr>
          <w:p w14:paraId="54E90D79"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0D7A"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Total costs and expenses were </w:t>
            </w:r>
            <w:r>
              <w:rPr>
                <w:rFonts w:ascii="Times New Roman" w:eastAsia="宋体" w:hAnsi="Times New Roman"/>
                <w:color w:val="212529"/>
                <w:sz w:val="20"/>
                <w:szCs w:val="20"/>
              </w:rPr>
              <w:t>$13.43 billion</w:t>
            </w:r>
            <w:r>
              <w:rPr>
                <w:rFonts w:ascii="Times New Roman" w:eastAsia="宋体" w:hAnsi="Times New Roman"/>
                <w:sz w:val="20"/>
                <w:szCs w:val="20"/>
              </w:rPr>
              <w:t>.</w:t>
            </w:r>
          </w:p>
        </w:tc>
      </w:tr>
    </w:tbl>
    <w:p w14:paraId="54E90D7C" w14:textId="77777777" w:rsidR="00F427A3" w:rsidRDefault="00F427A3">
      <w:pPr>
        <w:rPr>
          <w:vanish/>
        </w:rPr>
      </w:pPr>
    </w:p>
    <w:tbl>
      <w:tblPr>
        <w:tblW w:w="0" w:type="auto"/>
        <w:tblCellSpacing w:w="0" w:type="dxa"/>
        <w:tblCellMar>
          <w:left w:w="0" w:type="dxa"/>
          <w:right w:w="0" w:type="dxa"/>
        </w:tblCellMar>
        <w:tblLook w:val="04A0" w:firstRow="1" w:lastRow="0" w:firstColumn="1" w:lastColumn="0" w:noHBand="0" w:noVBand="1"/>
      </w:tblPr>
      <w:tblGrid>
        <w:gridCol w:w="840"/>
        <w:gridCol w:w="5994"/>
      </w:tblGrid>
      <w:tr w:rsidR="00F427A3" w14:paraId="54E90D7F" w14:textId="77777777">
        <w:trPr>
          <w:tblCellSpacing w:w="0" w:type="dxa"/>
        </w:trPr>
        <w:tc>
          <w:tcPr>
            <w:tcW w:w="840" w:type="dxa"/>
            <w:shd w:val="clear" w:color="auto" w:fill="auto"/>
            <w:vAlign w:val="center"/>
          </w:tcPr>
          <w:p w14:paraId="54E90D7D" w14:textId="77777777" w:rsidR="00F427A3" w:rsidRDefault="00F427A3">
            <w:pPr>
              <w:rPr>
                <w:rFonts w:ascii="Times New Roman" w:hAnsi="Times New Roman"/>
                <w:sz w:val="20"/>
                <w:szCs w:val="20"/>
              </w:rPr>
            </w:pPr>
          </w:p>
        </w:tc>
        <w:tc>
          <w:tcPr>
            <w:tcW w:w="0" w:type="auto"/>
            <w:shd w:val="clear" w:color="auto" w:fill="auto"/>
            <w:vAlign w:val="center"/>
          </w:tcPr>
          <w:p w14:paraId="54E90D7E" w14:textId="77777777" w:rsidR="00F427A3" w:rsidRDefault="00F427A3">
            <w:pPr>
              <w:rPr>
                <w:rFonts w:ascii="Times New Roman" w:hAnsi="Times New Roman"/>
                <w:sz w:val="20"/>
                <w:szCs w:val="20"/>
              </w:rPr>
            </w:pPr>
          </w:p>
        </w:tc>
      </w:tr>
      <w:tr w:rsidR="00F427A3" w14:paraId="54E90D82" w14:textId="77777777">
        <w:trPr>
          <w:tblCellSpacing w:w="0" w:type="dxa"/>
        </w:trPr>
        <w:tc>
          <w:tcPr>
            <w:tcW w:w="0" w:type="auto"/>
            <w:shd w:val="clear" w:color="auto" w:fill="auto"/>
          </w:tcPr>
          <w:p w14:paraId="54E90D80"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0D81"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Income from operations was </w:t>
            </w:r>
            <w:r>
              <w:rPr>
                <w:rFonts w:ascii="Times New Roman" w:eastAsia="宋体" w:hAnsi="Times New Roman"/>
                <w:color w:val="212529"/>
                <w:sz w:val="20"/>
                <w:szCs w:val="20"/>
              </w:rPr>
              <w:t>$8.04 billion</w:t>
            </w:r>
            <w:r>
              <w:rPr>
                <w:rFonts w:ascii="Times New Roman" w:eastAsia="宋体" w:hAnsi="Times New Roman"/>
                <w:sz w:val="20"/>
                <w:szCs w:val="20"/>
              </w:rPr>
              <w:t>, and operating margin was 37%.</w:t>
            </w:r>
          </w:p>
        </w:tc>
      </w:tr>
    </w:tbl>
    <w:p w14:paraId="54E90D83" w14:textId="77777777" w:rsidR="00F427A3" w:rsidRDefault="00F427A3">
      <w:pPr>
        <w:rPr>
          <w:vanish/>
        </w:rPr>
      </w:pPr>
    </w:p>
    <w:tbl>
      <w:tblPr>
        <w:tblW w:w="0" w:type="auto"/>
        <w:tblCellSpacing w:w="0" w:type="dxa"/>
        <w:tblCellMar>
          <w:left w:w="0" w:type="dxa"/>
          <w:right w:w="0" w:type="dxa"/>
        </w:tblCellMar>
        <w:tblLook w:val="04A0" w:firstRow="1" w:lastRow="0" w:firstColumn="1" w:lastColumn="0" w:noHBand="0" w:noVBand="1"/>
      </w:tblPr>
      <w:tblGrid>
        <w:gridCol w:w="840"/>
        <w:gridCol w:w="5694"/>
      </w:tblGrid>
      <w:tr w:rsidR="00F427A3" w14:paraId="54E90D86" w14:textId="77777777">
        <w:trPr>
          <w:tblCellSpacing w:w="0" w:type="dxa"/>
        </w:trPr>
        <w:tc>
          <w:tcPr>
            <w:tcW w:w="840" w:type="dxa"/>
            <w:shd w:val="clear" w:color="auto" w:fill="auto"/>
            <w:vAlign w:val="center"/>
          </w:tcPr>
          <w:p w14:paraId="54E90D84" w14:textId="77777777" w:rsidR="00F427A3" w:rsidRDefault="00F427A3">
            <w:pPr>
              <w:rPr>
                <w:rFonts w:ascii="Times New Roman" w:hAnsi="Times New Roman"/>
                <w:sz w:val="20"/>
                <w:szCs w:val="20"/>
              </w:rPr>
            </w:pPr>
          </w:p>
        </w:tc>
        <w:tc>
          <w:tcPr>
            <w:tcW w:w="0" w:type="auto"/>
            <w:shd w:val="clear" w:color="auto" w:fill="auto"/>
            <w:vAlign w:val="center"/>
          </w:tcPr>
          <w:p w14:paraId="54E90D85" w14:textId="77777777" w:rsidR="00F427A3" w:rsidRDefault="00F427A3">
            <w:pPr>
              <w:rPr>
                <w:rFonts w:ascii="Times New Roman" w:hAnsi="Times New Roman"/>
                <w:sz w:val="20"/>
                <w:szCs w:val="20"/>
              </w:rPr>
            </w:pPr>
          </w:p>
        </w:tc>
      </w:tr>
      <w:tr w:rsidR="00F427A3" w14:paraId="54E90D89" w14:textId="77777777">
        <w:trPr>
          <w:tblCellSpacing w:w="0" w:type="dxa"/>
        </w:trPr>
        <w:tc>
          <w:tcPr>
            <w:tcW w:w="0" w:type="auto"/>
            <w:shd w:val="clear" w:color="auto" w:fill="auto"/>
          </w:tcPr>
          <w:p w14:paraId="54E90D87"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0D88"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 xml:space="preserve">Net income was </w:t>
            </w:r>
            <w:r>
              <w:rPr>
                <w:rFonts w:ascii="Times New Roman" w:eastAsia="宋体" w:hAnsi="Times New Roman"/>
                <w:color w:val="212529"/>
                <w:sz w:val="20"/>
                <w:szCs w:val="20"/>
              </w:rPr>
              <w:t>$7.85 billion</w:t>
            </w:r>
            <w:r>
              <w:rPr>
                <w:rFonts w:ascii="Times New Roman" w:eastAsia="宋体" w:hAnsi="Times New Roman"/>
                <w:sz w:val="20"/>
                <w:szCs w:val="20"/>
              </w:rPr>
              <w:t>, with diluted earnings per share of $2.71.</w:t>
            </w:r>
          </w:p>
        </w:tc>
      </w:tr>
    </w:tbl>
    <w:p w14:paraId="54E90D8A" w14:textId="77777777" w:rsidR="00F427A3" w:rsidRDefault="00F427A3">
      <w:pPr>
        <w:rPr>
          <w:vanish/>
        </w:rPr>
      </w:pPr>
    </w:p>
    <w:tbl>
      <w:tblPr>
        <w:tblW w:w="0" w:type="auto"/>
        <w:tblCellSpacing w:w="0" w:type="dxa"/>
        <w:tblCellMar>
          <w:left w:w="0" w:type="dxa"/>
          <w:right w:w="0" w:type="dxa"/>
        </w:tblCellMar>
        <w:tblLook w:val="04A0" w:firstRow="1" w:lastRow="0" w:firstColumn="1" w:lastColumn="0" w:noHBand="0" w:noVBand="1"/>
      </w:tblPr>
      <w:tblGrid>
        <w:gridCol w:w="840"/>
        <w:gridCol w:w="7110"/>
      </w:tblGrid>
      <w:tr w:rsidR="00F427A3" w14:paraId="54E90D8D" w14:textId="77777777">
        <w:trPr>
          <w:tblCellSpacing w:w="0" w:type="dxa"/>
        </w:trPr>
        <w:tc>
          <w:tcPr>
            <w:tcW w:w="840" w:type="dxa"/>
            <w:shd w:val="clear" w:color="auto" w:fill="auto"/>
            <w:vAlign w:val="center"/>
          </w:tcPr>
          <w:p w14:paraId="54E90D8B" w14:textId="77777777" w:rsidR="00F427A3" w:rsidRDefault="00F427A3">
            <w:pPr>
              <w:rPr>
                <w:rFonts w:ascii="Times New Roman" w:hAnsi="Times New Roman"/>
                <w:sz w:val="20"/>
                <w:szCs w:val="20"/>
              </w:rPr>
            </w:pPr>
          </w:p>
        </w:tc>
        <w:tc>
          <w:tcPr>
            <w:tcW w:w="0" w:type="auto"/>
            <w:shd w:val="clear" w:color="auto" w:fill="auto"/>
            <w:vAlign w:val="center"/>
          </w:tcPr>
          <w:p w14:paraId="54E90D8C" w14:textId="77777777" w:rsidR="00F427A3" w:rsidRDefault="00F427A3">
            <w:pPr>
              <w:rPr>
                <w:rFonts w:ascii="Times New Roman" w:hAnsi="Times New Roman"/>
                <w:sz w:val="20"/>
                <w:szCs w:val="20"/>
              </w:rPr>
            </w:pPr>
          </w:p>
        </w:tc>
      </w:tr>
      <w:tr w:rsidR="00F427A3" w14:paraId="54E90D90" w14:textId="77777777">
        <w:trPr>
          <w:tblCellSpacing w:w="0" w:type="dxa"/>
        </w:trPr>
        <w:tc>
          <w:tcPr>
            <w:tcW w:w="0" w:type="auto"/>
            <w:shd w:val="clear" w:color="auto" w:fill="auto"/>
          </w:tcPr>
          <w:p w14:paraId="54E90D8E"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0D8F"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Capital expenditures, including principal payments on finance leases, were </w:t>
            </w:r>
            <w:r>
              <w:rPr>
                <w:rFonts w:ascii="Times New Roman" w:eastAsia="宋体" w:hAnsi="Times New Roman"/>
                <w:color w:val="212529"/>
                <w:sz w:val="20"/>
                <w:szCs w:val="20"/>
              </w:rPr>
              <w:t>$3.88 billion</w:t>
            </w:r>
            <w:r>
              <w:rPr>
                <w:rFonts w:ascii="Times New Roman" w:eastAsia="宋体" w:hAnsi="Times New Roman"/>
                <w:sz w:val="20"/>
                <w:szCs w:val="20"/>
              </w:rPr>
              <w:t>.</w:t>
            </w:r>
          </w:p>
        </w:tc>
      </w:tr>
    </w:tbl>
    <w:p w14:paraId="54E90D91" w14:textId="77777777" w:rsidR="00F427A3" w:rsidRDefault="00F427A3">
      <w:pPr>
        <w:rPr>
          <w:vanish/>
        </w:rPr>
      </w:pPr>
    </w:p>
    <w:tbl>
      <w:tblPr>
        <w:tblW w:w="0" w:type="auto"/>
        <w:tblCellSpacing w:w="0" w:type="dxa"/>
        <w:tblCellMar>
          <w:left w:w="0" w:type="dxa"/>
          <w:right w:w="0" w:type="dxa"/>
        </w:tblCellMar>
        <w:tblLook w:val="04A0" w:firstRow="1" w:lastRow="0" w:firstColumn="1" w:lastColumn="0" w:noHBand="0" w:noVBand="1"/>
      </w:tblPr>
      <w:tblGrid>
        <w:gridCol w:w="840"/>
        <w:gridCol w:w="2105"/>
      </w:tblGrid>
      <w:tr w:rsidR="00F427A3" w14:paraId="54E90D94" w14:textId="77777777">
        <w:trPr>
          <w:tblCellSpacing w:w="0" w:type="dxa"/>
        </w:trPr>
        <w:tc>
          <w:tcPr>
            <w:tcW w:w="840" w:type="dxa"/>
            <w:shd w:val="clear" w:color="auto" w:fill="auto"/>
            <w:vAlign w:val="center"/>
          </w:tcPr>
          <w:p w14:paraId="54E90D92" w14:textId="77777777" w:rsidR="00F427A3" w:rsidRDefault="00F427A3">
            <w:pPr>
              <w:rPr>
                <w:rFonts w:ascii="Times New Roman" w:hAnsi="Times New Roman"/>
                <w:sz w:val="20"/>
                <w:szCs w:val="20"/>
              </w:rPr>
            </w:pPr>
          </w:p>
        </w:tc>
        <w:tc>
          <w:tcPr>
            <w:tcW w:w="0" w:type="auto"/>
            <w:shd w:val="clear" w:color="auto" w:fill="auto"/>
            <w:vAlign w:val="center"/>
          </w:tcPr>
          <w:p w14:paraId="54E90D93" w14:textId="77777777" w:rsidR="00F427A3" w:rsidRDefault="00F427A3">
            <w:pPr>
              <w:rPr>
                <w:rFonts w:ascii="Times New Roman" w:hAnsi="Times New Roman"/>
                <w:sz w:val="20"/>
                <w:szCs w:val="20"/>
              </w:rPr>
            </w:pPr>
          </w:p>
        </w:tc>
      </w:tr>
      <w:tr w:rsidR="00F427A3" w14:paraId="54E90D97" w14:textId="77777777">
        <w:trPr>
          <w:tblCellSpacing w:w="0" w:type="dxa"/>
        </w:trPr>
        <w:tc>
          <w:tcPr>
            <w:tcW w:w="0" w:type="auto"/>
            <w:shd w:val="clear" w:color="auto" w:fill="auto"/>
          </w:tcPr>
          <w:p w14:paraId="54E90D95"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0D96"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Effective tax rate was 4%.</w:t>
            </w:r>
          </w:p>
        </w:tc>
      </w:tr>
    </w:tbl>
    <w:p w14:paraId="54E90D98" w14:textId="77777777" w:rsidR="00F427A3" w:rsidRDefault="00F427A3">
      <w:pPr>
        <w:rPr>
          <w:vanish/>
        </w:rPr>
      </w:pPr>
    </w:p>
    <w:tbl>
      <w:tblPr>
        <w:tblW w:w="0" w:type="auto"/>
        <w:tblCellSpacing w:w="0" w:type="dxa"/>
        <w:tblCellMar>
          <w:left w:w="0" w:type="dxa"/>
          <w:right w:w="0" w:type="dxa"/>
        </w:tblCellMar>
        <w:tblLook w:val="04A0" w:firstRow="1" w:lastRow="0" w:firstColumn="1" w:lastColumn="0" w:noHBand="0" w:noVBand="1"/>
      </w:tblPr>
      <w:tblGrid>
        <w:gridCol w:w="840"/>
        <w:gridCol w:w="7466"/>
      </w:tblGrid>
      <w:tr w:rsidR="00F427A3" w14:paraId="54E90D9B" w14:textId="77777777">
        <w:trPr>
          <w:tblCellSpacing w:w="0" w:type="dxa"/>
        </w:trPr>
        <w:tc>
          <w:tcPr>
            <w:tcW w:w="840" w:type="dxa"/>
            <w:shd w:val="clear" w:color="auto" w:fill="auto"/>
            <w:vAlign w:val="center"/>
          </w:tcPr>
          <w:p w14:paraId="54E90D99" w14:textId="77777777" w:rsidR="00F427A3" w:rsidRDefault="00F427A3">
            <w:pPr>
              <w:rPr>
                <w:rFonts w:ascii="Times New Roman" w:hAnsi="Times New Roman"/>
                <w:sz w:val="20"/>
                <w:szCs w:val="20"/>
              </w:rPr>
            </w:pPr>
          </w:p>
        </w:tc>
        <w:tc>
          <w:tcPr>
            <w:tcW w:w="0" w:type="auto"/>
            <w:shd w:val="clear" w:color="auto" w:fill="auto"/>
            <w:vAlign w:val="center"/>
          </w:tcPr>
          <w:p w14:paraId="54E90D9A" w14:textId="77777777" w:rsidR="00F427A3" w:rsidRDefault="00F427A3">
            <w:pPr>
              <w:rPr>
                <w:rFonts w:ascii="Times New Roman" w:hAnsi="Times New Roman"/>
                <w:sz w:val="20"/>
                <w:szCs w:val="20"/>
              </w:rPr>
            </w:pPr>
          </w:p>
        </w:tc>
      </w:tr>
      <w:tr w:rsidR="00F427A3" w14:paraId="54E90D9E" w14:textId="77777777">
        <w:trPr>
          <w:tblCellSpacing w:w="0" w:type="dxa"/>
        </w:trPr>
        <w:tc>
          <w:tcPr>
            <w:tcW w:w="0" w:type="auto"/>
            <w:shd w:val="clear" w:color="auto" w:fill="auto"/>
          </w:tcPr>
          <w:p w14:paraId="54E90D9C"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0D9D"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Cash and cash equivalents and marketable securities were </w:t>
            </w:r>
            <w:r>
              <w:rPr>
                <w:rFonts w:ascii="Times New Roman" w:eastAsia="宋体" w:hAnsi="Times New Roman"/>
                <w:color w:val="212529"/>
                <w:sz w:val="20"/>
                <w:szCs w:val="20"/>
              </w:rPr>
              <w:t>$55.62 billion</w:t>
            </w:r>
            <w:r>
              <w:rPr>
                <w:rFonts w:ascii="Times New Roman" w:eastAsia="宋体" w:hAnsi="Times New Roman"/>
                <w:sz w:val="20"/>
                <w:szCs w:val="20"/>
              </w:rPr>
              <w:t xml:space="preserve"> as of September 30, 2020.</w:t>
            </w:r>
          </w:p>
        </w:tc>
      </w:tr>
    </w:tbl>
    <w:p w14:paraId="54E90D9F" w14:textId="77777777" w:rsidR="00F427A3" w:rsidRDefault="00F427A3">
      <w:pPr>
        <w:rPr>
          <w:vanish/>
        </w:rPr>
      </w:pPr>
    </w:p>
    <w:tbl>
      <w:tblPr>
        <w:tblW w:w="0" w:type="auto"/>
        <w:tblCellSpacing w:w="0" w:type="dxa"/>
        <w:tblCellMar>
          <w:left w:w="0" w:type="dxa"/>
          <w:right w:w="0" w:type="dxa"/>
        </w:tblCellMar>
        <w:tblLook w:val="04A0" w:firstRow="1" w:lastRow="0" w:firstColumn="1" w:lastColumn="0" w:noHBand="0" w:noVBand="1"/>
      </w:tblPr>
      <w:tblGrid>
        <w:gridCol w:w="840"/>
        <w:gridCol w:w="6820"/>
      </w:tblGrid>
      <w:tr w:rsidR="00F427A3" w14:paraId="54E90DA2" w14:textId="77777777">
        <w:trPr>
          <w:tblCellSpacing w:w="0" w:type="dxa"/>
        </w:trPr>
        <w:tc>
          <w:tcPr>
            <w:tcW w:w="840" w:type="dxa"/>
            <w:shd w:val="clear" w:color="auto" w:fill="auto"/>
            <w:vAlign w:val="center"/>
          </w:tcPr>
          <w:p w14:paraId="54E90DA0" w14:textId="77777777" w:rsidR="00F427A3" w:rsidRDefault="00F427A3">
            <w:pPr>
              <w:rPr>
                <w:rFonts w:ascii="Times New Roman" w:hAnsi="Times New Roman"/>
                <w:sz w:val="20"/>
                <w:szCs w:val="20"/>
              </w:rPr>
            </w:pPr>
          </w:p>
        </w:tc>
        <w:tc>
          <w:tcPr>
            <w:tcW w:w="0" w:type="auto"/>
            <w:shd w:val="clear" w:color="auto" w:fill="auto"/>
            <w:vAlign w:val="center"/>
          </w:tcPr>
          <w:p w14:paraId="54E90DA1" w14:textId="77777777" w:rsidR="00F427A3" w:rsidRDefault="00F427A3">
            <w:pPr>
              <w:rPr>
                <w:rFonts w:ascii="Times New Roman" w:hAnsi="Times New Roman"/>
                <w:sz w:val="20"/>
                <w:szCs w:val="20"/>
              </w:rPr>
            </w:pPr>
          </w:p>
        </w:tc>
      </w:tr>
      <w:tr w:rsidR="00F427A3" w14:paraId="54E90DA5" w14:textId="77777777">
        <w:trPr>
          <w:tblCellSpacing w:w="0" w:type="dxa"/>
        </w:trPr>
        <w:tc>
          <w:tcPr>
            <w:tcW w:w="0" w:type="auto"/>
            <w:shd w:val="clear" w:color="auto" w:fill="auto"/>
          </w:tcPr>
          <w:p w14:paraId="54E90DA3"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0DA4"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Headcount was </w:t>
            </w:r>
            <w:r>
              <w:rPr>
                <w:rFonts w:ascii="Times New Roman" w:eastAsia="宋体" w:hAnsi="Times New Roman"/>
                <w:sz w:val="20"/>
                <w:szCs w:val="20"/>
              </w:rPr>
              <w:t>56,653 as of September 30, 2020, an increase of 32% year-over-year.</w:t>
            </w:r>
          </w:p>
        </w:tc>
      </w:tr>
    </w:tbl>
    <w:p w14:paraId="54E90DA6"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the third quarter of 2020, we continued to focus on our main revenue growth priorities: (i) helping marketers use our products to connect with consumers where they are and (ii) making </w:t>
      </w:r>
      <w:r>
        <w:rPr>
          <w:rFonts w:ascii="Times New Roman" w:eastAsia="宋体" w:hAnsi="Times New Roman"/>
          <w:sz w:val="20"/>
          <w:szCs w:val="20"/>
        </w:rPr>
        <w:t>our ads more relevant and effective.</w:t>
      </w:r>
    </w:p>
    <w:p w14:paraId="54E90DA7"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In response to the COVID-19 pandemic, we have focused on helping people stay connected, assisting the public health response, and working on the economic recovery. We have also continued to invest based on the following</w:t>
      </w:r>
      <w:r>
        <w:rPr>
          <w:rFonts w:ascii="Times New Roman" w:eastAsia="宋体" w:hAnsi="Times New Roman"/>
          <w:sz w:val="20"/>
          <w:szCs w:val="20"/>
        </w:rPr>
        <w:t xml:space="preserve"> company priorities that we believe will further our mission to give people the power to build community and bring the world closer together: (i) continue making progress on the major social issues facing the internet and our company, including privacy, sa</w:t>
      </w:r>
      <w:r>
        <w:rPr>
          <w:rFonts w:ascii="Times New Roman" w:eastAsia="宋体" w:hAnsi="Times New Roman"/>
          <w:sz w:val="20"/>
          <w:szCs w:val="20"/>
        </w:rPr>
        <w:t xml:space="preserve">fety, and security; (ii) build new experiences that meaningfully improve people's lives today and set the stage for even bigger improvements in the future; (iii) keep building our business by supporting the millions of businesses that rely on our services </w:t>
      </w:r>
      <w:r>
        <w:rPr>
          <w:rFonts w:ascii="Times New Roman" w:eastAsia="宋体" w:hAnsi="Times New Roman"/>
          <w:sz w:val="20"/>
          <w:szCs w:val="20"/>
        </w:rPr>
        <w:t xml:space="preserve">to grow and create jobs; and (iv) communicate more transparently about what we're doing and the role our services play in the world. </w:t>
      </w:r>
    </w:p>
    <w:p w14:paraId="54E90DA8" w14:textId="77777777" w:rsidR="00F427A3" w:rsidRDefault="00F427A3">
      <w:pPr>
        <w:rPr>
          <w:rFonts w:ascii="Times New Roman" w:hAnsi="Times New Roman"/>
          <w:sz w:val="20"/>
          <w:szCs w:val="20"/>
        </w:rPr>
      </w:pPr>
    </w:p>
    <w:p w14:paraId="54E90DA9"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29</w:t>
      </w:r>
    </w:p>
    <w:p w14:paraId="54E90DAA" w14:textId="77777777" w:rsidR="00F427A3" w:rsidRDefault="0044221F">
      <w:r>
        <w:rPr>
          <w:rFonts w:ascii="Times New Roman" w:hAnsi="Times New Roman"/>
          <w:sz w:val="20"/>
          <w:szCs w:val="20"/>
        </w:rPr>
        <w:pict w14:anchorId="54E91C3D">
          <v:rect id="_x0000_i1053" style="width:415.3pt;height:1.5pt" o:hralign="center" o:hrstd="t" o:hr="t" fillcolor="#a0a0a0" stroked="f"/>
        </w:pict>
      </w:r>
    </w:p>
    <w:p w14:paraId="54E90DAB" w14:textId="77777777" w:rsidR="00F427A3" w:rsidRDefault="0044221F">
      <w:pPr>
        <w:spacing w:line="288" w:lineRule="auto"/>
        <w:rPr>
          <w:rFonts w:ascii="Times New Roman" w:hAnsi="Times New Roman"/>
          <w:sz w:val="20"/>
          <w:szCs w:val="20"/>
        </w:rPr>
      </w:pPr>
      <w:hyperlink r:id="rId70" w:anchor="s348EA962CF6D59B599D9921AFA89C381" w:history="1">
        <w:r>
          <w:rPr>
            <w:rStyle w:val="a5"/>
            <w:rFonts w:ascii="Times New Roman" w:eastAsia="宋体" w:hAnsi="Times New Roman"/>
            <w:sz w:val="20"/>
            <w:szCs w:val="20"/>
          </w:rPr>
          <w:t>Table of Contents</w:t>
        </w:r>
      </w:hyperlink>
    </w:p>
    <w:p w14:paraId="54E90DAC" w14:textId="77777777" w:rsidR="00F427A3" w:rsidRDefault="00F427A3">
      <w:pPr>
        <w:rPr>
          <w:rFonts w:ascii="Times New Roman" w:hAnsi="Times New Roman"/>
          <w:sz w:val="20"/>
          <w:szCs w:val="20"/>
        </w:rPr>
      </w:pPr>
    </w:p>
    <w:p w14:paraId="54E90DAD"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Our business has been impacted by the COVID-19 pandemic, which has resulted in autho</w:t>
      </w:r>
      <w:r>
        <w:rPr>
          <w:rFonts w:ascii="Times New Roman" w:eastAsia="宋体" w:hAnsi="Times New Roman"/>
          <w:sz w:val="20"/>
          <w:szCs w:val="20"/>
        </w:rPr>
        <w:t>rities implementing numerous preventative measures to contain or mitigate the outbreak of the virus, such as travel bans and restrictions, limitations on business activity, quarantines, and shelter-in-place orders. These measures have caused, and are conti</w:t>
      </w:r>
      <w:r>
        <w:rPr>
          <w:rFonts w:ascii="Times New Roman" w:eastAsia="宋体" w:hAnsi="Times New Roman"/>
          <w:sz w:val="20"/>
          <w:szCs w:val="20"/>
        </w:rPr>
        <w:t xml:space="preserve">nuing to cause, business slowdowns or shutdowns in affected areas, both regionally and worldwide, which have significantly impacted our business and results of operations. Beginning in the first quarter of 2020, we experienced significant increases in the </w:t>
      </w:r>
      <w:r>
        <w:rPr>
          <w:rFonts w:ascii="Times New Roman" w:eastAsia="宋体" w:hAnsi="Times New Roman"/>
          <w:sz w:val="20"/>
          <w:szCs w:val="20"/>
        </w:rPr>
        <w:t>size and engagement of our active user base across a number of regions as a result of the COVID-19 pandemic. More recently, we have seen user growth and engagement returning to pre-pandemic trends, particularly in the United States &amp; Canada region. We expe</w:t>
      </w:r>
      <w:r>
        <w:rPr>
          <w:rFonts w:ascii="Times New Roman" w:eastAsia="宋体" w:hAnsi="Times New Roman"/>
          <w:sz w:val="20"/>
          <w:szCs w:val="20"/>
        </w:rPr>
        <w:t>ct this trend to continue in the future, although we are unable to predict the impact of the pandemic on user growth and engagement with any certainty. At the same time, we experienced a reduction in the demand for advertising, as well as a related decline</w:t>
      </w:r>
      <w:r>
        <w:rPr>
          <w:rFonts w:ascii="Times New Roman" w:eastAsia="宋体" w:hAnsi="Times New Roman"/>
          <w:sz w:val="20"/>
          <w:szCs w:val="20"/>
        </w:rPr>
        <w:t xml:space="preserve"> in the pricing of our ads as a result of the pandemic, particularly in the second quarter of 2020. More recently, we believe the pandemic has contributed to an acceleration in the shift of commerce from offline to online, and we experienced increasing dem</w:t>
      </w:r>
      <w:r>
        <w:rPr>
          <w:rFonts w:ascii="Times New Roman" w:eastAsia="宋体" w:hAnsi="Times New Roman"/>
          <w:sz w:val="20"/>
          <w:szCs w:val="20"/>
        </w:rPr>
        <w:t>and for advertising as a result of this acceleration, as well as a partial re-opening of certain business activities in certain regions. However, it is possible that this increased demand may not continue in future periods and may even recede as the effect</w:t>
      </w:r>
      <w:r>
        <w:rPr>
          <w:rFonts w:ascii="Times New Roman" w:eastAsia="宋体" w:hAnsi="Times New Roman"/>
          <w:sz w:val="20"/>
          <w:szCs w:val="20"/>
        </w:rPr>
        <w:t>s of the pandemic subside, which could adversely affect our advertising revenue growth given that online commerce is our largest advertising vertical. The impact of the pandemic on the demand for and pricing of our advertising services, as well as on our o</w:t>
      </w:r>
      <w:r>
        <w:rPr>
          <w:rFonts w:ascii="Times New Roman" w:eastAsia="宋体" w:hAnsi="Times New Roman"/>
          <w:sz w:val="20"/>
          <w:szCs w:val="20"/>
        </w:rPr>
        <w:t>verall results of operations, remains highly uncertain for the foreseeable future. In addition, we expect that future advertising revenue growth will continue to be adversely affected by limitations on our ad targeting and measurement tools arising from ch</w:t>
      </w:r>
      <w:r>
        <w:rPr>
          <w:rFonts w:ascii="Times New Roman" w:eastAsia="宋体" w:hAnsi="Times New Roman"/>
          <w:sz w:val="20"/>
          <w:szCs w:val="20"/>
        </w:rPr>
        <w:t>anges to the regulatory environment and third-party mobile operating systems and browsers. We also intend to continue to invest in our business based on our company priorities, and we anticipate that additional investments in our data center capacity, netw</w:t>
      </w:r>
      <w:r>
        <w:rPr>
          <w:rFonts w:ascii="Times New Roman" w:eastAsia="宋体" w:hAnsi="Times New Roman"/>
          <w:sz w:val="20"/>
          <w:szCs w:val="20"/>
        </w:rPr>
        <w:t>ork infrastructure, and office facilities, as well as scaling our headcount to support our growth, will continue to drive expense growth in 2020.</w:t>
      </w:r>
    </w:p>
    <w:p w14:paraId="54E90DAE" w14:textId="77777777" w:rsidR="00F427A3" w:rsidRDefault="00F427A3">
      <w:pPr>
        <w:rPr>
          <w:rFonts w:ascii="Times New Roman" w:hAnsi="Times New Roman"/>
          <w:sz w:val="20"/>
          <w:szCs w:val="20"/>
        </w:rPr>
      </w:pPr>
    </w:p>
    <w:p w14:paraId="54E90DAF"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30</w:t>
      </w:r>
    </w:p>
    <w:p w14:paraId="54E90DB0" w14:textId="77777777" w:rsidR="00F427A3" w:rsidRDefault="0044221F">
      <w:r>
        <w:rPr>
          <w:rFonts w:ascii="Times New Roman" w:hAnsi="Times New Roman"/>
          <w:sz w:val="20"/>
          <w:szCs w:val="20"/>
        </w:rPr>
        <w:pict w14:anchorId="54E91C3E">
          <v:rect id="_x0000_i1054" style="width:415.3pt;height:1.5pt" o:hralign="center" o:hrstd="t" o:hr="t" fillcolor="#a0a0a0" stroked="f"/>
        </w:pict>
      </w:r>
    </w:p>
    <w:p w14:paraId="54E90DB1" w14:textId="77777777" w:rsidR="00F427A3" w:rsidRDefault="0044221F">
      <w:pPr>
        <w:spacing w:line="288" w:lineRule="auto"/>
        <w:rPr>
          <w:rFonts w:ascii="Times New Roman" w:hAnsi="Times New Roman"/>
          <w:sz w:val="20"/>
          <w:szCs w:val="20"/>
        </w:rPr>
      </w:pPr>
      <w:hyperlink r:id="rId71" w:anchor="s348EA962CF6D59B599D9921AFA89C381" w:history="1">
        <w:r>
          <w:rPr>
            <w:rStyle w:val="a5"/>
            <w:rFonts w:ascii="Times New Roman" w:eastAsia="宋体" w:hAnsi="Times New Roman"/>
            <w:sz w:val="20"/>
            <w:szCs w:val="20"/>
          </w:rPr>
          <w:t>Table of Contents</w:t>
        </w:r>
      </w:hyperlink>
    </w:p>
    <w:p w14:paraId="54E90DB2" w14:textId="77777777" w:rsidR="00F427A3" w:rsidRDefault="00F427A3">
      <w:pPr>
        <w:rPr>
          <w:rFonts w:ascii="Times New Roman" w:hAnsi="Times New Roman"/>
          <w:sz w:val="20"/>
          <w:szCs w:val="20"/>
        </w:rPr>
      </w:pPr>
    </w:p>
    <w:p w14:paraId="54E90DB3"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Trends in Our Facebook User Metrics</w:t>
      </w:r>
    </w:p>
    <w:p w14:paraId="54E90DB4"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numbers for our key Facebook metrics, our DAUs, MAUs, and average revenue per user (ARPU), do not include users on Instagram, WhatsApp, or our </w:t>
      </w:r>
      <w:r>
        <w:rPr>
          <w:rFonts w:ascii="Times New Roman" w:eastAsia="宋体" w:hAnsi="Times New Roman"/>
          <w:sz w:val="20"/>
          <w:szCs w:val="20"/>
        </w:rPr>
        <w:t>other products, unless they would otherwise qualify as DAUs or MAUs, respectively, based on their other activities on Facebook.</w:t>
      </w:r>
    </w:p>
    <w:p w14:paraId="54E90DB5"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Trends in the number of users affect our revenue and financial results by influencing the number of ads we are able to show, the</w:t>
      </w:r>
      <w:r>
        <w:rPr>
          <w:rFonts w:ascii="Times New Roman" w:eastAsia="宋体" w:hAnsi="Times New Roman"/>
          <w:sz w:val="20"/>
          <w:szCs w:val="20"/>
        </w:rPr>
        <w:t xml:space="preserve"> value of our ads to marketers, the volume of Payments transactions, as well as our expenses and capital expenditures. Substantially all of our daily and monthly active users (as defined below) access Facebook on mobile devices.</w:t>
      </w:r>
    </w:p>
    <w:tbl>
      <w:tblPr>
        <w:tblW w:w="0" w:type="auto"/>
        <w:tblCellSpacing w:w="0" w:type="dxa"/>
        <w:tblCellMar>
          <w:top w:w="240" w:type="dxa"/>
          <w:left w:w="0" w:type="dxa"/>
          <w:right w:w="0" w:type="dxa"/>
        </w:tblCellMar>
        <w:tblLook w:val="04A0" w:firstRow="1" w:lastRow="0" w:firstColumn="1" w:lastColumn="0" w:noHBand="0" w:noVBand="1"/>
      </w:tblPr>
      <w:tblGrid>
        <w:gridCol w:w="960"/>
        <w:gridCol w:w="7346"/>
      </w:tblGrid>
      <w:tr w:rsidR="00F427A3" w14:paraId="54E90DB8" w14:textId="77777777">
        <w:trPr>
          <w:tblCellSpacing w:w="0" w:type="dxa"/>
        </w:trPr>
        <w:tc>
          <w:tcPr>
            <w:tcW w:w="960" w:type="dxa"/>
            <w:shd w:val="clear" w:color="auto" w:fill="auto"/>
            <w:vAlign w:val="center"/>
          </w:tcPr>
          <w:p w14:paraId="54E90DB6" w14:textId="77777777" w:rsidR="00F427A3" w:rsidRDefault="00F427A3">
            <w:pPr>
              <w:rPr>
                <w:rFonts w:ascii="Times New Roman" w:hAnsi="Times New Roman"/>
                <w:sz w:val="20"/>
                <w:szCs w:val="20"/>
              </w:rPr>
            </w:pPr>
          </w:p>
        </w:tc>
        <w:tc>
          <w:tcPr>
            <w:tcW w:w="0" w:type="auto"/>
            <w:shd w:val="clear" w:color="auto" w:fill="auto"/>
            <w:vAlign w:val="center"/>
          </w:tcPr>
          <w:p w14:paraId="54E90DB7" w14:textId="77777777" w:rsidR="00F427A3" w:rsidRDefault="00F427A3">
            <w:pPr>
              <w:rPr>
                <w:rFonts w:ascii="Times New Roman" w:hAnsi="Times New Roman"/>
                <w:sz w:val="20"/>
                <w:szCs w:val="20"/>
              </w:rPr>
            </w:pPr>
          </w:p>
        </w:tc>
      </w:tr>
      <w:tr w:rsidR="00F427A3" w14:paraId="54E90DBB" w14:textId="77777777">
        <w:trPr>
          <w:tblCellSpacing w:w="0" w:type="dxa"/>
        </w:trPr>
        <w:tc>
          <w:tcPr>
            <w:tcW w:w="0" w:type="auto"/>
            <w:shd w:val="clear" w:color="auto" w:fill="auto"/>
          </w:tcPr>
          <w:p w14:paraId="54E90DB9"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0DBA"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 xml:space="preserve">Daily Active </w:t>
            </w:r>
            <w:r>
              <w:rPr>
                <w:rFonts w:ascii="Times New Roman" w:eastAsia="宋体" w:hAnsi="Times New Roman"/>
                <w:b/>
                <w:bCs/>
                <w:i/>
                <w:iCs/>
                <w:sz w:val="20"/>
                <w:szCs w:val="20"/>
              </w:rPr>
              <w:t>Users (DAUs)</w:t>
            </w:r>
            <w:r>
              <w:rPr>
                <w:rFonts w:ascii="Times New Roman" w:eastAsia="宋体" w:hAnsi="Times New Roman"/>
                <w:sz w:val="20"/>
                <w:szCs w:val="20"/>
              </w:rPr>
              <w:t>. We define a daily active user as a registered and logged-in Facebook user who visited Facebook through our website or a mobile device, or used our Messenger application (and is also a registered Facebook user), on a given day. We view DAUs, a</w:t>
            </w:r>
            <w:r>
              <w:rPr>
                <w:rFonts w:ascii="Times New Roman" w:eastAsia="宋体" w:hAnsi="Times New Roman"/>
                <w:sz w:val="20"/>
                <w:szCs w:val="20"/>
              </w:rPr>
              <w:t>nd DAUs as a percentage of MAUs, as measures of user engagement on Facebook.</w:t>
            </w:r>
          </w:p>
        </w:tc>
      </w:tr>
    </w:tbl>
    <w:p w14:paraId="54E90DBC"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Viewer9_files/dau_q32020.jpg"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54E91C3F" wp14:editId="54E91C40">
            <wp:extent cx="304800" cy="304800"/>
            <wp:effectExtent l="0" t="0" r="0" b="0"/>
            <wp:docPr id="42" name="图片 6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4" descr="IMG_256"/>
                    <pic:cNvPicPr>
                      <a:picLocks noChangeAspect="1"/>
                    </pic:cNvPicPr>
                  </pic:nvPicPr>
                  <pic:blipFill>
                    <a:blip r:embed="rId72"/>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54E90DBD" w14:textId="77777777" w:rsidR="00F427A3" w:rsidRDefault="00F427A3">
      <w:pPr>
        <w:spacing w:line="288" w:lineRule="auto"/>
        <w:rPr>
          <w:rFonts w:ascii="Times New Roman" w:hAnsi="Times New Roman"/>
          <w:sz w:val="16"/>
          <w:szCs w:val="16"/>
        </w:rPr>
      </w:pPr>
    </w:p>
    <w:p w14:paraId="54E90DBE" w14:textId="77777777" w:rsidR="00F427A3" w:rsidRDefault="0044221F">
      <w:pPr>
        <w:spacing w:line="288" w:lineRule="auto"/>
        <w:rPr>
          <w:rFonts w:ascii="Times New Roman" w:hAnsi="Times New Roman"/>
          <w:sz w:val="16"/>
          <w:szCs w:val="16"/>
        </w:rPr>
      </w:pPr>
      <w:r>
        <w:rPr>
          <w:rFonts w:ascii="Times New Roman" w:eastAsia="宋体" w:hAnsi="Times New Roman"/>
          <w:i/>
          <w:iCs/>
          <w:sz w:val="16"/>
          <w:szCs w:val="16"/>
        </w:rPr>
        <w:t>Note: For purposes of report</w:t>
      </w:r>
      <w:r>
        <w:rPr>
          <w:rFonts w:ascii="Times New Roman" w:eastAsia="宋体" w:hAnsi="Times New Roman"/>
          <w:i/>
          <w:iCs/>
          <w:sz w:val="16"/>
          <w:szCs w:val="16"/>
        </w:rPr>
        <w:t xml:space="preserve">ing DAUs, MAUs, and ARPU by geographic region, Europe includes all users in Russia and Turkey and Rest of World includes all users in Africa, Latin America, and the Middle East. </w:t>
      </w:r>
    </w:p>
    <w:p w14:paraId="54E90DBF" w14:textId="77777777" w:rsidR="00F427A3" w:rsidRDefault="00F427A3">
      <w:pPr>
        <w:rPr>
          <w:rFonts w:ascii="Times New Roman" w:hAnsi="Times New Roman"/>
          <w:sz w:val="20"/>
          <w:szCs w:val="20"/>
        </w:rPr>
      </w:pPr>
    </w:p>
    <w:p w14:paraId="54E90DC0"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31</w:t>
      </w:r>
    </w:p>
    <w:p w14:paraId="54E90DC1" w14:textId="77777777" w:rsidR="00F427A3" w:rsidRDefault="0044221F">
      <w:r>
        <w:rPr>
          <w:rFonts w:ascii="Times New Roman" w:hAnsi="Times New Roman"/>
          <w:sz w:val="20"/>
          <w:szCs w:val="20"/>
        </w:rPr>
        <w:pict w14:anchorId="54E91C41">
          <v:rect id="_x0000_i1055" style="width:415.3pt;height:1.5pt" o:hralign="center" o:hrstd="t" o:hr="t" fillcolor="#a0a0a0" stroked="f"/>
        </w:pict>
      </w:r>
    </w:p>
    <w:p w14:paraId="54E90DC2" w14:textId="77777777" w:rsidR="00F427A3" w:rsidRDefault="0044221F">
      <w:pPr>
        <w:spacing w:line="288" w:lineRule="auto"/>
        <w:rPr>
          <w:rFonts w:ascii="Times New Roman" w:hAnsi="Times New Roman"/>
          <w:sz w:val="20"/>
          <w:szCs w:val="20"/>
        </w:rPr>
      </w:pPr>
      <w:hyperlink r:id="rId73" w:anchor="s348EA962CF6D59B599D9921AFA89C381" w:history="1">
        <w:r>
          <w:rPr>
            <w:rStyle w:val="a5"/>
            <w:rFonts w:ascii="Times New Roman" w:eastAsia="宋体" w:hAnsi="Times New Roman"/>
            <w:sz w:val="20"/>
            <w:szCs w:val="20"/>
          </w:rPr>
          <w:t>Table of Contents</w:t>
        </w:r>
      </w:hyperlink>
    </w:p>
    <w:p w14:paraId="54E90DC3" w14:textId="77777777" w:rsidR="00F427A3" w:rsidRDefault="00F427A3">
      <w:pPr>
        <w:rPr>
          <w:rFonts w:ascii="Times New Roman" w:hAnsi="Times New Roman"/>
          <w:sz w:val="20"/>
          <w:szCs w:val="20"/>
        </w:rPr>
      </w:pPr>
    </w:p>
    <w:p w14:paraId="54E90DC4"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Worldwide DAUs increased 12% to 1.82 billion on average during September 2020 from 1.62 billion during September 2019. Users in India, Indonesia, and the P</w:t>
      </w:r>
      <w:r>
        <w:rPr>
          <w:rFonts w:ascii="Times New Roman" w:eastAsia="宋体" w:hAnsi="Times New Roman"/>
          <w:sz w:val="20"/>
          <w:szCs w:val="20"/>
        </w:rPr>
        <w:t xml:space="preserve">hilippines represented the top three sources of growth in DAUs during September 2020, relative to the same period in 2019. </w:t>
      </w:r>
    </w:p>
    <w:tbl>
      <w:tblPr>
        <w:tblW w:w="0" w:type="auto"/>
        <w:tblCellSpacing w:w="0" w:type="dxa"/>
        <w:tblCellMar>
          <w:top w:w="240" w:type="dxa"/>
          <w:left w:w="0" w:type="dxa"/>
          <w:right w:w="0" w:type="dxa"/>
        </w:tblCellMar>
        <w:tblLook w:val="04A0" w:firstRow="1" w:lastRow="0" w:firstColumn="1" w:lastColumn="0" w:noHBand="0" w:noVBand="1"/>
      </w:tblPr>
      <w:tblGrid>
        <w:gridCol w:w="960"/>
        <w:gridCol w:w="7346"/>
      </w:tblGrid>
      <w:tr w:rsidR="00F427A3" w14:paraId="54E90DC7" w14:textId="77777777">
        <w:trPr>
          <w:tblCellSpacing w:w="0" w:type="dxa"/>
        </w:trPr>
        <w:tc>
          <w:tcPr>
            <w:tcW w:w="960" w:type="dxa"/>
            <w:shd w:val="clear" w:color="auto" w:fill="auto"/>
            <w:vAlign w:val="center"/>
          </w:tcPr>
          <w:p w14:paraId="54E90DC5" w14:textId="77777777" w:rsidR="00F427A3" w:rsidRDefault="00F427A3">
            <w:pPr>
              <w:rPr>
                <w:rFonts w:ascii="Times New Roman" w:hAnsi="Times New Roman"/>
                <w:sz w:val="20"/>
                <w:szCs w:val="20"/>
              </w:rPr>
            </w:pPr>
          </w:p>
        </w:tc>
        <w:tc>
          <w:tcPr>
            <w:tcW w:w="0" w:type="auto"/>
            <w:shd w:val="clear" w:color="auto" w:fill="auto"/>
            <w:vAlign w:val="center"/>
          </w:tcPr>
          <w:p w14:paraId="54E90DC6" w14:textId="77777777" w:rsidR="00F427A3" w:rsidRDefault="00F427A3">
            <w:pPr>
              <w:rPr>
                <w:rFonts w:ascii="Times New Roman" w:hAnsi="Times New Roman"/>
                <w:sz w:val="20"/>
                <w:szCs w:val="20"/>
              </w:rPr>
            </w:pPr>
          </w:p>
        </w:tc>
      </w:tr>
      <w:tr w:rsidR="00F427A3" w14:paraId="54E90DCA" w14:textId="77777777">
        <w:trPr>
          <w:tblCellSpacing w:w="0" w:type="dxa"/>
        </w:trPr>
        <w:tc>
          <w:tcPr>
            <w:tcW w:w="0" w:type="auto"/>
            <w:shd w:val="clear" w:color="auto" w:fill="auto"/>
          </w:tcPr>
          <w:p w14:paraId="54E90DC8"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Pr>
          <w:p w14:paraId="54E90DC9"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Monthly Active Users (MAUs)</w:t>
            </w:r>
            <w:r>
              <w:rPr>
                <w:rFonts w:ascii="Times New Roman" w:eastAsia="宋体" w:hAnsi="Times New Roman"/>
                <w:sz w:val="20"/>
                <w:szCs w:val="20"/>
              </w:rPr>
              <w:t>.</w:t>
            </w:r>
            <w:r>
              <w:rPr>
                <w:rFonts w:ascii="Times New Roman" w:eastAsia="宋体" w:hAnsi="Times New Roman"/>
                <w:b/>
                <w:bCs/>
                <w:i/>
                <w:iCs/>
                <w:sz w:val="20"/>
                <w:szCs w:val="20"/>
              </w:rPr>
              <w:t xml:space="preserve"> </w:t>
            </w:r>
            <w:r>
              <w:rPr>
                <w:rFonts w:ascii="Times New Roman" w:eastAsia="宋体" w:hAnsi="Times New Roman"/>
                <w:sz w:val="20"/>
                <w:szCs w:val="20"/>
              </w:rPr>
              <w:t xml:space="preserve">We define a monthly active user as a registered and logged-in Facebook user who visited </w:t>
            </w:r>
            <w:r>
              <w:rPr>
                <w:rFonts w:ascii="Times New Roman" w:eastAsia="宋体" w:hAnsi="Times New Roman"/>
                <w:sz w:val="20"/>
                <w:szCs w:val="20"/>
              </w:rPr>
              <w:t>Facebook through our website or a mobile device, or used our Messenger application (and is also a registered Facebook user), in the last 30 days as of the date of measurement. MAUs are a measure of the size of our global active user community on Facebook.</w:t>
            </w:r>
          </w:p>
        </w:tc>
      </w:tr>
    </w:tbl>
    <w:p w14:paraId="54E90DCB"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Viewer9_files/mau_q32020.jpg"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54E91C42" wp14:editId="54E91C43">
            <wp:extent cx="304800" cy="304800"/>
            <wp:effectExtent l="0" t="0" r="0" b="0"/>
            <wp:docPr id="43" name="图片 6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6" descr="IMG_257"/>
                    <pic:cNvPicPr>
                      <a:picLocks noChangeAspect="1"/>
                    </pic:cNvPicPr>
                  </pic:nvPicPr>
                  <pic:blipFill>
                    <a:blip r:embed="rId72"/>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54E90DCC"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As of September 30, 2020, we had 2.74 billion MAUs, an increase of 12% from September 30, 2019. Users in I</w:t>
      </w:r>
      <w:r>
        <w:rPr>
          <w:rFonts w:ascii="Times New Roman" w:eastAsia="宋体" w:hAnsi="Times New Roman"/>
          <w:sz w:val="20"/>
          <w:szCs w:val="20"/>
        </w:rPr>
        <w:t>ndia, Indonesia, and the Philippines represented the top three sources of growth in the third quarter of 2020, relative to the same period in 2019.</w:t>
      </w:r>
    </w:p>
    <w:p w14:paraId="54E90DCD" w14:textId="77777777" w:rsidR="00F427A3" w:rsidRDefault="00F427A3">
      <w:pPr>
        <w:rPr>
          <w:rFonts w:ascii="Times New Roman" w:hAnsi="Times New Roman"/>
          <w:sz w:val="20"/>
          <w:szCs w:val="20"/>
        </w:rPr>
      </w:pPr>
    </w:p>
    <w:p w14:paraId="54E90DCE"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32</w:t>
      </w:r>
    </w:p>
    <w:p w14:paraId="54E90DCF" w14:textId="77777777" w:rsidR="00F427A3" w:rsidRDefault="0044221F">
      <w:r>
        <w:rPr>
          <w:rFonts w:ascii="Times New Roman" w:hAnsi="Times New Roman"/>
          <w:sz w:val="20"/>
          <w:szCs w:val="20"/>
        </w:rPr>
        <w:pict w14:anchorId="54E91C44">
          <v:rect id="_x0000_i1056" style="width:415.3pt;height:1.5pt" o:hralign="center" o:hrstd="t" o:hr="t" fillcolor="#a0a0a0" stroked="f"/>
        </w:pict>
      </w:r>
    </w:p>
    <w:p w14:paraId="54E90DD0" w14:textId="77777777" w:rsidR="00F427A3" w:rsidRDefault="0044221F">
      <w:pPr>
        <w:spacing w:line="288" w:lineRule="auto"/>
        <w:rPr>
          <w:rFonts w:ascii="Times New Roman" w:hAnsi="Times New Roman"/>
          <w:sz w:val="20"/>
          <w:szCs w:val="20"/>
        </w:rPr>
      </w:pPr>
      <w:hyperlink r:id="rId74" w:anchor="s348EA962CF6D59B599D9921AFA89C381" w:history="1">
        <w:r>
          <w:rPr>
            <w:rStyle w:val="a5"/>
            <w:rFonts w:ascii="Times New Roman" w:eastAsia="宋体" w:hAnsi="Times New Roman"/>
            <w:sz w:val="20"/>
            <w:szCs w:val="20"/>
          </w:rPr>
          <w:t>Table of Contents</w:t>
        </w:r>
      </w:hyperlink>
    </w:p>
    <w:p w14:paraId="54E90DD1" w14:textId="77777777" w:rsidR="00F427A3" w:rsidRDefault="00F427A3">
      <w:pPr>
        <w:rPr>
          <w:rFonts w:ascii="Times New Roman" w:hAnsi="Times New Roman"/>
          <w:sz w:val="20"/>
          <w:szCs w:val="20"/>
        </w:rPr>
      </w:pPr>
    </w:p>
    <w:p w14:paraId="54E90DD2"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 xml:space="preserve">Trends in Our Monetization by Facebook User Geography </w:t>
      </w:r>
    </w:p>
    <w:p w14:paraId="54E90DD3"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calculate our revenue by F</w:t>
      </w:r>
      <w:r>
        <w:rPr>
          <w:rFonts w:ascii="Times New Roman" w:eastAsia="宋体" w:hAnsi="Times New Roman"/>
          <w:sz w:val="20"/>
          <w:szCs w:val="20"/>
        </w:rPr>
        <w:t xml:space="preserve">acebook user geography based on our estimate of the geography in which ad impressions are delivered, virtual and digital goods are purchased, or consumer hardware devices are shipped. We define ARPU as our total revenue in a given geography during a given </w:t>
      </w:r>
      <w:r>
        <w:rPr>
          <w:rFonts w:ascii="Times New Roman" w:eastAsia="宋体" w:hAnsi="Times New Roman"/>
          <w:sz w:val="20"/>
          <w:szCs w:val="20"/>
        </w:rPr>
        <w:t>quarter, divided by the average of the number of MAUs in the geography at the beginning and end of the quarter. While ARPU includes all sources of revenue, the number of MAUs used in this calculation only includes users of Facebook and Messenger as describ</w:t>
      </w:r>
      <w:r>
        <w:rPr>
          <w:rFonts w:ascii="Times New Roman" w:eastAsia="宋体" w:hAnsi="Times New Roman"/>
          <w:sz w:val="20"/>
          <w:szCs w:val="20"/>
        </w:rPr>
        <w:t>ed in the definition of MAU above. The share of revenue from users who are not also Facebook or Messenger MAUs was not material. The geography of our users affects our revenue and financial results because we currently monetize users in different geographi</w:t>
      </w:r>
      <w:r>
        <w:rPr>
          <w:rFonts w:ascii="Times New Roman" w:eastAsia="宋体" w:hAnsi="Times New Roman"/>
          <w:sz w:val="20"/>
          <w:szCs w:val="20"/>
        </w:rPr>
        <w:t xml:space="preserve">es at different average rates. Our revenue and ARPU in regions such as United States &amp; Canada and Europe are relatively higher primarily due to the size and maturity of those online and mobile advertising markets. For example, ARPU in the third quarter of </w:t>
      </w:r>
      <w:r>
        <w:rPr>
          <w:rFonts w:ascii="Times New Roman" w:eastAsia="宋体" w:hAnsi="Times New Roman"/>
          <w:sz w:val="20"/>
          <w:szCs w:val="20"/>
        </w:rPr>
        <w:t>2020 in the United States &amp; Canada region was more than 10 times higher than in the Asia-Pacific region.</w:t>
      </w:r>
    </w:p>
    <w:p w14:paraId="54E90DD4"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Viewer9_files/revenue_q32020a01.jpg"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54E91C45" wp14:editId="54E91C46">
            <wp:extent cx="304800" cy="304800"/>
            <wp:effectExtent l="0" t="0" r="0" b="0"/>
            <wp:docPr id="44" name="图片 6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8" descr="IMG_258"/>
                    <pic:cNvPicPr>
                      <a:picLocks noChangeAspect="1"/>
                    </pic:cNvPicPr>
                  </pic:nvPicPr>
                  <pic:blipFill>
                    <a:blip r:embed="rId72"/>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54E90DD5"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Viewer9_files/adrevenueandotherrevenuea09.jpg"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54E91C47" wp14:editId="54E91C48">
            <wp:extent cx="304800" cy="304800"/>
            <wp:effectExtent l="0" t="0" r="0" b="0"/>
            <wp:docPr id="45" name="图片 6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9" descr="IMG_259"/>
                    <pic:cNvPicPr>
                      <a:picLocks noChangeAspect="1"/>
                    </pic:cNvPicPr>
                  </pic:nvPicPr>
                  <pic:blipFill>
                    <a:blip r:embed="rId72"/>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54E90DD6" w14:textId="77777777" w:rsidR="00F427A3" w:rsidRDefault="00F427A3">
      <w:pPr>
        <w:spacing w:line="288" w:lineRule="auto"/>
        <w:jc w:val="both"/>
        <w:rPr>
          <w:rFonts w:ascii="Times New Roman" w:hAnsi="Times New Roman"/>
          <w:sz w:val="16"/>
          <w:szCs w:val="16"/>
        </w:rPr>
      </w:pPr>
    </w:p>
    <w:p w14:paraId="54E90DD7" w14:textId="77777777" w:rsidR="00F427A3" w:rsidRDefault="0044221F">
      <w:pPr>
        <w:spacing w:line="288" w:lineRule="auto"/>
        <w:jc w:val="both"/>
        <w:rPr>
          <w:rFonts w:ascii="Times New Roman" w:hAnsi="Times New Roman"/>
          <w:sz w:val="16"/>
          <w:szCs w:val="16"/>
        </w:rPr>
      </w:pPr>
      <w:r>
        <w:rPr>
          <w:rFonts w:ascii="Times New Roman" w:eastAsia="宋体" w:hAnsi="Times New Roman"/>
          <w:i/>
          <w:iCs/>
          <w:sz w:val="16"/>
          <w:szCs w:val="16"/>
        </w:rPr>
        <w:t>Note: Our revenue by Facebook user geography in the charts above is geographically a</w:t>
      </w:r>
      <w:r>
        <w:rPr>
          <w:rFonts w:ascii="Times New Roman" w:eastAsia="宋体" w:hAnsi="Times New Roman"/>
          <w:i/>
          <w:iCs/>
          <w:sz w:val="16"/>
          <w:szCs w:val="16"/>
        </w:rPr>
        <w:t>pportioned based on our estimation of the geographic location of our Facebook users when they perform a revenue-generating activity. This allocation differs from our revenue disaggregated by geography disclosure in our condensed consolidated financial stat</w:t>
      </w:r>
      <w:r>
        <w:rPr>
          <w:rFonts w:ascii="Times New Roman" w:eastAsia="宋体" w:hAnsi="Times New Roman"/>
          <w:i/>
          <w:iCs/>
          <w:sz w:val="16"/>
          <w:szCs w:val="16"/>
        </w:rPr>
        <w:t>ements where revenue is geographically apportioned based on the addresses of our customers.</w:t>
      </w:r>
    </w:p>
    <w:p w14:paraId="54E90DD8" w14:textId="77777777" w:rsidR="00F427A3" w:rsidRDefault="00F427A3">
      <w:pPr>
        <w:rPr>
          <w:rFonts w:ascii="Times New Roman" w:hAnsi="Times New Roman"/>
          <w:sz w:val="20"/>
          <w:szCs w:val="20"/>
        </w:rPr>
      </w:pPr>
    </w:p>
    <w:p w14:paraId="54E90DD9"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33</w:t>
      </w:r>
    </w:p>
    <w:p w14:paraId="54E90DDA" w14:textId="77777777" w:rsidR="00F427A3" w:rsidRDefault="0044221F">
      <w:r>
        <w:rPr>
          <w:rFonts w:ascii="Times New Roman" w:hAnsi="Times New Roman"/>
          <w:sz w:val="20"/>
          <w:szCs w:val="20"/>
        </w:rPr>
        <w:pict w14:anchorId="54E91C49">
          <v:rect id="_x0000_i1057" style="width:415.3pt;height:1.5pt" o:hralign="center" o:hrstd="t" o:hr="t" fillcolor="#a0a0a0" stroked="f"/>
        </w:pict>
      </w:r>
    </w:p>
    <w:p w14:paraId="54E90DDB" w14:textId="77777777" w:rsidR="00F427A3" w:rsidRDefault="0044221F">
      <w:pPr>
        <w:spacing w:line="288" w:lineRule="auto"/>
        <w:rPr>
          <w:rFonts w:ascii="Times New Roman" w:hAnsi="Times New Roman"/>
          <w:sz w:val="20"/>
          <w:szCs w:val="20"/>
        </w:rPr>
      </w:pPr>
      <w:hyperlink r:id="rId75" w:anchor="s348EA962CF6D59B599D9921AFA89C381" w:history="1">
        <w:r>
          <w:rPr>
            <w:rStyle w:val="a5"/>
            <w:rFonts w:ascii="Times New Roman" w:eastAsia="宋体" w:hAnsi="Times New Roman"/>
            <w:sz w:val="20"/>
            <w:szCs w:val="20"/>
          </w:rPr>
          <w:t>Table of Contents</w:t>
        </w:r>
      </w:hyperlink>
    </w:p>
    <w:p w14:paraId="54E90DDC" w14:textId="77777777" w:rsidR="00F427A3" w:rsidRDefault="00F427A3">
      <w:pPr>
        <w:rPr>
          <w:rFonts w:ascii="Times New Roman" w:hAnsi="Times New Roman"/>
          <w:sz w:val="20"/>
          <w:szCs w:val="20"/>
        </w:rPr>
      </w:pPr>
    </w:p>
    <w:p w14:paraId="54E90DDD"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During the third quarter of 2020, worldwide ARPU was $7.89, an increase of 9% from t</w:t>
      </w:r>
      <w:r>
        <w:rPr>
          <w:rFonts w:ascii="Times New Roman" w:eastAsia="宋体" w:hAnsi="Times New Roman"/>
          <w:sz w:val="20"/>
          <w:szCs w:val="20"/>
        </w:rPr>
        <w:t>he third quarter of 2019. Over this period, ARPU increased by 16% in Europe, 15% in United States &amp; Canada, and 13% in Asia-Pacific, and ARPU decreased by 1% in Rest of World. In addition, user growth was more rapid in geographies with relatively lower ARP</w:t>
      </w:r>
      <w:r>
        <w:rPr>
          <w:rFonts w:ascii="Times New Roman" w:eastAsia="宋体" w:hAnsi="Times New Roman"/>
          <w:sz w:val="20"/>
          <w:szCs w:val="20"/>
        </w:rPr>
        <w:t>U, such as Asia-Pacific and Rest of World. We expect that user growth in the future will be primarily concentrated in those regions where ARPU is relatively lower, such that worldwide ARPU may continue to increase at a slower rate relative to ARPU in any g</w:t>
      </w:r>
      <w:r>
        <w:rPr>
          <w:rFonts w:ascii="Times New Roman" w:eastAsia="宋体" w:hAnsi="Times New Roman"/>
          <w:sz w:val="20"/>
          <w:szCs w:val="20"/>
        </w:rPr>
        <w:t>eographic region, or potentially decrease even if ARPU increases in each geographic region.</w:t>
      </w:r>
    </w:p>
    <w:p w14:paraId="54E90DDE" w14:textId="77777777" w:rsidR="00F427A3" w:rsidRDefault="00F427A3">
      <w:pPr>
        <w:rPr>
          <w:rFonts w:ascii="Times New Roman" w:hAnsi="Times New Roman"/>
          <w:sz w:val="20"/>
          <w:szCs w:val="20"/>
        </w:rPr>
      </w:pPr>
    </w:p>
    <w:p w14:paraId="54E90DDF"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34</w:t>
      </w:r>
    </w:p>
    <w:p w14:paraId="54E90DE0" w14:textId="77777777" w:rsidR="00F427A3" w:rsidRDefault="0044221F">
      <w:r>
        <w:rPr>
          <w:rFonts w:ascii="Times New Roman" w:hAnsi="Times New Roman"/>
          <w:sz w:val="20"/>
          <w:szCs w:val="20"/>
        </w:rPr>
        <w:pict w14:anchorId="54E91C4A">
          <v:rect id="_x0000_i1058" style="width:415.3pt;height:1.5pt" o:hralign="center" o:hrstd="t" o:hr="t" fillcolor="#a0a0a0" stroked="f"/>
        </w:pict>
      </w:r>
    </w:p>
    <w:p w14:paraId="54E90DE1" w14:textId="77777777" w:rsidR="00F427A3" w:rsidRDefault="0044221F">
      <w:pPr>
        <w:spacing w:line="288" w:lineRule="auto"/>
        <w:rPr>
          <w:rFonts w:ascii="Times New Roman" w:hAnsi="Times New Roman"/>
          <w:sz w:val="20"/>
          <w:szCs w:val="20"/>
        </w:rPr>
      </w:pPr>
      <w:hyperlink r:id="rId76" w:anchor="s348EA962CF6D59B599D9921AFA89C381" w:history="1">
        <w:r>
          <w:rPr>
            <w:rStyle w:val="a5"/>
            <w:rFonts w:ascii="Times New Roman" w:eastAsia="宋体" w:hAnsi="Times New Roman"/>
            <w:sz w:val="20"/>
            <w:szCs w:val="20"/>
          </w:rPr>
          <w:t>Table of</w:t>
        </w:r>
        <w:r>
          <w:rPr>
            <w:rStyle w:val="a5"/>
            <w:rFonts w:ascii="Times New Roman" w:eastAsia="宋体" w:hAnsi="Times New Roman"/>
            <w:sz w:val="20"/>
            <w:szCs w:val="20"/>
          </w:rPr>
          <w:t xml:space="preserve"> Contents</w:t>
        </w:r>
      </w:hyperlink>
    </w:p>
    <w:p w14:paraId="54E90DE2" w14:textId="77777777" w:rsidR="00F427A3" w:rsidRDefault="00F427A3">
      <w:pPr>
        <w:rPr>
          <w:rFonts w:ascii="Times New Roman" w:hAnsi="Times New Roman"/>
          <w:sz w:val="20"/>
          <w:szCs w:val="20"/>
        </w:rPr>
      </w:pPr>
    </w:p>
    <w:p w14:paraId="54E90DE3"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sz w:val="20"/>
          <w:szCs w:val="20"/>
        </w:rPr>
        <w:t>Trends in Our Family Metrics</w:t>
      </w:r>
    </w:p>
    <w:p w14:paraId="54E90DE4"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numbers for our key Family metrics, our DAP, MAP, and average revenue per person (ARPP), do not include users on our other products unless they would otherwise qualify as MAP or DAP, respectively, based on the</w:t>
      </w:r>
      <w:r>
        <w:rPr>
          <w:rFonts w:ascii="Times New Roman" w:eastAsia="宋体" w:hAnsi="Times New Roman"/>
          <w:sz w:val="20"/>
          <w:szCs w:val="20"/>
        </w:rPr>
        <w:t xml:space="preserve">ir other activities on our Family products. </w:t>
      </w:r>
    </w:p>
    <w:p w14:paraId="54E90DE5"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Trends in the number of people in our community affect our revenue and financial results by influencing the number of ads we are able to show, the value of our ads to marketers, the volume of Payments transactio</w:t>
      </w:r>
      <w:r>
        <w:rPr>
          <w:rFonts w:ascii="Times New Roman" w:eastAsia="宋体" w:hAnsi="Times New Roman"/>
          <w:sz w:val="20"/>
          <w:szCs w:val="20"/>
        </w:rPr>
        <w:t>ns, as well as our expenses and capital expenditures. Substantially all of our daily and monthly active people (as defined below) access our Family products on mobile devices.</w:t>
      </w:r>
    </w:p>
    <w:tbl>
      <w:tblPr>
        <w:tblW w:w="0" w:type="auto"/>
        <w:tblCellSpacing w:w="0" w:type="dxa"/>
        <w:tblCellMar>
          <w:top w:w="240" w:type="dxa"/>
          <w:left w:w="0" w:type="dxa"/>
          <w:right w:w="0" w:type="dxa"/>
        </w:tblCellMar>
        <w:tblLook w:val="04A0" w:firstRow="1" w:lastRow="0" w:firstColumn="1" w:lastColumn="0" w:noHBand="0" w:noVBand="1"/>
      </w:tblPr>
      <w:tblGrid>
        <w:gridCol w:w="960"/>
        <w:gridCol w:w="7346"/>
      </w:tblGrid>
      <w:tr w:rsidR="00F427A3" w14:paraId="54E90DE8" w14:textId="77777777">
        <w:trPr>
          <w:tblCellSpacing w:w="0" w:type="dxa"/>
        </w:trPr>
        <w:tc>
          <w:tcPr>
            <w:tcW w:w="960" w:type="dxa"/>
            <w:shd w:val="clear" w:color="auto" w:fill="auto"/>
            <w:vAlign w:val="center"/>
          </w:tcPr>
          <w:p w14:paraId="54E90DE6" w14:textId="77777777" w:rsidR="00F427A3" w:rsidRDefault="00F427A3">
            <w:pPr>
              <w:rPr>
                <w:rFonts w:ascii="Times New Roman" w:hAnsi="Times New Roman"/>
                <w:sz w:val="20"/>
                <w:szCs w:val="20"/>
              </w:rPr>
            </w:pPr>
          </w:p>
        </w:tc>
        <w:tc>
          <w:tcPr>
            <w:tcW w:w="0" w:type="auto"/>
            <w:shd w:val="clear" w:color="auto" w:fill="auto"/>
            <w:vAlign w:val="center"/>
          </w:tcPr>
          <w:p w14:paraId="54E90DE7" w14:textId="77777777" w:rsidR="00F427A3" w:rsidRDefault="00F427A3">
            <w:pPr>
              <w:rPr>
                <w:rFonts w:ascii="Times New Roman" w:hAnsi="Times New Roman"/>
                <w:sz w:val="20"/>
                <w:szCs w:val="20"/>
              </w:rPr>
            </w:pPr>
          </w:p>
        </w:tc>
      </w:tr>
      <w:tr w:rsidR="00F427A3" w14:paraId="54E90DEB" w14:textId="77777777">
        <w:trPr>
          <w:tblCellSpacing w:w="0" w:type="dxa"/>
        </w:trPr>
        <w:tc>
          <w:tcPr>
            <w:tcW w:w="0" w:type="auto"/>
            <w:shd w:val="clear" w:color="auto" w:fill="auto"/>
          </w:tcPr>
          <w:p w14:paraId="54E90DE9"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Pr>
          <w:p w14:paraId="54E90DEA"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Daily Active People (DAP).</w:t>
            </w:r>
            <w:r>
              <w:rPr>
                <w:rFonts w:ascii="Times New Roman" w:eastAsia="宋体" w:hAnsi="Times New Roman"/>
                <w:sz w:val="20"/>
                <w:szCs w:val="20"/>
              </w:rPr>
              <w:t xml:space="preserve"> We define a daily active person as a registered and logged-in user of Facebook, Instagram, Messenger, and/or WhatsApp (collectively, our "Family" of products) who visited at least one of these Family products through a mobile device application or using a</w:t>
            </w:r>
            <w:r>
              <w:rPr>
                <w:rFonts w:ascii="Times New Roman" w:eastAsia="宋体" w:hAnsi="Times New Roman"/>
                <w:sz w:val="20"/>
                <w:szCs w:val="20"/>
              </w:rPr>
              <w:t xml:space="preserve"> web or mobile browser on a given day. We do not require people to use a common identifier or link their accounts to use multiple products in our Family, and therefore must seek to attribute multiple user accounts within and across products to individual p</w:t>
            </w:r>
            <w:r>
              <w:rPr>
                <w:rFonts w:ascii="Times New Roman" w:eastAsia="宋体" w:hAnsi="Times New Roman"/>
                <w:sz w:val="20"/>
                <w:szCs w:val="20"/>
              </w:rPr>
              <w:t xml:space="preserve">eople. Our calculations of DAP rely upon complex techniques, algorithms, and machine learning models that seek to estimate the underlying number of unique people using one or more of these products, including by matching user accounts within an individual </w:t>
            </w:r>
            <w:r>
              <w:rPr>
                <w:rFonts w:ascii="Times New Roman" w:eastAsia="宋体" w:hAnsi="Times New Roman"/>
                <w:sz w:val="20"/>
                <w:szCs w:val="20"/>
              </w:rPr>
              <w:t>product and across multiple products when we believe they are attributable to a single person, and counting such group of accounts as one person. As these techniques and models require significant judgment, are developed based on internal reviews of limite</w:t>
            </w:r>
            <w:r>
              <w:rPr>
                <w:rFonts w:ascii="Times New Roman" w:eastAsia="宋体" w:hAnsi="Times New Roman"/>
                <w:sz w:val="20"/>
                <w:szCs w:val="20"/>
              </w:rPr>
              <w:t>d samples of user accounts, and are calibrated against user survey data, there is necessarily some margin of error in our estimates. We view DAP, and DAP as a percentage of MAP, as measures of engagement across our products. For additional information, see</w:t>
            </w:r>
            <w:r>
              <w:rPr>
                <w:rFonts w:ascii="Times New Roman" w:eastAsia="宋体" w:hAnsi="Times New Roman"/>
                <w:sz w:val="20"/>
                <w:szCs w:val="20"/>
              </w:rPr>
              <w:t xml:space="preserve"> the section entitled "Limitations of Key Metrics and Other Data" in this Quarterly Report on Form 10-Q.</w:t>
            </w:r>
          </w:p>
        </w:tc>
      </w:tr>
    </w:tbl>
    <w:p w14:paraId="54E90DEC" w14:textId="77777777" w:rsidR="00F427A3" w:rsidRDefault="0044221F">
      <w:pPr>
        <w:spacing w:line="288" w:lineRule="auto"/>
        <w:ind w:firstLine="720"/>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/Meta Platforms/./Inline XBRL Viewer9_files/dapq32020worldwide.jpg" \* MERGEFORMATINE</w:instrText>
      </w:r>
      <w:r>
        <w:rPr>
          <w:rFonts w:ascii="Times New Roman" w:eastAsia="宋体" w:hAnsi="Times New Roman"/>
          <w:sz w:val="20"/>
          <w:szCs w:val="20"/>
        </w:rPr>
        <w:instrText xml:space="preserv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54E91C4B" wp14:editId="54E91C4C">
            <wp:extent cx="304800" cy="304800"/>
            <wp:effectExtent l="0" t="0" r="0" b="0"/>
            <wp:docPr id="48" name="图片 7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2" descr="IMG_260"/>
                    <pic:cNvPicPr>
                      <a:picLocks noChangeAspect="1"/>
                    </pic:cNvPicPr>
                  </pic:nvPicPr>
                  <pic:blipFill>
                    <a:blip r:embed="rId72"/>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54E90DED" w14:textId="77777777" w:rsidR="00F427A3" w:rsidRDefault="0044221F">
      <w:pPr>
        <w:spacing w:line="288" w:lineRule="auto"/>
        <w:jc w:val="both"/>
        <w:rPr>
          <w:rFonts w:ascii="Times New Roman" w:hAnsi="Times New Roman"/>
          <w:sz w:val="16"/>
          <w:szCs w:val="16"/>
        </w:rPr>
      </w:pPr>
      <w:r>
        <w:rPr>
          <w:rFonts w:ascii="Times New Roman" w:eastAsia="宋体" w:hAnsi="Times New Roman"/>
          <w:i/>
          <w:iCs/>
          <w:sz w:val="16"/>
          <w:szCs w:val="16"/>
        </w:rPr>
        <w:t xml:space="preserve">Note: We report the numbers of DAP and MAP as specific amounts, but these numbers are estimates of the numbers of unique people using our products and are subject to statistical variances and errors. While we expect the error margin for these </w:t>
      </w:r>
      <w:r>
        <w:rPr>
          <w:rFonts w:ascii="Times New Roman" w:eastAsia="宋体" w:hAnsi="Times New Roman"/>
          <w:i/>
          <w:iCs/>
          <w:sz w:val="16"/>
          <w:szCs w:val="16"/>
        </w:rPr>
        <w:t>estimates to vary from period to period, we estimate that such margin generally will be approximately 4% of our worldwide MAP. At our scale, it is very difficult to attribute multiple user accounts within and across products to individual people, and it is</w:t>
      </w:r>
      <w:r>
        <w:rPr>
          <w:rFonts w:ascii="Times New Roman" w:eastAsia="宋体" w:hAnsi="Times New Roman"/>
          <w:i/>
          <w:iCs/>
          <w:sz w:val="16"/>
          <w:szCs w:val="16"/>
        </w:rPr>
        <w:t xml:space="preserve"> possible that the actual numbers of unique people using our products may vary significantly from our estimates, potentially beyond our estimated error margins. For additional information, see the section entitled "Limitations of Key Metrics and Other Data</w:t>
      </w:r>
      <w:r>
        <w:rPr>
          <w:rFonts w:ascii="Times New Roman" w:eastAsia="宋体" w:hAnsi="Times New Roman"/>
          <w:i/>
          <w:iCs/>
          <w:sz w:val="16"/>
          <w:szCs w:val="16"/>
        </w:rPr>
        <w:t>" in this Quarterly Report on Form 10-Q. In the second quarter of 2020, we updated our Family metrics calculations to reflect recent data from a periodic WhatsApp user survey and to incorporate certain methodology improvements, and we estimate such updates</w:t>
      </w:r>
      <w:r>
        <w:rPr>
          <w:rFonts w:ascii="Times New Roman" w:eastAsia="宋体" w:hAnsi="Times New Roman"/>
          <w:i/>
          <w:iCs/>
          <w:sz w:val="16"/>
          <w:szCs w:val="16"/>
        </w:rPr>
        <w:t xml:space="preserve"> contributed an aggregate of approximately 40 million DAP to our reported worldwide DAP in June 2020.</w:t>
      </w:r>
    </w:p>
    <w:p w14:paraId="54E90DEE"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Worldwide DAP increased 15% to 2.54 billion on average during September 2020 from 2.20 billion during September 2019. </w:t>
      </w:r>
    </w:p>
    <w:p w14:paraId="54E90DEF" w14:textId="77777777" w:rsidR="00F427A3" w:rsidRDefault="00F427A3">
      <w:pPr>
        <w:rPr>
          <w:rFonts w:ascii="Times New Roman" w:hAnsi="Times New Roman"/>
          <w:sz w:val="20"/>
          <w:szCs w:val="20"/>
        </w:rPr>
      </w:pPr>
    </w:p>
    <w:p w14:paraId="54E90DF0"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35</w:t>
      </w:r>
    </w:p>
    <w:p w14:paraId="54E90DF1" w14:textId="77777777" w:rsidR="00F427A3" w:rsidRDefault="0044221F">
      <w:r>
        <w:rPr>
          <w:rFonts w:ascii="Times New Roman" w:hAnsi="Times New Roman"/>
          <w:sz w:val="20"/>
          <w:szCs w:val="20"/>
        </w:rPr>
        <w:pict w14:anchorId="54E91C4D">
          <v:rect id="_x0000_i1059" style="width:415.3pt;height:1.5pt" o:hralign="center" o:hrstd="t" o:hr="t" fillcolor="#a0a0a0" stroked="f"/>
        </w:pict>
      </w:r>
    </w:p>
    <w:p w14:paraId="54E90DF2" w14:textId="77777777" w:rsidR="00F427A3" w:rsidRDefault="0044221F">
      <w:pPr>
        <w:spacing w:line="288" w:lineRule="auto"/>
        <w:rPr>
          <w:rFonts w:ascii="Times New Roman" w:hAnsi="Times New Roman"/>
          <w:sz w:val="20"/>
          <w:szCs w:val="20"/>
        </w:rPr>
      </w:pPr>
      <w:hyperlink r:id="rId77" w:anchor="s348EA962CF6D59B599D9921AFA89C381" w:history="1">
        <w:r>
          <w:rPr>
            <w:rStyle w:val="a5"/>
            <w:rFonts w:ascii="Times New Roman" w:eastAsia="宋体" w:hAnsi="Times New Roman"/>
            <w:sz w:val="20"/>
            <w:szCs w:val="20"/>
          </w:rPr>
          <w:t>Table of Contents</w:t>
        </w:r>
      </w:hyperlink>
    </w:p>
    <w:p w14:paraId="54E90DF3" w14:textId="77777777" w:rsidR="00F427A3" w:rsidRDefault="00F427A3">
      <w:pPr>
        <w:rPr>
          <w:rFonts w:ascii="Times New Roman" w:hAnsi="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960"/>
        <w:gridCol w:w="7346"/>
      </w:tblGrid>
      <w:tr w:rsidR="00F427A3" w14:paraId="54E90DF6" w14:textId="77777777">
        <w:trPr>
          <w:tblCellSpacing w:w="0" w:type="dxa"/>
        </w:trPr>
        <w:tc>
          <w:tcPr>
            <w:tcW w:w="960" w:type="dxa"/>
            <w:shd w:val="clear" w:color="auto" w:fill="auto"/>
            <w:vAlign w:val="center"/>
          </w:tcPr>
          <w:p w14:paraId="54E90DF4" w14:textId="77777777" w:rsidR="00F427A3" w:rsidRDefault="00F427A3">
            <w:pPr>
              <w:rPr>
                <w:rFonts w:ascii="Times New Roman" w:hAnsi="Times New Roman"/>
                <w:sz w:val="20"/>
                <w:szCs w:val="20"/>
              </w:rPr>
            </w:pPr>
          </w:p>
        </w:tc>
        <w:tc>
          <w:tcPr>
            <w:tcW w:w="0" w:type="auto"/>
            <w:shd w:val="clear" w:color="auto" w:fill="auto"/>
            <w:vAlign w:val="center"/>
          </w:tcPr>
          <w:p w14:paraId="54E90DF5" w14:textId="77777777" w:rsidR="00F427A3" w:rsidRDefault="00F427A3">
            <w:pPr>
              <w:rPr>
                <w:rFonts w:ascii="Times New Roman" w:hAnsi="Times New Roman"/>
                <w:sz w:val="20"/>
                <w:szCs w:val="20"/>
              </w:rPr>
            </w:pPr>
          </w:p>
        </w:tc>
      </w:tr>
      <w:tr w:rsidR="00F427A3" w14:paraId="54E90DF9" w14:textId="77777777">
        <w:trPr>
          <w:tblCellSpacing w:w="0" w:type="dxa"/>
        </w:trPr>
        <w:tc>
          <w:tcPr>
            <w:tcW w:w="0" w:type="auto"/>
            <w:shd w:val="clear" w:color="auto" w:fill="auto"/>
          </w:tcPr>
          <w:p w14:paraId="54E90DF7"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Pr>
          <w:p w14:paraId="54E90DF8"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Monthly Active People (MAP).</w:t>
            </w:r>
            <w:r>
              <w:rPr>
                <w:rFonts w:ascii="Times New Roman" w:eastAsia="宋体" w:hAnsi="Times New Roman"/>
                <w:i/>
                <w:iCs/>
                <w:sz w:val="20"/>
                <w:szCs w:val="20"/>
              </w:rPr>
              <w:t xml:space="preserve"> </w:t>
            </w:r>
            <w:r>
              <w:rPr>
                <w:rFonts w:ascii="Times New Roman" w:eastAsia="宋体" w:hAnsi="Times New Roman"/>
                <w:sz w:val="20"/>
                <w:szCs w:val="20"/>
              </w:rPr>
              <w:t xml:space="preserve">We define a monthly active person as a registered </w:t>
            </w:r>
            <w:r>
              <w:rPr>
                <w:rFonts w:ascii="Times New Roman" w:eastAsia="宋体" w:hAnsi="Times New Roman"/>
                <w:sz w:val="20"/>
                <w:szCs w:val="20"/>
              </w:rPr>
              <w:t>and logged-in user of one or more Family products who visited at least one of these Family products through a mobile device application or using a web or mobile browser in the last 30 days as of the date of measurement. We do not require people to use a co</w:t>
            </w:r>
            <w:r>
              <w:rPr>
                <w:rFonts w:ascii="Times New Roman" w:eastAsia="宋体" w:hAnsi="Times New Roman"/>
                <w:sz w:val="20"/>
                <w:szCs w:val="20"/>
              </w:rPr>
              <w:t>mmon identifier or link their accounts to use multiple products in our Family, and therefore must seek to attribute multiple user accounts within and across products to individual people. Our calculations of MAP rely upon complex techniques, algorithms, an</w:t>
            </w:r>
            <w:r>
              <w:rPr>
                <w:rFonts w:ascii="Times New Roman" w:eastAsia="宋体" w:hAnsi="Times New Roman"/>
                <w:sz w:val="20"/>
                <w:szCs w:val="20"/>
              </w:rPr>
              <w:t xml:space="preserve">d machine learning models that seek to estimate the underlying number of unique people using one or more of these products, including by matching user accounts within an individual product and across multiple products when we believe they are attributable </w:t>
            </w:r>
            <w:r>
              <w:rPr>
                <w:rFonts w:ascii="Times New Roman" w:eastAsia="宋体" w:hAnsi="Times New Roman"/>
                <w:sz w:val="20"/>
                <w:szCs w:val="20"/>
              </w:rPr>
              <w:t>to a single person, and counting such group of accounts as one person. As these techniques and models require significant judgment, are developed based on internal reviews of limited samples of user accounts, and are calibrated against user survey data, th</w:t>
            </w:r>
            <w:r>
              <w:rPr>
                <w:rFonts w:ascii="Times New Roman" w:eastAsia="宋体" w:hAnsi="Times New Roman"/>
                <w:sz w:val="20"/>
                <w:szCs w:val="20"/>
              </w:rPr>
              <w:t xml:space="preserve">ere is necessarily some margin of error in our estimates. We view MAP as a measure of the size of our global active community of people using our products. For additional information, see the section entitled "Limitations of Key Metrics and Other Data" in </w:t>
            </w:r>
            <w:r>
              <w:rPr>
                <w:rFonts w:ascii="Times New Roman" w:eastAsia="宋体" w:hAnsi="Times New Roman"/>
                <w:sz w:val="20"/>
                <w:szCs w:val="20"/>
              </w:rPr>
              <w:t>this Quarterly Report on Form 10-Q.</w:t>
            </w:r>
          </w:p>
        </w:tc>
      </w:tr>
    </w:tbl>
    <w:p w14:paraId="54E90DFA" w14:textId="77777777" w:rsidR="00F427A3" w:rsidRDefault="0044221F">
      <w:pPr>
        <w:spacing w:line="288" w:lineRule="auto"/>
        <w:ind w:firstLine="720"/>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Viewer9_files/map_q32020worldwide.jpg"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54E91C4E" wp14:editId="54E91C4F">
            <wp:extent cx="304800" cy="304800"/>
            <wp:effectExtent l="0" t="0" r="0" b="0"/>
            <wp:docPr id="47" name="图片 7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4" descr="IMG_261"/>
                    <pic:cNvPicPr>
                      <a:picLocks noChangeAspect="1"/>
                    </pic:cNvPicPr>
                  </pic:nvPicPr>
                  <pic:blipFill>
                    <a:blip r:embed="rId72"/>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54E90DFB" w14:textId="77777777" w:rsidR="00F427A3" w:rsidRDefault="0044221F">
      <w:pPr>
        <w:spacing w:line="288" w:lineRule="auto"/>
        <w:jc w:val="both"/>
        <w:rPr>
          <w:rFonts w:ascii="Times New Roman" w:hAnsi="Times New Roman"/>
          <w:sz w:val="16"/>
          <w:szCs w:val="16"/>
        </w:rPr>
      </w:pPr>
      <w:r>
        <w:rPr>
          <w:rFonts w:ascii="Times New Roman" w:eastAsia="宋体" w:hAnsi="Times New Roman"/>
          <w:i/>
          <w:iCs/>
          <w:sz w:val="16"/>
          <w:szCs w:val="16"/>
        </w:rPr>
        <w:t>Note: We report the numbers of DAP and MAP as specific amounts, but these numbers are estimates of</w:t>
      </w:r>
      <w:r>
        <w:rPr>
          <w:rFonts w:ascii="Times New Roman" w:eastAsia="宋体" w:hAnsi="Times New Roman"/>
          <w:i/>
          <w:iCs/>
          <w:sz w:val="16"/>
          <w:szCs w:val="16"/>
        </w:rPr>
        <w:t xml:space="preserve"> the numbers of unique people using our products and are subject to statistical variances and errors. While we expect the error margin for these estimates to vary from period to period, we estimate that such margin generally will be approximately 4% of our</w:t>
      </w:r>
      <w:r>
        <w:rPr>
          <w:rFonts w:ascii="Times New Roman" w:eastAsia="宋体" w:hAnsi="Times New Roman"/>
          <w:i/>
          <w:iCs/>
          <w:sz w:val="16"/>
          <w:szCs w:val="16"/>
        </w:rPr>
        <w:t xml:space="preserve"> worldwide MAP. At our scale, it is very difficult to attribute multiple user accounts within and across products to individual people, and it is possible that the actual numbers of unique people using our products may vary significantly from our estimates</w:t>
      </w:r>
      <w:r>
        <w:rPr>
          <w:rFonts w:ascii="Times New Roman" w:eastAsia="宋体" w:hAnsi="Times New Roman"/>
          <w:i/>
          <w:iCs/>
          <w:sz w:val="16"/>
          <w:szCs w:val="16"/>
        </w:rPr>
        <w:t>, potentially beyond our estimated error margins. For additional information, see the section entitled "Limitations of Key Metrics and Other Data" in this Quarterly Report on Form 10-Q. In the second quarter of 2020, we updated our Family metrics calculati</w:t>
      </w:r>
      <w:r>
        <w:rPr>
          <w:rFonts w:ascii="Times New Roman" w:eastAsia="宋体" w:hAnsi="Times New Roman"/>
          <w:i/>
          <w:iCs/>
          <w:sz w:val="16"/>
          <w:szCs w:val="16"/>
        </w:rPr>
        <w:t>ons to reflect recent data from a periodic WhatsApp user survey and to incorporate certain methodology improvements, and we estimate such updates contributed an aggregate of approximately 50 million MAP to our reported worldwide MAP in June 2020.</w:t>
      </w:r>
    </w:p>
    <w:p w14:paraId="54E90DFC"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As of Sep</w:t>
      </w:r>
      <w:r>
        <w:rPr>
          <w:rFonts w:ascii="Times New Roman" w:eastAsia="宋体" w:hAnsi="Times New Roman"/>
          <w:sz w:val="20"/>
          <w:szCs w:val="20"/>
        </w:rPr>
        <w:t xml:space="preserve">tember 30, 2020, we had 3.21 billion MAP, an increase of 14% from 2.82 billion as of September 30, 2019. </w:t>
      </w:r>
    </w:p>
    <w:p w14:paraId="54E90DFD" w14:textId="77777777" w:rsidR="00F427A3" w:rsidRDefault="00F427A3">
      <w:pPr>
        <w:rPr>
          <w:rFonts w:ascii="Times New Roman" w:hAnsi="Times New Roman"/>
          <w:sz w:val="20"/>
          <w:szCs w:val="20"/>
        </w:rPr>
      </w:pPr>
    </w:p>
    <w:p w14:paraId="54E90DFE"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36</w:t>
      </w:r>
    </w:p>
    <w:p w14:paraId="54E90DFF" w14:textId="77777777" w:rsidR="00F427A3" w:rsidRDefault="0044221F">
      <w:r>
        <w:rPr>
          <w:rFonts w:ascii="Times New Roman" w:hAnsi="Times New Roman"/>
          <w:sz w:val="20"/>
          <w:szCs w:val="20"/>
        </w:rPr>
        <w:pict w14:anchorId="54E91C50">
          <v:rect id="_x0000_i1060" style="width:415.3pt;height:1.5pt" o:hralign="center" o:hrstd="t" o:hr="t" fillcolor="#a0a0a0" stroked="f"/>
        </w:pict>
      </w:r>
    </w:p>
    <w:p w14:paraId="54E90E00" w14:textId="77777777" w:rsidR="00F427A3" w:rsidRDefault="0044221F">
      <w:pPr>
        <w:spacing w:line="288" w:lineRule="auto"/>
        <w:rPr>
          <w:rFonts w:ascii="Times New Roman" w:hAnsi="Times New Roman"/>
          <w:sz w:val="20"/>
          <w:szCs w:val="20"/>
        </w:rPr>
      </w:pPr>
      <w:hyperlink r:id="rId78" w:anchor="s348EA962CF6D59B599D9921AFA89C381" w:history="1">
        <w:r>
          <w:rPr>
            <w:rStyle w:val="a5"/>
            <w:rFonts w:ascii="Times New Roman" w:eastAsia="宋体" w:hAnsi="Times New Roman"/>
            <w:sz w:val="20"/>
            <w:szCs w:val="20"/>
          </w:rPr>
          <w:t>Table of Contents</w:t>
        </w:r>
      </w:hyperlink>
    </w:p>
    <w:p w14:paraId="54E90E01" w14:textId="77777777" w:rsidR="00F427A3" w:rsidRDefault="00F427A3">
      <w:pPr>
        <w:rPr>
          <w:rFonts w:ascii="Times New Roman" w:hAnsi="Times New Roman"/>
          <w:sz w:val="20"/>
          <w:szCs w:val="20"/>
        </w:rPr>
      </w:pPr>
    </w:p>
    <w:p w14:paraId="54E90E02" w14:textId="77777777" w:rsidR="00F427A3" w:rsidRDefault="00F427A3">
      <w:pPr>
        <w:spacing w:line="288" w:lineRule="auto"/>
        <w:rPr>
          <w:rFonts w:ascii="Times New Roman" w:hAnsi="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960"/>
        <w:gridCol w:w="7346"/>
      </w:tblGrid>
      <w:tr w:rsidR="00F427A3" w14:paraId="54E90E05" w14:textId="77777777">
        <w:trPr>
          <w:tblCellSpacing w:w="0" w:type="dxa"/>
        </w:trPr>
        <w:tc>
          <w:tcPr>
            <w:tcW w:w="960" w:type="dxa"/>
            <w:shd w:val="clear" w:color="auto" w:fill="auto"/>
            <w:vAlign w:val="center"/>
          </w:tcPr>
          <w:p w14:paraId="54E90E03" w14:textId="77777777" w:rsidR="00F427A3" w:rsidRDefault="00F427A3">
            <w:pPr>
              <w:rPr>
                <w:rFonts w:ascii="Times New Roman" w:hAnsi="Times New Roman"/>
                <w:sz w:val="20"/>
                <w:szCs w:val="20"/>
              </w:rPr>
            </w:pPr>
          </w:p>
        </w:tc>
        <w:tc>
          <w:tcPr>
            <w:tcW w:w="0" w:type="auto"/>
            <w:shd w:val="clear" w:color="auto" w:fill="auto"/>
            <w:vAlign w:val="center"/>
          </w:tcPr>
          <w:p w14:paraId="54E90E04" w14:textId="77777777" w:rsidR="00F427A3" w:rsidRDefault="00F427A3">
            <w:pPr>
              <w:rPr>
                <w:rFonts w:ascii="Times New Roman" w:hAnsi="Times New Roman"/>
                <w:sz w:val="20"/>
                <w:szCs w:val="20"/>
              </w:rPr>
            </w:pPr>
          </w:p>
        </w:tc>
      </w:tr>
      <w:tr w:rsidR="00F427A3" w14:paraId="54E90E08" w14:textId="77777777">
        <w:trPr>
          <w:tblCellSpacing w:w="0" w:type="dxa"/>
        </w:trPr>
        <w:tc>
          <w:tcPr>
            <w:tcW w:w="0" w:type="auto"/>
            <w:shd w:val="clear" w:color="auto" w:fill="auto"/>
          </w:tcPr>
          <w:p w14:paraId="54E90E06"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b/>
                <w:bCs/>
                <w:i/>
                <w:iCs/>
                <w:sz w:val="20"/>
                <w:szCs w:val="20"/>
              </w:rPr>
              <w:t>•</w:t>
            </w:r>
          </w:p>
        </w:tc>
        <w:tc>
          <w:tcPr>
            <w:tcW w:w="0" w:type="auto"/>
            <w:shd w:val="clear" w:color="auto" w:fill="auto"/>
          </w:tcPr>
          <w:p w14:paraId="54E90E07"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b/>
                <w:bCs/>
                <w:i/>
                <w:iCs/>
                <w:sz w:val="20"/>
                <w:szCs w:val="20"/>
              </w:rPr>
              <w:t xml:space="preserve">Average Revenue Per Person (ARPP). </w:t>
            </w:r>
            <w:r>
              <w:rPr>
                <w:rFonts w:ascii="Times New Roman" w:eastAsia="宋体" w:hAnsi="Times New Roman"/>
                <w:sz w:val="20"/>
                <w:szCs w:val="20"/>
              </w:rPr>
              <w:t xml:space="preserve">We define ARPP as our total revenue </w:t>
            </w:r>
            <w:r>
              <w:rPr>
                <w:rFonts w:ascii="Times New Roman" w:eastAsia="宋体" w:hAnsi="Times New Roman"/>
                <w:sz w:val="20"/>
                <w:szCs w:val="20"/>
              </w:rPr>
              <w:t>during a given quarter, divided by the average of the number of MAP at the beginning and end of the quarter. While ARPP includes all sources of revenue, the number of MAP used in this calculation only includes users of our Family products as described in t</w:t>
            </w:r>
            <w:r>
              <w:rPr>
                <w:rFonts w:ascii="Times New Roman" w:eastAsia="宋体" w:hAnsi="Times New Roman"/>
                <w:sz w:val="20"/>
                <w:szCs w:val="20"/>
              </w:rPr>
              <w:t>he definition of MAP above. The share of revenue from users who are not also MAP was not material.</w:t>
            </w:r>
          </w:p>
        </w:tc>
      </w:tr>
    </w:tbl>
    <w:p w14:paraId="54E90E09"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Viewer9_files/arpp_q32020worldwide.jpg"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54E91C51" wp14:editId="54E91C52">
            <wp:extent cx="304800" cy="304800"/>
            <wp:effectExtent l="0" t="0" r="0" b="0"/>
            <wp:docPr id="46" name="图片 7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6" descr="IMG_262"/>
                    <pic:cNvPicPr>
                      <a:picLocks noChangeAspect="1"/>
                    </pic:cNvPicPr>
                  </pic:nvPicPr>
                  <pic:blipFill>
                    <a:blip r:embed="rId72"/>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54E90E0A" w14:textId="77777777" w:rsidR="00F427A3" w:rsidRDefault="0044221F">
      <w:pPr>
        <w:spacing w:line="288" w:lineRule="auto"/>
        <w:ind w:firstLine="720"/>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/Meta Platforms/./Inline XBRL Viewer9_files/adrevenueandotherrevenuea10.jpg"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54E91C53" wp14:editId="54E91C54">
            <wp:extent cx="304800" cy="304800"/>
            <wp:effectExtent l="0" t="0" r="0" b="0"/>
            <wp:docPr id="41" name="图片 77"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7" descr="IMG_263"/>
                    <pic:cNvPicPr>
                      <a:picLocks noChangeAspect="1"/>
                    </pic:cNvPicPr>
                  </pic:nvPicPr>
                  <pic:blipFill>
                    <a:blip r:embed="rId72"/>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54E90E0B"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During the third quarter of 2020, worldwide ARPP was $6.76, an increase of 7% from the </w:t>
      </w:r>
      <w:r>
        <w:rPr>
          <w:rFonts w:ascii="Times New Roman" w:eastAsia="宋体" w:hAnsi="Times New Roman"/>
          <w:sz w:val="20"/>
          <w:szCs w:val="20"/>
        </w:rPr>
        <w:t xml:space="preserve">third quarter of 2019. </w:t>
      </w:r>
    </w:p>
    <w:p w14:paraId="54E90E0C" w14:textId="77777777" w:rsidR="00F427A3" w:rsidRDefault="00F427A3">
      <w:pPr>
        <w:rPr>
          <w:rFonts w:ascii="Times New Roman" w:hAnsi="Times New Roman"/>
          <w:sz w:val="20"/>
          <w:szCs w:val="20"/>
        </w:rPr>
      </w:pPr>
    </w:p>
    <w:p w14:paraId="54E90E0D"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37</w:t>
      </w:r>
    </w:p>
    <w:p w14:paraId="54E90E0E" w14:textId="77777777" w:rsidR="00F427A3" w:rsidRDefault="0044221F">
      <w:r>
        <w:rPr>
          <w:rFonts w:ascii="Times New Roman" w:hAnsi="Times New Roman"/>
          <w:sz w:val="20"/>
          <w:szCs w:val="20"/>
        </w:rPr>
        <w:pict w14:anchorId="54E91C55">
          <v:rect id="_x0000_i1061" style="width:415.3pt;height:1.5pt" o:hralign="center" o:hrstd="t" o:hr="t" fillcolor="#a0a0a0" stroked="f"/>
        </w:pict>
      </w:r>
    </w:p>
    <w:p w14:paraId="54E90E0F" w14:textId="77777777" w:rsidR="00F427A3" w:rsidRDefault="0044221F">
      <w:pPr>
        <w:spacing w:line="288" w:lineRule="auto"/>
        <w:rPr>
          <w:rFonts w:ascii="Times New Roman" w:hAnsi="Times New Roman"/>
          <w:sz w:val="20"/>
          <w:szCs w:val="20"/>
        </w:rPr>
      </w:pPr>
      <w:hyperlink r:id="rId79" w:anchor="s348EA962CF6D59B599D9921AFA89C381" w:history="1">
        <w:r>
          <w:rPr>
            <w:rStyle w:val="a5"/>
            <w:rFonts w:ascii="Times New Roman" w:eastAsia="宋体" w:hAnsi="Times New Roman"/>
            <w:sz w:val="20"/>
            <w:szCs w:val="20"/>
          </w:rPr>
          <w:t>Table of Contents</w:t>
        </w:r>
      </w:hyperlink>
    </w:p>
    <w:p w14:paraId="54E90E10" w14:textId="77777777" w:rsidR="00F427A3" w:rsidRDefault="00F427A3">
      <w:pPr>
        <w:rPr>
          <w:rFonts w:ascii="Times New Roman" w:hAnsi="Times New Roman"/>
          <w:sz w:val="20"/>
          <w:szCs w:val="20"/>
        </w:rPr>
      </w:pPr>
    </w:p>
    <w:p w14:paraId="54E90E11"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Components of Results of Operations</w:t>
      </w:r>
    </w:p>
    <w:p w14:paraId="54E90E12"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Revenue</w:t>
      </w:r>
    </w:p>
    <w:p w14:paraId="54E90E13"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b/>
          <w:bCs/>
          <w:sz w:val="20"/>
          <w:szCs w:val="20"/>
        </w:rPr>
        <w:t>Advertising.</w:t>
      </w:r>
      <w:r>
        <w:rPr>
          <w:rFonts w:ascii="Times New Roman" w:eastAsia="宋体" w:hAnsi="Times New Roman"/>
          <w:sz w:val="20"/>
          <w:szCs w:val="20"/>
        </w:rPr>
        <w:t xml:space="preserve"> We generate substantially a</w:t>
      </w:r>
      <w:r>
        <w:rPr>
          <w:rFonts w:ascii="Times New Roman" w:eastAsia="宋体" w:hAnsi="Times New Roman"/>
          <w:sz w:val="20"/>
          <w:szCs w:val="20"/>
        </w:rPr>
        <w:t>ll of our revenue from advertising. Our advertising revenue is generated by displaying ad products on Facebook, Instagram, Messenger, and third-party affiliated websites or mobile applications. Marketers pay for ad products either directly or through their</w:t>
      </w:r>
      <w:r>
        <w:rPr>
          <w:rFonts w:ascii="Times New Roman" w:eastAsia="宋体" w:hAnsi="Times New Roman"/>
          <w:sz w:val="20"/>
          <w:szCs w:val="20"/>
        </w:rPr>
        <w:t xml:space="preserve"> relationships with advertising agencies or resellers, based on the number of impressions delivered or the number of actions, such as clicks, taken by users. </w:t>
      </w:r>
    </w:p>
    <w:p w14:paraId="54E90E14"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recognize revenue from the display of impression-based ads in the contracted period in which t</w:t>
      </w:r>
      <w:r>
        <w:rPr>
          <w:rFonts w:ascii="Times New Roman" w:eastAsia="宋体" w:hAnsi="Times New Roman"/>
          <w:sz w:val="20"/>
          <w:szCs w:val="20"/>
        </w:rPr>
        <w:t>he impressions are delivered. Impressions are considered delivered when an ad is displayed to a user. We recognize revenue from the delivery of action-based ads in the period in which a user takes the action the marketer contracted for. The number of ads w</w:t>
      </w:r>
      <w:r>
        <w:rPr>
          <w:rFonts w:ascii="Times New Roman" w:eastAsia="宋体" w:hAnsi="Times New Roman"/>
          <w:sz w:val="20"/>
          <w:szCs w:val="20"/>
        </w:rPr>
        <w:t>e show is subject to methodological changes as we continue to evolve our ads business and the structure of our ads products. We calculate price per ad as total ad revenue divided by the number of ads delivered, representing the effective price paid per imp</w:t>
      </w:r>
      <w:r>
        <w:rPr>
          <w:rFonts w:ascii="Times New Roman" w:eastAsia="宋体" w:hAnsi="Times New Roman"/>
          <w:sz w:val="20"/>
          <w:szCs w:val="20"/>
        </w:rPr>
        <w:t>ression by a marketer regardless of their desired objective such as impression or action. For advertising revenue arrangements where we are not the principal, we recognize revenue on a net basis.</w:t>
      </w:r>
    </w:p>
    <w:p w14:paraId="54E90E15"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b/>
          <w:bCs/>
          <w:sz w:val="20"/>
          <w:szCs w:val="20"/>
        </w:rPr>
        <w:t>Other revenue.</w:t>
      </w:r>
      <w:r>
        <w:rPr>
          <w:rFonts w:ascii="Times New Roman" w:eastAsia="宋体" w:hAnsi="Times New Roman"/>
          <w:sz w:val="20"/>
          <w:szCs w:val="20"/>
        </w:rPr>
        <w:t xml:space="preserve"> Other revenue consists of revenue from the delivery of consumer hardware devices and net fees we receive from developers using our Payments infrastructure, as well as revenue from various other sources.</w:t>
      </w:r>
    </w:p>
    <w:p w14:paraId="54E90E16"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Cost of Revenue and Operating Expenses</w:t>
      </w:r>
    </w:p>
    <w:p w14:paraId="54E90E17"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b/>
          <w:bCs/>
          <w:sz w:val="20"/>
          <w:szCs w:val="20"/>
        </w:rPr>
        <w:t>Cost of reven</w:t>
      </w:r>
      <w:r>
        <w:rPr>
          <w:rFonts w:ascii="Times New Roman" w:eastAsia="宋体" w:hAnsi="Times New Roman"/>
          <w:b/>
          <w:bCs/>
          <w:sz w:val="20"/>
          <w:szCs w:val="20"/>
        </w:rPr>
        <w:t>ue.</w:t>
      </w:r>
      <w:r>
        <w:rPr>
          <w:rFonts w:ascii="Times New Roman" w:eastAsia="宋体" w:hAnsi="Times New Roman"/>
          <w:sz w:val="20"/>
          <w:szCs w:val="20"/>
        </w:rPr>
        <w:t xml:space="preserve"> Our cost of revenue consists primarily of expenses associated with the delivery and distribution of our products. These include expenses related to the operation of our data centers and technical infrastructure, such as facility and server equipment de</w:t>
      </w:r>
      <w:r>
        <w:rPr>
          <w:rFonts w:ascii="Times New Roman" w:eastAsia="宋体" w:hAnsi="Times New Roman"/>
          <w:sz w:val="20"/>
          <w:szCs w:val="20"/>
        </w:rPr>
        <w:t>preciation, salaries, benefits, and share-based compensation for employees on our operations teams, and energy and bandwidth costs. Cost of revenue also includes costs associated with partner arrangements, including traffic acquisition and content acquisit</w:t>
      </w:r>
      <w:r>
        <w:rPr>
          <w:rFonts w:ascii="Times New Roman" w:eastAsia="宋体" w:hAnsi="Times New Roman"/>
          <w:sz w:val="20"/>
          <w:szCs w:val="20"/>
        </w:rPr>
        <w:t>ion costs, credit card and other transaction fees related to processing customer transactions, and cost of consumer hardware devices.</w:t>
      </w:r>
    </w:p>
    <w:p w14:paraId="54E90E18"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b/>
          <w:bCs/>
          <w:sz w:val="20"/>
          <w:szCs w:val="20"/>
        </w:rPr>
        <w:t>Research and development.</w:t>
      </w:r>
      <w:r>
        <w:rPr>
          <w:rFonts w:ascii="Times New Roman" w:eastAsia="宋体" w:hAnsi="Times New Roman"/>
          <w:sz w:val="20"/>
          <w:szCs w:val="20"/>
        </w:rPr>
        <w:t xml:space="preserve"> Research and development expenses consist primarily of salaries and benefits, share-based compen</w:t>
      </w:r>
      <w:r>
        <w:rPr>
          <w:rFonts w:ascii="Times New Roman" w:eastAsia="宋体" w:hAnsi="Times New Roman"/>
          <w:sz w:val="20"/>
          <w:szCs w:val="20"/>
        </w:rPr>
        <w:t xml:space="preserve">sation, and facilities-related costs for employees on our engineering and technical teams who are responsible for building new products as well as improving existing products. </w:t>
      </w:r>
    </w:p>
    <w:p w14:paraId="54E90E19"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b/>
          <w:bCs/>
          <w:sz w:val="20"/>
          <w:szCs w:val="20"/>
        </w:rPr>
        <w:t>Marketing and sales.</w:t>
      </w:r>
      <w:r>
        <w:rPr>
          <w:rFonts w:ascii="Times New Roman" w:eastAsia="宋体" w:hAnsi="Times New Roman"/>
          <w:sz w:val="20"/>
          <w:szCs w:val="20"/>
        </w:rPr>
        <w:t xml:space="preserve"> Marketing and sales expenses consist of salaries and benef</w:t>
      </w:r>
      <w:r>
        <w:rPr>
          <w:rFonts w:ascii="Times New Roman" w:eastAsia="宋体" w:hAnsi="Times New Roman"/>
          <w:sz w:val="20"/>
          <w:szCs w:val="20"/>
        </w:rPr>
        <w:t>its, and share-based compensation for our employees engaged in sales, sales support, marketing, business development, and customer service functions. Our marketing and sales expenses also include marketing and promotional expenditures and professional serv</w:t>
      </w:r>
      <w:r>
        <w:rPr>
          <w:rFonts w:ascii="Times New Roman" w:eastAsia="宋体" w:hAnsi="Times New Roman"/>
          <w:sz w:val="20"/>
          <w:szCs w:val="20"/>
        </w:rPr>
        <w:t>ices such as content reviewers to support our community and product operations.</w:t>
      </w:r>
    </w:p>
    <w:p w14:paraId="54E90E1A"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b/>
          <w:bCs/>
          <w:sz w:val="20"/>
          <w:szCs w:val="20"/>
        </w:rPr>
        <w:t>General and administrative.</w:t>
      </w:r>
      <w:r>
        <w:rPr>
          <w:rFonts w:ascii="Times New Roman" w:eastAsia="宋体" w:hAnsi="Times New Roman"/>
          <w:sz w:val="20"/>
          <w:szCs w:val="20"/>
        </w:rPr>
        <w:t xml:space="preserve"> General and administrative expenses consist of legal-related costs; salaries and benefits, and share-based compensation for certain of our executive</w:t>
      </w:r>
      <w:r>
        <w:rPr>
          <w:rFonts w:ascii="Times New Roman" w:eastAsia="宋体" w:hAnsi="Times New Roman"/>
          <w:sz w:val="20"/>
          <w:szCs w:val="20"/>
        </w:rPr>
        <w:t xml:space="preserve">s as well as our legal, finance, human resources, corporate communications and policy, and other administrative employees; and professional services. </w:t>
      </w:r>
    </w:p>
    <w:p w14:paraId="54E90E1B" w14:textId="77777777" w:rsidR="00F427A3" w:rsidRDefault="00F427A3">
      <w:pPr>
        <w:rPr>
          <w:rFonts w:ascii="Times New Roman" w:hAnsi="Times New Roman"/>
          <w:sz w:val="20"/>
          <w:szCs w:val="20"/>
        </w:rPr>
      </w:pPr>
    </w:p>
    <w:p w14:paraId="54E90E1C"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38</w:t>
      </w:r>
    </w:p>
    <w:p w14:paraId="54E90E1D" w14:textId="77777777" w:rsidR="00F427A3" w:rsidRDefault="0044221F">
      <w:r>
        <w:rPr>
          <w:rFonts w:ascii="Times New Roman" w:hAnsi="Times New Roman"/>
          <w:sz w:val="20"/>
          <w:szCs w:val="20"/>
        </w:rPr>
        <w:pict w14:anchorId="54E91C56">
          <v:rect id="_x0000_i1062" style="width:415.3pt;height:1.5pt" o:hralign="center" o:hrstd="t" o:hr="t" fillcolor="#a0a0a0" stroked="f"/>
        </w:pict>
      </w:r>
    </w:p>
    <w:p w14:paraId="54E90E1E" w14:textId="77777777" w:rsidR="00F427A3" w:rsidRDefault="0044221F">
      <w:pPr>
        <w:spacing w:line="288" w:lineRule="auto"/>
        <w:rPr>
          <w:rFonts w:ascii="Times New Roman" w:hAnsi="Times New Roman"/>
          <w:sz w:val="20"/>
          <w:szCs w:val="20"/>
        </w:rPr>
      </w:pPr>
      <w:hyperlink r:id="rId80" w:anchor="s348EA962CF6D59B599D9921AFA89C381" w:history="1">
        <w:r>
          <w:rPr>
            <w:rStyle w:val="a5"/>
            <w:rFonts w:ascii="Times New Roman" w:eastAsia="宋体" w:hAnsi="Times New Roman"/>
            <w:sz w:val="20"/>
            <w:szCs w:val="20"/>
          </w:rPr>
          <w:t>Table of Contents</w:t>
        </w:r>
      </w:hyperlink>
    </w:p>
    <w:p w14:paraId="54E90E1F" w14:textId="77777777" w:rsidR="00F427A3" w:rsidRDefault="00F427A3">
      <w:pPr>
        <w:rPr>
          <w:rFonts w:ascii="Times New Roman" w:hAnsi="Times New Roman"/>
          <w:sz w:val="20"/>
          <w:szCs w:val="20"/>
        </w:rPr>
      </w:pPr>
    </w:p>
    <w:p w14:paraId="54E90E20"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Results of Operations</w:t>
      </w:r>
    </w:p>
    <w:p w14:paraId="54E90E21" w14:textId="77777777" w:rsidR="00F427A3" w:rsidRDefault="0044221F">
      <w:pPr>
        <w:spacing w:line="288" w:lineRule="auto"/>
        <w:ind w:firstLine="660"/>
        <w:jc w:val="both"/>
        <w:rPr>
          <w:rFonts w:ascii="Times New Roman" w:hAnsi="Times New Roman"/>
          <w:sz w:val="20"/>
          <w:szCs w:val="20"/>
        </w:rPr>
      </w:pPr>
      <w:r>
        <w:rPr>
          <w:rFonts w:ascii="Times New Roman" w:eastAsia="宋体" w:hAnsi="Times New Roman"/>
          <w:sz w:val="20"/>
          <w:szCs w:val="20"/>
        </w:rPr>
        <w:t>The following table sets forth our condensed consolidated statements of income data:</w:t>
      </w:r>
    </w:p>
    <w:tbl>
      <w:tblPr>
        <w:tblW w:w="4960" w:type="pct"/>
        <w:tblCellMar>
          <w:left w:w="0" w:type="dxa"/>
          <w:right w:w="0" w:type="dxa"/>
        </w:tblCellMar>
        <w:tblLook w:val="04A0" w:firstRow="1" w:lastRow="0" w:firstColumn="1" w:lastColumn="0" w:noHBand="0" w:noVBand="1"/>
      </w:tblPr>
      <w:tblGrid>
        <w:gridCol w:w="3666"/>
        <w:gridCol w:w="140"/>
        <w:gridCol w:w="865"/>
        <w:gridCol w:w="41"/>
        <w:gridCol w:w="130"/>
        <w:gridCol w:w="140"/>
        <w:gridCol w:w="865"/>
        <w:gridCol w:w="41"/>
        <w:gridCol w:w="130"/>
        <w:gridCol w:w="140"/>
        <w:gridCol w:w="865"/>
        <w:gridCol w:w="41"/>
        <w:gridCol w:w="130"/>
        <w:gridCol w:w="140"/>
        <w:gridCol w:w="865"/>
        <w:gridCol w:w="41"/>
      </w:tblGrid>
      <w:tr w:rsidR="00F427A3" w14:paraId="54E90E23" w14:textId="77777777">
        <w:tc>
          <w:tcPr>
            <w:tcW w:w="0" w:type="auto"/>
            <w:gridSpan w:val="16"/>
            <w:shd w:val="clear" w:color="auto" w:fill="auto"/>
            <w:vAlign w:val="center"/>
          </w:tcPr>
          <w:p w14:paraId="54E90E22" w14:textId="77777777" w:rsidR="00F427A3" w:rsidRDefault="00F427A3">
            <w:pPr>
              <w:rPr>
                <w:rFonts w:ascii="Times New Roman" w:hAnsi="Times New Roman"/>
                <w:sz w:val="20"/>
                <w:szCs w:val="20"/>
              </w:rPr>
            </w:pPr>
          </w:p>
        </w:tc>
      </w:tr>
      <w:tr w:rsidR="00F427A3" w14:paraId="54E90E34" w14:textId="77777777">
        <w:tc>
          <w:tcPr>
            <w:tcW w:w="2250" w:type="pct"/>
            <w:shd w:val="clear" w:color="auto" w:fill="auto"/>
            <w:vAlign w:val="center"/>
          </w:tcPr>
          <w:p w14:paraId="54E90E24" w14:textId="77777777" w:rsidR="00F427A3" w:rsidRDefault="00F427A3">
            <w:pPr>
              <w:rPr>
                <w:rFonts w:ascii="Times New Roman" w:hAnsi="Times New Roman"/>
                <w:sz w:val="20"/>
                <w:szCs w:val="20"/>
              </w:rPr>
            </w:pPr>
          </w:p>
        </w:tc>
        <w:tc>
          <w:tcPr>
            <w:tcW w:w="50" w:type="pct"/>
            <w:shd w:val="clear" w:color="auto" w:fill="auto"/>
            <w:vAlign w:val="center"/>
          </w:tcPr>
          <w:p w14:paraId="54E90E25" w14:textId="77777777" w:rsidR="00F427A3" w:rsidRDefault="00F427A3">
            <w:pPr>
              <w:rPr>
                <w:rFonts w:ascii="Times New Roman" w:hAnsi="Times New Roman"/>
                <w:sz w:val="20"/>
                <w:szCs w:val="20"/>
              </w:rPr>
            </w:pPr>
          </w:p>
        </w:tc>
        <w:tc>
          <w:tcPr>
            <w:tcW w:w="550" w:type="pct"/>
            <w:shd w:val="clear" w:color="auto" w:fill="auto"/>
            <w:vAlign w:val="center"/>
          </w:tcPr>
          <w:p w14:paraId="54E90E26" w14:textId="77777777" w:rsidR="00F427A3" w:rsidRDefault="00F427A3">
            <w:pPr>
              <w:rPr>
                <w:rFonts w:ascii="Times New Roman" w:hAnsi="Times New Roman"/>
                <w:sz w:val="20"/>
                <w:szCs w:val="20"/>
              </w:rPr>
            </w:pPr>
          </w:p>
        </w:tc>
        <w:tc>
          <w:tcPr>
            <w:tcW w:w="50" w:type="pct"/>
            <w:shd w:val="clear" w:color="auto" w:fill="auto"/>
            <w:vAlign w:val="center"/>
          </w:tcPr>
          <w:p w14:paraId="54E90E27" w14:textId="77777777" w:rsidR="00F427A3" w:rsidRDefault="00F427A3">
            <w:pPr>
              <w:rPr>
                <w:rFonts w:ascii="Times New Roman" w:hAnsi="Times New Roman"/>
                <w:sz w:val="20"/>
                <w:szCs w:val="20"/>
              </w:rPr>
            </w:pPr>
          </w:p>
        </w:tc>
        <w:tc>
          <w:tcPr>
            <w:tcW w:w="50" w:type="pct"/>
            <w:shd w:val="clear" w:color="auto" w:fill="auto"/>
            <w:vAlign w:val="center"/>
          </w:tcPr>
          <w:p w14:paraId="54E90E28" w14:textId="77777777" w:rsidR="00F427A3" w:rsidRDefault="00F427A3">
            <w:pPr>
              <w:rPr>
                <w:rFonts w:ascii="Times New Roman" w:hAnsi="Times New Roman"/>
                <w:sz w:val="20"/>
                <w:szCs w:val="20"/>
              </w:rPr>
            </w:pPr>
          </w:p>
        </w:tc>
        <w:tc>
          <w:tcPr>
            <w:tcW w:w="50" w:type="pct"/>
            <w:shd w:val="clear" w:color="auto" w:fill="auto"/>
            <w:vAlign w:val="center"/>
          </w:tcPr>
          <w:p w14:paraId="54E90E29" w14:textId="77777777" w:rsidR="00F427A3" w:rsidRDefault="00F427A3">
            <w:pPr>
              <w:rPr>
                <w:rFonts w:ascii="Times New Roman" w:hAnsi="Times New Roman"/>
                <w:sz w:val="20"/>
                <w:szCs w:val="20"/>
              </w:rPr>
            </w:pPr>
          </w:p>
        </w:tc>
        <w:tc>
          <w:tcPr>
            <w:tcW w:w="550" w:type="pct"/>
            <w:shd w:val="clear" w:color="auto" w:fill="auto"/>
            <w:vAlign w:val="center"/>
          </w:tcPr>
          <w:p w14:paraId="54E90E2A" w14:textId="77777777" w:rsidR="00F427A3" w:rsidRDefault="00F427A3">
            <w:pPr>
              <w:rPr>
                <w:rFonts w:ascii="Times New Roman" w:hAnsi="Times New Roman"/>
                <w:sz w:val="20"/>
                <w:szCs w:val="20"/>
              </w:rPr>
            </w:pPr>
          </w:p>
        </w:tc>
        <w:tc>
          <w:tcPr>
            <w:tcW w:w="50" w:type="pct"/>
            <w:shd w:val="clear" w:color="auto" w:fill="auto"/>
            <w:vAlign w:val="center"/>
          </w:tcPr>
          <w:p w14:paraId="54E90E2B" w14:textId="77777777" w:rsidR="00F427A3" w:rsidRDefault="00F427A3">
            <w:pPr>
              <w:rPr>
                <w:rFonts w:ascii="Times New Roman" w:hAnsi="Times New Roman"/>
                <w:sz w:val="20"/>
                <w:szCs w:val="20"/>
              </w:rPr>
            </w:pPr>
          </w:p>
        </w:tc>
        <w:tc>
          <w:tcPr>
            <w:tcW w:w="50" w:type="pct"/>
            <w:shd w:val="clear" w:color="auto" w:fill="auto"/>
            <w:vAlign w:val="center"/>
          </w:tcPr>
          <w:p w14:paraId="54E90E2C" w14:textId="77777777" w:rsidR="00F427A3" w:rsidRDefault="00F427A3">
            <w:pPr>
              <w:rPr>
                <w:rFonts w:ascii="Times New Roman" w:hAnsi="Times New Roman"/>
                <w:sz w:val="20"/>
                <w:szCs w:val="20"/>
              </w:rPr>
            </w:pPr>
          </w:p>
        </w:tc>
        <w:tc>
          <w:tcPr>
            <w:tcW w:w="50" w:type="pct"/>
            <w:shd w:val="clear" w:color="auto" w:fill="auto"/>
            <w:vAlign w:val="center"/>
          </w:tcPr>
          <w:p w14:paraId="54E90E2D" w14:textId="77777777" w:rsidR="00F427A3" w:rsidRDefault="00F427A3">
            <w:pPr>
              <w:rPr>
                <w:rFonts w:ascii="Times New Roman" w:hAnsi="Times New Roman"/>
                <w:sz w:val="20"/>
                <w:szCs w:val="20"/>
              </w:rPr>
            </w:pPr>
          </w:p>
        </w:tc>
        <w:tc>
          <w:tcPr>
            <w:tcW w:w="550" w:type="pct"/>
            <w:shd w:val="clear" w:color="auto" w:fill="auto"/>
            <w:vAlign w:val="center"/>
          </w:tcPr>
          <w:p w14:paraId="54E90E2E" w14:textId="77777777" w:rsidR="00F427A3" w:rsidRDefault="00F427A3">
            <w:pPr>
              <w:rPr>
                <w:rFonts w:ascii="Times New Roman" w:hAnsi="Times New Roman"/>
                <w:sz w:val="20"/>
                <w:szCs w:val="20"/>
              </w:rPr>
            </w:pPr>
          </w:p>
        </w:tc>
        <w:tc>
          <w:tcPr>
            <w:tcW w:w="50" w:type="pct"/>
            <w:shd w:val="clear" w:color="auto" w:fill="auto"/>
            <w:vAlign w:val="center"/>
          </w:tcPr>
          <w:p w14:paraId="54E90E2F" w14:textId="77777777" w:rsidR="00F427A3" w:rsidRDefault="00F427A3">
            <w:pPr>
              <w:rPr>
                <w:rFonts w:ascii="Times New Roman" w:hAnsi="Times New Roman"/>
                <w:sz w:val="20"/>
                <w:szCs w:val="20"/>
              </w:rPr>
            </w:pPr>
          </w:p>
        </w:tc>
        <w:tc>
          <w:tcPr>
            <w:tcW w:w="50" w:type="pct"/>
            <w:shd w:val="clear" w:color="auto" w:fill="auto"/>
            <w:vAlign w:val="center"/>
          </w:tcPr>
          <w:p w14:paraId="54E90E30" w14:textId="77777777" w:rsidR="00F427A3" w:rsidRDefault="00F427A3">
            <w:pPr>
              <w:rPr>
                <w:rFonts w:ascii="Times New Roman" w:hAnsi="Times New Roman"/>
                <w:sz w:val="20"/>
                <w:szCs w:val="20"/>
              </w:rPr>
            </w:pPr>
          </w:p>
        </w:tc>
        <w:tc>
          <w:tcPr>
            <w:tcW w:w="50" w:type="pct"/>
            <w:shd w:val="clear" w:color="auto" w:fill="auto"/>
            <w:vAlign w:val="center"/>
          </w:tcPr>
          <w:p w14:paraId="54E90E31" w14:textId="77777777" w:rsidR="00F427A3" w:rsidRDefault="00F427A3">
            <w:pPr>
              <w:rPr>
                <w:rFonts w:ascii="Times New Roman" w:hAnsi="Times New Roman"/>
                <w:sz w:val="20"/>
                <w:szCs w:val="20"/>
              </w:rPr>
            </w:pPr>
          </w:p>
        </w:tc>
        <w:tc>
          <w:tcPr>
            <w:tcW w:w="550" w:type="pct"/>
            <w:shd w:val="clear" w:color="auto" w:fill="auto"/>
            <w:vAlign w:val="center"/>
          </w:tcPr>
          <w:p w14:paraId="54E90E32" w14:textId="77777777" w:rsidR="00F427A3" w:rsidRDefault="00F427A3">
            <w:pPr>
              <w:rPr>
                <w:rFonts w:ascii="Times New Roman" w:hAnsi="Times New Roman"/>
                <w:sz w:val="20"/>
                <w:szCs w:val="20"/>
              </w:rPr>
            </w:pPr>
          </w:p>
        </w:tc>
        <w:tc>
          <w:tcPr>
            <w:tcW w:w="50" w:type="pct"/>
            <w:shd w:val="clear" w:color="auto" w:fill="auto"/>
            <w:vAlign w:val="center"/>
          </w:tcPr>
          <w:p w14:paraId="54E90E33" w14:textId="77777777" w:rsidR="00F427A3" w:rsidRDefault="00F427A3">
            <w:pPr>
              <w:rPr>
                <w:rFonts w:ascii="Times New Roman" w:hAnsi="Times New Roman"/>
                <w:sz w:val="20"/>
                <w:szCs w:val="20"/>
              </w:rPr>
            </w:pPr>
          </w:p>
        </w:tc>
      </w:tr>
      <w:tr w:rsidR="00F427A3" w14:paraId="54E90E39" w14:textId="77777777">
        <w:tc>
          <w:tcPr>
            <w:tcW w:w="0" w:type="auto"/>
            <w:shd w:val="clear" w:color="auto" w:fill="auto"/>
            <w:tcMar>
              <w:top w:w="40" w:type="dxa"/>
              <w:left w:w="40" w:type="dxa"/>
              <w:bottom w:w="40" w:type="dxa"/>
              <w:right w:w="40" w:type="dxa"/>
            </w:tcMar>
            <w:vAlign w:val="bottom"/>
          </w:tcPr>
          <w:p w14:paraId="54E90E3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0E36"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Three Months Ended September 30,</w:t>
            </w:r>
          </w:p>
        </w:tc>
        <w:tc>
          <w:tcPr>
            <w:tcW w:w="0" w:type="auto"/>
            <w:shd w:val="clear" w:color="auto" w:fill="auto"/>
            <w:tcMar>
              <w:top w:w="40" w:type="dxa"/>
              <w:left w:w="40" w:type="dxa"/>
              <w:bottom w:w="40" w:type="dxa"/>
              <w:right w:w="40" w:type="dxa"/>
            </w:tcMar>
            <w:vAlign w:val="bottom"/>
          </w:tcPr>
          <w:p w14:paraId="54E90E3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0E38"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xml:space="preserve">Nine Months </w:t>
            </w:r>
            <w:r>
              <w:rPr>
                <w:rFonts w:ascii="Times New Roman" w:eastAsia="宋体" w:hAnsi="Times New Roman"/>
                <w:b/>
                <w:bCs/>
                <w:sz w:val="16"/>
                <w:szCs w:val="16"/>
              </w:rPr>
              <w:t>Ended September 30,</w:t>
            </w:r>
          </w:p>
        </w:tc>
      </w:tr>
      <w:tr w:rsidR="00F427A3" w14:paraId="54E90E42" w14:textId="77777777">
        <w:tc>
          <w:tcPr>
            <w:tcW w:w="0" w:type="auto"/>
            <w:shd w:val="clear" w:color="auto" w:fill="auto"/>
            <w:tcMar>
              <w:top w:w="40" w:type="dxa"/>
              <w:left w:w="40" w:type="dxa"/>
              <w:bottom w:w="40" w:type="dxa"/>
              <w:right w:w="40" w:type="dxa"/>
            </w:tcMar>
            <w:vAlign w:val="bottom"/>
          </w:tcPr>
          <w:p w14:paraId="54E90E3A"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E3B"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54E90E3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E3D"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90E3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E3F"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4E90E4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E41"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F427A3" w14:paraId="54E90E45" w14:textId="77777777">
        <w:tc>
          <w:tcPr>
            <w:tcW w:w="0" w:type="auto"/>
            <w:shd w:val="clear" w:color="auto" w:fill="auto"/>
            <w:tcMar>
              <w:top w:w="40" w:type="dxa"/>
              <w:left w:w="40" w:type="dxa"/>
              <w:bottom w:w="40" w:type="dxa"/>
              <w:right w:w="40" w:type="dxa"/>
            </w:tcMar>
            <w:vAlign w:val="bottom"/>
          </w:tcPr>
          <w:p w14:paraId="54E90E4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shd w:val="clear" w:color="auto" w:fill="auto"/>
            <w:tcMar>
              <w:top w:w="40" w:type="dxa"/>
              <w:left w:w="40" w:type="dxa"/>
              <w:bottom w:w="40" w:type="dxa"/>
            </w:tcMar>
            <w:vAlign w:val="bottom"/>
          </w:tcPr>
          <w:p w14:paraId="54E90E44" w14:textId="77777777" w:rsidR="00F427A3" w:rsidRDefault="0044221F">
            <w:pPr>
              <w:jc w:val="center"/>
              <w:textAlignment w:val="bottom"/>
              <w:rPr>
                <w:rFonts w:ascii="Times New Roman" w:hAnsi="Times New Roman"/>
                <w:sz w:val="16"/>
                <w:szCs w:val="16"/>
              </w:rPr>
            </w:pPr>
            <w:r>
              <w:rPr>
                <w:rFonts w:ascii="Times New Roman" w:eastAsia="宋体" w:hAnsi="Times New Roman"/>
                <w:b/>
                <w:bCs/>
                <w:i/>
                <w:iCs/>
                <w:sz w:val="16"/>
                <w:szCs w:val="16"/>
              </w:rPr>
              <w:t>(in millions)</w:t>
            </w:r>
          </w:p>
        </w:tc>
      </w:tr>
      <w:tr w:rsidR="00F427A3" w14:paraId="54E90E56" w14:textId="77777777">
        <w:tc>
          <w:tcPr>
            <w:tcW w:w="0" w:type="auto"/>
            <w:shd w:val="clear" w:color="auto" w:fill="CCEEFF"/>
            <w:tcMar>
              <w:top w:w="40" w:type="dxa"/>
              <w:left w:w="40" w:type="dxa"/>
              <w:bottom w:w="40" w:type="dxa"/>
              <w:right w:w="40" w:type="dxa"/>
            </w:tcMar>
          </w:tcPr>
          <w:p w14:paraId="54E90E46"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Revenue</w:t>
            </w:r>
          </w:p>
        </w:tc>
        <w:tc>
          <w:tcPr>
            <w:tcW w:w="0" w:type="auto"/>
            <w:shd w:val="clear" w:color="auto" w:fill="CCEEFF"/>
            <w:tcMar>
              <w:top w:w="40" w:type="dxa"/>
              <w:left w:w="40" w:type="dxa"/>
              <w:bottom w:w="40" w:type="dxa"/>
            </w:tcMar>
            <w:vAlign w:val="bottom"/>
          </w:tcPr>
          <w:p w14:paraId="54E90E4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E4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21,470</w:t>
            </w:r>
          </w:p>
        </w:tc>
        <w:tc>
          <w:tcPr>
            <w:tcW w:w="0" w:type="auto"/>
            <w:shd w:val="clear" w:color="auto" w:fill="CCEEFF"/>
            <w:vAlign w:val="bottom"/>
          </w:tcPr>
          <w:p w14:paraId="54E90E49"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E4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E4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E4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17,652</w:t>
            </w:r>
          </w:p>
        </w:tc>
        <w:tc>
          <w:tcPr>
            <w:tcW w:w="0" w:type="auto"/>
            <w:shd w:val="clear" w:color="auto" w:fill="CCEEFF"/>
            <w:vAlign w:val="bottom"/>
          </w:tcPr>
          <w:p w14:paraId="54E90E4D"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E4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E4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E5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57,893</w:t>
            </w:r>
          </w:p>
        </w:tc>
        <w:tc>
          <w:tcPr>
            <w:tcW w:w="0" w:type="auto"/>
            <w:shd w:val="clear" w:color="auto" w:fill="CCEEFF"/>
            <w:vAlign w:val="bottom"/>
          </w:tcPr>
          <w:p w14:paraId="54E90E51"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E5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E5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E5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49,615</w:t>
            </w:r>
          </w:p>
        </w:tc>
        <w:tc>
          <w:tcPr>
            <w:tcW w:w="0" w:type="auto"/>
            <w:shd w:val="clear" w:color="auto" w:fill="CCEEFF"/>
            <w:vAlign w:val="bottom"/>
          </w:tcPr>
          <w:p w14:paraId="54E90E55" w14:textId="77777777" w:rsidR="00F427A3" w:rsidRDefault="00F427A3">
            <w:pPr>
              <w:textAlignment w:val="bottom"/>
              <w:rPr>
                <w:rFonts w:ascii="Times New Roman" w:hAnsi="Times New Roman"/>
                <w:sz w:val="20"/>
                <w:szCs w:val="20"/>
              </w:rPr>
            </w:pPr>
          </w:p>
        </w:tc>
      </w:tr>
      <w:tr w:rsidR="00F427A3" w14:paraId="54E90E5F" w14:textId="77777777">
        <w:tc>
          <w:tcPr>
            <w:tcW w:w="0" w:type="auto"/>
            <w:shd w:val="clear" w:color="auto" w:fill="auto"/>
            <w:tcMar>
              <w:top w:w="40" w:type="dxa"/>
              <w:left w:w="40" w:type="dxa"/>
              <w:bottom w:w="40" w:type="dxa"/>
              <w:right w:w="40" w:type="dxa"/>
            </w:tcMar>
          </w:tcPr>
          <w:p w14:paraId="54E90E57"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Costs and expenses:</w:t>
            </w:r>
          </w:p>
        </w:tc>
        <w:tc>
          <w:tcPr>
            <w:tcW w:w="0" w:type="auto"/>
            <w:gridSpan w:val="3"/>
            <w:shd w:val="clear" w:color="auto" w:fill="auto"/>
            <w:tcMar>
              <w:top w:w="40" w:type="dxa"/>
              <w:left w:w="40" w:type="dxa"/>
              <w:bottom w:w="40" w:type="dxa"/>
              <w:right w:w="40" w:type="dxa"/>
            </w:tcMar>
            <w:vAlign w:val="bottom"/>
          </w:tcPr>
          <w:p w14:paraId="54E90E5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E5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E5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E5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E5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E5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0E5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E6C" w14:textId="77777777">
        <w:tc>
          <w:tcPr>
            <w:tcW w:w="0" w:type="auto"/>
            <w:shd w:val="clear" w:color="auto" w:fill="CCEEFF"/>
            <w:tcMar>
              <w:top w:w="40" w:type="dxa"/>
              <w:left w:w="560" w:type="dxa"/>
              <w:bottom w:w="40" w:type="dxa"/>
              <w:right w:w="40" w:type="dxa"/>
            </w:tcMar>
          </w:tcPr>
          <w:p w14:paraId="54E90E60"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Cost of revenue</w:t>
            </w:r>
          </w:p>
        </w:tc>
        <w:tc>
          <w:tcPr>
            <w:tcW w:w="0" w:type="auto"/>
            <w:gridSpan w:val="2"/>
            <w:shd w:val="clear" w:color="auto" w:fill="CCEEFF"/>
            <w:tcMar>
              <w:top w:w="40" w:type="dxa"/>
              <w:left w:w="40" w:type="dxa"/>
              <w:bottom w:w="40" w:type="dxa"/>
            </w:tcMar>
            <w:vAlign w:val="bottom"/>
          </w:tcPr>
          <w:p w14:paraId="54E90E6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4,194</w:t>
            </w:r>
          </w:p>
        </w:tc>
        <w:tc>
          <w:tcPr>
            <w:tcW w:w="0" w:type="auto"/>
            <w:shd w:val="clear" w:color="auto" w:fill="CCEEFF"/>
            <w:vAlign w:val="bottom"/>
          </w:tcPr>
          <w:p w14:paraId="54E90E62"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E6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E6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3,155</w:t>
            </w:r>
          </w:p>
        </w:tc>
        <w:tc>
          <w:tcPr>
            <w:tcW w:w="0" w:type="auto"/>
            <w:shd w:val="clear" w:color="auto" w:fill="CCEEFF"/>
            <w:vAlign w:val="bottom"/>
          </w:tcPr>
          <w:p w14:paraId="54E90E65"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E6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E6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11,482</w:t>
            </w:r>
          </w:p>
        </w:tc>
        <w:tc>
          <w:tcPr>
            <w:tcW w:w="0" w:type="auto"/>
            <w:shd w:val="clear" w:color="auto" w:fill="CCEEFF"/>
            <w:vAlign w:val="bottom"/>
          </w:tcPr>
          <w:p w14:paraId="54E90E68"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E6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E6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9,279</w:t>
            </w:r>
          </w:p>
        </w:tc>
        <w:tc>
          <w:tcPr>
            <w:tcW w:w="0" w:type="auto"/>
            <w:shd w:val="clear" w:color="auto" w:fill="CCEEFF"/>
            <w:vAlign w:val="bottom"/>
          </w:tcPr>
          <w:p w14:paraId="54E90E6B" w14:textId="77777777" w:rsidR="00F427A3" w:rsidRDefault="00F427A3">
            <w:pPr>
              <w:textAlignment w:val="bottom"/>
              <w:rPr>
                <w:rFonts w:ascii="Times New Roman" w:hAnsi="Times New Roman"/>
                <w:sz w:val="20"/>
                <w:szCs w:val="20"/>
              </w:rPr>
            </w:pPr>
          </w:p>
        </w:tc>
      </w:tr>
      <w:tr w:rsidR="00F427A3" w14:paraId="54E90E79" w14:textId="77777777">
        <w:tc>
          <w:tcPr>
            <w:tcW w:w="0" w:type="auto"/>
            <w:shd w:val="clear" w:color="auto" w:fill="auto"/>
            <w:tcMar>
              <w:top w:w="40" w:type="dxa"/>
              <w:left w:w="560" w:type="dxa"/>
              <w:bottom w:w="40" w:type="dxa"/>
              <w:right w:w="40" w:type="dxa"/>
            </w:tcMar>
          </w:tcPr>
          <w:p w14:paraId="54E90E6D"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auto"/>
            <w:tcMar>
              <w:top w:w="40" w:type="dxa"/>
              <w:left w:w="40" w:type="dxa"/>
              <w:bottom w:w="40" w:type="dxa"/>
            </w:tcMar>
            <w:vAlign w:val="bottom"/>
          </w:tcPr>
          <w:p w14:paraId="54E90E6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4,763</w:t>
            </w:r>
          </w:p>
        </w:tc>
        <w:tc>
          <w:tcPr>
            <w:tcW w:w="0" w:type="auto"/>
            <w:shd w:val="clear" w:color="auto" w:fill="auto"/>
            <w:vAlign w:val="bottom"/>
          </w:tcPr>
          <w:p w14:paraId="54E90E6F"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E7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E7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3,548</w:t>
            </w:r>
          </w:p>
        </w:tc>
        <w:tc>
          <w:tcPr>
            <w:tcW w:w="0" w:type="auto"/>
            <w:shd w:val="clear" w:color="auto" w:fill="auto"/>
            <w:vAlign w:val="bottom"/>
          </w:tcPr>
          <w:p w14:paraId="54E90E72"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E7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E7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13,240</w:t>
            </w:r>
          </w:p>
        </w:tc>
        <w:tc>
          <w:tcPr>
            <w:tcW w:w="0" w:type="auto"/>
            <w:shd w:val="clear" w:color="auto" w:fill="auto"/>
            <w:vAlign w:val="bottom"/>
          </w:tcPr>
          <w:p w14:paraId="54E90E75"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E7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E7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9,722</w:t>
            </w:r>
          </w:p>
        </w:tc>
        <w:tc>
          <w:tcPr>
            <w:tcW w:w="0" w:type="auto"/>
            <w:shd w:val="clear" w:color="auto" w:fill="auto"/>
            <w:vAlign w:val="bottom"/>
          </w:tcPr>
          <w:p w14:paraId="54E90E78" w14:textId="77777777" w:rsidR="00F427A3" w:rsidRDefault="00F427A3">
            <w:pPr>
              <w:textAlignment w:val="bottom"/>
              <w:rPr>
                <w:rFonts w:ascii="Times New Roman" w:hAnsi="Times New Roman"/>
                <w:sz w:val="20"/>
                <w:szCs w:val="20"/>
              </w:rPr>
            </w:pPr>
          </w:p>
        </w:tc>
      </w:tr>
      <w:tr w:rsidR="00F427A3" w14:paraId="54E90E86" w14:textId="77777777">
        <w:tc>
          <w:tcPr>
            <w:tcW w:w="0" w:type="auto"/>
            <w:shd w:val="clear" w:color="auto" w:fill="CCEEFF"/>
            <w:tcMar>
              <w:top w:w="40" w:type="dxa"/>
              <w:left w:w="560" w:type="dxa"/>
              <w:bottom w:w="40" w:type="dxa"/>
              <w:right w:w="40" w:type="dxa"/>
            </w:tcMar>
          </w:tcPr>
          <w:p w14:paraId="54E90E7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Marketing and sales</w:t>
            </w:r>
          </w:p>
        </w:tc>
        <w:tc>
          <w:tcPr>
            <w:tcW w:w="0" w:type="auto"/>
            <w:gridSpan w:val="2"/>
            <w:shd w:val="clear" w:color="auto" w:fill="CCEEFF"/>
            <w:tcMar>
              <w:top w:w="40" w:type="dxa"/>
              <w:left w:w="40" w:type="dxa"/>
              <w:bottom w:w="40" w:type="dxa"/>
            </w:tcMar>
            <w:vAlign w:val="bottom"/>
          </w:tcPr>
          <w:p w14:paraId="54E90E7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2,683</w:t>
            </w:r>
          </w:p>
        </w:tc>
        <w:tc>
          <w:tcPr>
            <w:tcW w:w="0" w:type="auto"/>
            <w:shd w:val="clear" w:color="auto" w:fill="CCEEFF"/>
            <w:vAlign w:val="bottom"/>
          </w:tcPr>
          <w:p w14:paraId="54E90E7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E7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E7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2,416</w:t>
            </w:r>
          </w:p>
        </w:tc>
        <w:tc>
          <w:tcPr>
            <w:tcW w:w="0" w:type="auto"/>
            <w:shd w:val="clear" w:color="auto" w:fill="CCEEFF"/>
            <w:vAlign w:val="bottom"/>
          </w:tcPr>
          <w:p w14:paraId="54E90E7F"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E8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E8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8,310</w:t>
            </w:r>
          </w:p>
        </w:tc>
        <w:tc>
          <w:tcPr>
            <w:tcW w:w="0" w:type="auto"/>
            <w:shd w:val="clear" w:color="auto" w:fill="CCEEFF"/>
            <w:vAlign w:val="bottom"/>
          </w:tcPr>
          <w:p w14:paraId="54E90E82"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E8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E8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6,850</w:t>
            </w:r>
          </w:p>
        </w:tc>
        <w:tc>
          <w:tcPr>
            <w:tcW w:w="0" w:type="auto"/>
            <w:shd w:val="clear" w:color="auto" w:fill="CCEEFF"/>
            <w:vAlign w:val="bottom"/>
          </w:tcPr>
          <w:p w14:paraId="54E90E85" w14:textId="77777777" w:rsidR="00F427A3" w:rsidRDefault="00F427A3">
            <w:pPr>
              <w:textAlignment w:val="bottom"/>
              <w:rPr>
                <w:rFonts w:ascii="Times New Roman" w:hAnsi="Times New Roman"/>
                <w:sz w:val="20"/>
                <w:szCs w:val="20"/>
              </w:rPr>
            </w:pPr>
          </w:p>
        </w:tc>
      </w:tr>
      <w:tr w:rsidR="00F427A3" w14:paraId="54E90E93" w14:textId="77777777">
        <w:tc>
          <w:tcPr>
            <w:tcW w:w="0" w:type="auto"/>
            <w:shd w:val="clear" w:color="auto" w:fill="auto"/>
            <w:tcMar>
              <w:top w:w="40" w:type="dxa"/>
              <w:left w:w="560" w:type="dxa"/>
              <w:bottom w:w="40" w:type="dxa"/>
              <w:right w:w="40" w:type="dxa"/>
            </w:tcMar>
          </w:tcPr>
          <w:p w14:paraId="54E90E87"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General and administrative</w:t>
            </w:r>
          </w:p>
        </w:tc>
        <w:tc>
          <w:tcPr>
            <w:tcW w:w="0" w:type="auto"/>
            <w:gridSpan w:val="2"/>
            <w:shd w:val="clear" w:color="auto" w:fill="auto"/>
            <w:tcMar>
              <w:top w:w="40" w:type="dxa"/>
              <w:left w:w="40" w:type="dxa"/>
              <w:bottom w:w="40" w:type="dxa"/>
            </w:tcMar>
            <w:vAlign w:val="bottom"/>
          </w:tcPr>
          <w:p w14:paraId="54E90E8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1,790</w:t>
            </w:r>
          </w:p>
        </w:tc>
        <w:tc>
          <w:tcPr>
            <w:tcW w:w="0" w:type="auto"/>
            <w:shd w:val="clear" w:color="auto" w:fill="auto"/>
            <w:vAlign w:val="bottom"/>
          </w:tcPr>
          <w:p w14:paraId="54E90E89"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E8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E8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1,348</w:t>
            </w:r>
          </w:p>
        </w:tc>
        <w:tc>
          <w:tcPr>
            <w:tcW w:w="0" w:type="auto"/>
            <w:shd w:val="clear" w:color="auto" w:fill="auto"/>
            <w:vAlign w:val="bottom"/>
          </w:tcPr>
          <w:p w14:paraId="54E90E8C"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E8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E8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4,965</w:t>
            </w:r>
          </w:p>
        </w:tc>
        <w:tc>
          <w:tcPr>
            <w:tcW w:w="0" w:type="auto"/>
            <w:shd w:val="clear" w:color="auto" w:fill="auto"/>
            <w:vAlign w:val="bottom"/>
          </w:tcPr>
          <w:p w14:paraId="54E90E8F"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E9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E9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8,636</w:t>
            </w:r>
          </w:p>
        </w:tc>
        <w:tc>
          <w:tcPr>
            <w:tcW w:w="0" w:type="auto"/>
            <w:shd w:val="clear" w:color="auto" w:fill="auto"/>
            <w:vAlign w:val="bottom"/>
          </w:tcPr>
          <w:p w14:paraId="54E90E92" w14:textId="77777777" w:rsidR="00F427A3" w:rsidRDefault="00F427A3">
            <w:pPr>
              <w:textAlignment w:val="bottom"/>
              <w:rPr>
                <w:rFonts w:ascii="Times New Roman" w:hAnsi="Times New Roman"/>
                <w:sz w:val="20"/>
                <w:szCs w:val="20"/>
              </w:rPr>
            </w:pPr>
          </w:p>
        </w:tc>
      </w:tr>
      <w:tr w:rsidR="00F427A3" w14:paraId="54E90EA0" w14:textId="77777777">
        <w:tc>
          <w:tcPr>
            <w:tcW w:w="0" w:type="auto"/>
            <w:shd w:val="clear" w:color="auto" w:fill="CCEEFF"/>
            <w:tcMar>
              <w:top w:w="40" w:type="dxa"/>
              <w:left w:w="40" w:type="dxa"/>
              <w:bottom w:w="40" w:type="dxa"/>
              <w:right w:w="40" w:type="dxa"/>
            </w:tcMar>
          </w:tcPr>
          <w:p w14:paraId="54E90E94"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Total costs and expenses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4E90E9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13,430</w:t>
            </w:r>
          </w:p>
        </w:tc>
        <w:tc>
          <w:tcPr>
            <w:tcW w:w="0" w:type="auto"/>
            <w:tcBorders>
              <w:top w:val="single" w:sz="8" w:space="0" w:color="000000"/>
              <w:bottom w:val="single" w:sz="8" w:space="0" w:color="000000"/>
            </w:tcBorders>
            <w:shd w:val="clear" w:color="auto" w:fill="CCEEFF"/>
            <w:vAlign w:val="bottom"/>
          </w:tcPr>
          <w:p w14:paraId="54E90E9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E9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4E90E9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10,467</w:t>
            </w:r>
          </w:p>
        </w:tc>
        <w:tc>
          <w:tcPr>
            <w:tcW w:w="0" w:type="auto"/>
            <w:tcBorders>
              <w:top w:val="single" w:sz="8" w:space="0" w:color="000000"/>
              <w:bottom w:val="single" w:sz="8" w:space="0" w:color="000000"/>
            </w:tcBorders>
            <w:shd w:val="clear" w:color="auto" w:fill="CCEEFF"/>
            <w:vAlign w:val="bottom"/>
          </w:tcPr>
          <w:p w14:paraId="54E90E99"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E9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4E90E9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37,997</w:t>
            </w:r>
          </w:p>
        </w:tc>
        <w:tc>
          <w:tcPr>
            <w:tcW w:w="0" w:type="auto"/>
            <w:tcBorders>
              <w:top w:val="single" w:sz="8" w:space="0" w:color="000000"/>
              <w:bottom w:val="single" w:sz="8" w:space="0" w:color="000000"/>
            </w:tcBorders>
            <w:shd w:val="clear" w:color="auto" w:fill="CCEEFF"/>
            <w:vAlign w:val="bottom"/>
          </w:tcPr>
          <w:p w14:paraId="54E90E9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E9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4E90E9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34,487</w:t>
            </w:r>
          </w:p>
        </w:tc>
        <w:tc>
          <w:tcPr>
            <w:tcW w:w="0" w:type="auto"/>
            <w:tcBorders>
              <w:top w:val="single" w:sz="8" w:space="0" w:color="000000"/>
              <w:bottom w:val="single" w:sz="8" w:space="0" w:color="000000"/>
            </w:tcBorders>
            <w:shd w:val="clear" w:color="auto" w:fill="CCEEFF"/>
            <w:vAlign w:val="bottom"/>
          </w:tcPr>
          <w:p w14:paraId="54E90E9F" w14:textId="77777777" w:rsidR="00F427A3" w:rsidRDefault="00F427A3">
            <w:pPr>
              <w:textAlignment w:val="bottom"/>
              <w:rPr>
                <w:rFonts w:ascii="Times New Roman" w:hAnsi="Times New Roman"/>
                <w:sz w:val="20"/>
                <w:szCs w:val="20"/>
              </w:rPr>
            </w:pPr>
          </w:p>
        </w:tc>
      </w:tr>
      <w:tr w:rsidR="00F427A3" w14:paraId="54E90EAD" w14:textId="77777777">
        <w:tc>
          <w:tcPr>
            <w:tcW w:w="0" w:type="auto"/>
            <w:shd w:val="clear" w:color="auto" w:fill="auto"/>
            <w:tcMar>
              <w:top w:w="40" w:type="dxa"/>
              <w:left w:w="40" w:type="dxa"/>
              <w:bottom w:w="40" w:type="dxa"/>
              <w:right w:w="40" w:type="dxa"/>
            </w:tcMar>
          </w:tcPr>
          <w:p w14:paraId="54E90EA1"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Income from operations</w:t>
            </w:r>
          </w:p>
        </w:tc>
        <w:tc>
          <w:tcPr>
            <w:tcW w:w="0" w:type="auto"/>
            <w:gridSpan w:val="2"/>
            <w:shd w:val="clear" w:color="auto" w:fill="auto"/>
            <w:tcMar>
              <w:top w:w="40" w:type="dxa"/>
              <w:left w:w="40" w:type="dxa"/>
              <w:bottom w:w="40" w:type="dxa"/>
            </w:tcMar>
            <w:vAlign w:val="bottom"/>
          </w:tcPr>
          <w:p w14:paraId="54E90EA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8,040</w:t>
            </w:r>
          </w:p>
        </w:tc>
        <w:tc>
          <w:tcPr>
            <w:tcW w:w="0" w:type="auto"/>
            <w:shd w:val="clear" w:color="auto" w:fill="auto"/>
            <w:vAlign w:val="bottom"/>
          </w:tcPr>
          <w:p w14:paraId="54E90EA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EA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EA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7,185</w:t>
            </w:r>
          </w:p>
        </w:tc>
        <w:tc>
          <w:tcPr>
            <w:tcW w:w="0" w:type="auto"/>
            <w:shd w:val="clear" w:color="auto" w:fill="auto"/>
            <w:vAlign w:val="bottom"/>
          </w:tcPr>
          <w:p w14:paraId="54E90EA6"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EA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EA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19,896</w:t>
            </w:r>
          </w:p>
        </w:tc>
        <w:tc>
          <w:tcPr>
            <w:tcW w:w="0" w:type="auto"/>
            <w:shd w:val="clear" w:color="auto" w:fill="auto"/>
            <w:vAlign w:val="bottom"/>
          </w:tcPr>
          <w:p w14:paraId="54E90EA9"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EA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EA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15,128</w:t>
            </w:r>
          </w:p>
        </w:tc>
        <w:tc>
          <w:tcPr>
            <w:tcW w:w="0" w:type="auto"/>
            <w:shd w:val="clear" w:color="auto" w:fill="auto"/>
            <w:vAlign w:val="bottom"/>
          </w:tcPr>
          <w:p w14:paraId="54E90EAC" w14:textId="77777777" w:rsidR="00F427A3" w:rsidRDefault="00F427A3">
            <w:pPr>
              <w:textAlignment w:val="bottom"/>
              <w:rPr>
                <w:rFonts w:ascii="Times New Roman" w:hAnsi="Times New Roman"/>
                <w:sz w:val="20"/>
                <w:szCs w:val="20"/>
              </w:rPr>
            </w:pPr>
          </w:p>
        </w:tc>
      </w:tr>
      <w:tr w:rsidR="00F427A3" w14:paraId="54E90EBA" w14:textId="77777777">
        <w:tc>
          <w:tcPr>
            <w:tcW w:w="0" w:type="auto"/>
            <w:shd w:val="clear" w:color="auto" w:fill="CCEEFF"/>
            <w:tcMar>
              <w:top w:w="40" w:type="dxa"/>
              <w:left w:w="40" w:type="dxa"/>
              <w:bottom w:w="40" w:type="dxa"/>
              <w:right w:w="40" w:type="dxa"/>
            </w:tcMar>
            <w:vAlign w:val="bottom"/>
          </w:tcPr>
          <w:p w14:paraId="54E90EA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Interest and other income, net</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EA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93</w:t>
            </w:r>
          </w:p>
        </w:tc>
        <w:tc>
          <w:tcPr>
            <w:tcW w:w="0" w:type="auto"/>
            <w:tcBorders>
              <w:bottom w:val="single" w:sz="8" w:space="0" w:color="000000"/>
            </w:tcBorders>
            <w:shd w:val="clear" w:color="auto" w:fill="CCEEFF"/>
            <w:vAlign w:val="bottom"/>
          </w:tcPr>
          <w:p w14:paraId="54E90EB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EB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EB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144</w:t>
            </w:r>
          </w:p>
        </w:tc>
        <w:tc>
          <w:tcPr>
            <w:tcW w:w="0" w:type="auto"/>
            <w:tcBorders>
              <w:bottom w:val="single" w:sz="8" w:space="0" w:color="000000"/>
            </w:tcBorders>
            <w:shd w:val="clear" w:color="auto" w:fill="CCEEFF"/>
            <w:vAlign w:val="bottom"/>
          </w:tcPr>
          <w:p w14:paraId="54E90EB3"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EB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EB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229</w:t>
            </w:r>
          </w:p>
        </w:tc>
        <w:tc>
          <w:tcPr>
            <w:tcW w:w="0" w:type="auto"/>
            <w:tcBorders>
              <w:bottom w:val="single" w:sz="8" w:space="0" w:color="000000"/>
            </w:tcBorders>
            <w:shd w:val="clear" w:color="auto" w:fill="CCEEFF"/>
            <w:vAlign w:val="bottom"/>
          </w:tcPr>
          <w:p w14:paraId="54E90EB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EB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EB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515</w:t>
            </w:r>
          </w:p>
        </w:tc>
        <w:tc>
          <w:tcPr>
            <w:tcW w:w="0" w:type="auto"/>
            <w:tcBorders>
              <w:bottom w:val="single" w:sz="8" w:space="0" w:color="000000"/>
            </w:tcBorders>
            <w:shd w:val="clear" w:color="auto" w:fill="CCEEFF"/>
            <w:vAlign w:val="bottom"/>
          </w:tcPr>
          <w:p w14:paraId="54E90EB9" w14:textId="77777777" w:rsidR="00F427A3" w:rsidRDefault="00F427A3">
            <w:pPr>
              <w:textAlignment w:val="bottom"/>
              <w:rPr>
                <w:rFonts w:ascii="Times New Roman" w:hAnsi="Times New Roman"/>
                <w:sz w:val="20"/>
                <w:szCs w:val="20"/>
              </w:rPr>
            </w:pPr>
          </w:p>
        </w:tc>
      </w:tr>
      <w:tr w:rsidR="00F427A3" w14:paraId="54E90EC7" w14:textId="77777777">
        <w:tc>
          <w:tcPr>
            <w:tcW w:w="0" w:type="auto"/>
            <w:shd w:val="clear" w:color="auto" w:fill="auto"/>
            <w:tcMar>
              <w:top w:w="40" w:type="dxa"/>
              <w:left w:w="40" w:type="dxa"/>
              <w:bottom w:w="40" w:type="dxa"/>
              <w:right w:w="40" w:type="dxa"/>
            </w:tcMar>
          </w:tcPr>
          <w:p w14:paraId="54E90EBB"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Income before provision for income taxes</w:t>
            </w:r>
          </w:p>
        </w:tc>
        <w:tc>
          <w:tcPr>
            <w:tcW w:w="0" w:type="auto"/>
            <w:gridSpan w:val="2"/>
            <w:shd w:val="clear" w:color="auto" w:fill="auto"/>
            <w:tcMar>
              <w:top w:w="40" w:type="dxa"/>
              <w:left w:w="40" w:type="dxa"/>
              <w:bottom w:w="40" w:type="dxa"/>
            </w:tcMar>
            <w:vAlign w:val="bottom"/>
          </w:tcPr>
          <w:p w14:paraId="54E90EB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8,133</w:t>
            </w:r>
          </w:p>
        </w:tc>
        <w:tc>
          <w:tcPr>
            <w:tcW w:w="0" w:type="auto"/>
            <w:shd w:val="clear" w:color="auto" w:fill="auto"/>
            <w:vAlign w:val="bottom"/>
          </w:tcPr>
          <w:p w14:paraId="54E90EB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EB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EB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7,329</w:t>
            </w:r>
          </w:p>
        </w:tc>
        <w:tc>
          <w:tcPr>
            <w:tcW w:w="0" w:type="auto"/>
            <w:shd w:val="clear" w:color="auto" w:fill="auto"/>
            <w:vAlign w:val="bottom"/>
          </w:tcPr>
          <w:p w14:paraId="54E90EC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EC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EC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20,125</w:t>
            </w:r>
          </w:p>
        </w:tc>
        <w:tc>
          <w:tcPr>
            <w:tcW w:w="0" w:type="auto"/>
            <w:shd w:val="clear" w:color="auto" w:fill="auto"/>
            <w:vAlign w:val="bottom"/>
          </w:tcPr>
          <w:p w14:paraId="54E90EC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EC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EC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15,643</w:t>
            </w:r>
          </w:p>
        </w:tc>
        <w:tc>
          <w:tcPr>
            <w:tcW w:w="0" w:type="auto"/>
            <w:shd w:val="clear" w:color="auto" w:fill="auto"/>
            <w:vAlign w:val="bottom"/>
          </w:tcPr>
          <w:p w14:paraId="54E90EC6" w14:textId="77777777" w:rsidR="00F427A3" w:rsidRDefault="00F427A3">
            <w:pPr>
              <w:textAlignment w:val="bottom"/>
              <w:rPr>
                <w:rFonts w:ascii="Times New Roman" w:hAnsi="Times New Roman"/>
                <w:sz w:val="20"/>
                <w:szCs w:val="20"/>
              </w:rPr>
            </w:pPr>
          </w:p>
        </w:tc>
      </w:tr>
      <w:tr w:rsidR="00F427A3" w14:paraId="54E90ED4" w14:textId="77777777">
        <w:tc>
          <w:tcPr>
            <w:tcW w:w="0" w:type="auto"/>
            <w:shd w:val="clear" w:color="auto" w:fill="CCEEFF"/>
            <w:tcMar>
              <w:top w:w="40" w:type="dxa"/>
              <w:left w:w="40" w:type="dxa"/>
              <w:bottom w:w="40" w:type="dxa"/>
              <w:right w:w="40" w:type="dxa"/>
            </w:tcMar>
          </w:tcPr>
          <w:p w14:paraId="54E90EC8"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Provision for income taxes</w:t>
            </w:r>
          </w:p>
        </w:tc>
        <w:tc>
          <w:tcPr>
            <w:tcW w:w="0" w:type="auto"/>
            <w:gridSpan w:val="2"/>
            <w:shd w:val="clear" w:color="auto" w:fill="CCEEFF"/>
            <w:tcMar>
              <w:top w:w="40" w:type="dxa"/>
              <w:left w:w="40" w:type="dxa"/>
              <w:bottom w:w="40" w:type="dxa"/>
            </w:tcMar>
            <w:vAlign w:val="bottom"/>
          </w:tcPr>
          <w:p w14:paraId="54E90EC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287</w:t>
            </w:r>
          </w:p>
        </w:tc>
        <w:tc>
          <w:tcPr>
            <w:tcW w:w="0" w:type="auto"/>
            <w:shd w:val="clear" w:color="auto" w:fill="CCEEFF"/>
            <w:vAlign w:val="bottom"/>
          </w:tcPr>
          <w:p w14:paraId="54E90ECA"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EC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EC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1,238</w:t>
            </w:r>
          </w:p>
        </w:tc>
        <w:tc>
          <w:tcPr>
            <w:tcW w:w="0" w:type="auto"/>
            <w:shd w:val="clear" w:color="auto" w:fill="CCEEFF"/>
            <w:vAlign w:val="bottom"/>
          </w:tcPr>
          <w:p w14:paraId="54E90ECD"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EC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EC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2,198</w:t>
            </w:r>
          </w:p>
        </w:tc>
        <w:tc>
          <w:tcPr>
            <w:tcW w:w="0" w:type="auto"/>
            <w:tcBorders>
              <w:bottom w:val="single" w:sz="8" w:space="0" w:color="000000"/>
            </w:tcBorders>
            <w:shd w:val="clear" w:color="auto" w:fill="CCEEFF"/>
            <w:vAlign w:val="bottom"/>
          </w:tcPr>
          <w:p w14:paraId="54E90ED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ED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4E90ED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4,507</w:t>
            </w:r>
          </w:p>
        </w:tc>
        <w:tc>
          <w:tcPr>
            <w:tcW w:w="0" w:type="auto"/>
            <w:tcBorders>
              <w:bottom w:val="single" w:sz="8" w:space="0" w:color="000000"/>
            </w:tcBorders>
            <w:shd w:val="clear" w:color="auto" w:fill="CCEEFF"/>
            <w:vAlign w:val="bottom"/>
          </w:tcPr>
          <w:p w14:paraId="54E90ED3" w14:textId="77777777" w:rsidR="00F427A3" w:rsidRDefault="00F427A3">
            <w:pPr>
              <w:textAlignment w:val="bottom"/>
              <w:rPr>
                <w:rFonts w:ascii="Times New Roman" w:hAnsi="Times New Roman"/>
                <w:sz w:val="20"/>
                <w:szCs w:val="20"/>
              </w:rPr>
            </w:pPr>
          </w:p>
        </w:tc>
      </w:tr>
      <w:tr w:rsidR="00F427A3" w14:paraId="54E90EE5" w14:textId="77777777">
        <w:tc>
          <w:tcPr>
            <w:tcW w:w="0" w:type="auto"/>
            <w:shd w:val="clear" w:color="auto" w:fill="auto"/>
            <w:tcMar>
              <w:top w:w="40" w:type="dxa"/>
              <w:left w:w="40" w:type="dxa"/>
              <w:bottom w:w="40" w:type="dxa"/>
              <w:right w:w="40" w:type="dxa"/>
            </w:tcMar>
          </w:tcPr>
          <w:p w14:paraId="54E90ED5"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Net income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ED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ED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7,846</w:t>
            </w:r>
          </w:p>
        </w:tc>
        <w:tc>
          <w:tcPr>
            <w:tcW w:w="0" w:type="auto"/>
            <w:tcBorders>
              <w:top w:val="single" w:sz="8" w:space="0" w:color="000000"/>
              <w:bottom w:val="double" w:sz="6" w:space="0" w:color="000000"/>
            </w:tcBorders>
            <w:shd w:val="clear" w:color="auto" w:fill="auto"/>
            <w:vAlign w:val="bottom"/>
          </w:tcPr>
          <w:p w14:paraId="54E90ED8"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ED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ED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ED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6,091</w:t>
            </w:r>
          </w:p>
        </w:tc>
        <w:tc>
          <w:tcPr>
            <w:tcW w:w="0" w:type="auto"/>
            <w:tcBorders>
              <w:top w:val="single" w:sz="8" w:space="0" w:color="000000"/>
              <w:bottom w:val="double" w:sz="6" w:space="0" w:color="000000"/>
            </w:tcBorders>
            <w:shd w:val="clear" w:color="auto" w:fill="auto"/>
            <w:vAlign w:val="bottom"/>
          </w:tcPr>
          <w:p w14:paraId="54E90EDC"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ED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ED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ED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17,927</w:t>
            </w:r>
          </w:p>
        </w:tc>
        <w:tc>
          <w:tcPr>
            <w:tcW w:w="0" w:type="auto"/>
            <w:tcBorders>
              <w:top w:val="single" w:sz="8" w:space="0" w:color="000000"/>
              <w:bottom w:val="double" w:sz="6" w:space="0" w:color="000000"/>
            </w:tcBorders>
            <w:shd w:val="clear" w:color="auto" w:fill="auto"/>
            <w:vAlign w:val="bottom"/>
          </w:tcPr>
          <w:p w14:paraId="54E90EE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EE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EE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4E90EE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11,136</w:t>
            </w:r>
          </w:p>
        </w:tc>
        <w:tc>
          <w:tcPr>
            <w:tcW w:w="0" w:type="auto"/>
            <w:tcBorders>
              <w:top w:val="single" w:sz="8" w:space="0" w:color="000000"/>
              <w:bottom w:val="double" w:sz="6" w:space="0" w:color="000000"/>
            </w:tcBorders>
            <w:shd w:val="clear" w:color="auto" w:fill="auto"/>
            <w:vAlign w:val="bottom"/>
          </w:tcPr>
          <w:p w14:paraId="54E90EE4" w14:textId="77777777" w:rsidR="00F427A3" w:rsidRDefault="00F427A3">
            <w:pPr>
              <w:textAlignment w:val="bottom"/>
              <w:rPr>
                <w:rFonts w:ascii="Times New Roman" w:hAnsi="Times New Roman"/>
                <w:sz w:val="20"/>
                <w:szCs w:val="20"/>
              </w:rPr>
            </w:pPr>
          </w:p>
        </w:tc>
      </w:tr>
    </w:tbl>
    <w:p w14:paraId="54E90EE6" w14:textId="77777777" w:rsidR="00F427A3" w:rsidRDefault="0044221F">
      <w:pPr>
        <w:spacing w:line="288" w:lineRule="auto"/>
        <w:ind w:firstLine="640"/>
        <w:jc w:val="both"/>
        <w:rPr>
          <w:rFonts w:ascii="Times New Roman" w:hAnsi="Times New Roman"/>
          <w:sz w:val="20"/>
          <w:szCs w:val="20"/>
        </w:rPr>
      </w:pPr>
      <w:r>
        <w:rPr>
          <w:rFonts w:ascii="Times New Roman" w:eastAsia="宋体" w:hAnsi="Times New Roman"/>
          <w:sz w:val="20"/>
          <w:szCs w:val="20"/>
        </w:rPr>
        <w:t>The following table sets forth our condensed consolidated statements of income data (as a percentage of revenue)</w:t>
      </w:r>
      <w:r>
        <w:rPr>
          <w:rFonts w:ascii="Times New Roman" w:eastAsia="宋体" w:hAnsi="Times New Roman"/>
          <w:sz w:val="14"/>
          <w:szCs w:val="14"/>
        </w:rPr>
        <w:t>(1)</w:t>
      </w:r>
      <w:r>
        <w:rPr>
          <w:rFonts w:ascii="Times New Roman" w:eastAsia="宋体" w:hAnsi="Times New Roman"/>
          <w:sz w:val="20"/>
          <w:szCs w:val="20"/>
        </w:rPr>
        <w:t>:</w:t>
      </w:r>
      <w:r>
        <w:rPr>
          <w:rFonts w:ascii="Times New Roman" w:eastAsia="宋体" w:hAnsi="Times New Roman"/>
          <w:sz w:val="18"/>
          <w:szCs w:val="18"/>
        </w:rPr>
        <w:t> </w:t>
      </w:r>
    </w:p>
    <w:tbl>
      <w:tblPr>
        <w:tblW w:w="4960" w:type="pct"/>
        <w:tblCellMar>
          <w:left w:w="0" w:type="dxa"/>
          <w:right w:w="0" w:type="dxa"/>
        </w:tblCellMar>
        <w:tblLook w:val="04A0" w:firstRow="1" w:lastRow="0" w:firstColumn="1" w:lastColumn="0" w:noHBand="0" w:noVBand="1"/>
      </w:tblPr>
      <w:tblGrid>
        <w:gridCol w:w="3579"/>
        <w:gridCol w:w="860"/>
        <w:gridCol w:w="207"/>
        <w:gridCol w:w="130"/>
        <w:gridCol w:w="861"/>
        <w:gridCol w:w="207"/>
        <w:gridCol w:w="130"/>
        <w:gridCol w:w="861"/>
        <w:gridCol w:w="207"/>
        <w:gridCol w:w="130"/>
        <w:gridCol w:w="861"/>
        <w:gridCol w:w="207"/>
      </w:tblGrid>
      <w:tr w:rsidR="00F427A3" w14:paraId="54E90EE8" w14:textId="77777777">
        <w:tc>
          <w:tcPr>
            <w:tcW w:w="0" w:type="auto"/>
            <w:gridSpan w:val="12"/>
            <w:shd w:val="clear" w:color="auto" w:fill="auto"/>
            <w:vAlign w:val="center"/>
          </w:tcPr>
          <w:p w14:paraId="54E90EE7" w14:textId="77777777" w:rsidR="00F427A3" w:rsidRDefault="00F427A3">
            <w:pPr>
              <w:rPr>
                <w:rFonts w:ascii="Times New Roman" w:hAnsi="Times New Roman"/>
                <w:sz w:val="20"/>
                <w:szCs w:val="20"/>
              </w:rPr>
            </w:pPr>
          </w:p>
        </w:tc>
      </w:tr>
      <w:tr w:rsidR="00F427A3" w14:paraId="54E90EF5" w14:textId="77777777">
        <w:tc>
          <w:tcPr>
            <w:tcW w:w="2250" w:type="pct"/>
            <w:shd w:val="clear" w:color="auto" w:fill="auto"/>
            <w:vAlign w:val="center"/>
          </w:tcPr>
          <w:p w14:paraId="54E90EE9" w14:textId="77777777" w:rsidR="00F427A3" w:rsidRDefault="00F427A3">
            <w:pPr>
              <w:rPr>
                <w:rFonts w:ascii="Times New Roman" w:hAnsi="Times New Roman"/>
                <w:sz w:val="20"/>
                <w:szCs w:val="20"/>
              </w:rPr>
            </w:pPr>
          </w:p>
        </w:tc>
        <w:tc>
          <w:tcPr>
            <w:tcW w:w="600" w:type="pct"/>
            <w:shd w:val="clear" w:color="auto" w:fill="auto"/>
            <w:vAlign w:val="center"/>
          </w:tcPr>
          <w:p w14:paraId="54E90EEA" w14:textId="77777777" w:rsidR="00F427A3" w:rsidRDefault="00F427A3">
            <w:pPr>
              <w:rPr>
                <w:rFonts w:ascii="Times New Roman" w:hAnsi="Times New Roman"/>
                <w:sz w:val="20"/>
                <w:szCs w:val="20"/>
              </w:rPr>
            </w:pPr>
          </w:p>
        </w:tc>
        <w:tc>
          <w:tcPr>
            <w:tcW w:w="50" w:type="pct"/>
            <w:shd w:val="clear" w:color="auto" w:fill="auto"/>
            <w:vAlign w:val="center"/>
          </w:tcPr>
          <w:p w14:paraId="54E90EEB" w14:textId="77777777" w:rsidR="00F427A3" w:rsidRDefault="00F427A3">
            <w:pPr>
              <w:rPr>
                <w:rFonts w:ascii="Times New Roman" w:hAnsi="Times New Roman"/>
                <w:sz w:val="20"/>
                <w:szCs w:val="20"/>
              </w:rPr>
            </w:pPr>
          </w:p>
        </w:tc>
        <w:tc>
          <w:tcPr>
            <w:tcW w:w="50" w:type="pct"/>
            <w:shd w:val="clear" w:color="auto" w:fill="auto"/>
            <w:vAlign w:val="center"/>
          </w:tcPr>
          <w:p w14:paraId="54E90EEC" w14:textId="77777777" w:rsidR="00F427A3" w:rsidRDefault="00F427A3">
            <w:pPr>
              <w:rPr>
                <w:rFonts w:ascii="Times New Roman" w:hAnsi="Times New Roman"/>
                <w:sz w:val="20"/>
                <w:szCs w:val="20"/>
              </w:rPr>
            </w:pPr>
          </w:p>
        </w:tc>
        <w:tc>
          <w:tcPr>
            <w:tcW w:w="600" w:type="pct"/>
            <w:shd w:val="clear" w:color="auto" w:fill="auto"/>
            <w:vAlign w:val="center"/>
          </w:tcPr>
          <w:p w14:paraId="54E90EED" w14:textId="77777777" w:rsidR="00F427A3" w:rsidRDefault="00F427A3">
            <w:pPr>
              <w:rPr>
                <w:rFonts w:ascii="Times New Roman" w:hAnsi="Times New Roman"/>
                <w:sz w:val="20"/>
                <w:szCs w:val="20"/>
              </w:rPr>
            </w:pPr>
          </w:p>
        </w:tc>
        <w:tc>
          <w:tcPr>
            <w:tcW w:w="50" w:type="pct"/>
            <w:shd w:val="clear" w:color="auto" w:fill="auto"/>
            <w:vAlign w:val="center"/>
          </w:tcPr>
          <w:p w14:paraId="54E90EEE" w14:textId="77777777" w:rsidR="00F427A3" w:rsidRDefault="00F427A3">
            <w:pPr>
              <w:rPr>
                <w:rFonts w:ascii="Times New Roman" w:hAnsi="Times New Roman"/>
                <w:sz w:val="20"/>
                <w:szCs w:val="20"/>
              </w:rPr>
            </w:pPr>
          </w:p>
        </w:tc>
        <w:tc>
          <w:tcPr>
            <w:tcW w:w="50" w:type="pct"/>
            <w:shd w:val="clear" w:color="auto" w:fill="auto"/>
            <w:vAlign w:val="center"/>
          </w:tcPr>
          <w:p w14:paraId="54E90EEF" w14:textId="77777777" w:rsidR="00F427A3" w:rsidRDefault="00F427A3">
            <w:pPr>
              <w:rPr>
                <w:rFonts w:ascii="Times New Roman" w:hAnsi="Times New Roman"/>
                <w:sz w:val="20"/>
                <w:szCs w:val="20"/>
              </w:rPr>
            </w:pPr>
          </w:p>
        </w:tc>
        <w:tc>
          <w:tcPr>
            <w:tcW w:w="600" w:type="pct"/>
            <w:shd w:val="clear" w:color="auto" w:fill="auto"/>
            <w:vAlign w:val="center"/>
          </w:tcPr>
          <w:p w14:paraId="54E90EF0" w14:textId="77777777" w:rsidR="00F427A3" w:rsidRDefault="00F427A3">
            <w:pPr>
              <w:rPr>
                <w:rFonts w:ascii="Times New Roman" w:hAnsi="Times New Roman"/>
                <w:sz w:val="20"/>
                <w:szCs w:val="20"/>
              </w:rPr>
            </w:pPr>
          </w:p>
        </w:tc>
        <w:tc>
          <w:tcPr>
            <w:tcW w:w="50" w:type="pct"/>
            <w:shd w:val="clear" w:color="auto" w:fill="auto"/>
            <w:vAlign w:val="center"/>
          </w:tcPr>
          <w:p w14:paraId="54E90EF1" w14:textId="77777777" w:rsidR="00F427A3" w:rsidRDefault="00F427A3">
            <w:pPr>
              <w:rPr>
                <w:rFonts w:ascii="Times New Roman" w:hAnsi="Times New Roman"/>
                <w:sz w:val="20"/>
                <w:szCs w:val="20"/>
              </w:rPr>
            </w:pPr>
          </w:p>
        </w:tc>
        <w:tc>
          <w:tcPr>
            <w:tcW w:w="50" w:type="pct"/>
            <w:shd w:val="clear" w:color="auto" w:fill="auto"/>
            <w:vAlign w:val="center"/>
          </w:tcPr>
          <w:p w14:paraId="54E90EF2" w14:textId="77777777" w:rsidR="00F427A3" w:rsidRDefault="00F427A3">
            <w:pPr>
              <w:rPr>
                <w:rFonts w:ascii="Times New Roman" w:hAnsi="Times New Roman"/>
                <w:sz w:val="20"/>
                <w:szCs w:val="20"/>
              </w:rPr>
            </w:pPr>
          </w:p>
        </w:tc>
        <w:tc>
          <w:tcPr>
            <w:tcW w:w="600" w:type="pct"/>
            <w:shd w:val="clear" w:color="auto" w:fill="auto"/>
            <w:vAlign w:val="center"/>
          </w:tcPr>
          <w:p w14:paraId="54E90EF3" w14:textId="77777777" w:rsidR="00F427A3" w:rsidRDefault="00F427A3">
            <w:pPr>
              <w:rPr>
                <w:rFonts w:ascii="Times New Roman" w:hAnsi="Times New Roman"/>
                <w:sz w:val="20"/>
                <w:szCs w:val="20"/>
              </w:rPr>
            </w:pPr>
          </w:p>
        </w:tc>
        <w:tc>
          <w:tcPr>
            <w:tcW w:w="50" w:type="pct"/>
            <w:shd w:val="clear" w:color="auto" w:fill="auto"/>
            <w:vAlign w:val="center"/>
          </w:tcPr>
          <w:p w14:paraId="54E90EF4" w14:textId="77777777" w:rsidR="00F427A3" w:rsidRDefault="00F427A3">
            <w:pPr>
              <w:rPr>
                <w:rFonts w:ascii="Times New Roman" w:hAnsi="Times New Roman"/>
                <w:sz w:val="20"/>
                <w:szCs w:val="20"/>
              </w:rPr>
            </w:pPr>
          </w:p>
        </w:tc>
      </w:tr>
      <w:tr w:rsidR="00F427A3" w14:paraId="54E90EFA" w14:textId="77777777">
        <w:tc>
          <w:tcPr>
            <w:tcW w:w="0" w:type="auto"/>
            <w:shd w:val="clear" w:color="auto" w:fill="auto"/>
            <w:tcMar>
              <w:top w:w="40" w:type="dxa"/>
              <w:left w:w="40" w:type="dxa"/>
              <w:bottom w:w="40" w:type="dxa"/>
              <w:right w:w="40" w:type="dxa"/>
            </w:tcMar>
            <w:vAlign w:val="bottom"/>
          </w:tcPr>
          <w:p w14:paraId="54E90EF6"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54E90EF7"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Three Months Ended September 30,</w:t>
            </w:r>
          </w:p>
        </w:tc>
        <w:tc>
          <w:tcPr>
            <w:tcW w:w="0" w:type="auto"/>
            <w:shd w:val="clear" w:color="auto" w:fill="auto"/>
            <w:tcMar>
              <w:top w:w="40" w:type="dxa"/>
              <w:left w:w="40" w:type="dxa"/>
              <w:bottom w:w="40" w:type="dxa"/>
              <w:right w:w="40" w:type="dxa"/>
            </w:tcMar>
            <w:vAlign w:val="bottom"/>
          </w:tcPr>
          <w:p w14:paraId="54E90EF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54E90EF9"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Nine Months Ended September 30,</w:t>
            </w:r>
          </w:p>
        </w:tc>
      </w:tr>
      <w:tr w:rsidR="00F427A3" w14:paraId="54E90F03" w14:textId="77777777">
        <w:tc>
          <w:tcPr>
            <w:tcW w:w="0" w:type="auto"/>
            <w:shd w:val="clear" w:color="auto" w:fill="auto"/>
            <w:tcMar>
              <w:top w:w="40" w:type="dxa"/>
              <w:left w:w="40" w:type="dxa"/>
              <w:bottom w:w="40" w:type="dxa"/>
              <w:right w:w="40" w:type="dxa"/>
            </w:tcMar>
            <w:vAlign w:val="bottom"/>
          </w:tcPr>
          <w:p w14:paraId="54E90EFB"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0EFC"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54E90EF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0EFE"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90EF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0F00"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54E90F0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0F02"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F427A3" w14:paraId="54E90F10" w14:textId="77777777">
        <w:tc>
          <w:tcPr>
            <w:tcW w:w="0" w:type="auto"/>
            <w:shd w:val="clear" w:color="auto" w:fill="CCEEFF"/>
            <w:tcMar>
              <w:top w:w="40" w:type="dxa"/>
              <w:left w:w="40" w:type="dxa"/>
              <w:bottom w:w="40" w:type="dxa"/>
              <w:right w:w="40" w:type="dxa"/>
            </w:tcMar>
          </w:tcPr>
          <w:p w14:paraId="54E90F04"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Revenue</w:t>
            </w:r>
          </w:p>
        </w:tc>
        <w:tc>
          <w:tcPr>
            <w:tcW w:w="0" w:type="auto"/>
            <w:tcBorders>
              <w:top w:val="single" w:sz="8" w:space="0" w:color="000000"/>
            </w:tcBorders>
            <w:shd w:val="clear" w:color="auto" w:fill="CCEEFF"/>
            <w:tcMar>
              <w:top w:w="40" w:type="dxa"/>
              <w:left w:w="40" w:type="dxa"/>
              <w:bottom w:w="40" w:type="dxa"/>
            </w:tcMar>
            <w:vAlign w:val="bottom"/>
          </w:tcPr>
          <w:p w14:paraId="54E90F0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tcBorders>
              <w:top w:val="single" w:sz="8" w:space="0" w:color="000000"/>
            </w:tcBorders>
            <w:shd w:val="clear" w:color="auto" w:fill="CCEEFF"/>
            <w:tcMar>
              <w:top w:w="40" w:type="dxa"/>
              <w:bottom w:w="40" w:type="dxa"/>
              <w:right w:w="40" w:type="dxa"/>
            </w:tcMar>
            <w:vAlign w:val="bottom"/>
          </w:tcPr>
          <w:p w14:paraId="54E90F0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F0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90F0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tcBorders>
              <w:top w:val="single" w:sz="8" w:space="0" w:color="000000"/>
            </w:tcBorders>
            <w:shd w:val="clear" w:color="auto" w:fill="CCEEFF"/>
            <w:tcMar>
              <w:top w:w="40" w:type="dxa"/>
              <w:bottom w:w="40" w:type="dxa"/>
              <w:right w:w="40" w:type="dxa"/>
            </w:tcMar>
            <w:vAlign w:val="bottom"/>
          </w:tcPr>
          <w:p w14:paraId="54E90F0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F0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90F0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tcBorders>
              <w:top w:val="single" w:sz="8" w:space="0" w:color="000000"/>
            </w:tcBorders>
            <w:shd w:val="clear" w:color="auto" w:fill="CCEEFF"/>
            <w:tcMar>
              <w:top w:w="40" w:type="dxa"/>
              <w:bottom w:w="40" w:type="dxa"/>
              <w:right w:w="40" w:type="dxa"/>
            </w:tcMar>
            <w:vAlign w:val="bottom"/>
          </w:tcPr>
          <w:p w14:paraId="54E90F0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0F0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4E90F0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tcBorders>
              <w:top w:val="single" w:sz="8" w:space="0" w:color="000000"/>
            </w:tcBorders>
            <w:shd w:val="clear" w:color="auto" w:fill="CCEEFF"/>
            <w:tcMar>
              <w:top w:w="40" w:type="dxa"/>
              <w:bottom w:w="40" w:type="dxa"/>
              <w:right w:w="40" w:type="dxa"/>
            </w:tcMar>
            <w:vAlign w:val="bottom"/>
          </w:tcPr>
          <w:p w14:paraId="54E90F0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0F19" w14:textId="77777777">
        <w:tc>
          <w:tcPr>
            <w:tcW w:w="0" w:type="auto"/>
            <w:shd w:val="clear" w:color="auto" w:fill="auto"/>
            <w:tcMar>
              <w:top w:w="40" w:type="dxa"/>
              <w:left w:w="40" w:type="dxa"/>
              <w:bottom w:w="40" w:type="dxa"/>
              <w:right w:w="40" w:type="dxa"/>
            </w:tcMar>
          </w:tcPr>
          <w:p w14:paraId="54E90F11"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Costs and expenses:</w:t>
            </w:r>
          </w:p>
        </w:tc>
        <w:tc>
          <w:tcPr>
            <w:tcW w:w="0" w:type="auto"/>
            <w:gridSpan w:val="2"/>
            <w:shd w:val="clear" w:color="auto" w:fill="auto"/>
            <w:tcMar>
              <w:top w:w="40" w:type="dxa"/>
              <w:left w:w="40" w:type="dxa"/>
              <w:bottom w:w="40" w:type="dxa"/>
              <w:right w:w="40" w:type="dxa"/>
            </w:tcMar>
            <w:vAlign w:val="bottom"/>
          </w:tcPr>
          <w:p w14:paraId="54E90F1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F1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0F1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F1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0F1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0F1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0F1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0F26" w14:textId="77777777">
        <w:tc>
          <w:tcPr>
            <w:tcW w:w="0" w:type="auto"/>
            <w:shd w:val="clear" w:color="auto" w:fill="CCEEFF"/>
            <w:tcMar>
              <w:top w:w="40" w:type="dxa"/>
              <w:left w:w="560" w:type="dxa"/>
              <w:bottom w:w="40" w:type="dxa"/>
              <w:right w:w="40" w:type="dxa"/>
            </w:tcMar>
          </w:tcPr>
          <w:p w14:paraId="54E90F1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Cost of revenue</w:t>
            </w:r>
          </w:p>
        </w:tc>
        <w:tc>
          <w:tcPr>
            <w:tcW w:w="0" w:type="auto"/>
            <w:shd w:val="clear" w:color="auto" w:fill="CCEEFF"/>
            <w:tcMar>
              <w:top w:w="40" w:type="dxa"/>
              <w:left w:w="40" w:type="dxa"/>
              <w:bottom w:w="40" w:type="dxa"/>
            </w:tcMar>
            <w:vAlign w:val="bottom"/>
          </w:tcPr>
          <w:p w14:paraId="54E90F1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CCEEFF"/>
            <w:vAlign w:val="bottom"/>
          </w:tcPr>
          <w:p w14:paraId="54E90F1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F1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F1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CCEEFF"/>
            <w:vAlign w:val="bottom"/>
          </w:tcPr>
          <w:p w14:paraId="54E90F1F"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F2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F2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CCEEFF"/>
            <w:vAlign w:val="bottom"/>
          </w:tcPr>
          <w:p w14:paraId="54E90F22"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F2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F2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CCEEFF"/>
            <w:vAlign w:val="bottom"/>
          </w:tcPr>
          <w:p w14:paraId="54E90F25" w14:textId="77777777" w:rsidR="00F427A3" w:rsidRDefault="00F427A3">
            <w:pPr>
              <w:textAlignment w:val="bottom"/>
              <w:rPr>
                <w:rFonts w:ascii="Times New Roman" w:hAnsi="Times New Roman"/>
                <w:sz w:val="20"/>
                <w:szCs w:val="20"/>
              </w:rPr>
            </w:pPr>
          </w:p>
        </w:tc>
      </w:tr>
      <w:tr w:rsidR="00F427A3" w14:paraId="54E90F33" w14:textId="77777777">
        <w:tc>
          <w:tcPr>
            <w:tcW w:w="0" w:type="auto"/>
            <w:shd w:val="clear" w:color="auto" w:fill="auto"/>
            <w:tcMar>
              <w:top w:w="40" w:type="dxa"/>
              <w:left w:w="560" w:type="dxa"/>
              <w:bottom w:w="40" w:type="dxa"/>
              <w:right w:w="40" w:type="dxa"/>
            </w:tcMar>
          </w:tcPr>
          <w:p w14:paraId="54E90F27"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Research and development</w:t>
            </w:r>
          </w:p>
        </w:tc>
        <w:tc>
          <w:tcPr>
            <w:tcW w:w="0" w:type="auto"/>
            <w:shd w:val="clear" w:color="auto" w:fill="auto"/>
            <w:tcMar>
              <w:top w:w="40" w:type="dxa"/>
              <w:left w:w="40" w:type="dxa"/>
              <w:bottom w:w="40" w:type="dxa"/>
            </w:tcMar>
            <w:vAlign w:val="bottom"/>
          </w:tcPr>
          <w:p w14:paraId="54E90F2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shd w:val="clear" w:color="auto" w:fill="auto"/>
            <w:vAlign w:val="bottom"/>
          </w:tcPr>
          <w:p w14:paraId="54E90F29"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F2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F2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vAlign w:val="bottom"/>
          </w:tcPr>
          <w:p w14:paraId="54E90F2C"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F2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F2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shd w:val="clear" w:color="auto" w:fill="auto"/>
            <w:vAlign w:val="bottom"/>
          </w:tcPr>
          <w:p w14:paraId="54E90F2F"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F3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F3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vAlign w:val="bottom"/>
          </w:tcPr>
          <w:p w14:paraId="54E90F32" w14:textId="77777777" w:rsidR="00F427A3" w:rsidRDefault="00F427A3">
            <w:pPr>
              <w:textAlignment w:val="bottom"/>
              <w:rPr>
                <w:rFonts w:ascii="Times New Roman" w:hAnsi="Times New Roman"/>
                <w:sz w:val="20"/>
                <w:szCs w:val="20"/>
              </w:rPr>
            </w:pPr>
          </w:p>
        </w:tc>
      </w:tr>
      <w:tr w:rsidR="00F427A3" w14:paraId="54E90F40" w14:textId="77777777">
        <w:tc>
          <w:tcPr>
            <w:tcW w:w="0" w:type="auto"/>
            <w:shd w:val="clear" w:color="auto" w:fill="CCEEFF"/>
            <w:tcMar>
              <w:top w:w="40" w:type="dxa"/>
              <w:left w:w="560" w:type="dxa"/>
              <w:bottom w:w="40" w:type="dxa"/>
              <w:right w:w="40" w:type="dxa"/>
            </w:tcMar>
          </w:tcPr>
          <w:p w14:paraId="54E90F34"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Marketing and sales</w:t>
            </w:r>
          </w:p>
        </w:tc>
        <w:tc>
          <w:tcPr>
            <w:tcW w:w="0" w:type="auto"/>
            <w:shd w:val="clear" w:color="auto" w:fill="CCEEFF"/>
            <w:tcMar>
              <w:top w:w="40" w:type="dxa"/>
              <w:left w:w="40" w:type="dxa"/>
              <w:bottom w:w="40" w:type="dxa"/>
            </w:tcMar>
            <w:vAlign w:val="bottom"/>
          </w:tcPr>
          <w:p w14:paraId="54E90F3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CCEEFF"/>
            <w:vAlign w:val="bottom"/>
          </w:tcPr>
          <w:p w14:paraId="54E90F3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F3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F3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CCEEFF"/>
            <w:vAlign w:val="bottom"/>
          </w:tcPr>
          <w:p w14:paraId="54E90F39"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F3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F3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CCEEFF"/>
            <w:vAlign w:val="bottom"/>
          </w:tcPr>
          <w:p w14:paraId="54E90F3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F3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F3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CCEEFF"/>
            <w:vAlign w:val="bottom"/>
          </w:tcPr>
          <w:p w14:paraId="54E90F3F" w14:textId="77777777" w:rsidR="00F427A3" w:rsidRDefault="00F427A3">
            <w:pPr>
              <w:textAlignment w:val="bottom"/>
              <w:rPr>
                <w:rFonts w:ascii="Times New Roman" w:hAnsi="Times New Roman"/>
                <w:sz w:val="20"/>
                <w:szCs w:val="20"/>
              </w:rPr>
            </w:pPr>
          </w:p>
        </w:tc>
      </w:tr>
      <w:tr w:rsidR="00F427A3" w14:paraId="54E90F4D" w14:textId="77777777">
        <w:tc>
          <w:tcPr>
            <w:tcW w:w="0" w:type="auto"/>
            <w:shd w:val="clear" w:color="auto" w:fill="auto"/>
            <w:tcMar>
              <w:top w:w="40" w:type="dxa"/>
              <w:left w:w="560" w:type="dxa"/>
              <w:bottom w:w="40" w:type="dxa"/>
              <w:right w:w="40" w:type="dxa"/>
            </w:tcMar>
          </w:tcPr>
          <w:p w14:paraId="54E90F41"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General and administrative</w:t>
            </w:r>
          </w:p>
        </w:tc>
        <w:tc>
          <w:tcPr>
            <w:tcW w:w="0" w:type="auto"/>
            <w:tcBorders>
              <w:bottom w:val="single" w:sz="8" w:space="0" w:color="000000"/>
            </w:tcBorders>
            <w:shd w:val="clear" w:color="auto" w:fill="auto"/>
            <w:tcMar>
              <w:top w:w="40" w:type="dxa"/>
              <w:left w:w="40" w:type="dxa"/>
              <w:bottom w:w="40" w:type="dxa"/>
            </w:tcMar>
            <w:vAlign w:val="bottom"/>
          </w:tcPr>
          <w:p w14:paraId="54E90F4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tcBorders>
              <w:bottom w:val="single" w:sz="8" w:space="0" w:color="000000"/>
            </w:tcBorders>
            <w:shd w:val="clear" w:color="auto" w:fill="auto"/>
            <w:vAlign w:val="bottom"/>
          </w:tcPr>
          <w:p w14:paraId="54E90F4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F4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4E90F4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tcBorders>
              <w:bottom w:val="single" w:sz="8" w:space="0" w:color="000000"/>
            </w:tcBorders>
            <w:shd w:val="clear" w:color="auto" w:fill="auto"/>
            <w:vAlign w:val="bottom"/>
          </w:tcPr>
          <w:p w14:paraId="54E90F46"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F4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4E90F4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bottom w:val="single" w:sz="8" w:space="0" w:color="000000"/>
            </w:tcBorders>
            <w:shd w:val="clear" w:color="auto" w:fill="auto"/>
            <w:vAlign w:val="bottom"/>
          </w:tcPr>
          <w:p w14:paraId="54E90F49"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F4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4E90F4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tcBorders>
              <w:bottom w:val="single" w:sz="8" w:space="0" w:color="000000"/>
            </w:tcBorders>
            <w:shd w:val="clear" w:color="auto" w:fill="auto"/>
            <w:vAlign w:val="bottom"/>
          </w:tcPr>
          <w:p w14:paraId="54E90F4C" w14:textId="77777777" w:rsidR="00F427A3" w:rsidRDefault="00F427A3">
            <w:pPr>
              <w:textAlignment w:val="bottom"/>
              <w:rPr>
                <w:rFonts w:ascii="Times New Roman" w:hAnsi="Times New Roman"/>
                <w:sz w:val="20"/>
                <w:szCs w:val="20"/>
              </w:rPr>
            </w:pPr>
          </w:p>
        </w:tc>
      </w:tr>
      <w:tr w:rsidR="00F427A3" w14:paraId="54E90F5A" w14:textId="77777777">
        <w:tc>
          <w:tcPr>
            <w:tcW w:w="0" w:type="auto"/>
            <w:shd w:val="clear" w:color="auto" w:fill="CCEEFF"/>
            <w:tcMar>
              <w:top w:w="40" w:type="dxa"/>
              <w:left w:w="40" w:type="dxa"/>
              <w:bottom w:w="40" w:type="dxa"/>
              <w:right w:w="40" w:type="dxa"/>
            </w:tcMar>
          </w:tcPr>
          <w:p w14:paraId="54E90F4E"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Total costs and expenses</w:t>
            </w:r>
          </w:p>
        </w:tc>
        <w:tc>
          <w:tcPr>
            <w:tcW w:w="0" w:type="auto"/>
            <w:tcBorders>
              <w:bottom w:val="single" w:sz="8" w:space="0" w:color="000000"/>
            </w:tcBorders>
            <w:shd w:val="clear" w:color="auto" w:fill="CCEEFF"/>
            <w:tcMar>
              <w:top w:w="40" w:type="dxa"/>
              <w:left w:w="40" w:type="dxa"/>
              <w:bottom w:w="40" w:type="dxa"/>
            </w:tcMar>
            <w:vAlign w:val="bottom"/>
          </w:tcPr>
          <w:p w14:paraId="54E90F4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63</w:t>
            </w:r>
          </w:p>
        </w:tc>
        <w:tc>
          <w:tcPr>
            <w:tcW w:w="0" w:type="auto"/>
            <w:tcBorders>
              <w:bottom w:val="single" w:sz="8" w:space="0" w:color="000000"/>
            </w:tcBorders>
            <w:shd w:val="clear" w:color="auto" w:fill="CCEEFF"/>
            <w:vAlign w:val="bottom"/>
          </w:tcPr>
          <w:p w14:paraId="54E90F5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F5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4E90F5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59</w:t>
            </w:r>
          </w:p>
        </w:tc>
        <w:tc>
          <w:tcPr>
            <w:tcW w:w="0" w:type="auto"/>
            <w:tcBorders>
              <w:bottom w:val="single" w:sz="8" w:space="0" w:color="000000"/>
            </w:tcBorders>
            <w:shd w:val="clear" w:color="auto" w:fill="CCEEFF"/>
            <w:vAlign w:val="bottom"/>
          </w:tcPr>
          <w:p w14:paraId="54E90F53"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F5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4E90F5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66</w:t>
            </w:r>
          </w:p>
        </w:tc>
        <w:tc>
          <w:tcPr>
            <w:tcW w:w="0" w:type="auto"/>
            <w:tcBorders>
              <w:bottom w:val="single" w:sz="8" w:space="0" w:color="000000"/>
            </w:tcBorders>
            <w:shd w:val="clear" w:color="auto" w:fill="CCEEFF"/>
            <w:vAlign w:val="bottom"/>
          </w:tcPr>
          <w:p w14:paraId="54E90F5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F5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4E90F5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70</w:t>
            </w:r>
          </w:p>
        </w:tc>
        <w:tc>
          <w:tcPr>
            <w:tcW w:w="0" w:type="auto"/>
            <w:tcBorders>
              <w:bottom w:val="single" w:sz="8" w:space="0" w:color="000000"/>
            </w:tcBorders>
            <w:shd w:val="clear" w:color="auto" w:fill="CCEEFF"/>
            <w:vAlign w:val="bottom"/>
          </w:tcPr>
          <w:p w14:paraId="54E90F59" w14:textId="77777777" w:rsidR="00F427A3" w:rsidRDefault="00F427A3">
            <w:pPr>
              <w:textAlignment w:val="bottom"/>
              <w:rPr>
                <w:rFonts w:ascii="Times New Roman" w:hAnsi="Times New Roman"/>
                <w:sz w:val="20"/>
                <w:szCs w:val="20"/>
              </w:rPr>
            </w:pPr>
          </w:p>
        </w:tc>
      </w:tr>
      <w:tr w:rsidR="00F427A3" w14:paraId="54E90F67" w14:textId="77777777">
        <w:tc>
          <w:tcPr>
            <w:tcW w:w="0" w:type="auto"/>
            <w:shd w:val="clear" w:color="auto" w:fill="auto"/>
            <w:tcMar>
              <w:top w:w="40" w:type="dxa"/>
              <w:left w:w="40" w:type="dxa"/>
              <w:bottom w:w="40" w:type="dxa"/>
              <w:right w:w="40" w:type="dxa"/>
            </w:tcMar>
          </w:tcPr>
          <w:p w14:paraId="54E90F5B"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Income from operations</w:t>
            </w:r>
          </w:p>
        </w:tc>
        <w:tc>
          <w:tcPr>
            <w:tcW w:w="0" w:type="auto"/>
            <w:shd w:val="clear" w:color="auto" w:fill="auto"/>
            <w:tcMar>
              <w:top w:w="40" w:type="dxa"/>
              <w:left w:w="40" w:type="dxa"/>
              <w:bottom w:w="40" w:type="dxa"/>
            </w:tcMar>
            <w:vAlign w:val="bottom"/>
          </w:tcPr>
          <w:p w14:paraId="54E90F5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shd w:val="clear" w:color="auto" w:fill="auto"/>
            <w:vAlign w:val="bottom"/>
          </w:tcPr>
          <w:p w14:paraId="54E90F5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F5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F5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shd w:val="clear" w:color="auto" w:fill="auto"/>
            <w:vAlign w:val="bottom"/>
          </w:tcPr>
          <w:p w14:paraId="54E90F6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F6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F6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shd w:val="clear" w:color="auto" w:fill="auto"/>
            <w:vAlign w:val="bottom"/>
          </w:tcPr>
          <w:p w14:paraId="54E90F6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F6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0F6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30</w:t>
            </w:r>
          </w:p>
        </w:tc>
        <w:tc>
          <w:tcPr>
            <w:tcW w:w="0" w:type="auto"/>
            <w:shd w:val="clear" w:color="auto" w:fill="auto"/>
            <w:vAlign w:val="bottom"/>
          </w:tcPr>
          <w:p w14:paraId="54E90F66" w14:textId="77777777" w:rsidR="00F427A3" w:rsidRDefault="00F427A3">
            <w:pPr>
              <w:textAlignment w:val="bottom"/>
              <w:rPr>
                <w:rFonts w:ascii="Times New Roman" w:hAnsi="Times New Roman"/>
                <w:sz w:val="20"/>
                <w:szCs w:val="20"/>
              </w:rPr>
            </w:pPr>
          </w:p>
        </w:tc>
      </w:tr>
      <w:tr w:rsidR="00F427A3" w14:paraId="54E90F74" w14:textId="77777777">
        <w:tc>
          <w:tcPr>
            <w:tcW w:w="0" w:type="auto"/>
            <w:shd w:val="clear" w:color="auto" w:fill="CCEEFF"/>
            <w:tcMar>
              <w:top w:w="40" w:type="dxa"/>
              <w:left w:w="40" w:type="dxa"/>
              <w:bottom w:w="40" w:type="dxa"/>
              <w:right w:w="40" w:type="dxa"/>
            </w:tcMar>
          </w:tcPr>
          <w:p w14:paraId="54E90F68"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Interest and other income, net</w:t>
            </w:r>
          </w:p>
        </w:tc>
        <w:tc>
          <w:tcPr>
            <w:tcW w:w="0" w:type="auto"/>
            <w:shd w:val="clear" w:color="auto" w:fill="CCEEFF"/>
            <w:tcMar>
              <w:top w:w="40" w:type="dxa"/>
              <w:left w:w="40" w:type="dxa"/>
              <w:bottom w:w="40" w:type="dxa"/>
            </w:tcMar>
            <w:vAlign w:val="bottom"/>
          </w:tcPr>
          <w:p w14:paraId="54E90F6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0F6A"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F6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F6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4E90F6D"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F6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F6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0F7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F7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F7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4E90F73" w14:textId="77777777" w:rsidR="00F427A3" w:rsidRDefault="00F427A3">
            <w:pPr>
              <w:textAlignment w:val="bottom"/>
              <w:rPr>
                <w:rFonts w:ascii="Times New Roman" w:hAnsi="Times New Roman"/>
                <w:sz w:val="20"/>
                <w:szCs w:val="20"/>
              </w:rPr>
            </w:pPr>
          </w:p>
        </w:tc>
      </w:tr>
      <w:tr w:rsidR="00F427A3" w14:paraId="54E90F81" w14:textId="77777777">
        <w:tc>
          <w:tcPr>
            <w:tcW w:w="0" w:type="auto"/>
            <w:shd w:val="clear" w:color="auto" w:fill="auto"/>
            <w:tcMar>
              <w:top w:w="40" w:type="dxa"/>
              <w:left w:w="40" w:type="dxa"/>
              <w:bottom w:w="40" w:type="dxa"/>
              <w:right w:w="40" w:type="dxa"/>
            </w:tcMar>
          </w:tcPr>
          <w:p w14:paraId="54E90F75"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Income before provision for income taxes</w:t>
            </w:r>
          </w:p>
        </w:tc>
        <w:tc>
          <w:tcPr>
            <w:tcW w:w="0" w:type="auto"/>
            <w:tcBorders>
              <w:top w:val="single" w:sz="8" w:space="0" w:color="000000"/>
            </w:tcBorders>
            <w:shd w:val="clear" w:color="auto" w:fill="auto"/>
            <w:tcMar>
              <w:top w:w="40" w:type="dxa"/>
              <w:left w:w="40" w:type="dxa"/>
              <w:bottom w:w="40" w:type="dxa"/>
            </w:tcMar>
            <w:vAlign w:val="bottom"/>
          </w:tcPr>
          <w:p w14:paraId="54E90F7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tcBorders>
              <w:top w:val="single" w:sz="8" w:space="0" w:color="000000"/>
            </w:tcBorders>
            <w:shd w:val="clear" w:color="auto" w:fill="auto"/>
            <w:vAlign w:val="bottom"/>
          </w:tcPr>
          <w:p w14:paraId="54E90F77"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F7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4E90F7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tcBorders>
              <w:top w:val="single" w:sz="8" w:space="0" w:color="000000"/>
            </w:tcBorders>
            <w:shd w:val="clear" w:color="auto" w:fill="auto"/>
            <w:vAlign w:val="bottom"/>
          </w:tcPr>
          <w:p w14:paraId="54E90F7A"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F7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4E90F7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tcBorders>
              <w:top w:val="single" w:sz="8" w:space="0" w:color="000000"/>
            </w:tcBorders>
            <w:shd w:val="clear" w:color="auto" w:fill="auto"/>
            <w:vAlign w:val="bottom"/>
          </w:tcPr>
          <w:p w14:paraId="54E90F7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F7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4E90F7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tcBorders>
              <w:top w:val="single" w:sz="8" w:space="0" w:color="000000"/>
            </w:tcBorders>
            <w:shd w:val="clear" w:color="auto" w:fill="auto"/>
            <w:vAlign w:val="bottom"/>
          </w:tcPr>
          <w:p w14:paraId="54E90F80" w14:textId="77777777" w:rsidR="00F427A3" w:rsidRDefault="00F427A3">
            <w:pPr>
              <w:textAlignment w:val="bottom"/>
              <w:rPr>
                <w:rFonts w:ascii="Times New Roman" w:hAnsi="Times New Roman"/>
                <w:sz w:val="20"/>
                <w:szCs w:val="20"/>
              </w:rPr>
            </w:pPr>
          </w:p>
        </w:tc>
      </w:tr>
      <w:tr w:rsidR="00F427A3" w14:paraId="54E90F8E" w14:textId="77777777">
        <w:tc>
          <w:tcPr>
            <w:tcW w:w="0" w:type="auto"/>
            <w:shd w:val="clear" w:color="auto" w:fill="CCEEFF"/>
            <w:tcMar>
              <w:top w:w="40" w:type="dxa"/>
              <w:left w:w="40" w:type="dxa"/>
              <w:bottom w:w="40" w:type="dxa"/>
              <w:right w:w="40" w:type="dxa"/>
            </w:tcMar>
          </w:tcPr>
          <w:p w14:paraId="54E90F82"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Provision for income taxes</w:t>
            </w:r>
          </w:p>
        </w:tc>
        <w:tc>
          <w:tcPr>
            <w:tcW w:w="0" w:type="auto"/>
            <w:tcBorders>
              <w:bottom w:val="single" w:sz="8" w:space="0" w:color="000000"/>
            </w:tcBorders>
            <w:shd w:val="clear" w:color="auto" w:fill="CCEEFF"/>
            <w:tcMar>
              <w:top w:w="40" w:type="dxa"/>
              <w:left w:w="40" w:type="dxa"/>
              <w:bottom w:w="40" w:type="dxa"/>
            </w:tcMar>
            <w:vAlign w:val="bottom"/>
          </w:tcPr>
          <w:p w14:paraId="54E90F8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CCEEFF"/>
            <w:vAlign w:val="bottom"/>
          </w:tcPr>
          <w:p w14:paraId="54E90F84"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F8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4E90F8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bottom w:val="single" w:sz="8" w:space="0" w:color="000000"/>
            </w:tcBorders>
            <w:shd w:val="clear" w:color="auto" w:fill="CCEEFF"/>
            <w:vAlign w:val="bottom"/>
          </w:tcPr>
          <w:p w14:paraId="54E90F8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F8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4E90F8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tcBorders>
              <w:bottom w:val="single" w:sz="8" w:space="0" w:color="000000"/>
            </w:tcBorders>
            <w:shd w:val="clear" w:color="auto" w:fill="CCEEFF"/>
            <w:vAlign w:val="bottom"/>
          </w:tcPr>
          <w:p w14:paraId="54E90F8A"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F8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4E90F8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bottom w:val="single" w:sz="8" w:space="0" w:color="000000"/>
            </w:tcBorders>
            <w:shd w:val="clear" w:color="auto" w:fill="CCEEFF"/>
            <w:vAlign w:val="bottom"/>
          </w:tcPr>
          <w:p w14:paraId="54E90F8D" w14:textId="77777777" w:rsidR="00F427A3" w:rsidRDefault="00F427A3">
            <w:pPr>
              <w:textAlignment w:val="bottom"/>
              <w:rPr>
                <w:rFonts w:ascii="Times New Roman" w:hAnsi="Times New Roman"/>
                <w:sz w:val="20"/>
                <w:szCs w:val="20"/>
              </w:rPr>
            </w:pPr>
          </w:p>
        </w:tc>
      </w:tr>
      <w:tr w:rsidR="00F427A3" w14:paraId="54E90F9B" w14:textId="77777777">
        <w:tc>
          <w:tcPr>
            <w:tcW w:w="0" w:type="auto"/>
            <w:shd w:val="clear" w:color="auto" w:fill="auto"/>
            <w:tcMar>
              <w:top w:w="40" w:type="dxa"/>
              <w:left w:w="40" w:type="dxa"/>
              <w:bottom w:w="40" w:type="dxa"/>
              <w:right w:w="40" w:type="dxa"/>
            </w:tcMar>
          </w:tcPr>
          <w:p w14:paraId="54E90F8F"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Net income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F9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4E90F9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0F9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F9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4E90F9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0F9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F9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4E90F9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0F9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0F9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4E90F9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bl>
    <w:p w14:paraId="54E90F9C" w14:textId="77777777" w:rsidR="00F427A3" w:rsidRDefault="0044221F">
      <w:pPr>
        <w:spacing w:line="288" w:lineRule="auto"/>
        <w:rPr>
          <w:rFonts w:ascii="Times New Roman" w:hAnsi="Times New Roman"/>
          <w:sz w:val="12"/>
          <w:szCs w:val="12"/>
        </w:rPr>
      </w:pPr>
      <w:r>
        <w:rPr>
          <w:rFonts w:ascii="Times New Roman" w:eastAsia="宋体" w:hAnsi="Times New Roman"/>
          <w:sz w:val="12"/>
          <w:szCs w:val="12"/>
        </w:rPr>
        <w:t>____________________________________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003"/>
      </w:tblGrid>
      <w:tr w:rsidR="00F427A3" w14:paraId="54E90F9F" w14:textId="77777777">
        <w:trPr>
          <w:tblCellSpacing w:w="0" w:type="dxa"/>
        </w:trPr>
        <w:tc>
          <w:tcPr>
            <w:tcW w:w="480" w:type="dxa"/>
            <w:shd w:val="clear" w:color="auto" w:fill="auto"/>
            <w:vAlign w:val="center"/>
          </w:tcPr>
          <w:p w14:paraId="54E90F9D" w14:textId="77777777" w:rsidR="00F427A3" w:rsidRDefault="00F427A3">
            <w:pPr>
              <w:rPr>
                <w:rFonts w:ascii="Times New Roman" w:hAnsi="Times New Roman"/>
                <w:sz w:val="20"/>
                <w:szCs w:val="20"/>
              </w:rPr>
            </w:pPr>
          </w:p>
        </w:tc>
        <w:tc>
          <w:tcPr>
            <w:tcW w:w="0" w:type="auto"/>
            <w:shd w:val="clear" w:color="auto" w:fill="auto"/>
            <w:vAlign w:val="center"/>
          </w:tcPr>
          <w:p w14:paraId="54E90F9E" w14:textId="77777777" w:rsidR="00F427A3" w:rsidRDefault="00F427A3">
            <w:pPr>
              <w:rPr>
                <w:rFonts w:ascii="Times New Roman" w:hAnsi="Times New Roman"/>
                <w:sz w:val="20"/>
                <w:szCs w:val="20"/>
              </w:rPr>
            </w:pPr>
          </w:p>
        </w:tc>
      </w:tr>
      <w:tr w:rsidR="00F427A3" w14:paraId="54E90FA2" w14:textId="77777777">
        <w:trPr>
          <w:tblCellSpacing w:w="0" w:type="dxa"/>
        </w:trPr>
        <w:tc>
          <w:tcPr>
            <w:tcW w:w="0" w:type="auto"/>
            <w:shd w:val="clear" w:color="auto" w:fill="auto"/>
          </w:tcPr>
          <w:p w14:paraId="54E90FA0" w14:textId="77777777" w:rsidR="00F427A3" w:rsidRDefault="0044221F">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54E90FA1" w14:textId="77777777" w:rsidR="00F427A3" w:rsidRDefault="0044221F">
            <w:pPr>
              <w:spacing w:line="288" w:lineRule="auto"/>
              <w:jc w:val="both"/>
              <w:textAlignment w:val="top"/>
              <w:rPr>
                <w:rFonts w:ascii="Times New Roman" w:hAnsi="Times New Roman"/>
                <w:sz w:val="18"/>
                <w:szCs w:val="18"/>
              </w:rPr>
            </w:pPr>
            <w:r>
              <w:rPr>
                <w:rFonts w:ascii="Times New Roman" w:eastAsia="宋体" w:hAnsi="Times New Roman"/>
                <w:sz w:val="18"/>
                <w:szCs w:val="18"/>
              </w:rPr>
              <w:t>Percentages have been rounded for presentation purposes and may differ from unrounded results.</w:t>
            </w:r>
          </w:p>
        </w:tc>
      </w:tr>
    </w:tbl>
    <w:p w14:paraId="54E90FA3" w14:textId="77777777" w:rsidR="00F427A3" w:rsidRDefault="00F427A3">
      <w:pPr>
        <w:rPr>
          <w:rFonts w:ascii="Times New Roman" w:hAnsi="Times New Roman"/>
          <w:sz w:val="20"/>
          <w:szCs w:val="20"/>
        </w:rPr>
      </w:pPr>
    </w:p>
    <w:p w14:paraId="54E90FA4"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39</w:t>
      </w:r>
    </w:p>
    <w:p w14:paraId="54E90FA5" w14:textId="77777777" w:rsidR="00F427A3" w:rsidRDefault="0044221F">
      <w:r>
        <w:rPr>
          <w:rFonts w:ascii="Times New Roman" w:hAnsi="Times New Roman"/>
          <w:sz w:val="20"/>
          <w:szCs w:val="20"/>
        </w:rPr>
        <w:pict w14:anchorId="54E91C57">
          <v:rect id="_x0000_i1063" style="width:415.3pt;height:1.5pt" o:hralign="center" o:hrstd="t" o:hr="t" fillcolor="#a0a0a0" stroked="f"/>
        </w:pict>
      </w:r>
    </w:p>
    <w:p w14:paraId="54E90FA6" w14:textId="77777777" w:rsidR="00F427A3" w:rsidRDefault="0044221F">
      <w:pPr>
        <w:spacing w:line="288" w:lineRule="auto"/>
        <w:rPr>
          <w:rFonts w:ascii="Times New Roman" w:hAnsi="Times New Roman"/>
          <w:sz w:val="20"/>
          <w:szCs w:val="20"/>
        </w:rPr>
      </w:pPr>
      <w:hyperlink r:id="rId81" w:anchor="s348EA962CF6D59B599D9921AFA89C381" w:history="1">
        <w:r>
          <w:rPr>
            <w:rStyle w:val="a5"/>
            <w:rFonts w:ascii="Times New Roman" w:eastAsia="宋体" w:hAnsi="Times New Roman"/>
            <w:sz w:val="20"/>
            <w:szCs w:val="20"/>
          </w:rPr>
          <w:t>Table of Contents</w:t>
        </w:r>
      </w:hyperlink>
    </w:p>
    <w:p w14:paraId="54E90FA7" w14:textId="77777777" w:rsidR="00F427A3" w:rsidRDefault="00F427A3">
      <w:pPr>
        <w:rPr>
          <w:rFonts w:ascii="Times New Roman" w:hAnsi="Times New Roman"/>
          <w:sz w:val="20"/>
          <w:szCs w:val="20"/>
        </w:rPr>
      </w:pPr>
    </w:p>
    <w:p w14:paraId="54E90FA8"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Share-based compensation expense included in costs and expenses:</w:t>
      </w:r>
    </w:p>
    <w:tbl>
      <w:tblPr>
        <w:tblW w:w="4960" w:type="pct"/>
        <w:tblCellMar>
          <w:left w:w="0" w:type="dxa"/>
          <w:right w:w="0" w:type="dxa"/>
        </w:tblCellMar>
        <w:tblLook w:val="04A0" w:firstRow="1" w:lastRow="0" w:firstColumn="1" w:lastColumn="0" w:noHBand="0" w:noVBand="1"/>
      </w:tblPr>
      <w:tblGrid>
        <w:gridCol w:w="3666"/>
        <w:gridCol w:w="140"/>
        <w:gridCol w:w="865"/>
        <w:gridCol w:w="41"/>
        <w:gridCol w:w="130"/>
        <w:gridCol w:w="140"/>
        <w:gridCol w:w="865"/>
        <w:gridCol w:w="41"/>
        <w:gridCol w:w="130"/>
        <w:gridCol w:w="140"/>
        <w:gridCol w:w="865"/>
        <w:gridCol w:w="41"/>
        <w:gridCol w:w="130"/>
        <w:gridCol w:w="140"/>
        <w:gridCol w:w="865"/>
        <w:gridCol w:w="41"/>
      </w:tblGrid>
      <w:tr w:rsidR="00F427A3" w14:paraId="54E90FAA" w14:textId="77777777">
        <w:tc>
          <w:tcPr>
            <w:tcW w:w="0" w:type="auto"/>
            <w:gridSpan w:val="16"/>
            <w:shd w:val="clear" w:color="auto" w:fill="auto"/>
            <w:vAlign w:val="center"/>
          </w:tcPr>
          <w:p w14:paraId="54E90FA9" w14:textId="77777777" w:rsidR="00F427A3" w:rsidRDefault="00F427A3">
            <w:pPr>
              <w:rPr>
                <w:rFonts w:ascii="Times New Roman" w:hAnsi="Times New Roman"/>
                <w:sz w:val="20"/>
                <w:szCs w:val="20"/>
              </w:rPr>
            </w:pPr>
          </w:p>
        </w:tc>
      </w:tr>
      <w:tr w:rsidR="00F427A3" w14:paraId="54E90FBB" w14:textId="77777777">
        <w:tc>
          <w:tcPr>
            <w:tcW w:w="2250" w:type="pct"/>
            <w:shd w:val="clear" w:color="auto" w:fill="auto"/>
            <w:vAlign w:val="center"/>
          </w:tcPr>
          <w:p w14:paraId="54E90FAB" w14:textId="77777777" w:rsidR="00F427A3" w:rsidRDefault="00F427A3">
            <w:pPr>
              <w:rPr>
                <w:rFonts w:ascii="Times New Roman" w:hAnsi="Times New Roman"/>
                <w:sz w:val="20"/>
                <w:szCs w:val="20"/>
              </w:rPr>
            </w:pPr>
          </w:p>
        </w:tc>
        <w:tc>
          <w:tcPr>
            <w:tcW w:w="50" w:type="pct"/>
            <w:shd w:val="clear" w:color="auto" w:fill="auto"/>
            <w:vAlign w:val="center"/>
          </w:tcPr>
          <w:p w14:paraId="54E90FAC" w14:textId="77777777" w:rsidR="00F427A3" w:rsidRDefault="00F427A3">
            <w:pPr>
              <w:rPr>
                <w:rFonts w:ascii="Times New Roman" w:hAnsi="Times New Roman"/>
                <w:sz w:val="20"/>
                <w:szCs w:val="20"/>
              </w:rPr>
            </w:pPr>
          </w:p>
        </w:tc>
        <w:tc>
          <w:tcPr>
            <w:tcW w:w="550" w:type="pct"/>
            <w:shd w:val="clear" w:color="auto" w:fill="auto"/>
            <w:vAlign w:val="center"/>
          </w:tcPr>
          <w:p w14:paraId="54E90FAD" w14:textId="77777777" w:rsidR="00F427A3" w:rsidRDefault="00F427A3">
            <w:pPr>
              <w:rPr>
                <w:rFonts w:ascii="Times New Roman" w:hAnsi="Times New Roman"/>
                <w:sz w:val="20"/>
                <w:szCs w:val="20"/>
              </w:rPr>
            </w:pPr>
          </w:p>
        </w:tc>
        <w:tc>
          <w:tcPr>
            <w:tcW w:w="50" w:type="pct"/>
            <w:shd w:val="clear" w:color="auto" w:fill="auto"/>
            <w:vAlign w:val="center"/>
          </w:tcPr>
          <w:p w14:paraId="54E90FAE" w14:textId="77777777" w:rsidR="00F427A3" w:rsidRDefault="00F427A3">
            <w:pPr>
              <w:rPr>
                <w:rFonts w:ascii="Times New Roman" w:hAnsi="Times New Roman"/>
                <w:sz w:val="20"/>
                <w:szCs w:val="20"/>
              </w:rPr>
            </w:pPr>
          </w:p>
        </w:tc>
        <w:tc>
          <w:tcPr>
            <w:tcW w:w="50" w:type="pct"/>
            <w:shd w:val="clear" w:color="auto" w:fill="auto"/>
            <w:vAlign w:val="center"/>
          </w:tcPr>
          <w:p w14:paraId="54E90FAF" w14:textId="77777777" w:rsidR="00F427A3" w:rsidRDefault="00F427A3">
            <w:pPr>
              <w:rPr>
                <w:rFonts w:ascii="Times New Roman" w:hAnsi="Times New Roman"/>
                <w:sz w:val="20"/>
                <w:szCs w:val="20"/>
              </w:rPr>
            </w:pPr>
          </w:p>
        </w:tc>
        <w:tc>
          <w:tcPr>
            <w:tcW w:w="50" w:type="pct"/>
            <w:shd w:val="clear" w:color="auto" w:fill="auto"/>
            <w:vAlign w:val="center"/>
          </w:tcPr>
          <w:p w14:paraId="54E90FB0" w14:textId="77777777" w:rsidR="00F427A3" w:rsidRDefault="00F427A3">
            <w:pPr>
              <w:rPr>
                <w:rFonts w:ascii="Times New Roman" w:hAnsi="Times New Roman"/>
                <w:sz w:val="20"/>
                <w:szCs w:val="20"/>
              </w:rPr>
            </w:pPr>
          </w:p>
        </w:tc>
        <w:tc>
          <w:tcPr>
            <w:tcW w:w="550" w:type="pct"/>
            <w:shd w:val="clear" w:color="auto" w:fill="auto"/>
            <w:vAlign w:val="center"/>
          </w:tcPr>
          <w:p w14:paraId="54E90FB1" w14:textId="77777777" w:rsidR="00F427A3" w:rsidRDefault="00F427A3">
            <w:pPr>
              <w:rPr>
                <w:rFonts w:ascii="Times New Roman" w:hAnsi="Times New Roman"/>
                <w:sz w:val="20"/>
                <w:szCs w:val="20"/>
              </w:rPr>
            </w:pPr>
          </w:p>
        </w:tc>
        <w:tc>
          <w:tcPr>
            <w:tcW w:w="50" w:type="pct"/>
            <w:shd w:val="clear" w:color="auto" w:fill="auto"/>
            <w:vAlign w:val="center"/>
          </w:tcPr>
          <w:p w14:paraId="54E90FB2" w14:textId="77777777" w:rsidR="00F427A3" w:rsidRDefault="00F427A3">
            <w:pPr>
              <w:rPr>
                <w:rFonts w:ascii="Times New Roman" w:hAnsi="Times New Roman"/>
                <w:sz w:val="20"/>
                <w:szCs w:val="20"/>
              </w:rPr>
            </w:pPr>
          </w:p>
        </w:tc>
        <w:tc>
          <w:tcPr>
            <w:tcW w:w="50" w:type="pct"/>
            <w:shd w:val="clear" w:color="auto" w:fill="auto"/>
            <w:vAlign w:val="center"/>
          </w:tcPr>
          <w:p w14:paraId="54E90FB3" w14:textId="77777777" w:rsidR="00F427A3" w:rsidRDefault="00F427A3">
            <w:pPr>
              <w:rPr>
                <w:rFonts w:ascii="Times New Roman" w:hAnsi="Times New Roman"/>
                <w:sz w:val="20"/>
                <w:szCs w:val="20"/>
              </w:rPr>
            </w:pPr>
          </w:p>
        </w:tc>
        <w:tc>
          <w:tcPr>
            <w:tcW w:w="50" w:type="pct"/>
            <w:shd w:val="clear" w:color="auto" w:fill="auto"/>
            <w:vAlign w:val="center"/>
          </w:tcPr>
          <w:p w14:paraId="54E90FB4" w14:textId="77777777" w:rsidR="00F427A3" w:rsidRDefault="00F427A3">
            <w:pPr>
              <w:rPr>
                <w:rFonts w:ascii="Times New Roman" w:hAnsi="Times New Roman"/>
                <w:sz w:val="20"/>
                <w:szCs w:val="20"/>
              </w:rPr>
            </w:pPr>
          </w:p>
        </w:tc>
        <w:tc>
          <w:tcPr>
            <w:tcW w:w="550" w:type="pct"/>
            <w:shd w:val="clear" w:color="auto" w:fill="auto"/>
            <w:vAlign w:val="center"/>
          </w:tcPr>
          <w:p w14:paraId="54E90FB5" w14:textId="77777777" w:rsidR="00F427A3" w:rsidRDefault="00F427A3">
            <w:pPr>
              <w:rPr>
                <w:rFonts w:ascii="Times New Roman" w:hAnsi="Times New Roman"/>
                <w:sz w:val="20"/>
                <w:szCs w:val="20"/>
              </w:rPr>
            </w:pPr>
          </w:p>
        </w:tc>
        <w:tc>
          <w:tcPr>
            <w:tcW w:w="50" w:type="pct"/>
            <w:shd w:val="clear" w:color="auto" w:fill="auto"/>
            <w:vAlign w:val="center"/>
          </w:tcPr>
          <w:p w14:paraId="54E90FB6" w14:textId="77777777" w:rsidR="00F427A3" w:rsidRDefault="00F427A3">
            <w:pPr>
              <w:rPr>
                <w:rFonts w:ascii="Times New Roman" w:hAnsi="Times New Roman"/>
                <w:sz w:val="20"/>
                <w:szCs w:val="20"/>
              </w:rPr>
            </w:pPr>
          </w:p>
        </w:tc>
        <w:tc>
          <w:tcPr>
            <w:tcW w:w="50" w:type="pct"/>
            <w:shd w:val="clear" w:color="auto" w:fill="auto"/>
            <w:vAlign w:val="center"/>
          </w:tcPr>
          <w:p w14:paraId="54E90FB7" w14:textId="77777777" w:rsidR="00F427A3" w:rsidRDefault="00F427A3">
            <w:pPr>
              <w:rPr>
                <w:rFonts w:ascii="Times New Roman" w:hAnsi="Times New Roman"/>
                <w:sz w:val="20"/>
                <w:szCs w:val="20"/>
              </w:rPr>
            </w:pPr>
          </w:p>
        </w:tc>
        <w:tc>
          <w:tcPr>
            <w:tcW w:w="50" w:type="pct"/>
            <w:shd w:val="clear" w:color="auto" w:fill="auto"/>
            <w:vAlign w:val="center"/>
          </w:tcPr>
          <w:p w14:paraId="54E90FB8" w14:textId="77777777" w:rsidR="00F427A3" w:rsidRDefault="00F427A3">
            <w:pPr>
              <w:rPr>
                <w:rFonts w:ascii="Times New Roman" w:hAnsi="Times New Roman"/>
                <w:sz w:val="20"/>
                <w:szCs w:val="20"/>
              </w:rPr>
            </w:pPr>
          </w:p>
        </w:tc>
        <w:tc>
          <w:tcPr>
            <w:tcW w:w="550" w:type="pct"/>
            <w:shd w:val="clear" w:color="auto" w:fill="auto"/>
            <w:vAlign w:val="center"/>
          </w:tcPr>
          <w:p w14:paraId="54E90FB9" w14:textId="77777777" w:rsidR="00F427A3" w:rsidRDefault="00F427A3">
            <w:pPr>
              <w:rPr>
                <w:rFonts w:ascii="Times New Roman" w:hAnsi="Times New Roman"/>
                <w:sz w:val="20"/>
                <w:szCs w:val="20"/>
              </w:rPr>
            </w:pPr>
          </w:p>
        </w:tc>
        <w:tc>
          <w:tcPr>
            <w:tcW w:w="50" w:type="pct"/>
            <w:shd w:val="clear" w:color="auto" w:fill="auto"/>
            <w:vAlign w:val="center"/>
          </w:tcPr>
          <w:p w14:paraId="54E90FBA" w14:textId="77777777" w:rsidR="00F427A3" w:rsidRDefault="00F427A3">
            <w:pPr>
              <w:rPr>
                <w:rFonts w:ascii="Times New Roman" w:hAnsi="Times New Roman"/>
                <w:sz w:val="20"/>
                <w:szCs w:val="20"/>
              </w:rPr>
            </w:pPr>
          </w:p>
        </w:tc>
      </w:tr>
      <w:tr w:rsidR="00F427A3" w14:paraId="54E90FC0" w14:textId="77777777">
        <w:tc>
          <w:tcPr>
            <w:tcW w:w="0" w:type="auto"/>
            <w:shd w:val="clear" w:color="auto" w:fill="auto"/>
            <w:tcMar>
              <w:top w:w="40" w:type="dxa"/>
              <w:left w:w="40" w:type="dxa"/>
              <w:bottom w:w="40" w:type="dxa"/>
              <w:right w:w="40" w:type="dxa"/>
            </w:tcMar>
            <w:vAlign w:val="bottom"/>
          </w:tcPr>
          <w:p w14:paraId="54E90FB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0FBD"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Three Months Ended September 30,</w:t>
            </w:r>
          </w:p>
        </w:tc>
        <w:tc>
          <w:tcPr>
            <w:tcW w:w="0" w:type="auto"/>
            <w:shd w:val="clear" w:color="auto" w:fill="auto"/>
            <w:tcMar>
              <w:top w:w="40" w:type="dxa"/>
              <w:left w:w="40" w:type="dxa"/>
              <w:bottom w:w="40" w:type="dxa"/>
              <w:right w:w="40" w:type="dxa"/>
            </w:tcMar>
            <w:vAlign w:val="bottom"/>
          </w:tcPr>
          <w:p w14:paraId="54E90FB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0FBF"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Nine Months Ended September 30,</w:t>
            </w:r>
          </w:p>
        </w:tc>
      </w:tr>
      <w:tr w:rsidR="00F427A3" w14:paraId="54E90FC9" w14:textId="77777777">
        <w:tc>
          <w:tcPr>
            <w:tcW w:w="0" w:type="auto"/>
            <w:shd w:val="clear" w:color="auto" w:fill="auto"/>
            <w:tcMar>
              <w:top w:w="40" w:type="dxa"/>
              <w:left w:w="40" w:type="dxa"/>
              <w:bottom w:w="40" w:type="dxa"/>
              <w:right w:w="40" w:type="dxa"/>
            </w:tcMar>
            <w:vAlign w:val="bottom"/>
          </w:tcPr>
          <w:p w14:paraId="54E90FC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0FC2"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4E90FC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0FC4"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90FC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FC6"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4E90FC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0FC8"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F427A3" w14:paraId="54E90FCC" w14:textId="77777777">
        <w:tc>
          <w:tcPr>
            <w:tcW w:w="0" w:type="auto"/>
            <w:shd w:val="clear" w:color="auto" w:fill="auto"/>
            <w:tcMar>
              <w:top w:w="40" w:type="dxa"/>
              <w:left w:w="40" w:type="dxa"/>
              <w:bottom w:w="40" w:type="dxa"/>
              <w:right w:w="40" w:type="dxa"/>
            </w:tcMar>
            <w:vAlign w:val="bottom"/>
          </w:tcPr>
          <w:p w14:paraId="54E90FC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shd w:val="clear" w:color="auto" w:fill="auto"/>
            <w:tcMar>
              <w:top w:w="40" w:type="dxa"/>
              <w:left w:w="40" w:type="dxa"/>
              <w:bottom w:w="40" w:type="dxa"/>
            </w:tcMar>
            <w:vAlign w:val="bottom"/>
          </w:tcPr>
          <w:p w14:paraId="54E90FCB" w14:textId="77777777" w:rsidR="00F427A3" w:rsidRDefault="0044221F">
            <w:pPr>
              <w:jc w:val="center"/>
              <w:textAlignment w:val="bottom"/>
              <w:rPr>
                <w:rFonts w:ascii="Times New Roman" w:hAnsi="Times New Roman"/>
                <w:sz w:val="16"/>
                <w:szCs w:val="16"/>
              </w:rPr>
            </w:pPr>
            <w:r>
              <w:rPr>
                <w:rFonts w:ascii="Times New Roman" w:eastAsia="宋体" w:hAnsi="Times New Roman"/>
                <w:b/>
                <w:bCs/>
                <w:i/>
                <w:iCs/>
                <w:sz w:val="16"/>
                <w:szCs w:val="16"/>
              </w:rPr>
              <w:t>(in millions)</w:t>
            </w:r>
          </w:p>
        </w:tc>
      </w:tr>
      <w:tr w:rsidR="00F427A3" w14:paraId="54E90FDD" w14:textId="77777777">
        <w:tc>
          <w:tcPr>
            <w:tcW w:w="0" w:type="auto"/>
            <w:shd w:val="clear" w:color="auto" w:fill="CCEEFF"/>
            <w:tcMar>
              <w:top w:w="40" w:type="dxa"/>
              <w:left w:w="40" w:type="dxa"/>
              <w:bottom w:w="40" w:type="dxa"/>
              <w:right w:w="40" w:type="dxa"/>
            </w:tcMar>
          </w:tcPr>
          <w:p w14:paraId="54E90FCD"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Cost of revenue</w:t>
            </w:r>
          </w:p>
        </w:tc>
        <w:tc>
          <w:tcPr>
            <w:tcW w:w="0" w:type="auto"/>
            <w:shd w:val="clear" w:color="auto" w:fill="CCEEFF"/>
            <w:tcMar>
              <w:top w:w="40" w:type="dxa"/>
              <w:left w:w="40" w:type="dxa"/>
              <w:bottom w:w="40" w:type="dxa"/>
            </w:tcMar>
            <w:vAlign w:val="bottom"/>
          </w:tcPr>
          <w:p w14:paraId="54E90FC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FC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116</w:t>
            </w:r>
          </w:p>
        </w:tc>
        <w:tc>
          <w:tcPr>
            <w:tcW w:w="0" w:type="auto"/>
            <w:shd w:val="clear" w:color="auto" w:fill="CCEEFF"/>
            <w:vAlign w:val="bottom"/>
          </w:tcPr>
          <w:p w14:paraId="54E90FD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FD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FD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FD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91</w:t>
            </w:r>
          </w:p>
        </w:tc>
        <w:tc>
          <w:tcPr>
            <w:tcW w:w="0" w:type="auto"/>
            <w:shd w:val="clear" w:color="auto" w:fill="CCEEFF"/>
            <w:vAlign w:val="bottom"/>
          </w:tcPr>
          <w:p w14:paraId="54E90FD4"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FD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FD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FD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327</w:t>
            </w:r>
          </w:p>
        </w:tc>
        <w:tc>
          <w:tcPr>
            <w:tcW w:w="0" w:type="auto"/>
            <w:shd w:val="clear" w:color="auto" w:fill="CCEEFF"/>
            <w:vAlign w:val="bottom"/>
          </w:tcPr>
          <w:p w14:paraId="54E90FD8"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FD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0FD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0FD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287</w:t>
            </w:r>
          </w:p>
        </w:tc>
        <w:tc>
          <w:tcPr>
            <w:tcW w:w="0" w:type="auto"/>
            <w:shd w:val="clear" w:color="auto" w:fill="CCEEFF"/>
            <w:vAlign w:val="bottom"/>
          </w:tcPr>
          <w:p w14:paraId="54E90FDC" w14:textId="77777777" w:rsidR="00F427A3" w:rsidRDefault="00F427A3">
            <w:pPr>
              <w:textAlignment w:val="bottom"/>
              <w:rPr>
                <w:rFonts w:ascii="Times New Roman" w:hAnsi="Times New Roman"/>
                <w:sz w:val="20"/>
                <w:szCs w:val="20"/>
              </w:rPr>
            </w:pPr>
          </w:p>
        </w:tc>
      </w:tr>
      <w:tr w:rsidR="00F427A3" w14:paraId="54E90FEA" w14:textId="77777777">
        <w:tc>
          <w:tcPr>
            <w:tcW w:w="0" w:type="auto"/>
            <w:shd w:val="clear" w:color="auto" w:fill="auto"/>
            <w:tcMar>
              <w:top w:w="40" w:type="dxa"/>
              <w:left w:w="40" w:type="dxa"/>
              <w:bottom w:w="40" w:type="dxa"/>
              <w:right w:w="40" w:type="dxa"/>
            </w:tcMar>
          </w:tcPr>
          <w:p w14:paraId="54E90FDE"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auto"/>
            <w:tcMar>
              <w:top w:w="40" w:type="dxa"/>
              <w:left w:w="40" w:type="dxa"/>
              <w:bottom w:w="40" w:type="dxa"/>
            </w:tcMar>
            <w:vAlign w:val="bottom"/>
          </w:tcPr>
          <w:p w14:paraId="54E90FD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1,297</w:t>
            </w:r>
          </w:p>
        </w:tc>
        <w:tc>
          <w:tcPr>
            <w:tcW w:w="0" w:type="auto"/>
            <w:shd w:val="clear" w:color="auto" w:fill="auto"/>
            <w:vAlign w:val="bottom"/>
          </w:tcPr>
          <w:p w14:paraId="54E90FE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FE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FE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907</w:t>
            </w:r>
          </w:p>
        </w:tc>
        <w:tc>
          <w:tcPr>
            <w:tcW w:w="0" w:type="auto"/>
            <w:shd w:val="clear" w:color="auto" w:fill="auto"/>
            <w:vAlign w:val="bottom"/>
          </w:tcPr>
          <w:p w14:paraId="54E90FE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FE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FE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3,557</w:t>
            </w:r>
          </w:p>
        </w:tc>
        <w:tc>
          <w:tcPr>
            <w:tcW w:w="0" w:type="auto"/>
            <w:shd w:val="clear" w:color="auto" w:fill="auto"/>
            <w:vAlign w:val="bottom"/>
          </w:tcPr>
          <w:p w14:paraId="54E90FE6"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FE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FE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2,557</w:t>
            </w:r>
          </w:p>
        </w:tc>
        <w:tc>
          <w:tcPr>
            <w:tcW w:w="0" w:type="auto"/>
            <w:shd w:val="clear" w:color="auto" w:fill="auto"/>
            <w:vAlign w:val="bottom"/>
          </w:tcPr>
          <w:p w14:paraId="54E90FE9" w14:textId="77777777" w:rsidR="00F427A3" w:rsidRDefault="00F427A3">
            <w:pPr>
              <w:textAlignment w:val="bottom"/>
              <w:rPr>
                <w:rFonts w:ascii="Times New Roman" w:hAnsi="Times New Roman"/>
                <w:sz w:val="20"/>
                <w:szCs w:val="20"/>
              </w:rPr>
            </w:pPr>
          </w:p>
        </w:tc>
      </w:tr>
      <w:tr w:rsidR="00F427A3" w14:paraId="54E90FF7" w14:textId="77777777">
        <w:tc>
          <w:tcPr>
            <w:tcW w:w="0" w:type="auto"/>
            <w:shd w:val="clear" w:color="auto" w:fill="CCEEFF"/>
            <w:tcMar>
              <w:top w:w="40" w:type="dxa"/>
              <w:left w:w="40" w:type="dxa"/>
              <w:bottom w:w="40" w:type="dxa"/>
              <w:right w:w="40" w:type="dxa"/>
            </w:tcMar>
          </w:tcPr>
          <w:p w14:paraId="54E90FEB"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Marketing and sales</w:t>
            </w:r>
          </w:p>
        </w:tc>
        <w:tc>
          <w:tcPr>
            <w:tcW w:w="0" w:type="auto"/>
            <w:gridSpan w:val="2"/>
            <w:shd w:val="clear" w:color="auto" w:fill="CCEEFF"/>
            <w:tcMar>
              <w:top w:w="40" w:type="dxa"/>
              <w:left w:w="40" w:type="dxa"/>
              <w:bottom w:w="40" w:type="dxa"/>
            </w:tcMar>
            <w:vAlign w:val="bottom"/>
          </w:tcPr>
          <w:p w14:paraId="54E90FE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180</w:t>
            </w:r>
          </w:p>
        </w:tc>
        <w:tc>
          <w:tcPr>
            <w:tcW w:w="0" w:type="auto"/>
            <w:shd w:val="clear" w:color="auto" w:fill="CCEEFF"/>
            <w:vAlign w:val="bottom"/>
          </w:tcPr>
          <w:p w14:paraId="54E90FED"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FE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FE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148</w:t>
            </w:r>
          </w:p>
        </w:tc>
        <w:tc>
          <w:tcPr>
            <w:tcW w:w="0" w:type="auto"/>
            <w:shd w:val="clear" w:color="auto" w:fill="CCEEFF"/>
            <w:vAlign w:val="bottom"/>
          </w:tcPr>
          <w:p w14:paraId="54E90FF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FF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FF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516</w:t>
            </w:r>
          </w:p>
        </w:tc>
        <w:tc>
          <w:tcPr>
            <w:tcW w:w="0" w:type="auto"/>
            <w:shd w:val="clear" w:color="auto" w:fill="CCEEFF"/>
            <w:vAlign w:val="bottom"/>
          </w:tcPr>
          <w:p w14:paraId="54E90FF3"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0FF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0FF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421</w:t>
            </w:r>
          </w:p>
        </w:tc>
        <w:tc>
          <w:tcPr>
            <w:tcW w:w="0" w:type="auto"/>
            <w:shd w:val="clear" w:color="auto" w:fill="CCEEFF"/>
            <w:vAlign w:val="bottom"/>
          </w:tcPr>
          <w:p w14:paraId="54E90FF6" w14:textId="77777777" w:rsidR="00F427A3" w:rsidRDefault="00F427A3">
            <w:pPr>
              <w:textAlignment w:val="bottom"/>
              <w:rPr>
                <w:rFonts w:ascii="Times New Roman" w:hAnsi="Times New Roman"/>
                <w:sz w:val="20"/>
                <w:szCs w:val="20"/>
              </w:rPr>
            </w:pPr>
          </w:p>
        </w:tc>
      </w:tr>
      <w:tr w:rsidR="00F427A3" w14:paraId="54E91004" w14:textId="77777777">
        <w:tc>
          <w:tcPr>
            <w:tcW w:w="0" w:type="auto"/>
            <w:shd w:val="clear" w:color="auto" w:fill="auto"/>
            <w:tcMar>
              <w:top w:w="40" w:type="dxa"/>
              <w:left w:w="40" w:type="dxa"/>
              <w:bottom w:w="40" w:type="dxa"/>
              <w:right w:w="40" w:type="dxa"/>
            </w:tcMar>
          </w:tcPr>
          <w:p w14:paraId="54E90FF8"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General and administrative</w:t>
            </w:r>
          </w:p>
        </w:tc>
        <w:tc>
          <w:tcPr>
            <w:tcW w:w="0" w:type="auto"/>
            <w:gridSpan w:val="2"/>
            <w:tcBorders>
              <w:bottom w:val="single" w:sz="8" w:space="0" w:color="000000"/>
            </w:tcBorders>
            <w:shd w:val="clear" w:color="auto" w:fill="auto"/>
            <w:tcMar>
              <w:top w:w="40" w:type="dxa"/>
              <w:left w:w="40" w:type="dxa"/>
              <w:bottom w:w="40" w:type="dxa"/>
            </w:tcMar>
            <w:vAlign w:val="bottom"/>
          </w:tcPr>
          <w:p w14:paraId="54E90FF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129</w:t>
            </w:r>
          </w:p>
        </w:tc>
        <w:tc>
          <w:tcPr>
            <w:tcW w:w="0" w:type="auto"/>
            <w:tcBorders>
              <w:bottom w:val="single" w:sz="8" w:space="0" w:color="000000"/>
            </w:tcBorders>
            <w:shd w:val="clear" w:color="auto" w:fill="auto"/>
            <w:vAlign w:val="bottom"/>
          </w:tcPr>
          <w:p w14:paraId="54E90FFA"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FF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0FF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103</w:t>
            </w:r>
          </w:p>
        </w:tc>
        <w:tc>
          <w:tcPr>
            <w:tcW w:w="0" w:type="auto"/>
            <w:tcBorders>
              <w:bottom w:val="single" w:sz="8" w:space="0" w:color="000000"/>
            </w:tcBorders>
            <w:shd w:val="clear" w:color="auto" w:fill="auto"/>
            <w:vAlign w:val="bottom"/>
          </w:tcPr>
          <w:p w14:paraId="54E90FF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0FF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0FF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352</w:t>
            </w:r>
          </w:p>
        </w:tc>
        <w:tc>
          <w:tcPr>
            <w:tcW w:w="0" w:type="auto"/>
            <w:shd w:val="clear" w:color="auto" w:fill="auto"/>
            <w:vAlign w:val="bottom"/>
          </w:tcPr>
          <w:p w14:paraId="54E9100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00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00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297</w:t>
            </w:r>
          </w:p>
        </w:tc>
        <w:tc>
          <w:tcPr>
            <w:tcW w:w="0" w:type="auto"/>
            <w:shd w:val="clear" w:color="auto" w:fill="auto"/>
            <w:vAlign w:val="bottom"/>
          </w:tcPr>
          <w:p w14:paraId="54E91003" w14:textId="77777777" w:rsidR="00F427A3" w:rsidRDefault="00F427A3">
            <w:pPr>
              <w:textAlignment w:val="bottom"/>
              <w:rPr>
                <w:rFonts w:ascii="Times New Roman" w:hAnsi="Times New Roman"/>
                <w:sz w:val="20"/>
                <w:szCs w:val="20"/>
              </w:rPr>
            </w:pPr>
          </w:p>
        </w:tc>
      </w:tr>
      <w:tr w:rsidR="00F427A3" w14:paraId="54E91015" w14:textId="77777777">
        <w:tc>
          <w:tcPr>
            <w:tcW w:w="0" w:type="auto"/>
            <w:shd w:val="clear" w:color="auto" w:fill="CCEEFF"/>
            <w:tcMar>
              <w:top w:w="40" w:type="dxa"/>
              <w:left w:w="400" w:type="dxa"/>
              <w:bottom w:w="40" w:type="dxa"/>
              <w:right w:w="40" w:type="dxa"/>
            </w:tcMar>
          </w:tcPr>
          <w:p w14:paraId="54E91005"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Total share-based compensation expense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100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100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1,722</w:t>
            </w:r>
          </w:p>
        </w:tc>
        <w:tc>
          <w:tcPr>
            <w:tcW w:w="0" w:type="auto"/>
            <w:tcBorders>
              <w:top w:val="single" w:sz="8" w:space="0" w:color="000000"/>
              <w:bottom w:val="double" w:sz="6" w:space="0" w:color="000000"/>
            </w:tcBorders>
            <w:shd w:val="clear" w:color="auto" w:fill="CCEEFF"/>
            <w:vAlign w:val="bottom"/>
          </w:tcPr>
          <w:p w14:paraId="54E91008"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00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100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100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1,249</w:t>
            </w:r>
          </w:p>
        </w:tc>
        <w:tc>
          <w:tcPr>
            <w:tcW w:w="0" w:type="auto"/>
            <w:tcBorders>
              <w:top w:val="single" w:sz="8" w:space="0" w:color="000000"/>
              <w:bottom w:val="double" w:sz="6" w:space="0" w:color="000000"/>
            </w:tcBorders>
            <w:shd w:val="clear" w:color="auto" w:fill="CCEEFF"/>
            <w:vAlign w:val="bottom"/>
          </w:tcPr>
          <w:p w14:paraId="54E9100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00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100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100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4,752</w:t>
            </w:r>
          </w:p>
        </w:tc>
        <w:tc>
          <w:tcPr>
            <w:tcW w:w="0" w:type="auto"/>
            <w:tcBorders>
              <w:top w:val="single" w:sz="8" w:space="0" w:color="000000"/>
              <w:bottom w:val="double" w:sz="6" w:space="0" w:color="000000"/>
            </w:tcBorders>
            <w:shd w:val="clear" w:color="auto" w:fill="CCEEFF"/>
            <w:vAlign w:val="bottom"/>
          </w:tcPr>
          <w:p w14:paraId="54E9101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01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101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101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3,562</w:t>
            </w:r>
          </w:p>
        </w:tc>
        <w:tc>
          <w:tcPr>
            <w:tcW w:w="0" w:type="auto"/>
            <w:tcBorders>
              <w:top w:val="single" w:sz="8" w:space="0" w:color="000000"/>
              <w:bottom w:val="double" w:sz="6" w:space="0" w:color="000000"/>
            </w:tcBorders>
            <w:shd w:val="clear" w:color="auto" w:fill="CCEEFF"/>
            <w:vAlign w:val="bottom"/>
          </w:tcPr>
          <w:p w14:paraId="54E91014" w14:textId="77777777" w:rsidR="00F427A3" w:rsidRDefault="00F427A3">
            <w:pPr>
              <w:textAlignment w:val="bottom"/>
              <w:rPr>
                <w:rFonts w:ascii="Times New Roman" w:hAnsi="Times New Roman"/>
                <w:sz w:val="20"/>
                <w:szCs w:val="20"/>
              </w:rPr>
            </w:pPr>
          </w:p>
        </w:tc>
      </w:tr>
    </w:tbl>
    <w:p w14:paraId="54E91016" w14:textId="77777777" w:rsidR="00F427A3" w:rsidRDefault="0044221F">
      <w:pPr>
        <w:spacing w:line="288" w:lineRule="auto"/>
        <w:ind w:firstLine="640"/>
        <w:jc w:val="both"/>
        <w:rPr>
          <w:rFonts w:ascii="Times New Roman" w:hAnsi="Times New Roman"/>
          <w:sz w:val="20"/>
          <w:szCs w:val="20"/>
        </w:rPr>
      </w:pPr>
      <w:r>
        <w:rPr>
          <w:rFonts w:ascii="Times New Roman" w:eastAsia="宋体" w:hAnsi="Times New Roman"/>
          <w:sz w:val="20"/>
          <w:szCs w:val="20"/>
        </w:rPr>
        <w:t>Share-based compensation expense included in costs and expenses (as a percentage of revenue)</w:t>
      </w:r>
      <w:r>
        <w:rPr>
          <w:rFonts w:ascii="Times New Roman" w:eastAsia="宋体" w:hAnsi="Times New Roman"/>
          <w:sz w:val="14"/>
          <w:szCs w:val="14"/>
        </w:rPr>
        <w:t>(1)</w:t>
      </w:r>
      <w:r>
        <w:rPr>
          <w:rFonts w:ascii="Times New Roman" w:eastAsia="宋体" w:hAnsi="Times New Roman"/>
          <w:sz w:val="20"/>
          <w:szCs w:val="20"/>
        </w:rPr>
        <w:t>:</w:t>
      </w:r>
      <w:r>
        <w:rPr>
          <w:rFonts w:ascii="Times New Roman" w:eastAsia="宋体" w:hAnsi="Times New Roman"/>
          <w:sz w:val="18"/>
          <w:szCs w:val="18"/>
        </w:rPr>
        <w:t> </w:t>
      </w:r>
    </w:p>
    <w:tbl>
      <w:tblPr>
        <w:tblW w:w="4960" w:type="pct"/>
        <w:tblCellMar>
          <w:left w:w="0" w:type="dxa"/>
          <w:right w:w="0" w:type="dxa"/>
        </w:tblCellMar>
        <w:tblLook w:val="04A0" w:firstRow="1" w:lastRow="0" w:firstColumn="1" w:lastColumn="0" w:noHBand="0" w:noVBand="1"/>
      </w:tblPr>
      <w:tblGrid>
        <w:gridCol w:w="3578"/>
        <w:gridCol w:w="860"/>
        <w:gridCol w:w="208"/>
        <w:gridCol w:w="130"/>
        <w:gridCol w:w="860"/>
        <w:gridCol w:w="208"/>
        <w:gridCol w:w="130"/>
        <w:gridCol w:w="860"/>
        <w:gridCol w:w="208"/>
        <w:gridCol w:w="130"/>
        <w:gridCol w:w="860"/>
        <w:gridCol w:w="208"/>
      </w:tblGrid>
      <w:tr w:rsidR="00F427A3" w14:paraId="54E91018" w14:textId="77777777">
        <w:tc>
          <w:tcPr>
            <w:tcW w:w="0" w:type="auto"/>
            <w:gridSpan w:val="12"/>
            <w:shd w:val="clear" w:color="auto" w:fill="auto"/>
            <w:vAlign w:val="center"/>
          </w:tcPr>
          <w:p w14:paraId="54E91017" w14:textId="77777777" w:rsidR="00F427A3" w:rsidRDefault="00F427A3">
            <w:pPr>
              <w:rPr>
                <w:rFonts w:ascii="Times New Roman" w:hAnsi="Times New Roman"/>
                <w:sz w:val="20"/>
                <w:szCs w:val="20"/>
              </w:rPr>
            </w:pPr>
          </w:p>
        </w:tc>
      </w:tr>
      <w:tr w:rsidR="00F427A3" w14:paraId="54E91025" w14:textId="77777777">
        <w:tc>
          <w:tcPr>
            <w:tcW w:w="2250" w:type="pct"/>
            <w:shd w:val="clear" w:color="auto" w:fill="auto"/>
            <w:vAlign w:val="center"/>
          </w:tcPr>
          <w:p w14:paraId="54E91019" w14:textId="77777777" w:rsidR="00F427A3" w:rsidRDefault="00F427A3">
            <w:pPr>
              <w:rPr>
                <w:rFonts w:ascii="Times New Roman" w:hAnsi="Times New Roman"/>
                <w:sz w:val="20"/>
                <w:szCs w:val="20"/>
              </w:rPr>
            </w:pPr>
          </w:p>
        </w:tc>
        <w:tc>
          <w:tcPr>
            <w:tcW w:w="600" w:type="pct"/>
            <w:shd w:val="clear" w:color="auto" w:fill="auto"/>
            <w:vAlign w:val="center"/>
          </w:tcPr>
          <w:p w14:paraId="54E9101A" w14:textId="77777777" w:rsidR="00F427A3" w:rsidRDefault="00F427A3">
            <w:pPr>
              <w:rPr>
                <w:rFonts w:ascii="Times New Roman" w:hAnsi="Times New Roman"/>
                <w:sz w:val="20"/>
                <w:szCs w:val="20"/>
              </w:rPr>
            </w:pPr>
          </w:p>
        </w:tc>
        <w:tc>
          <w:tcPr>
            <w:tcW w:w="50" w:type="pct"/>
            <w:shd w:val="clear" w:color="auto" w:fill="auto"/>
            <w:vAlign w:val="center"/>
          </w:tcPr>
          <w:p w14:paraId="54E9101B" w14:textId="77777777" w:rsidR="00F427A3" w:rsidRDefault="00F427A3">
            <w:pPr>
              <w:rPr>
                <w:rFonts w:ascii="Times New Roman" w:hAnsi="Times New Roman"/>
                <w:sz w:val="20"/>
                <w:szCs w:val="20"/>
              </w:rPr>
            </w:pPr>
          </w:p>
        </w:tc>
        <w:tc>
          <w:tcPr>
            <w:tcW w:w="50" w:type="pct"/>
            <w:shd w:val="clear" w:color="auto" w:fill="auto"/>
            <w:vAlign w:val="center"/>
          </w:tcPr>
          <w:p w14:paraId="54E9101C" w14:textId="77777777" w:rsidR="00F427A3" w:rsidRDefault="00F427A3">
            <w:pPr>
              <w:rPr>
                <w:rFonts w:ascii="Times New Roman" w:hAnsi="Times New Roman"/>
                <w:sz w:val="20"/>
                <w:szCs w:val="20"/>
              </w:rPr>
            </w:pPr>
          </w:p>
        </w:tc>
        <w:tc>
          <w:tcPr>
            <w:tcW w:w="600" w:type="pct"/>
            <w:shd w:val="clear" w:color="auto" w:fill="auto"/>
            <w:vAlign w:val="center"/>
          </w:tcPr>
          <w:p w14:paraId="54E9101D" w14:textId="77777777" w:rsidR="00F427A3" w:rsidRDefault="00F427A3">
            <w:pPr>
              <w:rPr>
                <w:rFonts w:ascii="Times New Roman" w:hAnsi="Times New Roman"/>
                <w:sz w:val="20"/>
                <w:szCs w:val="20"/>
              </w:rPr>
            </w:pPr>
          </w:p>
        </w:tc>
        <w:tc>
          <w:tcPr>
            <w:tcW w:w="50" w:type="pct"/>
            <w:shd w:val="clear" w:color="auto" w:fill="auto"/>
            <w:vAlign w:val="center"/>
          </w:tcPr>
          <w:p w14:paraId="54E9101E" w14:textId="77777777" w:rsidR="00F427A3" w:rsidRDefault="00F427A3">
            <w:pPr>
              <w:rPr>
                <w:rFonts w:ascii="Times New Roman" w:hAnsi="Times New Roman"/>
                <w:sz w:val="20"/>
                <w:szCs w:val="20"/>
              </w:rPr>
            </w:pPr>
          </w:p>
        </w:tc>
        <w:tc>
          <w:tcPr>
            <w:tcW w:w="50" w:type="pct"/>
            <w:shd w:val="clear" w:color="auto" w:fill="auto"/>
            <w:vAlign w:val="center"/>
          </w:tcPr>
          <w:p w14:paraId="54E9101F" w14:textId="77777777" w:rsidR="00F427A3" w:rsidRDefault="00F427A3">
            <w:pPr>
              <w:rPr>
                <w:rFonts w:ascii="Times New Roman" w:hAnsi="Times New Roman"/>
                <w:sz w:val="20"/>
                <w:szCs w:val="20"/>
              </w:rPr>
            </w:pPr>
          </w:p>
        </w:tc>
        <w:tc>
          <w:tcPr>
            <w:tcW w:w="600" w:type="pct"/>
            <w:shd w:val="clear" w:color="auto" w:fill="auto"/>
            <w:vAlign w:val="center"/>
          </w:tcPr>
          <w:p w14:paraId="54E91020" w14:textId="77777777" w:rsidR="00F427A3" w:rsidRDefault="00F427A3">
            <w:pPr>
              <w:rPr>
                <w:rFonts w:ascii="Times New Roman" w:hAnsi="Times New Roman"/>
                <w:sz w:val="20"/>
                <w:szCs w:val="20"/>
              </w:rPr>
            </w:pPr>
          </w:p>
        </w:tc>
        <w:tc>
          <w:tcPr>
            <w:tcW w:w="50" w:type="pct"/>
            <w:shd w:val="clear" w:color="auto" w:fill="auto"/>
            <w:vAlign w:val="center"/>
          </w:tcPr>
          <w:p w14:paraId="54E91021" w14:textId="77777777" w:rsidR="00F427A3" w:rsidRDefault="00F427A3">
            <w:pPr>
              <w:rPr>
                <w:rFonts w:ascii="Times New Roman" w:hAnsi="Times New Roman"/>
                <w:sz w:val="20"/>
                <w:szCs w:val="20"/>
              </w:rPr>
            </w:pPr>
          </w:p>
        </w:tc>
        <w:tc>
          <w:tcPr>
            <w:tcW w:w="50" w:type="pct"/>
            <w:shd w:val="clear" w:color="auto" w:fill="auto"/>
            <w:vAlign w:val="center"/>
          </w:tcPr>
          <w:p w14:paraId="54E91022" w14:textId="77777777" w:rsidR="00F427A3" w:rsidRDefault="00F427A3">
            <w:pPr>
              <w:rPr>
                <w:rFonts w:ascii="Times New Roman" w:hAnsi="Times New Roman"/>
                <w:sz w:val="20"/>
                <w:szCs w:val="20"/>
              </w:rPr>
            </w:pPr>
          </w:p>
        </w:tc>
        <w:tc>
          <w:tcPr>
            <w:tcW w:w="600" w:type="pct"/>
            <w:shd w:val="clear" w:color="auto" w:fill="auto"/>
            <w:vAlign w:val="center"/>
          </w:tcPr>
          <w:p w14:paraId="54E91023" w14:textId="77777777" w:rsidR="00F427A3" w:rsidRDefault="00F427A3">
            <w:pPr>
              <w:rPr>
                <w:rFonts w:ascii="Times New Roman" w:hAnsi="Times New Roman"/>
                <w:sz w:val="20"/>
                <w:szCs w:val="20"/>
              </w:rPr>
            </w:pPr>
          </w:p>
        </w:tc>
        <w:tc>
          <w:tcPr>
            <w:tcW w:w="50" w:type="pct"/>
            <w:shd w:val="clear" w:color="auto" w:fill="auto"/>
            <w:vAlign w:val="center"/>
          </w:tcPr>
          <w:p w14:paraId="54E91024" w14:textId="77777777" w:rsidR="00F427A3" w:rsidRDefault="00F427A3">
            <w:pPr>
              <w:rPr>
                <w:rFonts w:ascii="Times New Roman" w:hAnsi="Times New Roman"/>
                <w:sz w:val="20"/>
                <w:szCs w:val="20"/>
              </w:rPr>
            </w:pPr>
          </w:p>
        </w:tc>
      </w:tr>
      <w:tr w:rsidR="00F427A3" w14:paraId="54E9102A" w14:textId="77777777">
        <w:tc>
          <w:tcPr>
            <w:tcW w:w="0" w:type="auto"/>
            <w:shd w:val="clear" w:color="auto" w:fill="auto"/>
            <w:tcMar>
              <w:top w:w="40" w:type="dxa"/>
              <w:left w:w="40" w:type="dxa"/>
              <w:bottom w:w="40" w:type="dxa"/>
              <w:right w:w="40" w:type="dxa"/>
            </w:tcMar>
            <w:vAlign w:val="bottom"/>
          </w:tcPr>
          <w:p w14:paraId="54E9102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54E91027"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Three Months Ended September 30,</w:t>
            </w:r>
          </w:p>
        </w:tc>
        <w:tc>
          <w:tcPr>
            <w:tcW w:w="0" w:type="auto"/>
            <w:shd w:val="clear" w:color="auto" w:fill="auto"/>
            <w:tcMar>
              <w:top w:w="40" w:type="dxa"/>
              <w:left w:w="40" w:type="dxa"/>
              <w:bottom w:w="40" w:type="dxa"/>
              <w:right w:w="40" w:type="dxa"/>
            </w:tcMar>
            <w:vAlign w:val="bottom"/>
          </w:tcPr>
          <w:p w14:paraId="54E9102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54E91029"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Nine Months Ended September 30,</w:t>
            </w:r>
          </w:p>
        </w:tc>
      </w:tr>
      <w:tr w:rsidR="00F427A3" w14:paraId="54E91033" w14:textId="77777777">
        <w:tc>
          <w:tcPr>
            <w:tcW w:w="0" w:type="auto"/>
            <w:shd w:val="clear" w:color="auto" w:fill="auto"/>
            <w:tcMar>
              <w:top w:w="40" w:type="dxa"/>
              <w:left w:w="40" w:type="dxa"/>
              <w:bottom w:w="40" w:type="dxa"/>
              <w:right w:w="40" w:type="dxa"/>
            </w:tcMar>
            <w:vAlign w:val="bottom"/>
          </w:tcPr>
          <w:p w14:paraId="54E9102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02C"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54E9102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02E"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9102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030"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54E9103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032"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F427A3" w14:paraId="54E91040" w14:textId="77777777">
        <w:tc>
          <w:tcPr>
            <w:tcW w:w="0" w:type="auto"/>
            <w:shd w:val="clear" w:color="auto" w:fill="CCEEFF"/>
            <w:tcMar>
              <w:top w:w="40" w:type="dxa"/>
              <w:left w:w="40" w:type="dxa"/>
              <w:bottom w:w="40" w:type="dxa"/>
              <w:right w:w="40" w:type="dxa"/>
            </w:tcMar>
          </w:tcPr>
          <w:p w14:paraId="54E91034"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Cost of revenue</w:t>
            </w:r>
          </w:p>
        </w:tc>
        <w:tc>
          <w:tcPr>
            <w:tcW w:w="0" w:type="auto"/>
            <w:shd w:val="clear" w:color="auto" w:fill="CCEEFF"/>
            <w:tcMar>
              <w:top w:w="40" w:type="dxa"/>
              <w:left w:w="40" w:type="dxa"/>
              <w:bottom w:w="40" w:type="dxa"/>
            </w:tcMar>
            <w:vAlign w:val="bottom"/>
          </w:tcPr>
          <w:p w14:paraId="54E9103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54E9103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103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03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54E9103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103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03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54E9103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103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03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54E9103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104D" w14:textId="77777777">
        <w:tc>
          <w:tcPr>
            <w:tcW w:w="0" w:type="auto"/>
            <w:shd w:val="clear" w:color="auto" w:fill="auto"/>
            <w:tcMar>
              <w:top w:w="40" w:type="dxa"/>
              <w:left w:w="40" w:type="dxa"/>
              <w:bottom w:w="40" w:type="dxa"/>
              <w:right w:w="40" w:type="dxa"/>
            </w:tcMar>
          </w:tcPr>
          <w:p w14:paraId="54E91041"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Research and development</w:t>
            </w:r>
          </w:p>
        </w:tc>
        <w:tc>
          <w:tcPr>
            <w:tcW w:w="0" w:type="auto"/>
            <w:shd w:val="clear" w:color="auto" w:fill="auto"/>
            <w:tcMar>
              <w:top w:w="40" w:type="dxa"/>
              <w:left w:w="40" w:type="dxa"/>
              <w:bottom w:w="40" w:type="dxa"/>
            </w:tcMar>
            <w:vAlign w:val="bottom"/>
          </w:tcPr>
          <w:p w14:paraId="54E9104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vAlign w:val="bottom"/>
          </w:tcPr>
          <w:p w14:paraId="54E9104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04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104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vAlign w:val="bottom"/>
          </w:tcPr>
          <w:p w14:paraId="54E91046"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04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104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vAlign w:val="bottom"/>
          </w:tcPr>
          <w:p w14:paraId="54E91049"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04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104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vAlign w:val="bottom"/>
          </w:tcPr>
          <w:p w14:paraId="54E9104C" w14:textId="77777777" w:rsidR="00F427A3" w:rsidRDefault="00F427A3">
            <w:pPr>
              <w:textAlignment w:val="bottom"/>
              <w:rPr>
                <w:rFonts w:ascii="Times New Roman" w:hAnsi="Times New Roman"/>
                <w:sz w:val="20"/>
                <w:szCs w:val="20"/>
              </w:rPr>
            </w:pPr>
          </w:p>
        </w:tc>
      </w:tr>
      <w:tr w:rsidR="00F427A3" w14:paraId="54E9105A" w14:textId="77777777">
        <w:tc>
          <w:tcPr>
            <w:tcW w:w="0" w:type="auto"/>
            <w:shd w:val="clear" w:color="auto" w:fill="CCEEFF"/>
            <w:tcMar>
              <w:top w:w="40" w:type="dxa"/>
              <w:left w:w="40" w:type="dxa"/>
              <w:bottom w:w="40" w:type="dxa"/>
              <w:right w:w="40" w:type="dxa"/>
            </w:tcMar>
          </w:tcPr>
          <w:p w14:paraId="54E9104E"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Marketing and sales</w:t>
            </w:r>
          </w:p>
        </w:tc>
        <w:tc>
          <w:tcPr>
            <w:tcW w:w="0" w:type="auto"/>
            <w:shd w:val="clear" w:color="auto" w:fill="CCEEFF"/>
            <w:tcMar>
              <w:top w:w="40" w:type="dxa"/>
              <w:left w:w="40" w:type="dxa"/>
              <w:bottom w:w="40" w:type="dxa"/>
            </w:tcMar>
            <w:vAlign w:val="bottom"/>
          </w:tcPr>
          <w:p w14:paraId="54E9104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4E9105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05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05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4E91053"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05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05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4E9105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05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05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4E91059" w14:textId="77777777" w:rsidR="00F427A3" w:rsidRDefault="00F427A3">
            <w:pPr>
              <w:textAlignment w:val="bottom"/>
              <w:rPr>
                <w:rFonts w:ascii="Times New Roman" w:hAnsi="Times New Roman"/>
                <w:sz w:val="20"/>
                <w:szCs w:val="20"/>
              </w:rPr>
            </w:pPr>
          </w:p>
        </w:tc>
      </w:tr>
      <w:tr w:rsidR="00F427A3" w14:paraId="54E91067" w14:textId="77777777">
        <w:tc>
          <w:tcPr>
            <w:tcW w:w="0" w:type="auto"/>
            <w:shd w:val="clear" w:color="auto" w:fill="auto"/>
            <w:tcMar>
              <w:top w:w="40" w:type="dxa"/>
              <w:left w:w="40" w:type="dxa"/>
              <w:bottom w:w="40" w:type="dxa"/>
              <w:right w:w="40" w:type="dxa"/>
            </w:tcMar>
          </w:tcPr>
          <w:p w14:paraId="54E9105B"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General and administrative</w:t>
            </w:r>
          </w:p>
        </w:tc>
        <w:tc>
          <w:tcPr>
            <w:tcW w:w="0" w:type="auto"/>
            <w:tcBorders>
              <w:bottom w:val="single" w:sz="8" w:space="0" w:color="000000"/>
            </w:tcBorders>
            <w:shd w:val="clear" w:color="auto" w:fill="auto"/>
            <w:tcMar>
              <w:top w:w="40" w:type="dxa"/>
              <w:left w:w="40" w:type="dxa"/>
              <w:bottom w:w="40" w:type="dxa"/>
            </w:tcMar>
            <w:vAlign w:val="bottom"/>
          </w:tcPr>
          <w:p w14:paraId="54E9105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vAlign w:val="bottom"/>
          </w:tcPr>
          <w:p w14:paraId="54E9105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05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4E9105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vAlign w:val="bottom"/>
          </w:tcPr>
          <w:p w14:paraId="54E91060"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06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4E9106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vAlign w:val="bottom"/>
          </w:tcPr>
          <w:p w14:paraId="54E9106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06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4E9106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vAlign w:val="bottom"/>
          </w:tcPr>
          <w:p w14:paraId="54E91066" w14:textId="77777777" w:rsidR="00F427A3" w:rsidRDefault="00F427A3">
            <w:pPr>
              <w:textAlignment w:val="bottom"/>
              <w:rPr>
                <w:rFonts w:ascii="Times New Roman" w:hAnsi="Times New Roman"/>
                <w:sz w:val="20"/>
                <w:szCs w:val="20"/>
              </w:rPr>
            </w:pPr>
          </w:p>
        </w:tc>
      </w:tr>
      <w:tr w:rsidR="00F427A3" w14:paraId="54E91074" w14:textId="77777777">
        <w:tc>
          <w:tcPr>
            <w:tcW w:w="0" w:type="auto"/>
            <w:shd w:val="clear" w:color="auto" w:fill="CCEEFF"/>
            <w:tcMar>
              <w:top w:w="40" w:type="dxa"/>
              <w:left w:w="400" w:type="dxa"/>
              <w:bottom w:w="40" w:type="dxa"/>
              <w:right w:w="40" w:type="dxa"/>
            </w:tcMar>
          </w:tcPr>
          <w:p w14:paraId="54E91068"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Total share-based compensation expense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106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4E9106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106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106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4E9106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106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106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4E9107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107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107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4E9107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bl>
    <w:p w14:paraId="54E91075" w14:textId="77777777" w:rsidR="00F427A3" w:rsidRDefault="0044221F">
      <w:pPr>
        <w:spacing w:line="288" w:lineRule="auto"/>
        <w:rPr>
          <w:rFonts w:ascii="Times New Roman" w:hAnsi="Times New Roman"/>
          <w:sz w:val="12"/>
          <w:szCs w:val="12"/>
        </w:rPr>
      </w:pPr>
      <w:r>
        <w:rPr>
          <w:rFonts w:ascii="Times New Roman" w:eastAsia="宋体" w:hAnsi="Times New Roman"/>
          <w:sz w:val="12"/>
          <w:szCs w:val="12"/>
        </w:rPr>
        <w:t>____________________________________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003"/>
      </w:tblGrid>
      <w:tr w:rsidR="00F427A3" w14:paraId="54E91078" w14:textId="77777777">
        <w:trPr>
          <w:tblCellSpacing w:w="0" w:type="dxa"/>
        </w:trPr>
        <w:tc>
          <w:tcPr>
            <w:tcW w:w="480" w:type="dxa"/>
            <w:shd w:val="clear" w:color="auto" w:fill="auto"/>
            <w:vAlign w:val="center"/>
          </w:tcPr>
          <w:p w14:paraId="54E91076" w14:textId="77777777" w:rsidR="00F427A3" w:rsidRDefault="00F427A3">
            <w:pPr>
              <w:rPr>
                <w:rFonts w:ascii="Times New Roman" w:hAnsi="Times New Roman"/>
                <w:sz w:val="20"/>
                <w:szCs w:val="20"/>
              </w:rPr>
            </w:pPr>
          </w:p>
        </w:tc>
        <w:tc>
          <w:tcPr>
            <w:tcW w:w="0" w:type="auto"/>
            <w:shd w:val="clear" w:color="auto" w:fill="auto"/>
            <w:vAlign w:val="center"/>
          </w:tcPr>
          <w:p w14:paraId="54E91077" w14:textId="77777777" w:rsidR="00F427A3" w:rsidRDefault="00F427A3">
            <w:pPr>
              <w:rPr>
                <w:rFonts w:ascii="Times New Roman" w:hAnsi="Times New Roman"/>
                <w:sz w:val="20"/>
                <w:szCs w:val="20"/>
              </w:rPr>
            </w:pPr>
          </w:p>
        </w:tc>
      </w:tr>
      <w:tr w:rsidR="00F427A3" w14:paraId="54E9107B" w14:textId="77777777">
        <w:trPr>
          <w:tblCellSpacing w:w="0" w:type="dxa"/>
        </w:trPr>
        <w:tc>
          <w:tcPr>
            <w:tcW w:w="0" w:type="auto"/>
            <w:shd w:val="clear" w:color="auto" w:fill="auto"/>
          </w:tcPr>
          <w:p w14:paraId="54E91079" w14:textId="77777777" w:rsidR="00F427A3" w:rsidRDefault="0044221F">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54E9107A" w14:textId="77777777" w:rsidR="00F427A3" w:rsidRDefault="0044221F">
            <w:pPr>
              <w:spacing w:line="288" w:lineRule="auto"/>
              <w:jc w:val="both"/>
              <w:textAlignment w:val="top"/>
              <w:rPr>
                <w:rFonts w:ascii="Times New Roman" w:hAnsi="Times New Roman"/>
                <w:sz w:val="18"/>
                <w:szCs w:val="18"/>
              </w:rPr>
            </w:pPr>
            <w:r>
              <w:rPr>
                <w:rFonts w:ascii="Times New Roman" w:eastAsia="宋体" w:hAnsi="Times New Roman"/>
                <w:sz w:val="18"/>
                <w:szCs w:val="18"/>
              </w:rPr>
              <w:t>Percentages have been rounded for presentation purposes and may differ from unrounded results.</w:t>
            </w:r>
          </w:p>
        </w:tc>
      </w:tr>
    </w:tbl>
    <w:p w14:paraId="54E9107C"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Three and Nine Months Ended September 30,</w:t>
      </w:r>
      <w:r>
        <w:rPr>
          <w:rFonts w:ascii="Times New Roman" w:eastAsia="宋体" w:hAnsi="Times New Roman"/>
          <w:sz w:val="20"/>
          <w:szCs w:val="20"/>
        </w:rPr>
        <w:t xml:space="preserve"> </w:t>
      </w:r>
      <w:r>
        <w:rPr>
          <w:rFonts w:ascii="Times New Roman" w:eastAsia="宋体" w:hAnsi="Times New Roman"/>
          <w:b/>
          <w:bCs/>
          <w:sz w:val="20"/>
          <w:szCs w:val="20"/>
        </w:rPr>
        <w:t>2020 and 2019</w:t>
      </w:r>
    </w:p>
    <w:p w14:paraId="54E9107D" w14:textId="77777777" w:rsidR="00F427A3" w:rsidRDefault="0044221F">
      <w:pPr>
        <w:spacing w:line="288" w:lineRule="auto"/>
        <w:rPr>
          <w:rFonts w:ascii="Times New Roman" w:hAnsi="Times New Roman"/>
          <w:sz w:val="20"/>
          <w:szCs w:val="20"/>
        </w:rPr>
      </w:pPr>
      <w:r>
        <w:rPr>
          <w:rFonts w:ascii="Times New Roman" w:eastAsia="宋体" w:hAnsi="Times New Roman"/>
          <w:b/>
          <w:bCs/>
          <w:i/>
          <w:iCs/>
          <w:sz w:val="20"/>
          <w:szCs w:val="20"/>
        </w:rPr>
        <w:t>Revenue</w:t>
      </w: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2172"/>
        <w:gridCol w:w="140"/>
        <w:gridCol w:w="843"/>
        <w:gridCol w:w="12"/>
        <w:gridCol w:w="130"/>
        <w:gridCol w:w="140"/>
        <w:gridCol w:w="843"/>
        <w:gridCol w:w="12"/>
        <w:gridCol w:w="130"/>
        <w:gridCol w:w="510"/>
        <w:gridCol w:w="274"/>
        <w:gridCol w:w="130"/>
        <w:gridCol w:w="140"/>
        <w:gridCol w:w="843"/>
        <w:gridCol w:w="12"/>
        <w:gridCol w:w="130"/>
        <w:gridCol w:w="140"/>
        <w:gridCol w:w="844"/>
        <w:gridCol w:w="13"/>
        <w:gridCol w:w="130"/>
        <w:gridCol w:w="511"/>
        <w:gridCol w:w="207"/>
      </w:tblGrid>
      <w:tr w:rsidR="00F427A3" w14:paraId="54E9107F" w14:textId="77777777">
        <w:tc>
          <w:tcPr>
            <w:tcW w:w="0" w:type="auto"/>
            <w:gridSpan w:val="22"/>
            <w:shd w:val="clear" w:color="auto" w:fill="auto"/>
            <w:vAlign w:val="center"/>
          </w:tcPr>
          <w:p w14:paraId="54E9107E" w14:textId="77777777" w:rsidR="00F427A3" w:rsidRDefault="00F427A3">
            <w:pPr>
              <w:rPr>
                <w:rFonts w:ascii="Times New Roman" w:hAnsi="Times New Roman"/>
                <w:sz w:val="20"/>
                <w:szCs w:val="20"/>
              </w:rPr>
            </w:pPr>
          </w:p>
        </w:tc>
      </w:tr>
      <w:tr w:rsidR="00F427A3" w14:paraId="54E91096" w14:textId="77777777">
        <w:tc>
          <w:tcPr>
            <w:tcW w:w="1350" w:type="pct"/>
            <w:shd w:val="clear" w:color="auto" w:fill="auto"/>
            <w:vAlign w:val="center"/>
          </w:tcPr>
          <w:p w14:paraId="54E91080" w14:textId="77777777" w:rsidR="00F427A3" w:rsidRDefault="00F427A3">
            <w:pPr>
              <w:rPr>
                <w:rFonts w:ascii="Times New Roman" w:hAnsi="Times New Roman"/>
                <w:sz w:val="20"/>
                <w:szCs w:val="20"/>
              </w:rPr>
            </w:pPr>
          </w:p>
        </w:tc>
        <w:tc>
          <w:tcPr>
            <w:tcW w:w="50" w:type="pct"/>
            <w:shd w:val="clear" w:color="auto" w:fill="auto"/>
            <w:vAlign w:val="center"/>
          </w:tcPr>
          <w:p w14:paraId="54E91081" w14:textId="77777777" w:rsidR="00F427A3" w:rsidRDefault="00F427A3">
            <w:pPr>
              <w:rPr>
                <w:rFonts w:ascii="Times New Roman" w:hAnsi="Times New Roman"/>
                <w:sz w:val="20"/>
                <w:szCs w:val="20"/>
              </w:rPr>
            </w:pPr>
          </w:p>
        </w:tc>
        <w:tc>
          <w:tcPr>
            <w:tcW w:w="550" w:type="pct"/>
            <w:shd w:val="clear" w:color="auto" w:fill="auto"/>
            <w:vAlign w:val="center"/>
          </w:tcPr>
          <w:p w14:paraId="54E91082" w14:textId="77777777" w:rsidR="00F427A3" w:rsidRDefault="00F427A3">
            <w:pPr>
              <w:rPr>
                <w:rFonts w:ascii="Times New Roman" w:hAnsi="Times New Roman"/>
                <w:sz w:val="20"/>
                <w:szCs w:val="20"/>
              </w:rPr>
            </w:pPr>
          </w:p>
        </w:tc>
        <w:tc>
          <w:tcPr>
            <w:tcW w:w="50" w:type="pct"/>
            <w:shd w:val="clear" w:color="auto" w:fill="auto"/>
            <w:vAlign w:val="center"/>
          </w:tcPr>
          <w:p w14:paraId="54E91083" w14:textId="77777777" w:rsidR="00F427A3" w:rsidRDefault="00F427A3">
            <w:pPr>
              <w:rPr>
                <w:rFonts w:ascii="Times New Roman" w:hAnsi="Times New Roman"/>
                <w:sz w:val="20"/>
                <w:szCs w:val="20"/>
              </w:rPr>
            </w:pPr>
          </w:p>
        </w:tc>
        <w:tc>
          <w:tcPr>
            <w:tcW w:w="50" w:type="pct"/>
            <w:shd w:val="clear" w:color="auto" w:fill="auto"/>
            <w:vAlign w:val="center"/>
          </w:tcPr>
          <w:p w14:paraId="54E91084" w14:textId="77777777" w:rsidR="00F427A3" w:rsidRDefault="00F427A3">
            <w:pPr>
              <w:rPr>
                <w:rFonts w:ascii="Times New Roman" w:hAnsi="Times New Roman"/>
                <w:sz w:val="20"/>
                <w:szCs w:val="20"/>
              </w:rPr>
            </w:pPr>
          </w:p>
        </w:tc>
        <w:tc>
          <w:tcPr>
            <w:tcW w:w="50" w:type="pct"/>
            <w:shd w:val="clear" w:color="auto" w:fill="auto"/>
            <w:vAlign w:val="center"/>
          </w:tcPr>
          <w:p w14:paraId="54E91085" w14:textId="77777777" w:rsidR="00F427A3" w:rsidRDefault="00F427A3">
            <w:pPr>
              <w:rPr>
                <w:rFonts w:ascii="Times New Roman" w:hAnsi="Times New Roman"/>
                <w:sz w:val="20"/>
                <w:szCs w:val="20"/>
              </w:rPr>
            </w:pPr>
          </w:p>
        </w:tc>
        <w:tc>
          <w:tcPr>
            <w:tcW w:w="550" w:type="pct"/>
            <w:shd w:val="clear" w:color="auto" w:fill="auto"/>
            <w:vAlign w:val="center"/>
          </w:tcPr>
          <w:p w14:paraId="54E91086" w14:textId="77777777" w:rsidR="00F427A3" w:rsidRDefault="00F427A3">
            <w:pPr>
              <w:rPr>
                <w:rFonts w:ascii="Times New Roman" w:hAnsi="Times New Roman"/>
                <w:sz w:val="20"/>
                <w:szCs w:val="20"/>
              </w:rPr>
            </w:pPr>
          </w:p>
        </w:tc>
        <w:tc>
          <w:tcPr>
            <w:tcW w:w="50" w:type="pct"/>
            <w:shd w:val="clear" w:color="auto" w:fill="auto"/>
            <w:vAlign w:val="center"/>
          </w:tcPr>
          <w:p w14:paraId="54E91087" w14:textId="77777777" w:rsidR="00F427A3" w:rsidRDefault="00F427A3">
            <w:pPr>
              <w:rPr>
                <w:rFonts w:ascii="Times New Roman" w:hAnsi="Times New Roman"/>
                <w:sz w:val="20"/>
                <w:szCs w:val="20"/>
              </w:rPr>
            </w:pPr>
          </w:p>
        </w:tc>
        <w:tc>
          <w:tcPr>
            <w:tcW w:w="50" w:type="pct"/>
            <w:shd w:val="clear" w:color="auto" w:fill="auto"/>
            <w:vAlign w:val="center"/>
          </w:tcPr>
          <w:p w14:paraId="54E91088" w14:textId="77777777" w:rsidR="00F427A3" w:rsidRDefault="00F427A3">
            <w:pPr>
              <w:rPr>
                <w:rFonts w:ascii="Times New Roman" w:hAnsi="Times New Roman"/>
                <w:sz w:val="20"/>
                <w:szCs w:val="20"/>
              </w:rPr>
            </w:pPr>
          </w:p>
        </w:tc>
        <w:tc>
          <w:tcPr>
            <w:tcW w:w="350" w:type="pct"/>
            <w:shd w:val="clear" w:color="auto" w:fill="auto"/>
            <w:vAlign w:val="center"/>
          </w:tcPr>
          <w:p w14:paraId="54E91089" w14:textId="77777777" w:rsidR="00F427A3" w:rsidRDefault="00F427A3">
            <w:pPr>
              <w:rPr>
                <w:rFonts w:ascii="Times New Roman" w:hAnsi="Times New Roman"/>
                <w:sz w:val="20"/>
                <w:szCs w:val="20"/>
              </w:rPr>
            </w:pPr>
          </w:p>
        </w:tc>
        <w:tc>
          <w:tcPr>
            <w:tcW w:w="50" w:type="pct"/>
            <w:shd w:val="clear" w:color="auto" w:fill="auto"/>
            <w:vAlign w:val="center"/>
          </w:tcPr>
          <w:p w14:paraId="54E9108A" w14:textId="77777777" w:rsidR="00F427A3" w:rsidRDefault="00F427A3">
            <w:pPr>
              <w:rPr>
                <w:rFonts w:ascii="Times New Roman" w:hAnsi="Times New Roman"/>
                <w:sz w:val="20"/>
                <w:szCs w:val="20"/>
              </w:rPr>
            </w:pPr>
          </w:p>
        </w:tc>
        <w:tc>
          <w:tcPr>
            <w:tcW w:w="50" w:type="pct"/>
            <w:shd w:val="clear" w:color="auto" w:fill="auto"/>
            <w:vAlign w:val="center"/>
          </w:tcPr>
          <w:p w14:paraId="54E9108B" w14:textId="77777777" w:rsidR="00F427A3" w:rsidRDefault="00F427A3">
            <w:pPr>
              <w:rPr>
                <w:rFonts w:ascii="Times New Roman" w:hAnsi="Times New Roman"/>
                <w:sz w:val="20"/>
                <w:szCs w:val="20"/>
              </w:rPr>
            </w:pPr>
          </w:p>
        </w:tc>
        <w:tc>
          <w:tcPr>
            <w:tcW w:w="50" w:type="pct"/>
            <w:shd w:val="clear" w:color="auto" w:fill="auto"/>
            <w:vAlign w:val="center"/>
          </w:tcPr>
          <w:p w14:paraId="54E9108C" w14:textId="77777777" w:rsidR="00F427A3" w:rsidRDefault="00F427A3">
            <w:pPr>
              <w:rPr>
                <w:rFonts w:ascii="Times New Roman" w:hAnsi="Times New Roman"/>
                <w:sz w:val="20"/>
                <w:szCs w:val="20"/>
              </w:rPr>
            </w:pPr>
          </w:p>
        </w:tc>
        <w:tc>
          <w:tcPr>
            <w:tcW w:w="550" w:type="pct"/>
            <w:shd w:val="clear" w:color="auto" w:fill="auto"/>
            <w:vAlign w:val="center"/>
          </w:tcPr>
          <w:p w14:paraId="54E9108D" w14:textId="77777777" w:rsidR="00F427A3" w:rsidRDefault="00F427A3">
            <w:pPr>
              <w:rPr>
                <w:rFonts w:ascii="Times New Roman" w:hAnsi="Times New Roman"/>
                <w:sz w:val="20"/>
                <w:szCs w:val="20"/>
              </w:rPr>
            </w:pPr>
          </w:p>
        </w:tc>
        <w:tc>
          <w:tcPr>
            <w:tcW w:w="50" w:type="pct"/>
            <w:shd w:val="clear" w:color="auto" w:fill="auto"/>
            <w:vAlign w:val="center"/>
          </w:tcPr>
          <w:p w14:paraId="54E9108E" w14:textId="77777777" w:rsidR="00F427A3" w:rsidRDefault="00F427A3">
            <w:pPr>
              <w:rPr>
                <w:rFonts w:ascii="Times New Roman" w:hAnsi="Times New Roman"/>
                <w:sz w:val="20"/>
                <w:szCs w:val="20"/>
              </w:rPr>
            </w:pPr>
          </w:p>
        </w:tc>
        <w:tc>
          <w:tcPr>
            <w:tcW w:w="50" w:type="pct"/>
            <w:shd w:val="clear" w:color="auto" w:fill="auto"/>
            <w:vAlign w:val="center"/>
          </w:tcPr>
          <w:p w14:paraId="54E9108F" w14:textId="77777777" w:rsidR="00F427A3" w:rsidRDefault="00F427A3">
            <w:pPr>
              <w:rPr>
                <w:rFonts w:ascii="Times New Roman" w:hAnsi="Times New Roman"/>
                <w:sz w:val="20"/>
                <w:szCs w:val="20"/>
              </w:rPr>
            </w:pPr>
          </w:p>
        </w:tc>
        <w:tc>
          <w:tcPr>
            <w:tcW w:w="50" w:type="pct"/>
            <w:shd w:val="clear" w:color="auto" w:fill="auto"/>
            <w:vAlign w:val="center"/>
          </w:tcPr>
          <w:p w14:paraId="54E91090" w14:textId="77777777" w:rsidR="00F427A3" w:rsidRDefault="00F427A3">
            <w:pPr>
              <w:rPr>
                <w:rFonts w:ascii="Times New Roman" w:hAnsi="Times New Roman"/>
                <w:sz w:val="20"/>
                <w:szCs w:val="20"/>
              </w:rPr>
            </w:pPr>
          </w:p>
        </w:tc>
        <w:tc>
          <w:tcPr>
            <w:tcW w:w="550" w:type="pct"/>
            <w:shd w:val="clear" w:color="auto" w:fill="auto"/>
            <w:vAlign w:val="center"/>
          </w:tcPr>
          <w:p w14:paraId="54E91091" w14:textId="77777777" w:rsidR="00F427A3" w:rsidRDefault="00F427A3">
            <w:pPr>
              <w:rPr>
                <w:rFonts w:ascii="Times New Roman" w:hAnsi="Times New Roman"/>
                <w:sz w:val="20"/>
                <w:szCs w:val="20"/>
              </w:rPr>
            </w:pPr>
          </w:p>
        </w:tc>
        <w:tc>
          <w:tcPr>
            <w:tcW w:w="50" w:type="pct"/>
            <w:shd w:val="clear" w:color="auto" w:fill="auto"/>
            <w:vAlign w:val="center"/>
          </w:tcPr>
          <w:p w14:paraId="54E91092" w14:textId="77777777" w:rsidR="00F427A3" w:rsidRDefault="00F427A3">
            <w:pPr>
              <w:rPr>
                <w:rFonts w:ascii="Times New Roman" w:hAnsi="Times New Roman"/>
                <w:sz w:val="20"/>
                <w:szCs w:val="20"/>
              </w:rPr>
            </w:pPr>
          </w:p>
        </w:tc>
        <w:tc>
          <w:tcPr>
            <w:tcW w:w="50" w:type="pct"/>
            <w:shd w:val="clear" w:color="auto" w:fill="auto"/>
            <w:vAlign w:val="center"/>
          </w:tcPr>
          <w:p w14:paraId="54E91093" w14:textId="77777777" w:rsidR="00F427A3" w:rsidRDefault="00F427A3">
            <w:pPr>
              <w:rPr>
                <w:rFonts w:ascii="Times New Roman" w:hAnsi="Times New Roman"/>
                <w:sz w:val="20"/>
                <w:szCs w:val="20"/>
              </w:rPr>
            </w:pPr>
          </w:p>
        </w:tc>
        <w:tc>
          <w:tcPr>
            <w:tcW w:w="350" w:type="pct"/>
            <w:shd w:val="clear" w:color="auto" w:fill="auto"/>
            <w:vAlign w:val="center"/>
          </w:tcPr>
          <w:p w14:paraId="54E91094" w14:textId="77777777" w:rsidR="00F427A3" w:rsidRDefault="00F427A3">
            <w:pPr>
              <w:rPr>
                <w:rFonts w:ascii="Times New Roman" w:hAnsi="Times New Roman"/>
                <w:sz w:val="20"/>
                <w:szCs w:val="20"/>
              </w:rPr>
            </w:pPr>
          </w:p>
        </w:tc>
        <w:tc>
          <w:tcPr>
            <w:tcW w:w="50" w:type="pct"/>
            <w:shd w:val="clear" w:color="auto" w:fill="auto"/>
            <w:vAlign w:val="center"/>
          </w:tcPr>
          <w:p w14:paraId="54E91095" w14:textId="77777777" w:rsidR="00F427A3" w:rsidRDefault="00F427A3">
            <w:pPr>
              <w:rPr>
                <w:rFonts w:ascii="Times New Roman" w:hAnsi="Times New Roman"/>
                <w:sz w:val="20"/>
                <w:szCs w:val="20"/>
              </w:rPr>
            </w:pPr>
          </w:p>
        </w:tc>
      </w:tr>
      <w:tr w:rsidR="00F427A3" w14:paraId="54E9109F" w14:textId="77777777">
        <w:tc>
          <w:tcPr>
            <w:tcW w:w="0" w:type="auto"/>
            <w:shd w:val="clear" w:color="auto" w:fill="auto"/>
            <w:tcMar>
              <w:top w:w="40" w:type="dxa"/>
              <w:left w:w="40" w:type="dxa"/>
              <w:bottom w:w="40" w:type="dxa"/>
              <w:right w:w="40" w:type="dxa"/>
            </w:tcMar>
            <w:vAlign w:val="bottom"/>
          </w:tcPr>
          <w:p w14:paraId="54E91097"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1098"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Three Months Ended September 30,</w:t>
            </w:r>
          </w:p>
        </w:tc>
        <w:tc>
          <w:tcPr>
            <w:tcW w:w="0" w:type="auto"/>
            <w:shd w:val="clear" w:color="auto" w:fill="auto"/>
            <w:tcMar>
              <w:top w:w="40" w:type="dxa"/>
              <w:left w:w="40" w:type="dxa"/>
              <w:bottom w:w="40" w:type="dxa"/>
              <w:right w:w="40" w:type="dxa"/>
            </w:tcMar>
            <w:vAlign w:val="bottom"/>
          </w:tcPr>
          <w:p w14:paraId="54E9109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09A"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09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109C"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Nine Months Ended September 30,</w:t>
            </w:r>
          </w:p>
        </w:tc>
        <w:tc>
          <w:tcPr>
            <w:tcW w:w="0" w:type="auto"/>
            <w:shd w:val="clear" w:color="auto" w:fill="auto"/>
            <w:tcMar>
              <w:top w:w="40" w:type="dxa"/>
              <w:left w:w="40" w:type="dxa"/>
              <w:bottom w:w="40" w:type="dxa"/>
              <w:right w:w="40" w:type="dxa"/>
            </w:tcMar>
            <w:vAlign w:val="bottom"/>
          </w:tcPr>
          <w:p w14:paraId="54E9109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09E"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r>
      <w:tr w:rsidR="00F427A3" w14:paraId="54E910AC" w14:textId="77777777">
        <w:tc>
          <w:tcPr>
            <w:tcW w:w="0" w:type="auto"/>
            <w:shd w:val="clear" w:color="auto" w:fill="auto"/>
            <w:tcMar>
              <w:top w:w="40" w:type="dxa"/>
              <w:left w:w="40" w:type="dxa"/>
              <w:bottom w:w="40" w:type="dxa"/>
              <w:right w:w="40" w:type="dxa"/>
            </w:tcMar>
            <w:vAlign w:val="bottom"/>
          </w:tcPr>
          <w:p w14:paraId="54E910A0"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0A1"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4E910A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0A3"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910A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4E910A5"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change</w:t>
            </w:r>
          </w:p>
        </w:tc>
        <w:tc>
          <w:tcPr>
            <w:tcW w:w="0" w:type="auto"/>
            <w:shd w:val="clear" w:color="auto" w:fill="auto"/>
            <w:tcMar>
              <w:top w:w="40" w:type="dxa"/>
              <w:left w:w="40" w:type="dxa"/>
              <w:bottom w:w="40" w:type="dxa"/>
              <w:right w:w="40" w:type="dxa"/>
            </w:tcMar>
            <w:vAlign w:val="bottom"/>
          </w:tcPr>
          <w:p w14:paraId="54E910A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0A7"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4E910A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0A9"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910A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4E910AB"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change</w:t>
            </w:r>
          </w:p>
        </w:tc>
      </w:tr>
      <w:tr w:rsidR="00F427A3" w14:paraId="54E910AF" w14:textId="77777777">
        <w:tc>
          <w:tcPr>
            <w:tcW w:w="0" w:type="auto"/>
            <w:shd w:val="clear" w:color="auto" w:fill="auto"/>
            <w:tcMar>
              <w:top w:w="40" w:type="dxa"/>
              <w:left w:w="40" w:type="dxa"/>
              <w:bottom w:w="40" w:type="dxa"/>
              <w:right w:w="40" w:type="dxa"/>
            </w:tcMar>
            <w:vAlign w:val="bottom"/>
          </w:tcPr>
          <w:p w14:paraId="54E910AD"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1"/>
            <w:shd w:val="clear" w:color="auto" w:fill="auto"/>
            <w:tcMar>
              <w:top w:w="40" w:type="dxa"/>
              <w:left w:w="40" w:type="dxa"/>
              <w:bottom w:w="40" w:type="dxa"/>
            </w:tcMar>
            <w:vAlign w:val="center"/>
          </w:tcPr>
          <w:p w14:paraId="54E910AE" w14:textId="77777777" w:rsidR="00F427A3" w:rsidRDefault="0044221F">
            <w:pPr>
              <w:jc w:val="center"/>
              <w:textAlignment w:val="center"/>
              <w:rPr>
                <w:rFonts w:ascii="Times New Roman" w:hAnsi="Times New Roman"/>
                <w:sz w:val="16"/>
                <w:szCs w:val="16"/>
              </w:rPr>
            </w:pPr>
            <w:r>
              <w:rPr>
                <w:rFonts w:ascii="Times New Roman" w:eastAsia="宋体" w:hAnsi="Times New Roman"/>
                <w:b/>
                <w:bCs/>
                <w:i/>
                <w:iCs/>
                <w:sz w:val="16"/>
                <w:szCs w:val="16"/>
              </w:rPr>
              <w:t>(in millions, except for percentages)</w:t>
            </w:r>
          </w:p>
        </w:tc>
      </w:tr>
      <w:tr w:rsidR="00F427A3" w14:paraId="54E910C6" w14:textId="77777777">
        <w:tc>
          <w:tcPr>
            <w:tcW w:w="0" w:type="auto"/>
            <w:shd w:val="clear" w:color="auto" w:fill="CCEEFF"/>
            <w:tcMar>
              <w:top w:w="40" w:type="dxa"/>
              <w:left w:w="40" w:type="dxa"/>
              <w:bottom w:w="40" w:type="dxa"/>
              <w:right w:w="40" w:type="dxa"/>
            </w:tcMar>
          </w:tcPr>
          <w:p w14:paraId="54E910B0"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Advertising</w:t>
            </w:r>
          </w:p>
        </w:tc>
        <w:tc>
          <w:tcPr>
            <w:tcW w:w="0" w:type="auto"/>
            <w:shd w:val="clear" w:color="auto" w:fill="CCEEFF"/>
            <w:tcMar>
              <w:top w:w="40" w:type="dxa"/>
              <w:left w:w="40" w:type="dxa"/>
              <w:bottom w:w="40" w:type="dxa"/>
            </w:tcMar>
            <w:vAlign w:val="bottom"/>
          </w:tcPr>
          <w:p w14:paraId="54E910B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0B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21,221</w:t>
            </w:r>
          </w:p>
        </w:tc>
        <w:tc>
          <w:tcPr>
            <w:tcW w:w="0" w:type="auto"/>
            <w:shd w:val="clear" w:color="auto" w:fill="CCEEFF"/>
            <w:vAlign w:val="bottom"/>
          </w:tcPr>
          <w:p w14:paraId="54E910B3"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0B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0B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0B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17,383</w:t>
            </w:r>
          </w:p>
        </w:tc>
        <w:tc>
          <w:tcPr>
            <w:tcW w:w="0" w:type="auto"/>
            <w:shd w:val="clear" w:color="auto" w:fill="CCEEFF"/>
            <w:vAlign w:val="bottom"/>
          </w:tcPr>
          <w:p w14:paraId="54E910B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0B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0B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shd w:val="clear" w:color="auto" w:fill="CCEEFF"/>
            <w:tcMar>
              <w:top w:w="40" w:type="dxa"/>
              <w:bottom w:w="40" w:type="dxa"/>
              <w:right w:w="40" w:type="dxa"/>
            </w:tcMar>
            <w:vAlign w:val="bottom"/>
          </w:tcPr>
          <w:p w14:paraId="54E910B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10B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0B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0B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56,981</w:t>
            </w:r>
          </w:p>
        </w:tc>
        <w:tc>
          <w:tcPr>
            <w:tcW w:w="0" w:type="auto"/>
            <w:shd w:val="clear" w:color="auto" w:fill="CCEEFF"/>
            <w:vAlign w:val="bottom"/>
          </w:tcPr>
          <w:p w14:paraId="54E910B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0B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0C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0C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48,919</w:t>
            </w:r>
          </w:p>
        </w:tc>
        <w:tc>
          <w:tcPr>
            <w:tcW w:w="0" w:type="auto"/>
            <w:shd w:val="clear" w:color="auto" w:fill="CCEEFF"/>
            <w:vAlign w:val="bottom"/>
          </w:tcPr>
          <w:p w14:paraId="54E910C2"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0C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0C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CCEEFF"/>
            <w:tcMar>
              <w:top w:w="40" w:type="dxa"/>
              <w:bottom w:w="40" w:type="dxa"/>
              <w:right w:w="40" w:type="dxa"/>
            </w:tcMar>
            <w:vAlign w:val="bottom"/>
          </w:tcPr>
          <w:p w14:paraId="54E910C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10D9" w14:textId="77777777">
        <w:tc>
          <w:tcPr>
            <w:tcW w:w="0" w:type="auto"/>
            <w:shd w:val="clear" w:color="auto" w:fill="auto"/>
            <w:tcMar>
              <w:top w:w="40" w:type="dxa"/>
              <w:left w:w="40" w:type="dxa"/>
              <w:bottom w:w="40" w:type="dxa"/>
              <w:right w:w="40" w:type="dxa"/>
            </w:tcMar>
          </w:tcPr>
          <w:p w14:paraId="54E910C7"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Other revenue</w:t>
            </w:r>
          </w:p>
        </w:tc>
        <w:tc>
          <w:tcPr>
            <w:tcW w:w="0" w:type="auto"/>
            <w:gridSpan w:val="2"/>
            <w:tcBorders>
              <w:bottom w:val="single" w:sz="8" w:space="0" w:color="000000"/>
            </w:tcBorders>
            <w:shd w:val="clear" w:color="auto" w:fill="auto"/>
            <w:tcMar>
              <w:top w:w="40" w:type="dxa"/>
              <w:left w:w="40" w:type="dxa"/>
              <w:bottom w:w="40" w:type="dxa"/>
            </w:tcMar>
            <w:vAlign w:val="bottom"/>
          </w:tcPr>
          <w:p w14:paraId="54E910C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249</w:t>
            </w:r>
          </w:p>
        </w:tc>
        <w:tc>
          <w:tcPr>
            <w:tcW w:w="0" w:type="auto"/>
            <w:tcBorders>
              <w:bottom w:val="single" w:sz="8" w:space="0" w:color="000000"/>
            </w:tcBorders>
            <w:shd w:val="clear" w:color="auto" w:fill="auto"/>
            <w:vAlign w:val="bottom"/>
          </w:tcPr>
          <w:p w14:paraId="54E910C9"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0C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10C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269</w:t>
            </w:r>
          </w:p>
        </w:tc>
        <w:tc>
          <w:tcPr>
            <w:tcW w:w="0" w:type="auto"/>
            <w:tcBorders>
              <w:bottom w:val="single" w:sz="8" w:space="0" w:color="000000"/>
            </w:tcBorders>
            <w:shd w:val="clear" w:color="auto" w:fill="auto"/>
            <w:vAlign w:val="bottom"/>
          </w:tcPr>
          <w:p w14:paraId="54E910CC"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0C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10C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tcMar>
              <w:top w:w="40" w:type="dxa"/>
              <w:bottom w:w="40" w:type="dxa"/>
              <w:right w:w="40" w:type="dxa"/>
            </w:tcMar>
            <w:vAlign w:val="bottom"/>
          </w:tcPr>
          <w:p w14:paraId="54E910C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0D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10D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912</w:t>
            </w:r>
          </w:p>
        </w:tc>
        <w:tc>
          <w:tcPr>
            <w:tcW w:w="0" w:type="auto"/>
            <w:tcBorders>
              <w:bottom w:val="single" w:sz="8" w:space="0" w:color="000000"/>
            </w:tcBorders>
            <w:shd w:val="clear" w:color="auto" w:fill="auto"/>
            <w:vAlign w:val="bottom"/>
          </w:tcPr>
          <w:p w14:paraId="54E910D2"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0D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10D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696</w:t>
            </w:r>
          </w:p>
        </w:tc>
        <w:tc>
          <w:tcPr>
            <w:tcW w:w="0" w:type="auto"/>
            <w:tcBorders>
              <w:bottom w:val="single" w:sz="8" w:space="0" w:color="000000"/>
            </w:tcBorders>
            <w:shd w:val="clear" w:color="auto" w:fill="auto"/>
            <w:vAlign w:val="bottom"/>
          </w:tcPr>
          <w:p w14:paraId="54E910D5"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0D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10D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tcMar>
              <w:top w:w="40" w:type="dxa"/>
              <w:bottom w:w="40" w:type="dxa"/>
              <w:right w:w="40" w:type="dxa"/>
            </w:tcMar>
            <w:vAlign w:val="bottom"/>
          </w:tcPr>
          <w:p w14:paraId="54E910D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10F0" w14:textId="77777777">
        <w:tc>
          <w:tcPr>
            <w:tcW w:w="0" w:type="auto"/>
            <w:shd w:val="clear" w:color="auto" w:fill="CCEEFF"/>
            <w:tcMar>
              <w:top w:w="40" w:type="dxa"/>
              <w:left w:w="400" w:type="dxa"/>
              <w:bottom w:w="40" w:type="dxa"/>
              <w:right w:w="40" w:type="dxa"/>
            </w:tcMar>
          </w:tcPr>
          <w:p w14:paraId="54E910D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Total revenue</w:t>
            </w:r>
          </w:p>
        </w:tc>
        <w:tc>
          <w:tcPr>
            <w:tcW w:w="0" w:type="auto"/>
            <w:tcBorders>
              <w:bottom w:val="double" w:sz="6" w:space="0" w:color="000000"/>
            </w:tcBorders>
            <w:shd w:val="clear" w:color="auto" w:fill="CCEEFF"/>
            <w:tcMar>
              <w:top w:w="40" w:type="dxa"/>
              <w:left w:w="40" w:type="dxa"/>
              <w:bottom w:w="40" w:type="dxa"/>
            </w:tcMar>
            <w:vAlign w:val="bottom"/>
          </w:tcPr>
          <w:p w14:paraId="54E910D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910D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21,470</w:t>
            </w:r>
          </w:p>
        </w:tc>
        <w:tc>
          <w:tcPr>
            <w:tcW w:w="0" w:type="auto"/>
            <w:tcBorders>
              <w:bottom w:val="double" w:sz="6" w:space="0" w:color="000000"/>
            </w:tcBorders>
            <w:shd w:val="clear" w:color="auto" w:fill="CCEEFF"/>
            <w:vAlign w:val="bottom"/>
          </w:tcPr>
          <w:p w14:paraId="54E910DD"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0D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4E910D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910E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17,652</w:t>
            </w:r>
          </w:p>
        </w:tc>
        <w:tc>
          <w:tcPr>
            <w:tcW w:w="0" w:type="auto"/>
            <w:tcBorders>
              <w:bottom w:val="double" w:sz="6" w:space="0" w:color="000000"/>
            </w:tcBorders>
            <w:shd w:val="clear" w:color="auto" w:fill="CCEEFF"/>
            <w:vAlign w:val="bottom"/>
          </w:tcPr>
          <w:p w14:paraId="54E910E1"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0E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0E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shd w:val="clear" w:color="auto" w:fill="CCEEFF"/>
            <w:tcMar>
              <w:top w:w="40" w:type="dxa"/>
              <w:bottom w:w="40" w:type="dxa"/>
              <w:right w:w="40" w:type="dxa"/>
            </w:tcMar>
            <w:vAlign w:val="bottom"/>
          </w:tcPr>
          <w:p w14:paraId="54E910E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4E910E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4E910E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910E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57,893</w:t>
            </w:r>
          </w:p>
        </w:tc>
        <w:tc>
          <w:tcPr>
            <w:tcW w:w="0" w:type="auto"/>
            <w:tcBorders>
              <w:bottom w:val="double" w:sz="6" w:space="0" w:color="000000"/>
            </w:tcBorders>
            <w:shd w:val="clear" w:color="auto" w:fill="CCEEFF"/>
            <w:vAlign w:val="bottom"/>
          </w:tcPr>
          <w:p w14:paraId="54E910E8"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0E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4E910E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910E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49,615</w:t>
            </w:r>
          </w:p>
        </w:tc>
        <w:tc>
          <w:tcPr>
            <w:tcW w:w="0" w:type="auto"/>
            <w:tcBorders>
              <w:bottom w:val="double" w:sz="6" w:space="0" w:color="000000"/>
            </w:tcBorders>
            <w:shd w:val="clear" w:color="auto" w:fill="CCEEFF"/>
            <w:vAlign w:val="bottom"/>
          </w:tcPr>
          <w:p w14:paraId="54E910E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0E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0E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CCEEFF"/>
            <w:tcMar>
              <w:top w:w="40" w:type="dxa"/>
              <w:bottom w:w="40" w:type="dxa"/>
              <w:right w:w="40" w:type="dxa"/>
            </w:tcMar>
            <w:vAlign w:val="bottom"/>
          </w:tcPr>
          <w:p w14:paraId="54E910E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bl>
    <w:p w14:paraId="54E910F1"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Revenue in the three and nine months ended September 30, 2020 increased $3.82 billion, or 22%, and </w:t>
      </w:r>
      <w:r>
        <w:rPr>
          <w:rFonts w:ascii="Times New Roman" w:eastAsia="宋体" w:hAnsi="Times New Roman"/>
          <w:sz w:val="20"/>
          <w:szCs w:val="20"/>
        </w:rPr>
        <w:t xml:space="preserve">$8.28 billion, or 17%, respectively, compared to the same periods in 2019. The increases in both periods were mostly due to an increase in advertising revenue as a result of an increase in the number of ads delivered, partially offset by a decrease in the </w:t>
      </w:r>
      <w:r>
        <w:rPr>
          <w:rFonts w:ascii="Times New Roman" w:eastAsia="宋体" w:hAnsi="Times New Roman"/>
          <w:sz w:val="20"/>
          <w:szCs w:val="20"/>
        </w:rPr>
        <w:t>average price per ad.</w:t>
      </w:r>
    </w:p>
    <w:p w14:paraId="54E910F2"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During the three and nine months ended September 30, 2020, the number of ads delivered increased by 35% and 38%, respectively, as compared with approximately 37% and 34%, respectively, in the same periods in 2019. The increase in the </w:t>
      </w:r>
      <w:r>
        <w:rPr>
          <w:rFonts w:ascii="Times New Roman" w:eastAsia="宋体" w:hAnsi="Times New Roman"/>
          <w:sz w:val="20"/>
          <w:szCs w:val="20"/>
        </w:rPr>
        <w:t>ads delivered was driven by an increase in the number and frequency of ads displayed across our products and an increase in users. During the three and nine months ended September 30, 2020, the average price per ad decreased by 9% and 16%, respectively, as</w:t>
      </w:r>
      <w:r>
        <w:rPr>
          <w:rFonts w:ascii="Times New Roman" w:eastAsia="宋体" w:hAnsi="Times New Roman"/>
          <w:sz w:val="20"/>
          <w:szCs w:val="20"/>
        </w:rPr>
        <w:t xml:space="preserve"> compared with decreases of approximately 6% and 5%, respectively, in the same periods in 2019. The decrease in average price per ad during the three months ended September 30, 2020 was caused by an increasing proportion of the number of ads delivered as S</w:t>
      </w:r>
      <w:r>
        <w:rPr>
          <w:rFonts w:ascii="Times New Roman" w:eastAsia="宋体" w:hAnsi="Times New Roman"/>
          <w:sz w:val="20"/>
          <w:szCs w:val="20"/>
        </w:rPr>
        <w:t>tories ads and in geographies that monetize at lower rates. The decrease in average price per ad during the nine months ended September 30, 2020 was primarily driven by a decrease in advertising demand globally due to the COVID-19 pandemic beginning in the</w:t>
      </w:r>
      <w:r>
        <w:rPr>
          <w:rFonts w:ascii="Times New Roman" w:eastAsia="宋体" w:hAnsi="Times New Roman"/>
          <w:sz w:val="20"/>
          <w:szCs w:val="20"/>
        </w:rPr>
        <w:t xml:space="preserve"> first quarter of 2020 and, to a lesser extent, by an increasing proportion of the number of ads delivered as Stories ads and in geographies that monetize at lower rates. </w:t>
      </w:r>
    </w:p>
    <w:p w14:paraId="54E910F3"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In the near-term, we anticipate that future advertising revenue growth will be deter</w:t>
      </w:r>
      <w:r>
        <w:rPr>
          <w:rFonts w:ascii="Times New Roman" w:eastAsia="宋体" w:hAnsi="Times New Roman"/>
          <w:sz w:val="20"/>
          <w:szCs w:val="20"/>
        </w:rPr>
        <w:t xml:space="preserve">mined primarily by several factors: the extent to which we continue to see increasing advertising demand in connection with the shift of commerce from offline to </w:t>
      </w:r>
    </w:p>
    <w:p w14:paraId="54E910F4" w14:textId="77777777" w:rsidR="00F427A3" w:rsidRDefault="00F427A3">
      <w:pPr>
        <w:rPr>
          <w:rFonts w:ascii="Times New Roman" w:hAnsi="Times New Roman"/>
          <w:sz w:val="20"/>
          <w:szCs w:val="20"/>
        </w:rPr>
      </w:pPr>
    </w:p>
    <w:p w14:paraId="54E910F5"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40</w:t>
      </w:r>
    </w:p>
    <w:p w14:paraId="54E910F6" w14:textId="77777777" w:rsidR="00F427A3" w:rsidRDefault="0044221F">
      <w:r>
        <w:rPr>
          <w:rFonts w:ascii="Times New Roman" w:hAnsi="Times New Roman"/>
          <w:sz w:val="20"/>
          <w:szCs w:val="20"/>
        </w:rPr>
        <w:pict w14:anchorId="54E91C58">
          <v:rect id="_x0000_i1064" style="width:415.3pt;height:1.5pt" o:hralign="center" o:hrstd="t" o:hr="t" fillcolor="#a0a0a0" stroked="f"/>
        </w:pict>
      </w:r>
    </w:p>
    <w:p w14:paraId="54E910F7" w14:textId="77777777" w:rsidR="00F427A3" w:rsidRDefault="0044221F">
      <w:pPr>
        <w:spacing w:line="288" w:lineRule="auto"/>
        <w:rPr>
          <w:rFonts w:ascii="Times New Roman" w:hAnsi="Times New Roman"/>
          <w:sz w:val="20"/>
          <w:szCs w:val="20"/>
        </w:rPr>
      </w:pPr>
      <w:hyperlink r:id="rId82" w:anchor="s348EA962CF6D59B599D9921AFA89C381" w:history="1">
        <w:r>
          <w:rPr>
            <w:rStyle w:val="a5"/>
            <w:rFonts w:ascii="Times New Roman" w:eastAsia="宋体" w:hAnsi="Times New Roman"/>
            <w:sz w:val="20"/>
            <w:szCs w:val="20"/>
          </w:rPr>
          <w:t>Table of Contents</w:t>
        </w:r>
      </w:hyperlink>
    </w:p>
    <w:p w14:paraId="54E910F8" w14:textId="77777777" w:rsidR="00F427A3" w:rsidRDefault="00F427A3">
      <w:pPr>
        <w:rPr>
          <w:rFonts w:ascii="Times New Roman" w:hAnsi="Times New Roman"/>
          <w:sz w:val="20"/>
          <w:szCs w:val="20"/>
        </w:rPr>
      </w:pPr>
    </w:p>
    <w:p w14:paraId="54E910F9" w14:textId="77777777" w:rsidR="00F427A3" w:rsidRDefault="0044221F">
      <w:pPr>
        <w:spacing w:line="288" w:lineRule="auto"/>
        <w:jc w:val="both"/>
        <w:rPr>
          <w:rFonts w:ascii="Times New Roman" w:hAnsi="Times New Roman"/>
          <w:sz w:val="20"/>
          <w:szCs w:val="20"/>
        </w:rPr>
      </w:pPr>
      <w:r>
        <w:rPr>
          <w:rFonts w:ascii="Times New Roman" w:eastAsia="宋体" w:hAnsi="Times New Roman"/>
          <w:sz w:val="20"/>
          <w:szCs w:val="20"/>
        </w:rPr>
        <w:t xml:space="preserve">online as a result of the COVID-19 pandemic; the status of the economic recovery from the slowdown caused by the COVID-19 pandemic; and the extent to which changes to the </w:t>
      </w:r>
      <w:r>
        <w:rPr>
          <w:rFonts w:ascii="Times New Roman" w:eastAsia="宋体" w:hAnsi="Times New Roman"/>
          <w:sz w:val="20"/>
          <w:szCs w:val="20"/>
        </w:rPr>
        <w:t>regulatory environment and third-party mobile operating systems and browsers result in limitations on our ad targeting and measurement tools.</w:t>
      </w:r>
    </w:p>
    <w:p w14:paraId="54E910FA" w14:textId="77777777" w:rsidR="00F427A3" w:rsidRDefault="0044221F">
      <w:pPr>
        <w:spacing w:line="288" w:lineRule="auto"/>
        <w:jc w:val="both"/>
        <w:rPr>
          <w:rFonts w:ascii="Times New Roman" w:hAnsi="Times New Roman"/>
          <w:sz w:val="20"/>
          <w:szCs w:val="20"/>
        </w:rPr>
      </w:pPr>
      <w:r>
        <w:rPr>
          <w:rFonts w:ascii="Times New Roman" w:eastAsia="宋体" w:hAnsi="Times New Roman"/>
          <w:i/>
          <w:iCs/>
          <w:sz w:val="20"/>
          <w:szCs w:val="20"/>
        </w:rPr>
        <w:t>Foreign Exchange Impact on Revenue</w:t>
      </w:r>
    </w:p>
    <w:p w14:paraId="54E910FB"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general weakening of the U.S. dollar relative to certain foreign currencies</w:t>
      </w:r>
      <w:r>
        <w:rPr>
          <w:rFonts w:ascii="Times New Roman" w:eastAsia="宋体" w:hAnsi="Times New Roman"/>
          <w:sz w:val="20"/>
          <w:szCs w:val="20"/>
        </w:rPr>
        <w:t xml:space="preserve"> in the three months ended September 30, 2020 compared to the same period in 2019 had a favorable impact on revenue. If we had translated revenue for the three months ended September 30, 2020 using the prior year's monthly exchange rates for our settlement</w:t>
      </w:r>
      <w:r>
        <w:rPr>
          <w:rFonts w:ascii="Times New Roman" w:eastAsia="宋体" w:hAnsi="Times New Roman"/>
          <w:sz w:val="20"/>
          <w:szCs w:val="20"/>
        </w:rPr>
        <w:t xml:space="preserve"> or billing currencies other than the U.S. dollar, our total revenue and advertising revenue would have been $21.36 billion and $21.11 billion, respectively. Using these constant rates, total revenue and advertising revenue would have been $114 million and</w:t>
      </w:r>
      <w:r>
        <w:rPr>
          <w:rFonts w:ascii="Times New Roman" w:eastAsia="宋体" w:hAnsi="Times New Roman"/>
          <w:sz w:val="20"/>
          <w:szCs w:val="20"/>
        </w:rPr>
        <w:t xml:space="preserve"> $109 million lower than actual total revenue and advertising revenue, respectively, for the three months ended September 30, 2020. </w:t>
      </w:r>
    </w:p>
    <w:p w14:paraId="54E910FC"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Foreign exchange rates had an unfavorable impact on our total revenue and advertising revenue for the nine months ended Sep</w:t>
      </w:r>
      <w:r>
        <w:rPr>
          <w:rFonts w:ascii="Times New Roman" w:eastAsia="宋体" w:hAnsi="Times New Roman"/>
          <w:sz w:val="20"/>
          <w:szCs w:val="20"/>
        </w:rPr>
        <w:t xml:space="preserve">tember 30, 2020 compared to the same period in 2019. If we had translated revenue for the nine months ended September 30, 2020 using the prior year's monthly exchange rates for our settlement or billing currencies other than the U.S. dollar, total revenue </w:t>
      </w:r>
      <w:r>
        <w:rPr>
          <w:rFonts w:ascii="Times New Roman" w:eastAsia="宋体" w:hAnsi="Times New Roman"/>
          <w:sz w:val="20"/>
          <w:szCs w:val="20"/>
        </w:rPr>
        <w:t>and advertising revenue would have been $58.35 billion and $57.44 billion, respectively. Using these constant rates, total revenue and advertising revenue would have been $459 million and $462 million higher than actual total revenue and advertising revenu</w:t>
      </w:r>
      <w:r>
        <w:rPr>
          <w:rFonts w:ascii="Times New Roman" w:eastAsia="宋体" w:hAnsi="Times New Roman"/>
          <w:sz w:val="20"/>
          <w:szCs w:val="20"/>
        </w:rPr>
        <w:t>e, respectively, for the nine months ended September 30, 2020.</w:t>
      </w:r>
    </w:p>
    <w:p w14:paraId="54E910FD" w14:textId="77777777" w:rsidR="00F427A3" w:rsidRDefault="0044221F">
      <w:pPr>
        <w:spacing w:line="288" w:lineRule="auto"/>
        <w:rPr>
          <w:rFonts w:ascii="Times New Roman" w:hAnsi="Times New Roman"/>
          <w:sz w:val="20"/>
          <w:szCs w:val="20"/>
        </w:rPr>
      </w:pPr>
      <w:r>
        <w:rPr>
          <w:rFonts w:ascii="Times New Roman" w:eastAsia="宋体" w:hAnsi="Times New Roman"/>
          <w:b/>
          <w:bCs/>
          <w:i/>
          <w:iCs/>
          <w:sz w:val="20"/>
          <w:szCs w:val="20"/>
        </w:rPr>
        <w:t>Cost of revenue</w:t>
      </w:r>
    </w:p>
    <w:tbl>
      <w:tblPr>
        <w:tblW w:w="5000" w:type="pct"/>
        <w:tblCellMar>
          <w:left w:w="0" w:type="dxa"/>
          <w:right w:w="0" w:type="dxa"/>
        </w:tblCellMar>
        <w:tblLook w:val="04A0" w:firstRow="1" w:lastRow="0" w:firstColumn="1" w:lastColumn="0" w:noHBand="0" w:noVBand="1"/>
      </w:tblPr>
      <w:tblGrid>
        <w:gridCol w:w="2053"/>
        <w:gridCol w:w="140"/>
        <w:gridCol w:w="725"/>
        <w:gridCol w:w="207"/>
        <w:gridCol w:w="130"/>
        <w:gridCol w:w="140"/>
        <w:gridCol w:w="725"/>
        <w:gridCol w:w="207"/>
        <w:gridCol w:w="130"/>
        <w:gridCol w:w="490"/>
        <w:gridCol w:w="207"/>
        <w:gridCol w:w="130"/>
        <w:gridCol w:w="140"/>
        <w:gridCol w:w="645"/>
        <w:gridCol w:w="207"/>
        <w:gridCol w:w="130"/>
        <w:gridCol w:w="140"/>
        <w:gridCol w:w="726"/>
        <w:gridCol w:w="207"/>
        <w:gridCol w:w="130"/>
        <w:gridCol w:w="490"/>
        <w:gridCol w:w="207"/>
      </w:tblGrid>
      <w:tr w:rsidR="00F427A3" w14:paraId="54E910FF" w14:textId="77777777">
        <w:tc>
          <w:tcPr>
            <w:tcW w:w="0" w:type="auto"/>
            <w:gridSpan w:val="22"/>
            <w:shd w:val="clear" w:color="auto" w:fill="auto"/>
            <w:vAlign w:val="center"/>
          </w:tcPr>
          <w:p w14:paraId="54E910FE" w14:textId="77777777" w:rsidR="00F427A3" w:rsidRDefault="00F427A3">
            <w:pPr>
              <w:rPr>
                <w:rFonts w:ascii="Times New Roman" w:hAnsi="Times New Roman"/>
                <w:sz w:val="20"/>
                <w:szCs w:val="20"/>
              </w:rPr>
            </w:pPr>
          </w:p>
        </w:tc>
      </w:tr>
      <w:tr w:rsidR="00F427A3" w14:paraId="54E91116" w14:textId="77777777">
        <w:tc>
          <w:tcPr>
            <w:tcW w:w="1350" w:type="pct"/>
            <w:shd w:val="clear" w:color="auto" w:fill="auto"/>
            <w:vAlign w:val="center"/>
          </w:tcPr>
          <w:p w14:paraId="54E91100" w14:textId="77777777" w:rsidR="00F427A3" w:rsidRDefault="00F427A3">
            <w:pPr>
              <w:rPr>
                <w:rFonts w:ascii="Times New Roman" w:hAnsi="Times New Roman"/>
                <w:sz w:val="20"/>
                <w:szCs w:val="20"/>
              </w:rPr>
            </w:pPr>
          </w:p>
        </w:tc>
        <w:tc>
          <w:tcPr>
            <w:tcW w:w="50" w:type="pct"/>
            <w:shd w:val="clear" w:color="auto" w:fill="auto"/>
            <w:vAlign w:val="center"/>
          </w:tcPr>
          <w:p w14:paraId="54E91101" w14:textId="77777777" w:rsidR="00F427A3" w:rsidRDefault="00F427A3">
            <w:pPr>
              <w:rPr>
                <w:rFonts w:ascii="Times New Roman" w:hAnsi="Times New Roman"/>
                <w:sz w:val="20"/>
                <w:szCs w:val="20"/>
              </w:rPr>
            </w:pPr>
          </w:p>
        </w:tc>
        <w:tc>
          <w:tcPr>
            <w:tcW w:w="550" w:type="pct"/>
            <w:shd w:val="clear" w:color="auto" w:fill="auto"/>
            <w:vAlign w:val="center"/>
          </w:tcPr>
          <w:p w14:paraId="54E91102" w14:textId="77777777" w:rsidR="00F427A3" w:rsidRDefault="00F427A3">
            <w:pPr>
              <w:rPr>
                <w:rFonts w:ascii="Times New Roman" w:hAnsi="Times New Roman"/>
                <w:sz w:val="20"/>
                <w:szCs w:val="20"/>
              </w:rPr>
            </w:pPr>
          </w:p>
        </w:tc>
        <w:tc>
          <w:tcPr>
            <w:tcW w:w="50" w:type="pct"/>
            <w:shd w:val="clear" w:color="auto" w:fill="auto"/>
            <w:vAlign w:val="center"/>
          </w:tcPr>
          <w:p w14:paraId="54E91103" w14:textId="77777777" w:rsidR="00F427A3" w:rsidRDefault="00F427A3">
            <w:pPr>
              <w:rPr>
                <w:rFonts w:ascii="Times New Roman" w:hAnsi="Times New Roman"/>
                <w:sz w:val="20"/>
                <w:szCs w:val="20"/>
              </w:rPr>
            </w:pPr>
          </w:p>
        </w:tc>
        <w:tc>
          <w:tcPr>
            <w:tcW w:w="50" w:type="pct"/>
            <w:shd w:val="clear" w:color="auto" w:fill="auto"/>
            <w:vAlign w:val="center"/>
          </w:tcPr>
          <w:p w14:paraId="54E91104" w14:textId="77777777" w:rsidR="00F427A3" w:rsidRDefault="00F427A3">
            <w:pPr>
              <w:rPr>
                <w:rFonts w:ascii="Times New Roman" w:hAnsi="Times New Roman"/>
                <w:sz w:val="20"/>
                <w:szCs w:val="20"/>
              </w:rPr>
            </w:pPr>
          </w:p>
        </w:tc>
        <w:tc>
          <w:tcPr>
            <w:tcW w:w="50" w:type="pct"/>
            <w:shd w:val="clear" w:color="auto" w:fill="auto"/>
            <w:vAlign w:val="center"/>
          </w:tcPr>
          <w:p w14:paraId="54E91105" w14:textId="77777777" w:rsidR="00F427A3" w:rsidRDefault="00F427A3">
            <w:pPr>
              <w:rPr>
                <w:rFonts w:ascii="Times New Roman" w:hAnsi="Times New Roman"/>
                <w:sz w:val="20"/>
                <w:szCs w:val="20"/>
              </w:rPr>
            </w:pPr>
          </w:p>
        </w:tc>
        <w:tc>
          <w:tcPr>
            <w:tcW w:w="550" w:type="pct"/>
            <w:shd w:val="clear" w:color="auto" w:fill="auto"/>
            <w:vAlign w:val="center"/>
          </w:tcPr>
          <w:p w14:paraId="54E91106" w14:textId="77777777" w:rsidR="00F427A3" w:rsidRDefault="00F427A3">
            <w:pPr>
              <w:rPr>
                <w:rFonts w:ascii="Times New Roman" w:hAnsi="Times New Roman"/>
                <w:sz w:val="20"/>
                <w:szCs w:val="20"/>
              </w:rPr>
            </w:pPr>
          </w:p>
        </w:tc>
        <w:tc>
          <w:tcPr>
            <w:tcW w:w="50" w:type="pct"/>
            <w:shd w:val="clear" w:color="auto" w:fill="auto"/>
            <w:vAlign w:val="center"/>
          </w:tcPr>
          <w:p w14:paraId="54E91107" w14:textId="77777777" w:rsidR="00F427A3" w:rsidRDefault="00F427A3">
            <w:pPr>
              <w:rPr>
                <w:rFonts w:ascii="Times New Roman" w:hAnsi="Times New Roman"/>
                <w:sz w:val="20"/>
                <w:szCs w:val="20"/>
              </w:rPr>
            </w:pPr>
          </w:p>
        </w:tc>
        <w:tc>
          <w:tcPr>
            <w:tcW w:w="50" w:type="pct"/>
            <w:shd w:val="clear" w:color="auto" w:fill="auto"/>
            <w:vAlign w:val="center"/>
          </w:tcPr>
          <w:p w14:paraId="54E91108" w14:textId="77777777" w:rsidR="00F427A3" w:rsidRDefault="00F427A3">
            <w:pPr>
              <w:rPr>
                <w:rFonts w:ascii="Times New Roman" w:hAnsi="Times New Roman"/>
                <w:sz w:val="20"/>
                <w:szCs w:val="20"/>
              </w:rPr>
            </w:pPr>
          </w:p>
        </w:tc>
        <w:tc>
          <w:tcPr>
            <w:tcW w:w="350" w:type="pct"/>
            <w:shd w:val="clear" w:color="auto" w:fill="auto"/>
            <w:vAlign w:val="center"/>
          </w:tcPr>
          <w:p w14:paraId="54E91109" w14:textId="77777777" w:rsidR="00F427A3" w:rsidRDefault="00F427A3">
            <w:pPr>
              <w:rPr>
                <w:rFonts w:ascii="Times New Roman" w:hAnsi="Times New Roman"/>
                <w:sz w:val="20"/>
                <w:szCs w:val="20"/>
              </w:rPr>
            </w:pPr>
          </w:p>
        </w:tc>
        <w:tc>
          <w:tcPr>
            <w:tcW w:w="50" w:type="pct"/>
            <w:shd w:val="clear" w:color="auto" w:fill="auto"/>
            <w:vAlign w:val="center"/>
          </w:tcPr>
          <w:p w14:paraId="54E9110A" w14:textId="77777777" w:rsidR="00F427A3" w:rsidRDefault="00F427A3">
            <w:pPr>
              <w:rPr>
                <w:rFonts w:ascii="Times New Roman" w:hAnsi="Times New Roman"/>
                <w:sz w:val="20"/>
                <w:szCs w:val="20"/>
              </w:rPr>
            </w:pPr>
          </w:p>
        </w:tc>
        <w:tc>
          <w:tcPr>
            <w:tcW w:w="50" w:type="pct"/>
            <w:shd w:val="clear" w:color="auto" w:fill="auto"/>
            <w:vAlign w:val="center"/>
          </w:tcPr>
          <w:p w14:paraId="54E9110B" w14:textId="77777777" w:rsidR="00F427A3" w:rsidRDefault="00F427A3">
            <w:pPr>
              <w:rPr>
                <w:rFonts w:ascii="Times New Roman" w:hAnsi="Times New Roman"/>
                <w:sz w:val="20"/>
                <w:szCs w:val="20"/>
              </w:rPr>
            </w:pPr>
          </w:p>
        </w:tc>
        <w:tc>
          <w:tcPr>
            <w:tcW w:w="50" w:type="pct"/>
            <w:shd w:val="clear" w:color="auto" w:fill="auto"/>
            <w:vAlign w:val="center"/>
          </w:tcPr>
          <w:p w14:paraId="54E9110C" w14:textId="77777777" w:rsidR="00F427A3" w:rsidRDefault="00F427A3">
            <w:pPr>
              <w:rPr>
                <w:rFonts w:ascii="Times New Roman" w:hAnsi="Times New Roman"/>
                <w:sz w:val="20"/>
                <w:szCs w:val="20"/>
              </w:rPr>
            </w:pPr>
          </w:p>
        </w:tc>
        <w:tc>
          <w:tcPr>
            <w:tcW w:w="550" w:type="pct"/>
            <w:shd w:val="clear" w:color="auto" w:fill="auto"/>
            <w:vAlign w:val="center"/>
          </w:tcPr>
          <w:p w14:paraId="54E9110D" w14:textId="77777777" w:rsidR="00F427A3" w:rsidRDefault="00F427A3">
            <w:pPr>
              <w:rPr>
                <w:rFonts w:ascii="Times New Roman" w:hAnsi="Times New Roman"/>
                <w:sz w:val="20"/>
                <w:szCs w:val="20"/>
              </w:rPr>
            </w:pPr>
          </w:p>
        </w:tc>
        <w:tc>
          <w:tcPr>
            <w:tcW w:w="50" w:type="pct"/>
            <w:shd w:val="clear" w:color="auto" w:fill="auto"/>
            <w:vAlign w:val="center"/>
          </w:tcPr>
          <w:p w14:paraId="54E9110E" w14:textId="77777777" w:rsidR="00F427A3" w:rsidRDefault="00F427A3">
            <w:pPr>
              <w:rPr>
                <w:rFonts w:ascii="Times New Roman" w:hAnsi="Times New Roman"/>
                <w:sz w:val="20"/>
                <w:szCs w:val="20"/>
              </w:rPr>
            </w:pPr>
          </w:p>
        </w:tc>
        <w:tc>
          <w:tcPr>
            <w:tcW w:w="50" w:type="pct"/>
            <w:shd w:val="clear" w:color="auto" w:fill="auto"/>
            <w:vAlign w:val="center"/>
          </w:tcPr>
          <w:p w14:paraId="54E9110F" w14:textId="77777777" w:rsidR="00F427A3" w:rsidRDefault="00F427A3">
            <w:pPr>
              <w:rPr>
                <w:rFonts w:ascii="Times New Roman" w:hAnsi="Times New Roman"/>
                <w:sz w:val="20"/>
                <w:szCs w:val="20"/>
              </w:rPr>
            </w:pPr>
          </w:p>
        </w:tc>
        <w:tc>
          <w:tcPr>
            <w:tcW w:w="50" w:type="pct"/>
            <w:shd w:val="clear" w:color="auto" w:fill="auto"/>
            <w:vAlign w:val="center"/>
          </w:tcPr>
          <w:p w14:paraId="54E91110" w14:textId="77777777" w:rsidR="00F427A3" w:rsidRDefault="00F427A3">
            <w:pPr>
              <w:rPr>
                <w:rFonts w:ascii="Times New Roman" w:hAnsi="Times New Roman"/>
                <w:sz w:val="20"/>
                <w:szCs w:val="20"/>
              </w:rPr>
            </w:pPr>
          </w:p>
        </w:tc>
        <w:tc>
          <w:tcPr>
            <w:tcW w:w="550" w:type="pct"/>
            <w:shd w:val="clear" w:color="auto" w:fill="auto"/>
            <w:vAlign w:val="center"/>
          </w:tcPr>
          <w:p w14:paraId="54E91111" w14:textId="77777777" w:rsidR="00F427A3" w:rsidRDefault="00F427A3">
            <w:pPr>
              <w:rPr>
                <w:rFonts w:ascii="Times New Roman" w:hAnsi="Times New Roman"/>
                <w:sz w:val="20"/>
                <w:szCs w:val="20"/>
              </w:rPr>
            </w:pPr>
          </w:p>
        </w:tc>
        <w:tc>
          <w:tcPr>
            <w:tcW w:w="50" w:type="pct"/>
            <w:shd w:val="clear" w:color="auto" w:fill="auto"/>
            <w:vAlign w:val="center"/>
          </w:tcPr>
          <w:p w14:paraId="54E91112" w14:textId="77777777" w:rsidR="00F427A3" w:rsidRDefault="00F427A3">
            <w:pPr>
              <w:rPr>
                <w:rFonts w:ascii="Times New Roman" w:hAnsi="Times New Roman"/>
                <w:sz w:val="20"/>
                <w:szCs w:val="20"/>
              </w:rPr>
            </w:pPr>
          </w:p>
        </w:tc>
        <w:tc>
          <w:tcPr>
            <w:tcW w:w="50" w:type="pct"/>
            <w:shd w:val="clear" w:color="auto" w:fill="auto"/>
            <w:vAlign w:val="center"/>
          </w:tcPr>
          <w:p w14:paraId="54E91113" w14:textId="77777777" w:rsidR="00F427A3" w:rsidRDefault="00F427A3">
            <w:pPr>
              <w:rPr>
                <w:rFonts w:ascii="Times New Roman" w:hAnsi="Times New Roman"/>
                <w:sz w:val="20"/>
                <w:szCs w:val="20"/>
              </w:rPr>
            </w:pPr>
          </w:p>
        </w:tc>
        <w:tc>
          <w:tcPr>
            <w:tcW w:w="350" w:type="pct"/>
            <w:shd w:val="clear" w:color="auto" w:fill="auto"/>
            <w:vAlign w:val="center"/>
          </w:tcPr>
          <w:p w14:paraId="54E91114" w14:textId="77777777" w:rsidR="00F427A3" w:rsidRDefault="00F427A3">
            <w:pPr>
              <w:rPr>
                <w:rFonts w:ascii="Times New Roman" w:hAnsi="Times New Roman"/>
                <w:sz w:val="20"/>
                <w:szCs w:val="20"/>
              </w:rPr>
            </w:pPr>
          </w:p>
        </w:tc>
        <w:tc>
          <w:tcPr>
            <w:tcW w:w="50" w:type="pct"/>
            <w:shd w:val="clear" w:color="auto" w:fill="auto"/>
            <w:vAlign w:val="center"/>
          </w:tcPr>
          <w:p w14:paraId="54E91115" w14:textId="77777777" w:rsidR="00F427A3" w:rsidRDefault="00F427A3">
            <w:pPr>
              <w:rPr>
                <w:rFonts w:ascii="Times New Roman" w:hAnsi="Times New Roman"/>
                <w:sz w:val="20"/>
                <w:szCs w:val="20"/>
              </w:rPr>
            </w:pPr>
          </w:p>
        </w:tc>
      </w:tr>
      <w:tr w:rsidR="00F427A3" w14:paraId="54E9111F" w14:textId="77777777">
        <w:tc>
          <w:tcPr>
            <w:tcW w:w="0" w:type="auto"/>
            <w:shd w:val="clear" w:color="auto" w:fill="auto"/>
            <w:tcMar>
              <w:top w:w="40" w:type="dxa"/>
              <w:left w:w="40" w:type="dxa"/>
              <w:bottom w:w="40" w:type="dxa"/>
              <w:right w:w="40" w:type="dxa"/>
            </w:tcMar>
            <w:vAlign w:val="bottom"/>
          </w:tcPr>
          <w:p w14:paraId="54E91117"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1118"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Three Months Ended September 30,</w:t>
            </w:r>
          </w:p>
        </w:tc>
        <w:tc>
          <w:tcPr>
            <w:tcW w:w="0" w:type="auto"/>
            <w:shd w:val="clear" w:color="auto" w:fill="auto"/>
            <w:tcMar>
              <w:top w:w="40" w:type="dxa"/>
              <w:left w:w="40" w:type="dxa"/>
              <w:bottom w:w="40" w:type="dxa"/>
              <w:right w:w="40" w:type="dxa"/>
            </w:tcMar>
            <w:vAlign w:val="bottom"/>
          </w:tcPr>
          <w:p w14:paraId="54E9111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11A"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11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111C"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Nine Months Ended September 30,</w:t>
            </w:r>
          </w:p>
        </w:tc>
        <w:tc>
          <w:tcPr>
            <w:tcW w:w="0" w:type="auto"/>
            <w:shd w:val="clear" w:color="auto" w:fill="auto"/>
            <w:tcMar>
              <w:top w:w="40" w:type="dxa"/>
              <w:left w:w="40" w:type="dxa"/>
              <w:bottom w:w="40" w:type="dxa"/>
              <w:right w:w="40" w:type="dxa"/>
            </w:tcMar>
            <w:vAlign w:val="bottom"/>
          </w:tcPr>
          <w:p w14:paraId="54E9111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11E"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r>
      <w:tr w:rsidR="00F427A3" w14:paraId="54E9112C" w14:textId="77777777">
        <w:tc>
          <w:tcPr>
            <w:tcW w:w="0" w:type="auto"/>
            <w:shd w:val="clear" w:color="auto" w:fill="auto"/>
            <w:tcMar>
              <w:top w:w="40" w:type="dxa"/>
              <w:left w:w="40" w:type="dxa"/>
              <w:bottom w:w="40" w:type="dxa"/>
              <w:right w:w="40" w:type="dxa"/>
            </w:tcMar>
            <w:vAlign w:val="bottom"/>
          </w:tcPr>
          <w:p w14:paraId="54E91120"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121"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4E9112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123"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9112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4E91125"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change</w:t>
            </w:r>
          </w:p>
        </w:tc>
        <w:tc>
          <w:tcPr>
            <w:tcW w:w="0" w:type="auto"/>
            <w:shd w:val="clear" w:color="auto" w:fill="auto"/>
            <w:tcMar>
              <w:top w:w="40" w:type="dxa"/>
              <w:left w:w="40" w:type="dxa"/>
              <w:bottom w:w="40" w:type="dxa"/>
              <w:right w:w="40" w:type="dxa"/>
            </w:tcMar>
            <w:vAlign w:val="bottom"/>
          </w:tcPr>
          <w:p w14:paraId="54E9112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127"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4E9112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129"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9112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4E9112B"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change</w:t>
            </w:r>
          </w:p>
        </w:tc>
      </w:tr>
      <w:tr w:rsidR="00F427A3" w14:paraId="54E9112F" w14:textId="77777777">
        <w:tc>
          <w:tcPr>
            <w:tcW w:w="0" w:type="auto"/>
            <w:shd w:val="clear" w:color="auto" w:fill="auto"/>
            <w:tcMar>
              <w:top w:w="40" w:type="dxa"/>
              <w:left w:w="40" w:type="dxa"/>
              <w:bottom w:w="40" w:type="dxa"/>
              <w:right w:w="40" w:type="dxa"/>
            </w:tcMar>
            <w:vAlign w:val="bottom"/>
          </w:tcPr>
          <w:p w14:paraId="54E9112D"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1"/>
            <w:shd w:val="clear" w:color="auto" w:fill="auto"/>
            <w:tcMar>
              <w:top w:w="40" w:type="dxa"/>
              <w:left w:w="40" w:type="dxa"/>
              <w:bottom w:w="40" w:type="dxa"/>
            </w:tcMar>
            <w:vAlign w:val="bottom"/>
          </w:tcPr>
          <w:p w14:paraId="54E9112E" w14:textId="77777777" w:rsidR="00F427A3" w:rsidRDefault="0044221F">
            <w:pPr>
              <w:jc w:val="center"/>
              <w:textAlignment w:val="bottom"/>
              <w:rPr>
                <w:rFonts w:ascii="Times New Roman" w:hAnsi="Times New Roman"/>
                <w:sz w:val="16"/>
                <w:szCs w:val="16"/>
              </w:rPr>
            </w:pPr>
            <w:r>
              <w:rPr>
                <w:rFonts w:ascii="Times New Roman" w:eastAsia="宋体" w:hAnsi="Times New Roman"/>
                <w:b/>
                <w:bCs/>
                <w:i/>
                <w:iCs/>
                <w:sz w:val="16"/>
                <w:szCs w:val="16"/>
              </w:rPr>
              <w:t>(in millions, except for percentages)</w:t>
            </w:r>
          </w:p>
        </w:tc>
      </w:tr>
      <w:tr w:rsidR="00F427A3" w14:paraId="54E91146" w14:textId="77777777">
        <w:tc>
          <w:tcPr>
            <w:tcW w:w="0" w:type="auto"/>
            <w:shd w:val="clear" w:color="auto" w:fill="CCEEFF"/>
            <w:tcMar>
              <w:top w:w="40" w:type="dxa"/>
              <w:left w:w="40" w:type="dxa"/>
              <w:bottom w:w="40" w:type="dxa"/>
              <w:right w:w="40" w:type="dxa"/>
            </w:tcMar>
          </w:tcPr>
          <w:p w14:paraId="54E91130"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Cost of revenue</w:t>
            </w:r>
          </w:p>
        </w:tc>
        <w:tc>
          <w:tcPr>
            <w:tcW w:w="0" w:type="auto"/>
            <w:shd w:val="clear" w:color="auto" w:fill="CCEEFF"/>
            <w:tcMar>
              <w:top w:w="40" w:type="dxa"/>
              <w:left w:w="40" w:type="dxa"/>
              <w:bottom w:w="40" w:type="dxa"/>
            </w:tcMar>
            <w:vAlign w:val="bottom"/>
          </w:tcPr>
          <w:p w14:paraId="54E9113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13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4,194</w:t>
            </w:r>
          </w:p>
        </w:tc>
        <w:tc>
          <w:tcPr>
            <w:tcW w:w="0" w:type="auto"/>
            <w:shd w:val="clear" w:color="auto" w:fill="CCEEFF"/>
            <w:vAlign w:val="bottom"/>
          </w:tcPr>
          <w:p w14:paraId="54E91133"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13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13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13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3,155</w:t>
            </w:r>
          </w:p>
        </w:tc>
        <w:tc>
          <w:tcPr>
            <w:tcW w:w="0" w:type="auto"/>
            <w:shd w:val="clear" w:color="auto" w:fill="CCEEFF"/>
            <w:vAlign w:val="bottom"/>
          </w:tcPr>
          <w:p w14:paraId="54E9113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13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13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shd w:val="clear" w:color="auto" w:fill="CCEEFF"/>
            <w:tcMar>
              <w:top w:w="40" w:type="dxa"/>
              <w:bottom w:w="40" w:type="dxa"/>
              <w:right w:w="40" w:type="dxa"/>
            </w:tcMar>
            <w:vAlign w:val="bottom"/>
          </w:tcPr>
          <w:p w14:paraId="54E9113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113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13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13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11,482</w:t>
            </w:r>
          </w:p>
        </w:tc>
        <w:tc>
          <w:tcPr>
            <w:tcW w:w="0" w:type="auto"/>
            <w:shd w:val="clear" w:color="auto" w:fill="CCEEFF"/>
            <w:vAlign w:val="bottom"/>
          </w:tcPr>
          <w:p w14:paraId="54E9113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13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14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14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9,279</w:t>
            </w:r>
          </w:p>
        </w:tc>
        <w:tc>
          <w:tcPr>
            <w:tcW w:w="0" w:type="auto"/>
            <w:shd w:val="clear" w:color="auto" w:fill="CCEEFF"/>
            <w:vAlign w:val="bottom"/>
          </w:tcPr>
          <w:p w14:paraId="54E91142"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14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14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24</w:t>
            </w:r>
          </w:p>
        </w:tc>
        <w:tc>
          <w:tcPr>
            <w:tcW w:w="0" w:type="auto"/>
            <w:shd w:val="clear" w:color="auto" w:fill="CCEEFF"/>
            <w:tcMar>
              <w:top w:w="40" w:type="dxa"/>
              <w:bottom w:w="40" w:type="dxa"/>
              <w:right w:w="40" w:type="dxa"/>
            </w:tcMar>
            <w:vAlign w:val="bottom"/>
          </w:tcPr>
          <w:p w14:paraId="54E9114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1157" w14:textId="77777777">
        <w:tc>
          <w:tcPr>
            <w:tcW w:w="0" w:type="auto"/>
            <w:shd w:val="clear" w:color="auto" w:fill="auto"/>
            <w:tcMar>
              <w:top w:w="40" w:type="dxa"/>
              <w:left w:w="40" w:type="dxa"/>
              <w:bottom w:w="40" w:type="dxa"/>
              <w:right w:w="40" w:type="dxa"/>
            </w:tcMar>
          </w:tcPr>
          <w:p w14:paraId="54E91147"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Percentage of revenue</w:t>
            </w:r>
          </w:p>
        </w:tc>
        <w:tc>
          <w:tcPr>
            <w:tcW w:w="0" w:type="auto"/>
            <w:gridSpan w:val="2"/>
            <w:shd w:val="clear" w:color="auto" w:fill="auto"/>
            <w:tcMar>
              <w:top w:w="40" w:type="dxa"/>
              <w:left w:w="40" w:type="dxa"/>
              <w:bottom w:w="40" w:type="dxa"/>
            </w:tcMar>
            <w:vAlign w:val="bottom"/>
          </w:tcPr>
          <w:p w14:paraId="54E9114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tcMar>
              <w:top w:w="40" w:type="dxa"/>
              <w:bottom w:w="40" w:type="dxa"/>
              <w:right w:w="40" w:type="dxa"/>
            </w:tcMar>
            <w:vAlign w:val="bottom"/>
          </w:tcPr>
          <w:p w14:paraId="54E9114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14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14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auto"/>
            <w:tcMar>
              <w:top w:w="40" w:type="dxa"/>
              <w:bottom w:w="40" w:type="dxa"/>
              <w:right w:w="40" w:type="dxa"/>
            </w:tcMar>
            <w:vAlign w:val="bottom"/>
          </w:tcPr>
          <w:p w14:paraId="54E9114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14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14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14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15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tcMar>
              <w:top w:w="40" w:type="dxa"/>
              <w:bottom w:w="40" w:type="dxa"/>
              <w:right w:w="40" w:type="dxa"/>
            </w:tcMar>
            <w:vAlign w:val="bottom"/>
          </w:tcPr>
          <w:p w14:paraId="54E9115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15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15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tcMar>
              <w:top w:w="40" w:type="dxa"/>
              <w:bottom w:w="40" w:type="dxa"/>
              <w:right w:w="40" w:type="dxa"/>
            </w:tcMar>
            <w:vAlign w:val="bottom"/>
          </w:tcPr>
          <w:p w14:paraId="54E9115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15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15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bl>
    <w:p w14:paraId="54E91158"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Cost of revenue in the three and nine months ended September 30, 2020 increased $1.04 billion, or 33%, and $2.20 billion, or 24%, respectively, compared to the same periods in 2019. The increases in both periods were mostly due to increases in operational </w:t>
      </w:r>
      <w:r>
        <w:rPr>
          <w:rFonts w:ascii="Times New Roman" w:eastAsia="宋体" w:hAnsi="Times New Roman"/>
          <w:sz w:val="20"/>
          <w:szCs w:val="20"/>
        </w:rPr>
        <w:t xml:space="preserve">expenses related to our data centers and technical infrastructure, higher costs associated with partner arrangements, including traffic acquisition and content acquisition costs, and increases in the cost of consumer hardware devices. </w:t>
      </w:r>
    </w:p>
    <w:p w14:paraId="54E91159" w14:textId="77777777" w:rsidR="00F427A3" w:rsidRDefault="0044221F">
      <w:pPr>
        <w:spacing w:line="288" w:lineRule="auto"/>
        <w:rPr>
          <w:rFonts w:ascii="Times New Roman" w:hAnsi="Times New Roman"/>
          <w:sz w:val="20"/>
          <w:szCs w:val="20"/>
        </w:rPr>
      </w:pPr>
      <w:r>
        <w:rPr>
          <w:rFonts w:ascii="Times New Roman" w:eastAsia="宋体" w:hAnsi="Times New Roman"/>
          <w:b/>
          <w:bCs/>
          <w:i/>
          <w:iCs/>
          <w:sz w:val="20"/>
          <w:szCs w:val="20"/>
        </w:rPr>
        <w:t xml:space="preserve">Research and </w:t>
      </w:r>
      <w:r>
        <w:rPr>
          <w:rFonts w:ascii="Times New Roman" w:eastAsia="宋体" w:hAnsi="Times New Roman"/>
          <w:b/>
          <w:bCs/>
          <w:i/>
          <w:iCs/>
          <w:sz w:val="20"/>
          <w:szCs w:val="20"/>
        </w:rPr>
        <w:t>development</w:t>
      </w:r>
    </w:p>
    <w:tbl>
      <w:tblPr>
        <w:tblW w:w="5000" w:type="pct"/>
        <w:tblCellMar>
          <w:left w:w="0" w:type="dxa"/>
          <w:right w:w="0" w:type="dxa"/>
        </w:tblCellMar>
        <w:tblLook w:val="04A0" w:firstRow="1" w:lastRow="0" w:firstColumn="1" w:lastColumn="0" w:noHBand="0" w:noVBand="1"/>
      </w:tblPr>
      <w:tblGrid>
        <w:gridCol w:w="2053"/>
        <w:gridCol w:w="140"/>
        <w:gridCol w:w="725"/>
        <w:gridCol w:w="207"/>
        <w:gridCol w:w="130"/>
        <w:gridCol w:w="140"/>
        <w:gridCol w:w="725"/>
        <w:gridCol w:w="207"/>
        <w:gridCol w:w="130"/>
        <w:gridCol w:w="490"/>
        <w:gridCol w:w="207"/>
        <w:gridCol w:w="130"/>
        <w:gridCol w:w="140"/>
        <w:gridCol w:w="645"/>
        <w:gridCol w:w="207"/>
        <w:gridCol w:w="130"/>
        <w:gridCol w:w="140"/>
        <w:gridCol w:w="726"/>
        <w:gridCol w:w="207"/>
        <w:gridCol w:w="130"/>
        <w:gridCol w:w="490"/>
        <w:gridCol w:w="207"/>
      </w:tblGrid>
      <w:tr w:rsidR="00F427A3" w14:paraId="54E9115B" w14:textId="77777777">
        <w:tc>
          <w:tcPr>
            <w:tcW w:w="0" w:type="auto"/>
            <w:gridSpan w:val="22"/>
            <w:shd w:val="clear" w:color="auto" w:fill="auto"/>
            <w:vAlign w:val="center"/>
          </w:tcPr>
          <w:p w14:paraId="54E9115A" w14:textId="77777777" w:rsidR="00F427A3" w:rsidRDefault="00F427A3">
            <w:pPr>
              <w:rPr>
                <w:rFonts w:ascii="Times New Roman" w:hAnsi="Times New Roman"/>
                <w:sz w:val="20"/>
                <w:szCs w:val="20"/>
              </w:rPr>
            </w:pPr>
          </w:p>
        </w:tc>
      </w:tr>
      <w:tr w:rsidR="00F427A3" w14:paraId="54E91172" w14:textId="77777777">
        <w:tc>
          <w:tcPr>
            <w:tcW w:w="1350" w:type="pct"/>
            <w:shd w:val="clear" w:color="auto" w:fill="auto"/>
            <w:vAlign w:val="center"/>
          </w:tcPr>
          <w:p w14:paraId="54E9115C" w14:textId="77777777" w:rsidR="00F427A3" w:rsidRDefault="00F427A3">
            <w:pPr>
              <w:rPr>
                <w:rFonts w:ascii="Times New Roman" w:hAnsi="Times New Roman"/>
                <w:sz w:val="20"/>
                <w:szCs w:val="20"/>
              </w:rPr>
            </w:pPr>
          </w:p>
        </w:tc>
        <w:tc>
          <w:tcPr>
            <w:tcW w:w="50" w:type="pct"/>
            <w:shd w:val="clear" w:color="auto" w:fill="auto"/>
            <w:vAlign w:val="center"/>
          </w:tcPr>
          <w:p w14:paraId="54E9115D" w14:textId="77777777" w:rsidR="00F427A3" w:rsidRDefault="00F427A3">
            <w:pPr>
              <w:rPr>
                <w:rFonts w:ascii="Times New Roman" w:hAnsi="Times New Roman"/>
                <w:sz w:val="20"/>
                <w:szCs w:val="20"/>
              </w:rPr>
            </w:pPr>
          </w:p>
        </w:tc>
        <w:tc>
          <w:tcPr>
            <w:tcW w:w="550" w:type="pct"/>
            <w:shd w:val="clear" w:color="auto" w:fill="auto"/>
            <w:vAlign w:val="center"/>
          </w:tcPr>
          <w:p w14:paraId="54E9115E" w14:textId="77777777" w:rsidR="00F427A3" w:rsidRDefault="00F427A3">
            <w:pPr>
              <w:rPr>
                <w:rFonts w:ascii="Times New Roman" w:hAnsi="Times New Roman"/>
                <w:sz w:val="20"/>
                <w:szCs w:val="20"/>
              </w:rPr>
            </w:pPr>
          </w:p>
        </w:tc>
        <w:tc>
          <w:tcPr>
            <w:tcW w:w="50" w:type="pct"/>
            <w:shd w:val="clear" w:color="auto" w:fill="auto"/>
            <w:vAlign w:val="center"/>
          </w:tcPr>
          <w:p w14:paraId="54E9115F" w14:textId="77777777" w:rsidR="00F427A3" w:rsidRDefault="00F427A3">
            <w:pPr>
              <w:rPr>
                <w:rFonts w:ascii="Times New Roman" w:hAnsi="Times New Roman"/>
                <w:sz w:val="20"/>
                <w:szCs w:val="20"/>
              </w:rPr>
            </w:pPr>
          </w:p>
        </w:tc>
        <w:tc>
          <w:tcPr>
            <w:tcW w:w="50" w:type="pct"/>
            <w:shd w:val="clear" w:color="auto" w:fill="auto"/>
            <w:vAlign w:val="center"/>
          </w:tcPr>
          <w:p w14:paraId="54E91160" w14:textId="77777777" w:rsidR="00F427A3" w:rsidRDefault="00F427A3">
            <w:pPr>
              <w:rPr>
                <w:rFonts w:ascii="Times New Roman" w:hAnsi="Times New Roman"/>
                <w:sz w:val="20"/>
                <w:szCs w:val="20"/>
              </w:rPr>
            </w:pPr>
          </w:p>
        </w:tc>
        <w:tc>
          <w:tcPr>
            <w:tcW w:w="50" w:type="pct"/>
            <w:shd w:val="clear" w:color="auto" w:fill="auto"/>
            <w:vAlign w:val="center"/>
          </w:tcPr>
          <w:p w14:paraId="54E91161" w14:textId="77777777" w:rsidR="00F427A3" w:rsidRDefault="00F427A3">
            <w:pPr>
              <w:rPr>
                <w:rFonts w:ascii="Times New Roman" w:hAnsi="Times New Roman"/>
                <w:sz w:val="20"/>
                <w:szCs w:val="20"/>
              </w:rPr>
            </w:pPr>
          </w:p>
        </w:tc>
        <w:tc>
          <w:tcPr>
            <w:tcW w:w="550" w:type="pct"/>
            <w:shd w:val="clear" w:color="auto" w:fill="auto"/>
            <w:vAlign w:val="center"/>
          </w:tcPr>
          <w:p w14:paraId="54E91162" w14:textId="77777777" w:rsidR="00F427A3" w:rsidRDefault="00F427A3">
            <w:pPr>
              <w:rPr>
                <w:rFonts w:ascii="Times New Roman" w:hAnsi="Times New Roman"/>
                <w:sz w:val="20"/>
                <w:szCs w:val="20"/>
              </w:rPr>
            </w:pPr>
          </w:p>
        </w:tc>
        <w:tc>
          <w:tcPr>
            <w:tcW w:w="50" w:type="pct"/>
            <w:shd w:val="clear" w:color="auto" w:fill="auto"/>
            <w:vAlign w:val="center"/>
          </w:tcPr>
          <w:p w14:paraId="54E91163" w14:textId="77777777" w:rsidR="00F427A3" w:rsidRDefault="00F427A3">
            <w:pPr>
              <w:rPr>
                <w:rFonts w:ascii="Times New Roman" w:hAnsi="Times New Roman"/>
                <w:sz w:val="20"/>
                <w:szCs w:val="20"/>
              </w:rPr>
            </w:pPr>
          </w:p>
        </w:tc>
        <w:tc>
          <w:tcPr>
            <w:tcW w:w="50" w:type="pct"/>
            <w:shd w:val="clear" w:color="auto" w:fill="auto"/>
            <w:vAlign w:val="center"/>
          </w:tcPr>
          <w:p w14:paraId="54E91164" w14:textId="77777777" w:rsidR="00F427A3" w:rsidRDefault="00F427A3">
            <w:pPr>
              <w:rPr>
                <w:rFonts w:ascii="Times New Roman" w:hAnsi="Times New Roman"/>
                <w:sz w:val="20"/>
                <w:szCs w:val="20"/>
              </w:rPr>
            </w:pPr>
          </w:p>
        </w:tc>
        <w:tc>
          <w:tcPr>
            <w:tcW w:w="350" w:type="pct"/>
            <w:shd w:val="clear" w:color="auto" w:fill="auto"/>
            <w:vAlign w:val="center"/>
          </w:tcPr>
          <w:p w14:paraId="54E91165" w14:textId="77777777" w:rsidR="00F427A3" w:rsidRDefault="00F427A3">
            <w:pPr>
              <w:rPr>
                <w:rFonts w:ascii="Times New Roman" w:hAnsi="Times New Roman"/>
                <w:sz w:val="20"/>
                <w:szCs w:val="20"/>
              </w:rPr>
            </w:pPr>
          </w:p>
        </w:tc>
        <w:tc>
          <w:tcPr>
            <w:tcW w:w="50" w:type="pct"/>
            <w:shd w:val="clear" w:color="auto" w:fill="auto"/>
            <w:vAlign w:val="center"/>
          </w:tcPr>
          <w:p w14:paraId="54E91166" w14:textId="77777777" w:rsidR="00F427A3" w:rsidRDefault="00F427A3">
            <w:pPr>
              <w:rPr>
                <w:rFonts w:ascii="Times New Roman" w:hAnsi="Times New Roman"/>
                <w:sz w:val="20"/>
                <w:szCs w:val="20"/>
              </w:rPr>
            </w:pPr>
          </w:p>
        </w:tc>
        <w:tc>
          <w:tcPr>
            <w:tcW w:w="50" w:type="pct"/>
            <w:shd w:val="clear" w:color="auto" w:fill="auto"/>
            <w:vAlign w:val="center"/>
          </w:tcPr>
          <w:p w14:paraId="54E91167" w14:textId="77777777" w:rsidR="00F427A3" w:rsidRDefault="00F427A3">
            <w:pPr>
              <w:rPr>
                <w:rFonts w:ascii="Times New Roman" w:hAnsi="Times New Roman"/>
                <w:sz w:val="20"/>
                <w:szCs w:val="20"/>
              </w:rPr>
            </w:pPr>
          </w:p>
        </w:tc>
        <w:tc>
          <w:tcPr>
            <w:tcW w:w="50" w:type="pct"/>
            <w:shd w:val="clear" w:color="auto" w:fill="auto"/>
            <w:vAlign w:val="center"/>
          </w:tcPr>
          <w:p w14:paraId="54E91168" w14:textId="77777777" w:rsidR="00F427A3" w:rsidRDefault="00F427A3">
            <w:pPr>
              <w:rPr>
                <w:rFonts w:ascii="Times New Roman" w:hAnsi="Times New Roman"/>
                <w:sz w:val="20"/>
                <w:szCs w:val="20"/>
              </w:rPr>
            </w:pPr>
          </w:p>
        </w:tc>
        <w:tc>
          <w:tcPr>
            <w:tcW w:w="550" w:type="pct"/>
            <w:shd w:val="clear" w:color="auto" w:fill="auto"/>
            <w:vAlign w:val="center"/>
          </w:tcPr>
          <w:p w14:paraId="54E91169" w14:textId="77777777" w:rsidR="00F427A3" w:rsidRDefault="00F427A3">
            <w:pPr>
              <w:rPr>
                <w:rFonts w:ascii="Times New Roman" w:hAnsi="Times New Roman"/>
                <w:sz w:val="20"/>
                <w:szCs w:val="20"/>
              </w:rPr>
            </w:pPr>
          </w:p>
        </w:tc>
        <w:tc>
          <w:tcPr>
            <w:tcW w:w="50" w:type="pct"/>
            <w:shd w:val="clear" w:color="auto" w:fill="auto"/>
            <w:vAlign w:val="center"/>
          </w:tcPr>
          <w:p w14:paraId="54E9116A" w14:textId="77777777" w:rsidR="00F427A3" w:rsidRDefault="00F427A3">
            <w:pPr>
              <w:rPr>
                <w:rFonts w:ascii="Times New Roman" w:hAnsi="Times New Roman"/>
                <w:sz w:val="20"/>
                <w:szCs w:val="20"/>
              </w:rPr>
            </w:pPr>
          </w:p>
        </w:tc>
        <w:tc>
          <w:tcPr>
            <w:tcW w:w="50" w:type="pct"/>
            <w:shd w:val="clear" w:color="auto" w:fill="auto"/>
            <w:vAlign w:val="center"/>
          </w:tcPr>
          <w:p w14:paraId="54E9116B" w14:textId="77777777" w:rsidR="00F427A3" w:rsidRDefault="00F427A3">
            <w:pPr>
              <w:rPr>
                <w:rFonts w:ascii="Times New Roman" w:hAnsi="Times New Roman"/>
                <w:sz w:val="20"/>
                <w:szCs w:val="20"/>
              </w:rPr>
            </w:pPr>
          </w:p>
        </w:tc>
        <w:tc>
          <w:tcPr>
            <w:tcW w:w="50" w:type="pct"/>
            <w:shd w:val="clear" w:color="auto" w:fill="auto"/>
            <w:vAlign w:val="center"/>
          </w:tcPr>
          <w:p w14:paraId="54E9116C" w14:textId="77777777" w:rsidR="00F427A3" w:rsidRDefault="00F427A3">
            <w:pPr>
              <w:rPr>
                <w:rFonts w:ascii="Times New Roman" w:hAnsi="Times New Roman"/>
                <w:sz w:val="20"/>
                <w:szCs w:val="20"/>
              </w:rPr>
            </w:pPr>
          </w:p>
        </w:tc>
        <w:tc>
          <w:tcPr>
            <w:tcW w:w="550" w:type="pct"/>
            <w:shd w:val="clear" w:color="auto" w:fill="auto"/>
            <w:vAlign w:val="center"/>
          </w:tcPr>
          <w:p w14:paraId="54E9116D" w14:textId="77777777" w:rsidR="00F427A3" w:rsidRDefault="00F427A3">
            <w:pPr>
              <w:rPr>
                <w:rFonts w:ascii="Times New Roman" w:hAnsi="Times New Roman"/>
                <w:sz w:val="20"/>
                <w:szCs w:val="20"/>
              </w:rPr>
            </w:pPr>
          </w:p>
        </w:tc>
        <w:tc>
          <w:tcPr>
            <w:tcW w:w="50" w:type="pct"/>
            <w:shd w:val="clear" w:color="auto" w:fill="auto"/>
            <w:vAlign w:val="center"/>
          </w:tcPr>
          <w:p w14:paraId="54E9116E" w14:textId="77777777" w:rsidR="00F427A3" w:rsidRDefault="00F427A3">
            <w:pPr>
              <w:rPr>
                <w:rFonts w:ascii="Times New Roman" w:hAnsi="Times New Roman"/>
                <w:sz w:val="20"/>
                <w:szCs w:val="20"/>
              </w:rPr>
            </w:pPr>
          </w:p>
        </w:tc>
        <w:tc>
          <w:tcPr>
            <w:tcW w:w="50" w:type="pct"/>
            <w:shd w:val="clear" w:color="auto" w:fill="auto"/>
            <w:vAlign w:val="center"/>
          </w:tcPr>
          <w:p w14:paraId="54E9116F" w14:textId="77777777" w:rsidR="00F427A3" w:rsidRDefault="00F427A3">
            <w:pPr>
              <w:rPr>
                <w:rFonts w:ascii="Times New Roman" w:hAnsi="Times New Roman"/>
                <w:sz w:val="20"/>
                <w:szCs w:val="20"/>
              </w:rPr>
            </w:pPr>
          </w:p>
        </w:tc>
        <w:tc>
          <w:tcPr>
            <w:tcW w:w="350" w:type="pct"/>
            <w:shd w:val="clear" w:color="auto" w:fill="auto"/>
            <w:vAlign w:val="center"/>
          </w:tcPr>
          <w:p w14:paraId="54E91170" w14:textId="77777777" w:rsidR="00F427A3" w:rsidRDefault="00F427A3">
            <w:pPr>
              <w:rPr>
                <w:rFonts w:ascii="Times New Roman" w:hAnsi="Times New Roman"/>
                <w:sz w:val="20"/>
                <w:szCs w:val="20"/>
              </w:rPr>
            </w:pPr>
          </w:p>
        </w:tc>
        <w:tc>
          <w:tcPr>
            <w:tcW w:w="50" w:type="pct"/>
            <w:shd w:val="clear" w:color="auto" w:fill="auto"/>
            <w:vAlign w:val="center"/>
          </w:tcPr>
          <w:p w14:paraId="54E91171" w14:textId="77777777" w:rsidR="00F427A3" w:rsidRDefault="00F427A3">
            <w:pPr>
              <w:rPr>
                <w:rFonts w:ascii="Times New Roman" w:hAnsi="Times New Roman"/>
                <w:sz w:val="20"/>
                <w:szCs w:val="20"/>
              </w:rPr>
            </w:pPr>
          </w:p>
        </w:tc>
      </w:tr>
      <w:tr w:rsidR="00F427A3" w14:paraId="54E9117B" w14:textId="77777777">
        <w:tc>
          <w:tcPr>
            <w:tcW w:w="0" w:type="auto"/>
            <w:shd w:val="clear" w:color="auto" w:fill="auto"/>
            <w:tcMar>
              <w:top w:w="40" w:type="dxa"/>
              <w:left w:w="40" w:type="dxa"/>
              <w:bottom w:w="40" w:type="dxa"/>
              <w:right w:w="40" w:type="dxa"/>
            </w:tcMar>
            <w:vAlign w:val="bottom"/>
          </w:tcPr>
          <w:p w14:paraId="54E91173"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1174"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Three Months Ended September 30,</w:t>
            </w:r>
          </w:p>
        </w:tc>
        <w:tc>
          <w:tcPr>
            <w:tcW w:w="0" w:type="auto"/>
            <w:shd w:val="clear" w:color="auto" w:fill="auto"/>
            <w:tcMar>
              <w:top w:w="40" w:type="dxa"/>
              <w:left w:w="40" w:type="dxa"/>
              <w:bottom w:w="40" w:type="dxa"/>
              <w:right w:w="40" w:type="dxa"/>
            </w:tcMar>
            <w:vAlign w:val="bottom"/>
          </w:tcPr>
          <w:p w14:paraId="54E9117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176"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17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1178"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Nine Months Ended September 30,</w:t>
            </w:r>
          </w:p>
        </w:tc>
        <w:tc>
          <w:tcPr>
            <w:tcW w:w="0" w:type="auto"/>
            <w:shd w:val="clear" w:color="auto" w:fill="auto"/>
            <w:tcMar>
              <w:top w:w="40" w:type="dxa"/>
              <w:left w:w="40" w:type="dxa"/>
              <w:bottom w:w="40" w:type="dxa"/>
              <w:right w:w="40" w:type="dxa"/>
            </w:tcMar>
            <w:vAlign w:val="bottom"/>
          </w:tcPr>
          <w:p w14:paraId="54E9117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17A"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r>
      <w:tr w:rsidR="00F427A3" w14:paraId="54E91188" w14:textId="77777777">
        <w:tc>
          <w:tcPr>
            <w:tcW w:w="0" w:type="auto"/>
            <w:shd w:val="clear" w:color="auto" w:fill="auto"/>
            <w:tcMar>
              <w:top w:w="40" w:type="dxa"/>
              <w:left w:w="40" w:type="dxa"/>
              <w:bottom w:w="40" w:type="dxa"/>
              <w:right w:w="40" w:type="dxa"/>
            </w:tcMar>
            <w:vAlign w:val="bottom"/>
          </w:tcPr>
          <w:p w14:paraId="54E9117C"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17D"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4E9117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17F"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9118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4E91181"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change</w:t>
            </w:r>
          </w:p>
        </w:tc>
        <w:tc>
          <w:tcPr>
            <w:tcW w:w="0" w:type="auto"/>
            <w:shd w:val="clear" w:color="auto" w:fill="auto"/>
            <w:tcMar>
              <w:top w:w="40" w:type="dxa"/>
              <w:left w:w="40" w:type="dxa"/>
              <w:bottom w:w="40" w:type="dxa"/>
              <w:right w:w="40" w:type="dxa"/>
            </w:tcMar>
            <w:vAlign w:val="bottom"/>
          </w:tcPr>
          <w:p w14:paraId="54E9118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183"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4E9118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185"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9118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4E91187"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change</w:t>
            </w:r>
          </w:p>
        </w:tc>
      </w:tr>
      <w:tr w:rsidR="00F427A3" w14:paraId="54E9118B" w14:textId="77777777">
        <w:tc>
          <w:tcPr>
            <w:tcW w:w="0" w:type="auto"/>
            <w:shd w:val="clear" w:color="auto" w:fill="auto"/>
            <w:tcMar>
              <w:top w:w="40" w:type="dxa"/>
              <w:left w:w="40" w:type="dxa"/>
              <w:bottom w:w="40" w:type="dxa"/>
              <w:right w:w="40" w:type="dxa"/>
            </w:tcMar>
            <w:vAlign w:val="bottom"/>
          </w:tcPr>
          <w:p w14:paraId="54E91189"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1"/>
            <w:shd w:val="clear" w:color="auto" w:fill="auto"/>
            <w:tcMar>
              <w:top w:w="40" w:type="dxa"/>
              <w:left w:w="40" w:type="dxa"/>
              <w:bottom w:w="40" w:type="dxa"/>
            </w:tcMar>
            <w:vAlign w:val="bottom"/>
          </w:tcPr>
          <w:p w14:paraId="54E9118A" w14:textId="77777777" w:rsidR="00F427A3" w:rsidRDefault="0044221F">
            <w:pPr>
              <w:jc w:val="center"/>
              <w:textAlignment w:val="bottom"/>
              <w:rPr>
                <w:rFonts w:ascii="Times New Roman" w:hAnsi="Times New Roman"/>
                <w:sz w:val="16"/>
                <w:szCs w:val="16"/>
              </w:rPr>
            </w:pPr>
            <w:r>
              <w:rPr>
                <w:rFonts w:ascii="Times New Roman" w:eastAsia="宋体" w:hAnsi="Times New Roman"/>
                <w:b/>
                <w:bCs/>
                <w:i/>
                <w:iCs/>
                <w:sz w:val="16"/>
                <w:szCs w:val="16"/>
              </w:rPr>
              <w:t>(in millions, except for percentages)</w:t>
            </w:r>
          </w:p>
        </w:tc>
      </w:tr>
      <w:tr w:rsidR="00F427A3" w14:paraId="54E911A2" w14:textId="77777777">
        <w:tc>
          <w:tcPr>
            <w:tcW w:w="0" w:type="auto"/>
            <w:shd w:val="clear" w:color="auto" w:fill="CCEEFF"/>
            <w:tcMar>
              <w:top w:w="40" w:type="dxa"/>
              <w:left w:w="40" w:type="dxa"/>
              <w:bottom w:w="40" w:type="dxa"/>
              <w:right w:w="40" w:type="dxa"/>
            </w:tcMar>
          </w:tcPr>
          <w:p w14:paraId="54E9118C"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Research and development</w:t>
            </w:r>
          </w:p>
        </w:tc>
        <w:tc>
          <w:tcPr>
            <w:tcW w:w="0" w:type="auto"/>
            <w:shd w:val="clear" w:color="auto" w:fill="CCEEFF"/>
            <w:tcMar>
              <w:top w:w="40" w:type="dxa"/>
              <w:left w:w="40" w:type="dxa"/>
              <w:bottom w:w="40" w:type="dxa"/>
            </w:tcMar>
            <w:vAlign w:val="bottom"/>
          </w:tcPr>
          <w:p w14:paraId="54E9118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18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4,763</w:t>
            </w:r>
          </w:p>
        </w:tc>
        <w:tc>
          <w:tcPr>
            <w:tcW w:w="0" w:type="auto"/>
            <w:shd w:val="clear" w:color="auto" w:fill="CCEEFF"/>
            <w:vAlign w:val="bottom"/>
          </w:tcPr>
          <w:p w14:paraId="54E9118F"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19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19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19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3,548</w:t>
            </w:r>
          </w:p>
        </w:tc>
        <w:tc>
          <w:tcPr>
            <w:tcW w:w="0" w:type="auto"/>
            <w:shd w:val="clear" w:color="auto" w:fill="CCEEFF"/>
            <w:vAlign w:val="bottom"/>
          </w:tcPr>
          <w:p w14:paraId="54E91193"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19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19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shd w:val="clear" w:color="auto" w:fill="CCEEFF"/>
            <w:tcMar>
              <w:top w:w="40" w:type="dxa"/>
              <w:bottom w:w="40" w:type="dxa"/>
              <w:right w:w="40" w:type="dxa"/>
            </w:tcMar>
            <w:vAlign w:val="bottom"/>
          </w:tcPr>
          <w:p w14:paraId="54E9119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119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19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19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13,240</w:t>
            </w:r>
          </w:p>
        </w:tc>
        <w:tc>
          <w:tcPr>
            <w:tcW w:w="0" w:type="auto"/>
            <w:shd w:val="clear" w:color="auto" w:fill="CCEEFF"/>
            <w:vAlign w:val="bottom"/>
          </w:tcPr>
          <w:p w14:paraId="54E9119A"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19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19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19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9,722</w:t>
            </w:r>
          </w:p>
        </w:tc>
        <w:tc>
          <w:tcPr>
            <w:tcW w:w="0" w:type="auto"/>
            <w:shd w:val="clear" w:color="auto" w:fill="CCEEFF"/>
            <w:vAlign w:val="bottom"/>
          </w:tcPr>
          <w:p w14:paraId="54E9119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19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1A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36</w:t>
            </w:r>
          </w:p>
        </w:tc>
        <w:tc>
          <w:tcPr>
            <w:tcW w:w="0" w:type="auto"/>
            <w:shd w:val="clear" w:color="auto" w:fill="CCEEFF"/>
            <w:tcMar>
              <w:top w:w="40" w:type="dxa"/>
              <w:bottom w:w="40" w:type="dxa"/>
              <w:right w:w="40" w:type="dxa"/>
            </w:tcMar>
            <w:vAlign w:val="bottom"/>
          </w:tcPr>
          <w:p w14:paraId="54E911A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11B3" w14:textId="77777777">
        <w:tc>
          <w:tcPr>
            <w:tcW w:w="0" w:type="auto"/>
            <w:shd w:val="clear" w:color="auto" w:fill="auto"/>
            <w:tcMar>
              <w:top w:w="40" w:type="dxa"/>
              <w:left w:w="40" w:type="dxa"/>
              <w:bottom w:w="40" w:type="dxa"/>
              <w:right w:w="40" w:type="dxa"/>
            </w:tcMar>
          </w:tcPr>
          <w:p w14:paraId="54E911A3"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Percentage of revenue</w:t>
            </w:r>
          </w:p>
        </w:tc>
        <w:tc>
          <w:tcPr>
            <w:tcW w:w="0" w:type="auto"/>
            <w:gridSpan w:val="2"/>
            <w:shd w:val="clear" w:color="auto" w:fill="auto"/>
            <w:tcMar>
              <w:top w:w="40" w:type="dxa"/>
              <w:left w:w="40" w:type="dxa"/>
              <w:bottom w:w="40" w:type="dxa"/>
            </w:tcMar>
            <w:vAlign w:val="bottom"/>
          </w:tcPr>
          <w:p w14:paraId="54E911A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shd w:val="clear" w:color="auto" w:fill="auto"/>
            <w:tcMar>
              <w:top w:w="40" w:type="dxa"/>
              <w:bottom w:w="40" w:type="dxa"/>
              <w:right w:w="40" w:type="dxa"/>
            </w:tcMar>
            <w:vAlign w:val="bottom"/>
          </w:tcPr>
          <w:p w14:paraId="54E911A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1A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1A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tcMar>
              <w:top w:w="40" w:type="dxa"/>
              <w:bottom w:w="40" w:type="dxa"/>
              <w:right w:w="40" w:type="dxa"/>
            </w:tcMar>
            <w:vAlign w:val="bottom"/>
          </w:tcPr>
          <w:p w14:paraId="54E911A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1A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1A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1A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1A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shd w:val="clear" w:color="auto" w:fill="auto"/>
            <w:tcMar>
              <w:top w:w="40" w:type="dxa"/>
              <w:bottom w:w="40" w:type="dxa"/>
              <w:right w:w="40" w:type="dxa"/>
            </w:tcMar>
            <w:vAlign w:val="bottom"/>
          </w:tcPr>
          <w:p w14:paraId="54E911A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1A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1A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tcMar>
              <w:top w:w="40" w:type="dxa"/>
              <w:bottom w:w="40" w:type="dxa"/>
              <w:right w:w="40" w:type="dxa"/>
            </w:tcMar>
            <w:vAlign w:val="bottom"/>
          </w:tcPr>
          <w:p w14:paraId="54E911B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1B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1B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bl>
    <w:p w14:paraId="54E911B4"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Research and development expenses in the three and nine months ended September 30, 2020 increased $1.21 billion, or 34%, and $3.52 billion, or 36%, </w:t>
      </w:r>
      <w:r>
        <w:rPr>
          <w:rFonts w:ascii="Times New Roman" w:eastAsia="宋体" w:hAnsi="Times New Roman"/>
          <w:sz w:val="20"/>
          <w:szCs w:val="20"/>
        </w:rPr>
        <w:t>respectively, compared to the same periods in 2019. The increases in both periods were primarily due to increases in payroll and benefits expenses as a result of a 41% growth in employee headcount from September 30, 2019 to September 30, 2020 in our engine</w:t>
      </w:r>
      <w:r>
        <w:rPr>
          <w:rFonts w:ascii="Times New Roman" w:eastAsia="宋体" w:hAnsi="Times New Roman"/>
          <w:sz w:val="20"/>
          <w:szCs w:val="20"/>
        </w:rPr>
        <w:t>ering and other technical functions, including in particular functions supporting consumer hardware product development.</w:t>
      </w:r>
    </w:p>
    <w:p w14:paraId="54E911B5" w14:textId="77777777" w:rsidR="00F427A3" w:rsidRDefault="00F427A3">
      <w:pPr>
        <w:spacing w:line="288" w:lineRule="auto"/>
        <w:ind w:firstLine="720"/>
        <w:jc w:val="both"/>
        <w:rPr>
          <w:rFonts w:ascii="Times New Roman" w:hAnsi="Times New Roman"/>
          <w:sz w:val="20"/>
          <w:szCs w:val="20"/>
        </w:rPr>
      </w:pPr>
    </w:p>
    <w:p w14:paraId="54E911B6" w14:textId="77777777" w:rsidR="00F427A3" w:rsidRDefault="00F427A3">
      <w:pPr>
        <w:rPr>
          <w:rFonts w:ascii="Times New Roman" w:hAnsi="Times New Roman"/>
          <w:sz w:val="20"/>
          <w:szCs w:val="20"/>
        </w:rPr>
      </w:pPr>
    </w:p>
    <w:p w14:paraId="54E911B7"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41</w:t>
      </w:r>
    </w:p>
    <w:p w14:paraId="54E911B8" w14:textId="77777777" w:rsidR="00F427A3" w:rsidRDefault="0044221F">
      <w:r>
        <w:rPr>
          <w:rFonts w:ascii="Times New Roman" w:hAnsi="Times New Roman"/>
          <w:sz w:val="20"/>
          <w:szCs w:val="20"/>
        </w:rPr>
        <w:pict w14:anchorId="54E91C59">
          <v:rect id="_x0000_i1065" style="width:415.3pt;height:1.5pt" o:hralign="center" o:hrstd="t" o:hr="t" fillcolor="#a0a0a0" stroked="f"/>
        </w:pict>
      </w:r>
    </w:p>
    <w:p w14:paraId="54E911B9" w14:textId="77777777" w:rsidR="00F427A3" w:rsidRDefault="0044221F">
      <w:pPr>
        <w:spacing w:line="288" w:lineRule="auto"/>
        <w:rPr>
          <w:rFonts w:ascii="Times New Roman" w:hAnsi="Times New Roman"/>
          <w:sz w:val="20"/>
          <w:szCs w:val="20"/>
        </w:rPr>
      </w:pPr>
      <w:hyperlink r:id="rId83" w:anchor="s348EA962CF6D59B599D9921AFA89C381" w:history="1">
        <w:r>
          <w:rPr>
            <w:rStyle w:val="a5"/>
            <w:rFonts w:ascii="Times New Roman" w:eastAsia="宋体" w:hAnsi="Times New Roman"/>
            <w:sz w:val="20"/>
            <w:szCs w:val="20"/>
          </w:rPr>
          <w:t>Table of Contents</w:t>
        </w:r>
      </w:hyperlink>
    </w:p>
    <w:p w14:paraId="54E911BA" w14:textId="77777777" w:rsidR="00F427A3" w:rsidRDefault="00F427A3">
      <w:pPr>
        <w:rPr>
          <w:rFonts w:ascii="Times New Roman" w:hAnsi="Times New Roman"/>
          <w:sz w:val="20"/>
          <w:szCs w:val="20"/>
        </w:rPr>
      </w:pPr>
    </w:p>
    <w:p w14:paraId="54E911BB" w14:textId="77777777" w:rsidR="00F427A3" w:rsidRDefault="0044221F">
      <w:pPr>
        <w:spacing w:line="288" w:lineRule="auto"/>
        <w:rPr>
          <w:rFonts w:ascii="Times New Roman" w:hAnsi="Times New Roman"/>
          <w:sz w:val="20"/>
          <w:szCs w:val="20"/>
        </w:rPr>
      </w:pPr>
      <w:r>
        <w:rPr>
          <w:rFonts w:ascii="Times New Roman" w:eastAsia="宋体" w:hAnsi="Times New Roman"/>
          <w:b/>
          <w:bCs/>
          <w:i/>
          <w:iCs/>
          <w:sz w:val="20"/>
          <w:szCs w:val="20"/>
        </w:rPr>
        <w:t>Marketing and sales</w:t>
      </w:r>
    </w:p>
    <w:tbl>
      <w:tblPr>
        <w:tblW w:w="5000" w:type="pct"/>
        <w:tblCellMar>
          <w:left w:w="0" w:type="dxa"/>
          <w:right w:w="0" w:type="dxa"/>
        </w:tblCellMar>
        <w:tblLook w:val="04A0" w:firstRow="1" w:lastRow="0" w:firstColumn="1" w:lastColumn="0" w:noHBand="0" w:noVBand="1"/>
      </w:tblPr>
      <w:tblGrid>
        <w:gridCol w:w="2053"/>
        <w:gridCol w:w="140"/>
        <w:gridCol w:w="725"/>
        <w:gridCol w:w="207"/>
        <w:gridCol w:w="130"/>
        <w:gridCol w:w="140"/>
        <w:gridCol w:w="725"/>
        <w:gridCol w:w="207"/>
        <w:gridCol w:w="130"/>
        <w:gridCol w:w="490"/>
        <w:gridCol w:w="207"/>
        <w:gridCol w:w="130"/>
        <w:gridCol w:w="140"/>
        <w:gridCol w:w="645"/>
        <w:gridCol w:w="207"/>
        <w:gridCol w:w="130"/>
        <w:gridCol w:w="140"/>
        <w:gridCol w:w="726"/>
        <w:gridCol w:w="207"/>
        <w:gridCol w:w="130"/>
        <w:gridCol w:w="490"/>
        <w:gridCol w:w="207"/>
      </w:tblGrid>
      <w:tr w:rsidR="00F427A3" w14:paraId="54E911BD" w14:textId="77777777">
        <w:tc>
          <w:tcPr>
            <w:tcW w:w="0" w:type="auto"/>
            <w:gridSpan w:val="22"/>
            <w:shd w:val="clear" w:color="auto" w:fill="auto"/>
            <w:vAlign w:val="center"/>
          </w:tcPr>
          <w:p w14:paraId="54E911BC" w14:textId="77777777" w:rsidR="00F427A3" w:rsidRDefault="00F427A3">
            <w:pPr>
              <w:rPr>
                <w:rFonts w:ascii="Times New Roman" w:hAnsi="Times New Roman"/>
                <w:sz w:val="20"/>
                <w:szCs w:val="20"/>
              </w:rPr>
            </w:pPr>
          </w:p>
        </w:tc>
      </w:tr>
      <w:tr w:rsidR="00F427A3" w14:paraId="54E911D4" w14:textId="77777777">
        <w:tc>
          <w:tcPr>
            <w:tcW w:w="1350" w:type="pct"/>
            <w:shd w:val="clear" w:color="auto" w:fill="auto"/>
            <w:vAlign w:val="center"/>
          </w:tcPr>
          <w:p w14:paraId="54E911BE" w14:textId="77777777" w:rsidR="00F427A3" w:rsidRDefault="00F427A3">
            <w:pPr>
              <w:rPr>
                <w:rFonts w:ascii="Times New Roman" w:hAnsi="Times New Roman"/>
                <w:sz w:val="20"/>
                <w:szCs w:val="20"/>
              </w:rPr>
            </w:pPr>
          </w:p>
        </w:tc>
        <w:tc>
          <w:tcPr>
            <w:tcW w:w="50" w:type="pct"/>
            <w:shd w:val="clear" w:color="auto" w:fill="auto"/>
            <w:vAlign w:val="center"/>
          </w:tcPr>
          <w:p w14:paraId="54E911BF" w14:textId="77777777" w:rsidR="00F427A3" w:rsidRDefault="00F427A3">
            <w:pPr>
              <w:rPr>
                <w:rFonts w:ascii="Times New Roman" w:hAnsi="Times New Roman"/>
                <w:sz w:val="20"/>
                <w:szCs w:val="20"/>
              </w:rPr>
            </w:pPr>
          </w:p>
        </w:tc>
        <w:tc>
          <w:tcPr>
            <w:tcW w:w="550" w:type="pct"/>
            <w:shd w:val="clear" w:color="auto" w:fill="auto"/>
            <w:vAlign w:val="center"/>
          </w:tcPr>
          <w:p w14:paraId="54E911C0" w14:textId="77777777" w:rsidR="00F427A3" w:rsidRDefault="00F427A3">
            <w:pPr>
              <w:rPr>
                <w:rFonts w:ascii="Times New Roman" w:hAnsi="Times New Roman"/>
                <w:sz w:val="20"/>
                <w:szCs w:val="20"/>
              </w:rPr>
            </w:pPr>
          </w:p>
        </w:tc>
        <w:tc>
          <w:tcPr>
            <w:tcW w:w="50" w:type="pct"/>
            <w:shd w:val="clear" w:color="auto" w:fill="auto"/>
            <w:vAlign w:val="center"/>
          </w:tcPr>
          <w:p w14:paraId="54E911C1" w14:textId="77777777" w:rsidR="00F427A3" w:rsidRDefault="00F427A3">
            <w:pPr>
              <w:rPr>
                <w:rFonts w:ascii="Times New Roman" w:hAnsi="Times New Roman"/>
                <w:sz w:val="20"/>
                <w:szCs w:val="20"/>
              </w:rPr>
            </w:pPr>
          </w:p>
        </w:tc>
        <w:tc>
          <w:tcPr>
            <w:tcW w:w="50" w:type="pct"/>
            <w:shd w:val="clear" w:color="auto" w:fill="auto"/>
            <w:vAlign w:val="center"/>
          </w:tcPr>
          <w:p w14:paraId="54E911C2" w14:textId="77777777" w:rsidR="00F427A3" w:rsidRDefault="00F427A3">
            <w:pPr>
              <w:rPr>
                <w:rFonts w:ascii="Times New Roman" w:hAnsi="Times New Roman"/>
                <w:sz w:val="20"/>
                <w:szCs w:val="20"/>
              </w:rPr>
            </w:pPr>
          </w:p>
        </w:tc>
        <w:tc>
          <w:tcPr>
            <w:tcW w:w="50" w:type="pct"/>
            <w:shd w:val="clear" w:color="auto" w:fill="auto"/>
            <w:vAlign w:val="center"/>
          </w:tcPr>
          <w:p w14:paraId="54E911C3" w14:textId="77777777" w:rsidR="00F427A3" w:rsidRDefault="00F427A3">
            <w:pPr>
              <w:rPr>
                <w:rFonts w:ascii="Times New Roman" w:hAnsi="Times New Roman"/>
                <w:sz w:val="20"/>
                <w:szCs w:val="20"/>
              </w:rPr>
            </w:pPr>
          </w:p>
        </w:tc>
        <w:tc>
          <w:tcPr>
            <w:tcW w:w="550" w:type="pct"/>
            <w:shd w:val="clear" w:color="auto" w:fill="auto"/>
            <w:vAlign w:val="center"/>
          </w:tcPr>
          <w:p w14:paraId="54E911C4" w14:textId="77777777" w:rsidR="00F427A3" w:rsidRDefault="00F427A3">
            <w:pPr>
              <w:rPr>
                <w:rFonts w:ascii="Times New Roman" w:hAnsi="Times New Roman"/>
                <w:sz w:val="20"/>
                <w:szCs w:val="20"/>
              </w:rPr>
            </w:pPr>
          </w:p>
        </w:tc>
        <w:tc>
          <w:tcPr>
            <w:tcW w:w="50" w:type="pct"/>
            <w:shd w:val="clear" w:color="auto" w:fill="auto"/>
            <w:vAlign w:val="center"/>
          </w:tcPr>
          <w:p w14:paraId="54E911C5" w14:textId="77777777" w:rsidR="00F427A3" w:rsidRDefault="00F427A3">
            <w:pPr>
              <w:rPr>
                <w:rFonts w:ascii="Times New Roman" w:hAnsi="Times New Roman"/>
                <w:sz w:val="20"/>
                <w:szCs w:val="20"/>
              </w:rPr>
            </w:pPr>
          </w:p>
        </w:tc>
        <w:tc>
          <w:tcPr>
            <w:tcW w:w="50" w:type="pct"/>
            <w:shd w:val="clear" w:color="auto" w:fill="auto"/>
            <w:vAlign w:val="center"/>
          </w:tcPr>
          <w:p w14:paraId="54E911C6" w14:textId="77777777" w:rsidR="00F427A3" w:rsidRDefault="00F427A3">
            <w:pPr>
              <w:rPr>
                <w:rFonts w:ascii="Times New Roman" w:hAnsi="Times New Roman"/>
                <w:sz w:val="20"/>
                <w:szCs w:val="20"/>
              </w:rPr>
            </w:pPr>
          </w:p>
        </w:tc>
        <w:tc>
          <w:tcPr>
            <w:tcW w:w="350" w:type="pct"/>
            <w:shd w:val="clear" w:color="auto" w:fill="auto"/>
            <w:vAlign w:val="center"/>
          </w:tcPr>
          <w:p w14:paraId="54E911C7" w14:textId="77777777" w:rsidR="00F427A3" w:rsidRDefault="00F427A3">
            <w:pPr>
              <w:rPr>
                <w:rFonts w:ascii="Times New Roman" w:hAnsi="Times New Roman"/>
                <w:sz w:val="20"/>
                <w:szCs w:val="20"/>
              </w:rPr>
            </w:pPr>
          </w:p>
        </w:tc>
        <w:tc>
          <w:tcPr>
            <w:tcW w:w="50" w:type="pct"/>
            <w:shd w:val="clear" w:color="auto" w:fill="auto"/>
            <w:vAlign w:val="center"/>
          </w:tcPr>
          <w:p w14:paraId="54E911C8" w14:textId="77777777" w:rsidR="00F427A3" w:rsidRDefault="00F427A3">
            <w:pPr>
              <w:rPr>
                <w:rFonts w:ascii="Times New Roman" w:hAnsi="Times New Roman"/>
                <w:sz w:val="20"/>
                <w:szCs w:val="20"/>
              </w:rPr>
            </w:pPr>
          </w:p>
        </w:tc>
        <w:tc>
          <w:tcPr>
            <w:tcW w:w="50" w:type="pct"/>
            <w:shd w:val="clear" w:color="auto" w:fill="auto"/>
            <w:vAlign w:val="center"/>
          </w:tcPr>
          <w:p w14:paraId="54E911C9" w14:textId="77777777" w:rsidR="00F427A3" w:rsidRDefault="00F427A3">
            <w:pPr>
              <w:rPr>
                <w:rFonts w:ascii="Times New Roman" w:hAnsi="Times New Roman"/>
                <w:sz w:val="20"/>
                <w:szCs w:val="20"/>
              </w:rPr>
            </w:pPr>
          </w:p>
        </w:tc>
        <w:tc>
          <w:tcPr>
            <w:tcW w:w="50" w:type="pct"/>
            <w:shd w:val="clear" w:color="auto" w:fill="auto"/>
            <w:vAlign w:val="center"/>
          </w:tcPr>
          <w:p w14:paraId="54E911CA" w14:textId="77777777" w:rsidR="00F427A3" w:rsidRDefault="00F427A3">
            <w:pPr>
              <w:rPr>
                <w:rFonts w:ascii="Times New Roman" w:hAnsi="Times New Roman"/>
                <w:sz w:val="20"/>
                <w:szCs w:val="20"/>
              </w:rPr>
            </w:pPr>
          </w:p>
        </w:tc>
        <w:tc>
          <w:tcPr>
            <w:tcW w:w="550" w:type="pct"/>
            <w:shd w:val="clear" w:color="auto" w:fill="auto"/>
            <w:vAlign w:val="center"/>
          </w:tcPr>
          <w:p w14:paraId="54E911CB" w14:textId="77777777" w:rsidR="00F427A3" w:rsidRDefault="00F427A3">
            <w:pPr>
              <w:rPr>
                <w:rFonts w:ascii="Times New Roman" w:hAnsi="Times New Roman"/>
                <w:sz w:val="20"/>
                <w:szCs w:val="20"/>
              </w:rPr>
            </w:pPr>
          </w:p>
        </w:tc>
        <w:tc>
          <w:tcPr>
            <w:tcW w:w="50" w:type="pct"/>
            <w:shd w:val="clear" w:color="auto" w:fill="auto"/>
            <w:vAlign w:val="center"/>
          </w:tcPr>
          <w:p w14:paraId="54E911CC" w14:textId="77777777" w:rsidR="00F427A3" w:rsidRDefault="00F427A3">
            <w:pPr>
              <w:rPr>
                <w:rFonts w:ascii="Times New Roman" w:hAnsi="Times New Roman"/>
                <w:sz w:val="20"/>
                <w:szCs w:val="20"/>
              </w:rPr>
            </w:pPr>
          </w:p>
        </w:tc>
        <w:tc>
          <w:tcPr>
            <w:tcW w:w="50" w:type="pct"/>
            <w:shd w:val="clear" w:color="auto" w:fill="auto"/>
            <w:vAlign w:val="center"/>
          </w:tcPr>
          <w:p w14:paraId="54E911CD" w14:textId="77777777" w:rsidR="00F427A3" w:rsidRDefault="00F427A3">
            <w:pPr>
              <w:rPr>
                <w:rFonts w:ascii="Times New Roman" w:hAnsi="Times New Roman"/>
                <w:sz w:val="20"/>
                <w:szCs w:val="20"/>
              </w:rPr>
            </w:pPr>
          </w:p>
        </w:tc>
        <w:tc>
          <w:tcPr>
            <w:tcW w:w="50" w:type="pct"/>
            <w:shd w:val="clear" w:color="auto" w:fill="auto"/>
            <w:vAlign w:val="center"/>
          </w:tcPr>
          <w:p w14:paraId="54E911CE" w14:textId="77777777" w:rsidR="00F427A3" w:rsidRDefault="00F427A3">
            <w:pPr>
              <w:rPr>
                <w:rFonts w:ascii="Times New Roman" w:hAnsi="Times New Roman"/>
                <w:sz w:val="20"/>
                <w:szCs w:val="20"/>
              </w:rPr>
            </w:pPr>
          </w:p>
        </w:tc>
        <w:tc>
          <w:tcPr>
            <w:tcW w:w="550" w:type="pct"/>
            <w:shd w:val="clear" w:color="auto" w:fill="auto"/>
            <w:vAlign w:val="center"/>
          </w:tcPr>
          <w:p w14:paraId="54E911CF" w14:textId="77777777" w:rsidR="00F427A3" w:rsidRDefault="00F427A3">
            <w:pPr>
              <w:rPr>
                <w:rFonts w:ascii="Times New Roman" w:hAnsi="Times New Roman"/>
                <w:sz w:val="20"/>
                <w:szCs w:val="20"/>
              </w:rPr>
            </w:pPr>
          </w:p>
        </w:tc>
        <w:tc>
          <w:tcPr>
            <w:tcW w:w="50" w:type="pct"/>
            <w:shd w:val="clear" w:color="auto" w:fill="auto"/>
            <w:vAlign w:val="center"/>
          </w:tcPr>
          <w:p w14:paraId="54E911D0" w14:textId="77777777" w:rsidR="00F427A3" w:rsidRDefault="00F427A3">
            <w:pPr>
              <w:rPr>
                <w:rFonts w:ascii="Times New Roman" w:hAnsi="Times New Roman"/>
                <w:sz w:val="20"/>
                <w:szCs w:val="20"/>
              </w:rPr>
            </w:pPr>
          </w:p>
        </w:tc>
        <w:tc>
          <w:tcPr>
            <w:tcW w:w="50" w:type="pct"/>
            <w:shd w:val="clear" w:color="auto" w:fill="auto"/>
            <w:vAlign w:val="center"/>
          </w:tcPr>
          <w:p w14:paraId="54E911D1" w14:textId="77777777" w:rsidR="00F427A3" w:rsidRDefault="00F427A3">
            <w:pPr>
              <w:rPr>
                <w:rFonts w:ascii="Times New Roman" w:hAnsi="Times New Roman"/>
                <w:sz w:val="20"/>
                <w:szCs w:val="20"/>
              </w:rPr>
            </w:pPr>
          </w:p>
        </w:tc>
        <w:tc>
          <w:tcPr>
            <w:tcW w:w="350" w:type="pct"/>
            <w:shd w:val="clear" w:color="auto" w:fill="auto"/>
            <w:vAlign w:val="center"/>
          </w:tcPr>
          <w:p w14:paraId="54E911D2" w14:textId="77777777" w:rsidR="00F427A3" w:rsidRDefault="00F427A3">
            <w:pPr>
              <w:rPr>
                <w:rFonts w:ascii="Times New Roman" w:hAnsi="Times New Roman"/>
                <w:sz w:val="20"/>
                <w:szCs w:val="20"/>
              </w:rPr>
            </w:pPr>
          </w:p>
        </w:tc>
        <w:tc>
          <w:tcPr>
            <w:tcW w:w="50" w:type="pct"/>
            <w:shd w:val="clear" w:color="auto" w:fill="auto"/>
            <w:vAlign w:val="center"/>
          </w:tcPr>
          <w:p w14:paraId="54E911D3" w14:textId="77777777" w:rsidR="00F427A3" w:rsidRDefault="00F427A3">
            <w:pPr>
              <w:rPr>
                <w:rFonts w:ascii="Times New Roman" w:hAnsi="Times New Roman"/>
                <w:sz w:val="20"/>
                <w:szCs w:val="20"/>
              </w:rPr>
            </w:pPr>
          </w:p>
        </w:tc>
      </w:tr>
      <w:tr w:rsidR="00F427A3" w14:paraId="54E911DD" w14:textId="77777777">
        <w:tc>
          <w:tcPr>
            <w:tcW w:w="0" w:type="auto"/>
            <w:shd w:val="clear" w:color="auto" w:fill="auto"/>
            <w:tcMar>
              <w:top w:w="40" w:type="dxa"/>
              <w:left w:w="40" w:type="dxa"/>
              <w:bottom w:w="40" w:type="dxa"/>
              <w:right w:w="40" w:type="dxa"/>
            </w:tcMar>
            <w:vAlign w:val="bottom"/>
          </w:tcPr>
          <w:p w14:paraId="54E911D5"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11D6"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Three Months Ended September 30,</w:t>
            </w:r>
          </w:p>
        </w:tc>
        <w:tc>
          <w:tcPr>
            <w:tcW w:w="0" w:type="auto"/>
            <w:shd w:val="clear" w:color="auto" w:fill="auto"/>
            <w:tcMar>
              <w:top w:w="40" w:type="dxa"/>
              <w:left w:w="40" w:type="dxa"/>
              <w:bottom w:w="40" w:type="dxa"/>
              <w:right w:w="40" w:type="dxa"/>
            </w:tcMar>
            <w:vAlign w:val="bottom"/>
          </w:tcPr>
          <w:p w14:paraId="54E911D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1D8"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1D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11DA"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Nine Months Ended September 30,</w:t>
            </w:r>
          </w:p>
        </w:tc>
        <w:tc>
          <w:tcPr>
            <w:tcW w:w="0" w:type="auto"/>
            <w:shd w:val="clear" w:color="auto" w:fill="auto"/>
            <w:tcMar>
              <w:top w:w="40" w:type="dxa"/>
              <w:left w:w="40" w:type="dxa"/>
              <w:bottom w:w="40" w:type="dxa"/>
              <w:right w:w="40" w:type="dxa"/>
            </w:tcMar>
            <w:vAlign w:val="bottom"/>
          </w:tcPr>
          <w:p w14:paraId="54E911D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1DC"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r>
      <w:tr w:rsidR="00F427A3" w14:paraId="54E911EA" w14:textId="77777777">
        <w:tc>
          <w:tcPr>
            <w:tcW w:w="0" w:type="auto"/>
            <w:shd w:val="clear" w:color="auto" w:fill="auto"/>
            <w:tcMar>
              <w:top w:w="40" w:type="dxa"/>
              <w:left w:w="40" w:type="dxa"/>
              <w:bottom w:w="40" w:type="dxa"/>
              <w:right w:w="40" w:type="dxa"/>
            </w:tcMar>
            <w:vAlign w:val="bottom"/>
          </w:tcPr>
          <w:p w14:paraId="54E911DE"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1DF"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4E911E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1E1"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911E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4E911E3"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change</w:t>
            </w:r>
          </w:p>
        </w:tc>
        <w:tc>
          <w:tcPr>
            <w:tcW w:w="0" w:type="auto"/>
            <w:shd w:val="clear" w:color="auto" w:fill="auto"/>
            <w:tcMar>
              <w:top w:w="40" w:type="dxa"/>
              <w:left w:w="40" w:type="dxa"/>
              <w:bottom w:w="40" w:type="dxa"/>
              <w:right w:w="40" w:type="dxa"/>
            </w:tcMar>
            <w:vAlign w:val="bottom"/>
          </w:tcPr>
          <w:p w14:paraId="54E911E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1E5"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4E911E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1E7"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911E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4E911E9"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change</w:t>
            </w:r>
          </w:p>
        </w:tc>
      </w:tr>
      <w:tr w:rsidR="00F427A3" w14:paraId="54E911ED" w14:textId="77777777">
        <w:tc>
          <w:tcPr>
            <w:tcW w:w="0" w:type="auto"/>
            <w:shd w:val="clear" w:color="auto" w:fill="auto"/>
            <w:tcMar>
              <w:top w:w="40" w:type="dxa"/>
              <w:left w:w="40" w:type="dxa"/>
              <w:bottom w:w="40" w:type="dxa"/>
              <w:right w:w="40" w:type="dxa"/>
            </w:tcMar>
            <w:vAlign w:val="bottom"/>
          </w:tcPr>
          <w:p w14:paraId="54E911EB"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1"/>
            <w:shd w:val="clear" w:color="auto" w:fill="auto"/>
            <w:tcMar>
              <w:top w:w="40" w:type="dxa"/>
              <w:left w:w="40" w:type="dxa"/>
              <w:bottom w:w="40" w:type="dxa"/>
            </w:tcMar>
            <w:vAlign w:val="bottom"/>
          </w:tcPr>
          <w:p w14:paraId="54E911EC" w14:textId="77777777" w:rsidR="00F427A3" w:rsidRDefault="0044221F">
            <w:pPr>
              <w:jc w:val="center"/>
              <w:textAlignment w:val="bottom"/>
              <w:rPr>
                <w:rFonts w:ascii="Times New Roman" w:hAnsi="Times New Roman"/>
                <w:sz w:val="16"/>
                <w:szCs w:val="16"/>
              </w:rPr>
            </w:pPr>
            <w:r>
              <w:rPr>
                <w:rFonts w:ascii="Times New Roman" w:eastAsia="宋体" w:hAnsi="Times New Roman"/>
                <w:b/>
                <w:bCs/>
                <w:i/>
                <w:iCs/>
                <w:sz w:val="16"/>
                <w:szCs w:val="16"/>
              </w:rPr>
              <w:t>(in millions, except for percentages)</w:t>
            </w:r>
          </w:p>
        </w:tc>
      </w:tr>
      <w:tr w:rsidR="00F427A3" w14:paraId="54E91204" w14:textId="77777777">
        <w:tc>
          <w:tcPr>
            <w:tcW w:w="0" w:type="auto"/>
            <w:shd w:val="clear" w:color="auto" w:fill="CCEEFF"/>
            <w:tcMar>
              <w:top w:w="40" w:type="dxa"/>
              <w:left w:w="40" w:type="dxa"/>
              <w:bottom w:w="40" w:type="dxa"/>
              <w:right w:w="40" w:type="dxa"/>
            </w:tcMar>
          </w:tcPr>
          <w:p w14:paraId="54E911EE"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Marketing and sales</w:t>
            </w:r>
          </w:p>
        </w:tc>
        <w:tc>
          <w:tcPr>
            <w:tcW w:w="0" w:type="auto"/>
            <w:shd w:val="clear" w:color="auto" w:fill="CCEEFF"/>
            <w:tcMar>
              <w:top w:w="40" w:type="dxa"/>
              <w:left w:w="40" w:type="dxa"/>
              <w:bottom w:w="40" w:type="dxa"/>
            </w:tcMar>
            <w:vAlign w:val="bottom"/>
          </w:tcPr>
          <w:p w14:paraId="54E911E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1F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2,683</w:t>
            </w:r>
          </w:p>
        </w:tc>
        <w:tc>
          <w:tcPr>
            <w:tcW w:w="0" w:type="auto"/>
            <w:shd w:val="clear" w:color="auto" w:fill="CCEEFF"/>
            <w:vAlign w:val="bottom"/>
          </w:tcPr>
          <w:p w14:paraId="54E911F1"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1F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1F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1F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2,416</w:t>
            </w:r>
          </w:p>
        </w:tc>
        <w:tc>
          <w:tcPr>
            <w:tcW w:w="0" w:type="auto"/>
            <w:shd w:val="clear" w:color="auto" w:fill="CCEEFF"/>
            <w:vAlign w:val="bottom"/>
          </w:tcPr>
          <w:p w14:paraId="54E911F5"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1F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1F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CCEEFF"/>
            <w:tcMar>
              <w:top w:w="40" w:type="dxa"/>
              <w:bottom w:w="40" w:type="dxa"/>
              <w:right w:w="40" w:type="dxa"/>
            </w:tcMar>
            <w:vAlign w:val="bottom"/>
          </w:tcPr>
          <w:p w14:paraId="54E911F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11F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1F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1F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8,310</w:t>
            </w:r>
          </w:p>
        </w:tc>
        <w:tc>
          <w:tcPr>
            <w:tcW w:w="0" w:type="auto"/>
            <w:shd w:val="clear" w:color="auto" w:fill="CCEEFF"/>
            <w:vAlign w:val="bottom"/>
          </w:tcPr>
          <w:p w14:paraId="54E911F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1F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1F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1F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6,850</w:t>
            </w:r>
          </w:p>
        </w:tc>
        <w:tc>
          <w:tcPr>
            <w:tcW w:w="0" w:type="auto"/>
            <w:shd w:val="clear" w:color="auto" w:fill="CCEEFF"/>
            <w:vAlign w:val="bottom"/>
          </w:tcPr>
          <w:p w14:paraId="54E9120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20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20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shd w:val="clear" w:color="auto" w:fill="CCEEFF"/>
            <w:tcMar>
              <w:top w:w="40" w:type="dxa"/>
              <w:bottom w:w="40" w:type="dxa"/>
              <w:right w:w="40" w:type="dxa"/>
            </w:tcMar>
            <w:vAlign w:val="bottom"/>
          </w:tcPr>
          <w:p w14:paraId="54E9120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1215" w14:textId="77777777">
        <w:tc>
          <w:tcPr>
            <w:tcW w:w="0" w:type="auto"/>
            <w:shd w:val="clear" w:color="auto" w:fill="auto"/>
            <w:tcMar>
              <w:top w:w="40" w:type="dxa"/>
              <w:left w:w="40" w:type="dxa"/>
              <w:bottom w:w="40" w:type="dxa"/>
              <w:right w:w="40" w:type="dxa"/>
            </w:tcMar>
          </w:tcPr>
          <w:p w14:paraId="54E91205"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Percentage of revenue</w:t>
            </w:r>
          </w:p>
        </w:tc>
        <w:tc>
          <w:tcPr>
            <w:tcW w:w="0" w:type="auto"/>
            <w:gridSpan w:val="2"/>
            <w:shd w:val="clear" w:color="auto" w:fill="auto"/>
            <w:tcMar>
              <w:top w:w="40" w:type="dxa"/>
              <w:left w:w="40" w:type="dxa"/>
              <w:bottom w:w="40" w:type="dxa"/>
            </w:tcMar>
            <w:vAlign w:val="bottom"/>
          </w:tcPr>
          <w:p w14:paraId="54E9120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auto"/>
            <w:tcMar>
              <w:top w:w="40" w:type="dxa"/>
              <w:bottom w:w="40" w:type="dxa"/>
              <w:right w:w="40" w:type="dxa"/>
            </w:tcMar>
            <w:vAlign w:val="bottom"/>
          </w:tcPr>
          <w:p w14:paraId="54E9120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20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20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tcMar>
              <w:top w:w="40" w:type="dxa"/>
              <w:bottom w:w="40" w:type="dxa"/>
              <w:right w:w="40" w:type="dxa"/>
            </w:tcMar>
            <w:vAlign w:val="bottom"/>
          </w:tcPr>
          <w:p w14:paraId="54E9120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20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20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20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20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tcMar>
              <w:top w:w="40" w:type="dxa"/>
              <w:bottom w:w="40" w:type="dxa"/>
              <w:right w:w="40" w:type="dxa"/>
            </w:tcMar>
            <w:vAlign w:val="bottom"/>
          </w:tcPr>
          <w:p w14:paraId="54E9120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21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21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tcMar>
              <w:top w:w="40" w:type="dxa"/>
              <w:bottom w:w="40" w:type="dxa"/>
              <w:right w:w="40" w:type="dxa"/>
            </w:tcMar>
            <w:vAlign w:val="bottom"/>
          </w:tcPr>
          <w:p w14:paraId="54E9121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21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21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bl>
    <w:p w14:paraId="54E91216"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Marketing and sales expenses in the three and nine months ended September 30, 2020 increased $267 million, or 11%, and $1.46 billion, or 21%, </w:t>
      </w:r>
      <w:r>
        <w:rPr>
          <w:rFonts w:ascii="Times New Roman" w:eastAsia="宋体" w:hAnsi="Times New Roman"/>
          <w:sz w:val="20"/>
          <w:szCs w:val="20"/>
        </w:rPr>
        <w:t>respectively, compared to the same periods in 2019. The increases were mostly driven by increases in marketing expenses and payroll and benefits expenses, which were partially offset by decreases in travel-related expenses due to the COVID-19 pandemic. Our</w:t>
      </w:r>
      <w:r>
        <w:rPr>
          <w:rFonts w:ascii="Times New Roman" w:eastAsia="宋体" w:hAnsi="Times New Roman"/>
          <w:sz w:val="20"/>
          <w:szCs w:val="20"/>
        </w:rPr>
        <w:t xml:space="preserve"> payroll and benefits expenses increased as a result of an 18% increase in employee headcount from September 30, 2019 to September 30, 2020 in our marketing and sales functions.</w:t>
      </w:r>
    </w:p>
    <w:p w14:paraId="54E91217" w14:textId="77777777" w:rsidR="00F427A3" w:rsidRDefault="0044221F">
      <w:pPr>
        <w:spacing w:line="288" w:lineRule="auto"/>
        <w:rPr>
          <w:rFonts w:ascii="Times New Roman" w:hAnsi="Times New Roman"/>
          <w:sz w:val="20"/>
          <w:szCs w:val="20"/>
        </w:rPr>
      </w:pPr>
      <w:r>
        <w:rPr>
          <w:rFonts w:ascii="Times New Roman" w:eastAsia="宋体" w:hAnsi="Times New Roman"/>
          <w:b/>
          <w:bCs/>
          <w:i/>
          <w:iCs/>
          <w:sz w:val="20"/>
          <w:szCs w:val="20"/>
        </w:rPr>
        <w:t>General and administrative</w:t>
      </w:r>
    </w:p>
    <w:tbl>
      <w:tblPr>
        <w:tblW w:w="5000" w:type="pct"/>
        <w:tblCellMar>
          <w:left w:w="0" w:type="dxa"/>
          <w:right w:w="0" w:type="dxa"/>
        </w:tblCellMar>
        <w:tblLook w:val="04A0" w:firstRow="1" w:lastRow="0" w:firstColumn="1" w:lastColumn="0" w:noHBand="0" w:noVBand="1"/>
      </w:tblPr>
      <w:tblGrid>
        <w:gridCol w:w="2061"/>
        <w:gridCol w:w="140"/>
        <w:gridCol w:w="732"/>
        <w:gridCol w:w="207"/>
        <w:gridCol w:w="130"/>
        <w:gridCol w:w="140"/>
        <w:gridCol w:w="732"/>
        <w:gridCol w:w="207"/>
        <w:gridCol w:w="130"/>
        <w:gridCol w:w="490"/>
        <w:gridCol w:w="207"/>
        <w:gridCol w:w="130"/>
        <w:gridCol w:w="140"/>
        <w:gridCol w:w="641"/>
        <w:gridCol w:w="207"/>
        <w:gridCol w:w="130"/>
        <w:gridCol w:w="140"/>
        <w:gridCol w:w="732"/>
        <w:gridCol w:w="207"/>
        <w:gridCol w:w="130"/>
        <w:gridCol w:w="399"/>
        <w:gridCol w:w="274"/>
      </w:tblGrid>
      <w:tr w:rsidR="00F427A3" w14:paraId="54E91219" w14:textId="77777777">
        <w:tc>
          <w:tcPr>
            <w:tcW w:w="0" w:type="auto"/>
            <w:gridSpan w:val="22"/>
            <w:shd w:val="clear" w:color="auto" w:fill="auto"/>
            <w:vAlign w:val="center"/>
          </w:tcPr>
          <w:p w14:paraId="54E91218" w14:textId="77777777" w:rsidR="00F427A3" w:rsidRDefault="00F427A3">
            <w:pPr>
              <w:rPr>
                <w:rFonts w:ascii="Times New Roman" w:hAnsi="Times New Roman"/>
                <w:sz w:val="20"/>
                <w:szCs w:val="20"/>
              </w:rPr>
            </w:pPr>
          </w:p>
        </w:tc>
      </w:tr>
      <w:tr w:rsidR="00F427A3" w14:paraId="54E91230" w14:textId="77777777">
        <w:tc>
          <w:tcPr>
            <w:tcW w:w="1350" w:type="pct"/>
            <w:shd w:val="clear" w:color="auto" w:fill="auto"/>
            <w:vAlign w:val="center"/>
          </w:tcPr>
          <w:p w14:paraId="54E9121A" w14:textId="77777777" w:rsidR="00F427A3" w:rsidRDefault="00F427A3">
            <w:pPr>
              <w:rPr>
                <w:rFonts w:ascii="Times New Roman" w:hAnsi="Times New Roman"/>
                <w:sz w:val="20"/>
                <w:szCs w:val="20"/>
              </w:rPr>
            </w:pPr>
          </w:p>
        </w:tc>
        <w:tc>
          <w:tcPr>
            <w:tcW w:w="50" w:type="pct"/>
            <w:shd w:val="clear" w:color="auto" w:fill="auto"/>
            <w:vAlign w:val="center"/>
          </w:tcPr>
          <w:p w14:paraId="54E9121B" w14:textId="77777777" w:rsidR="00F427A3" w:rsidRDefault="00F427A3">
            <w:pPr>
              <w:rPr>
                <w:rFonts w:ascii="Times New Roman" w:hAnsi="Times New Roman"/>
                <w:sz w:val="20"/>
                <w:szCs w:val="20"/>
              </w:rPr>
            </w:pPr>
          </w:p>
        </w:tc>
        <w:tc>
          <w:tcPr>
            <w:tcW w:w="550" w:type="pct"/>
            <w:shd w:val="clear" w:color="auto" w:fill="auto"/>
            <w:vAlign w:val="center"/>
          </w:tcPr>
          <w:p w14:paraId="54E9121C" w14:textId="77777777" w:rsidR="00F427A3" w:rsidRDefault="00F427A3">
            <w:pPr>
              <w:rPr>
                <w:rFonts w:ascii="Times New Roman" w:hAnsi="Times New Roman"/>
                <w:sz w:val="20"/>
                <w:szCs w:val="20"/>
              </w:rPr>
            </w:pPr>
          </w:p>
        </w:tc>
        <w:tc>
          <w:tcPr>
            <w:tcW w:w="50" w:type="pct"/>
            <w:shd w:val="clear" w:color="auto" w:fill="auto"/>
            <w:vAlign w:val="center"/>
          </w:tcPr>
          <w:p w14:paraId="54E9121D" w14:textId="77777777" w:rsidR="00F427A3" w:rsidRDefault="00F427A3">
            <w:pPr>
              <w:rPr>
                <w:rFonts w:ascii="Times New Roman" w:hAnsi="Times New Roman"/>
                <w:sz w:val="20"/>
                <w:szCs w:val="20"/>
              </w:rPr>
            </w:pPr>
          </w:p>
        </w:tc>
        <w:tc>
          <w:tcPr>
            <w:tcW w:w="50" w:type="pct"/>
            <w:shd w:val="clear" w:color="auto" w:fill="auto"/>
            <w:vAlign w:val="center"/>
          </w:tcPr>
          <w:p w14:paraId="54E9121E" w14:textId="77777777" w:rsidR="00F427A3" w:rsidRDefault="00F427A3">
            <w:pPr>
              <w:rPr>
                <w:rFonts w:ascii="Times New Roman" w:hAnsi="Times New Roman"/>
                <w:sz w:val="20"/>
                <w:szCs w:val="20"/>
              </w:rPr>
            </w:pPr>
          </w:p>
        </w:tc>
        <w:tc>
          <w:tcPr>
            <w:tcW w:w="50" w:type="pct"/>
            <w:shd w:val="clear" w:color="auto" w:fill="auto"/>
            <w:vAlign w:val="center"/>
          </w:tcPr>
          <w:p w14:paraId="54E9121F" w14:textId="77777777" w:rsidR="00F427A3" w:rsidRDefault="00F427A3">
            <w:pPr>
              <w:rPr>
                <w:rFonts w:ascii="Times New Roman" w:hAnsi="Times New Roman"/>
                <w:sz w:val="20"/>
                <w:szCs w:val="20"/>
              </w:rPr>
            </w:pPr>
          </w:p>
        </w:tc>
        <w:tc>
          <w:tcPr>
            <w:tcW w:w="550" w:type="pct"/>
            <w:shd w:val="clear" w:color="auto" w:fill="auto"/>
            <w:vAlign w:val="center"/>
          </w:tcPr>
          <w:p w14:paraId="54E91220" w14:textId="77777777" w:rsidR="00F427A3" w:rsidRDefault="00F427A3">
            <w:pPr>
              <w:rPr>
                <w:rFonts w:ascii="Times New Roman" w:hAnsi="Times New Roman"/>
                <w:sz w:val="20"/>
                <w:szCs w:val="20"/>
              </w:rPr>
            </w:pPr>
          </w:p>
        </w:tc>
        <w:tc>
          <w:tcPr>
            <w:tcW w:w="50" w:type="pct"/>
            <w:shd w:val="clear" w:color="auto" w:fill="auto"/>
            <w:vAlign w:val="center"/>
          </w:tcPr>
          <w:p w14:paraId="54E91221" w14:textId="77777777" w:rsidR="00F427A3" w:rsidRDefault="00F427A3">
            <w:pPr>
              <w:rPr>
                <w:rFonts w:ascii="Times New Roman" w:hAnsi="Times New Roman"/>
                <w:sz w:val="20"/>
                <w:szCs w:val="20"/>
              </w:rPr>
            </w:pPr>
          </w:p>
        </w:tc>
        <w:tc>
          <w:tcPr>
            <w:tcW w:w="50" w:type="pct"/>
            <w:shd w:val="clear" w:color="auto" w:fill="auto"/>
            <w:vAlign w:val="center"/>
          </w:tcPr>
          <w:p w14:paraId="54E91222" w14:textId="77777777" w:rsidR="00F427A3" w:rsidRDefault="00F427A3">
            <w:pPr>
              <w:rPr>
                <w:rFonts w:ascii="Times New Roman" w:hAnsi="Times New Roman"/>
                <w:sz w:val="20"/>
                <w:szCs w:val="20"/>
              </w:rPr>
            </w:pPr>
          </w:p>
        </w:tc>
        <w:tc>
          <w:tcPr>
            <w:tcW w:w="350" w:type="pct"/>
            <w:shd w:val="clear" w:color="auto" w:fill="auto"/>
            <w:vAlign w:val="center"/>
          </w:tcPr>
          <w:p w14:paraId="54E91223" w14:textId="77777777" w:rsidR="00F427A3" w:rsidRDefault="00F427A3">
            <w:pPr>
              <w:rPr>
                <w:rFonts w:ascii="Times New Roman" w:hAnsi="Times New Roman"/>
                <w:sz w:val="20"/>
                <w:szCs w:val="20"/>
              </w:rPr>
            </w:pPr>
          </w:p>
        </w:tc>
        <w:tc>
          <w:tcPr>
            <w:tcW w:w="50" w:type="pct"/>
            <w:shd w:val="clear" w:color="auto" w:fill="auto"/>
            <w:vAlign w:val="center"/>
          </w:tcPr>
          <w:p w14:paraId="54E91224" w14:textId="77777777" w:rsidR="00F427A3" w:rsidRDefault="00F427A3">
            <w:pPr>
              <w:rPr>
                <w:rFonts w:ascii="Times New Roman" w:hAnsi="Times New Roman"/>
                <w:sz w:val="20"/>
                <w:szCs w:val="20"/>
              </w:rPr>
            </w:pPr>
          </w:p>
        </w:tc>
        <w:tc>
          <w:tcPr>
            <w:tcW w:w="50" w:type="pct"/>
            <w:shd w:val="clear" w:color="auto" w:fill="auto"/>
            <w:vAlign w:val="center"/>
          </w:tcPr>
          <w:p w14:paraId="54E91225" w14:textId="77777777" w:rsidR="00F427A3" w:rsidRDefault="00F427A3">
            <w:pPr>
              <w:rPr>
                <w:rFonts w:ascii="Times New Roman" w:hAnsi="Times New Roman"/>
                <w:sz w:val="20"/>
                <w:szCs w:val="20"/>
              </w:rPr>
            </w:pPr>
          </w:p>
        </w:tc>
        <w:tc>
          <w:tcPr>
            <w:tcW w:w="50" w:type="pct"/>
            <w:shd w:val="clear" w:color="auto" w:fill="auto"/>
            <w:vAlign w:val="center"/>
          </w:tcPr>
          <w:p w14:paraId="54E91226" w14:textId="77777777" w:rsidR="00F427A3" w:rsidRDefault="00F427A3">
            <w:pPr>
              <w:rPr>
                <w:rFonts w:ascii="Times New Roman" w:hAnsi="Times New Roman"/>
                <w:sz w:val="20"/>
                <w:szCs w:val="20"/>
              </w:rPr>
            </w:pPr>
          </w:p>
        </w:tc>
        <w:tc>
          <w:tcPr>
            <w:tcW w:w="550" w:type="pct"/>
            <w:shd w:val="clear" w:color="auto" w:fill="auto"/>
            <w:vAlign w:val="center"/>
          </w:tcPr>
          <w:p w14:paraId="54E91227" w14:textId="77777777" w:rsidR="00F427A3" w:rsidRDefault="00F427A3">
            <w:pPr>
              <w:rPr>
                <w:rFonts w:ascii="Times New Roman" w:hAnsi="Times New Roman"/>
                <w:sz w:val="20"/>
                <w:szCs w:val="20"/>
              </w:rPr>
            </w:pPr>
          </w:p>
        </w:tc>
        <w:tc>
          <w:tcPr>
            <w:tcW w:w="50" w:type="pct"/>
            <w:shd w:val="clear" w:color="auto" w:fill="auto"/>
            <w:vAlign w:val="center"/>
          </w:tcPr>
          <w:p w14:paraId="54E91228" w14:textId="77777777" w:rsidR="00F427A3" w:rsidRDefault="00F427A3">
            <w:pPr>
              <w:rPr>
                <w:rFonts w:ascii="Times New Roman" w:hAnsi="Times New Roman"/>
                <w:sz w:val="20"/>
                <w:szCs w:val="20"/>
              </w:rPr>
            </w:pPr>
          </w:p>
        </w:tc>
        <w:tc>
          <w:tcPr>
            <w:tcW w:w="50" w:type="pct"/>
            <w:shd w:val="clear" w:color="auto" w:fill="auto"/>
            <w:vAlign w:val="center"/>
          </w:tcPr>
          <w:p w14:paraId="54E91229" w14:textId="77777777" w:rsidR="00F427A3" w:rsidRDefault="00F427A3">
            <w:pPr>
              <w:rPr>
                <w:rFonts w:ascii="Times New Roman" w:hAnsi="Times New Roman"/>
                <w:sz w:val="20"/>
                <w:szCs w:val="20"/>
              </w:rPr>
            </w:pPr>
          </w:p>
        </w:tc>
        <w:tc>
          <w:tcPr>
            <w:tcW w:w="50" w:type="pct"/>
            <w:shd w:val="clear" w:color="auto" w:fill="auto"/>
            <w:vAlign w:val="center"/>
          </w:tcPr>
          <w:p w14:paraId="54E9122A" w14:textId="77777777" w:rsidR="00F427A3" w:rsidRDefault="00F427A3">
            <w:pPr>
              <w:rPr>
                <w:rFonts w:ascii="Times New Roman" w:hAnsi="Times New Roman"/>
                <w:sz w:val="20"/>
                <w:szCs w:val="20"/>
              </w:rPr>
            </w:pPr>
          </w:p>
        </w:tc>
        <w:tc>
          <w:tcPr>
            <w:tcW w:w="550" w:type="pct"/>
            <w:shd w:val="clear" w:color="auto" w:fill="auto"/>
            <w:vAlign w:val="center"/>
          </w:tcPr>
          <w:p w14:paraId="54E9122B" w14:textId="77777777" w:rsidR="00F427A3" w:rsidRDefault="00F427A3">
            <w:pPr>
              <w:rPr>
                <w:rFonts w:ascii="Times New Roman" w:hAnsi="Times New Roman"/>
                <w:sz w:val="20"/>
                <w:szCs w:val="20"/>
              </w:rPr>
            </w:pPr>
          </w:p>
        </w:tc>
        <w:tc>
          <w:tcPr>
            <w:tcW w:w="50" w:type="pct"/>
            <w:shd w:val="clear" w:color="auto" w:fill="auto"/>
            <w:vAlign w:val="center"/>
          </w:tcPr>
          <w:p w14:paraId="54E9122C" w14:textId="77777777" w:rsidR="00F427A3" w:rsidRDefault="00F427A3">
            <w:pPr>
              <w:rPr>
                <w:rFonts w:ascii="Times New Roman" w:hAnsi="Times New Roman"/>
                <w:sz w:val="20"/>
                <w:szCs w:val="20"/>
              </w:rPr>
            </w:pPr>
          </w:p>
        </w:tc>
        <w:tc>
          <w:tcPr>
            <w:tcW w:w="50" w:type="pct"/>
            <w:shd w:val="clear" w:color="auto" w:fill="auto"/>
            <w:vAlign w:val="center"/>
          </w:tcPr>
          <w:p w14:paraId="54E9122D" w14:textId="77777777" w:rsidR="00F427A3" w:rsidRDefault="00F427A3">
            <w:pPr>
              <w:rPr>
                <w:rFonts w:ascii="Times New Roman" w:hAnsi="Times New Roman"/>
                <w:sz w:val="20"/>
                <w:szCs w:val="20"/>
              </w:rPr>
            </w:pPr>
          </w:p>
        </w:tc>
        <w:tc>
          <w:tcPr>
            <w:tcW w:w="350" w:type="pct"/>
            <w:shd w:val="clear" w:color="auto" w:fill="auto"/>
            <w:vAlign w:val="center"/>
          </w:tcPr>
          <w:p w14:paraId="54E9122E" w14:textId="77777777" w:rsidR="00F427A3" w:rsidRDefault="00F427A3">
            <w:pPr>
              <w:rPr>
                <w:rFonts w:ascii="Times New Roman" w:hAnsi="Times New Roman"/>
                <w:sz w:val="20"/>
                <w:szCs w:val="20"/>
              </w:rPr>
            </w:pPr>
          </w:p>
        </w:tc>
        <w:tc>
          <w:tcPr>
            <w:tcW w:w="50" w:type="pct"/>
            <w:shd w:val="clear" w:color="auto" w:fill="auto"/>
            <w:vAlign w:val="center"/>
          </w:tcPr>
          <w:p w14:paraId="54E9122F" w14:textId="77777777" w:rsidR="00F427A3" w:rsidRDefault="00F427A3">
            <w:pPr>
              <w:rPr>
                <w:rFonts w:ascii="Times New Roman" w:hAnsi="Times New Roman"/>
                <w:sz w:val="20"/>
                <w:szCs w:val="20"/>
              </w:rPr>
            </w:pPr>
          </w:p>
        </w:tc>
      </w:tr>
      <w:tr w:rsidR="00F427A3" w14:paraId="54E91239" w14:textId="77777777">
        <w:tc>
          <w:tcPr>
            <w:tcW w:w="0" w:type="auto"/>
            <w:shd w:val="clear" w:color="auto" w:fill="auto"/>
            <w:tcMar>
              <w:top w:w="40" w:type="dxa"/>
              <w:left w:w="40" w:type="dxa"/>
              <w:bottom w:w="40" w:type="dxa"/>
              <w:right w:w="40" w:type="dxa"/>
            </w:tcMar>
            <w:vAlign w:val="bottom"/>
          </w:tcPr>
          <w:p w14:paraId="54E91231"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1232"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Three Months Ended September 30,</w:t>
            </w:r>
          </w:p>
        </w:tc>
        <w:tc>
          <w:tcPr>
            <w:tcW w:w="0" w:type="auto"/>
            <w:shd w:val="clear" w:color="auto" w:fill="auto"/>
            <w:tcMar>
              <w:top w:w="40" w:type="dxa"/>
              <w:left w:w="40" w:type="dxa"/>
              <w:bottom w:w="40" w:type="dxa"/>
              <w:right w:w="40" w:type="dxa"/>
            </w:tcMar>
            <w:vAlign w:val="bottom"/>
          </w:tcPr>
          <w:p w14:paraId="54E9123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234"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23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1236"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Nine Months Ended September 30,</w:t>
            </w:r>
          </w:p>
        </w:tc>
        <w:tc>
          <w:tcPr>
            <w:tcW w:w="0" w:type="auto"/>
            <w:shd w:val="clear" w:color="auto" w:fill="auto"/>
            <w:tcMar>
              <w:top w:w="40" w:type="dxa"/>
              <w:left w:w="40" w:type="dxa"/>
              <w:bottom w:w="40" w:type="dxa"/>
              <w:right w:w="40" w:type="dxa"/>
            </w:tcMar>
            <w:vAlign w:val="bottom"/>
          </w:tcPr>
          <w:p w14:paraId="54E9123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238"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r>
      <w:tr w:rsidR="00F427A3" w14:paraId="54E91246" w14:textId="77777777">
        <w:tc>
          <w:tcPr>
            <w:tcW w:w="0" w:type="auto"/>
            <w:shd w:val="clear" w:color="auto" w:fill="auto"/>
            <w:tcMar>
              <w:top w:w="40" w:type="dxa"/>
              <w:left w:w="40" w:type="dxa"/>
              <w:bottom w:w="40" w:type="dxa"/>
              <w:right w:w="40" w:type="dxa"/>
            </w:tcMar>
            <w:vAlign w:val="bottom"/>
          </w:tcPr>
          <w:p w14:paraId="54E9123A"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23B"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4E9123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23D"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9123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4E9123F"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change</w:t>
            </w:r>
          </w:p>
        </w:tc>
        <w:tc>
          <w:tcPr>
            <w:tcW w:w="0" w:type="auto"/>
            <w:shd w:val="clear" w:color="auto" w:fill="auto"/>
            <w:tcMar>
              <w:top w:w="40" w:type="dxa"/>
              <w:left w:w="40" w:type="dxa"/>
              <w:bottom w:w="40" w:type="dxa"/>
              <w:right w:w="40" w:type="dxa"/>
            </w:tcMar>
            <w:vAlign w:val="bottom"/>
          </w:tcPr>
          <w:p w14:paraId="54E9124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241"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4E9124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243"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9124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4E91245"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change</w:t>
            </w:r>
          </w:p>
        </w:tc>
      </w:tr>
      <w:tr w:rsidR="00F427A3" w14:paraId="54E91249" w14:textId="77777777">
        <w:tc>
          <w:tcPr>
            <w:tcW w:w="0" w:type="auto"/>
            <w:shd w:val="clear" w:color="auto" w:fill="auto"/>
            <w:tcMar>
              <w:top w:w="40" w:type="dxa"/>
              <w:left w:w="40" w:type="dxa"/>
              <w:bottom w:w="40" w:type="dxa"/>
              <w:right w:w="40" w:type="dxa"/>
            </w:tcMar>
            <w:vAlign w:val="bottom"/>
          </w:tcPr>
          <w:p w14:paraId="54E91247"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1"/>
            <w:shd w:val="clear" w:color="auto" w:fill="auto"/>
            <w:tcMar>
              <w:top w:w="40" w:type="dxa"/>
              <w:left w:w="40" w:type="dxa"/>
              <w:bottom w:w="40" w:type="dxa"/>
            </w:tcMar>
            <w:vAlign w:val="bottom"/>
          </w:tcPr>
          <w:p w14:paraId="54E91248" w14:textId="77777777" w:rsidR="00F427A3" w:rsidRDefault="0044221F">
            <w:pPr>
              <w:jc w:val="center"/>
              <w:textAlignment w:val="bottom"/>
              <w:rPr>
                <w:rFonts w:ascii="Times New Roman" w:hAnsi="Times New Roman"/>
                <w:sz w:val="16"/>
                <w:szCs w:val="16"/>
              </w:rPr>
            </w:pPr>
            <w:r>
              <w:rPr>
                <w:rFonts w:ascii="Times New Roman" w:eastAsia="宋体" w:hAnsi="Times New Roman"/>
                <w:b/>
                <w:bCs/>
                <w:i/>
                <w:iCs/>
                <w:sz w:val="16"/>
                <w:szCs w:val="16"/>
              </w:rPr>
              <w:t>(in millions, except for percentages)</w:t>
            </w:r>
          </w:p>
        </w:tc>
      </w:tr>
      <w:tr w:rsidR="00F427A3" w14:paraId="54E91260" w14:textId="77777777">
        <w:tc>
          <w:tcPr>
            <w:tcW w:w="0" w:type="auto"/>
            <w:shd w:val="clear" w:color="auto" w:fill="CCEEFF"/>
            <w:tcMar>
              <w:top w:w="40" w:type="dxa"/>
              <w:left w:w="40" w:type="dxa"/>
              <w:bottom w:w="40" w:type="dxa"/>
              <w:right w:w="40" w:type="dxa"/>
            </w:tcMar>
          </w:tcPr>
          <w:p w14:paraId="54E9124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Legal accrual related to FTC settlement</w:t>
            </w:r>
          </w:p>
        </w:tc>
        <w:tc>
          <w:tcPr>
            <w:tcW w:w="0" w:type="auto"/>
            <w:shd w:val="clear" w:color="auto" w:fill="CCEEFF"/>
            <w:tcMar>
              <w:top w:w="40" w:type="dxa"/>
              <w:left w:w="40" w:type="dxa"/>
              <w:bottom w:w="40" w:type="dxa"/>
            </w:tcMar>
            <w:vAlign w:val="bottom"/>
          </w:tcPr>
          <w:p w14:paraId="54E9124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24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124D"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24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24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25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1251"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25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25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1254"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25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25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25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1258"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25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25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25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5,000</w:t>
            </w:r>
          </w:p>
        </w:tc>
        <w:tc>
          <w:tcPr>
            <w:tcW w:w="0" w:type="auto"/>
            <w:shd w:val="clear" w:color="auto" w:fill="CCEEFF"/>
            <w:vAlign w:val="bottom"/>
          </w:tcPr>
          <w:p w14:paraId="54E9125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25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25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NM</w:t>
            </w:r>
          </w:p>
        </w:tc>
        <w:tc>
          <w:tcPr>
            <w:tcW w:w="0" w:type="auto"/>
            <w:shd w:val="clear" w:color="auto" w:fill="CCEEFF"/>
            <w:vAlign w:val="bottom"/>
          </w:tcPr>
          <w:p w14:paraId="54E9125F" w14:textId="77777777" w:rsidR="00F427A3" w:rsidRDefault="00F427A3">
            <w:pPr>
              <w:textAlignment w:val="bottom"/>
              <w:rPr>
                <w:rFonts w:ascii="Times New Roman" w:hAnsi="Times New Roman"/>
                <w:sz w:val="20"/>
                <w:szCs w:val="20"/>
              </w:rPr>
            </w:pPr>
          </w:p>
        </w:tc>
      </w:tr>
      <w:tr w:rsidR="00F427A3" w14:paraId="54E91273" w14:textId="77777777">
        <w:tc>
          <w:tcPr>
            <w:tcW w:w="0" w:type="auto"/>
            <w:shd w:val="clear" w:color="auto" w:fill="auto"/>
            <w:tcMar>
              <w:top w:w="40" w:type="dxa"/>
              <w:left w:w="40" w:type="dxa"/>
              <w:bottom w:w="40" w:type="dxa"/>
              <w:right w:w="40" w:type="dxa"/>
            </w:tcMar>
          </w:tcPr>
          <w:p w14:paraId="54E91261"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Other general and administrative</w:t>
            </w:r>
          </w:p>
        </w:tc>
        <w:tc>
          <w:tcPr>
            <w:tcW w:w="0" w:type="auto"/>
            <w:gridSpan w:val="2"/>
            <w:tcBorders>
              <w:bottom w:val="single" w:sz="8" w:space="0" w:color="000000"/>
            </w:tcBorders>
            <w:shd w:val="clear" w:color="auto" w:fill="auto"/>
            <w:tcMar>
              <w:top w:w="40" w:type="dxa"/>
              <w:left w:w="40" w:type="dxa"/>
              <w:bottom w:w="40" w:type="dxa"/>
            </w:tcMar>
            <w:vAlign w:val="bottom"/>
          </w:tcPr>
          <w:p w14:paraId="54E9126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1,790</w:t>
            </w:r>
          </w:p>
        </w:tc>
        <w:tc>
          <w:tcPr>
            <w:tcW w:w="0" w:type="auto"/>
            <w:tcBorders>
              <w:bottom w:val="single" w:sz="8" w:space="0" w:color="000000"/>
            </w:tcBorders>
            <w:shd w:val="clear" w:color="auto" w:fill="auto"/>
            <w:vAlign w:val="bottom"/>
          </w:tcPr>
          <w:p w14:paraId="54E9126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26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126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1,348</w:t>
            </w:r>
          </w:p>
        </w:tc>
        <w:tc>
          <w:tcPr>
            <w:tcW w:w="0" w:type="auto"/>
            <w:tcBorders>
              <w:bottom w:val="single" w:sz="8" w:space="0" w:color="000000"/>
            </w:tcBorders>
            <w:shd w:val="clear" w:color="auto" w:fill="auto"/>
            <w:vAlign w:val="bottom"/>
          </w:tcPr>
          <w:p w14:paraId="54E91266"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26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126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shd w:val="clear" w:color="auto" w:fill="auto"/>
            <w:tcMar>
              <w:top w:w="40" w:type="dxa"/>
              <w:bottom w:w="40" w:type="dxa"/>
              <w:right w:w="40" w:type="dxa"/>
            </w:tcMar>
            <w:vAlign w:val="bottom"/>
          </w:tcPr>
          <w:p w14:paraId="54E9126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26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26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4,965</w:t>
            </w:r>
          </w:p>
        </w:tc>
        <w:tc>
          <w:tcPr>
            <w:tcW w:w="0" w:type="auto"/>
            <w:shd w:val="clear" w:color="auto" w:fill="auto"/>
            <w:vAlign w:val="bottom"/>
          </w:tcPr>
          <w:p w14:paraId="54E9126C"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26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126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3,636</w:t>
            </w:r>
          </w:p>
        </w:tc>
        <w:tc>
          <w:tcPr>
            <w:tcW w:w="0" w:type="auto"/>
            <w:tcBorders>
              <w:bottom w:val="single" w:sz="8" w:space="0" w:color="000000"/>
            </w:tcBorders>
            <w:shd w:val="clear" w:color="auto" w:fill="auto"/>
            <w:vAlign w:val="bottom"/>
          </w:tcPr>
          <w:p w14:paraId="54E9126F"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27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127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shd w:val="clear" w:color="auto" w:fill="auto"/>
            <w:tcMar>
              <w:top w:w="40" w:type="dxa"/>
              <w:bottom w:w="40" w:type="dxa"/>
              <w:right w:w="40" w:type="dxa"/>
            </w:tcMar>
            <w:vAlign w:val="bottom"/>
          </w:tcPr>
          <w:p w14:paraId="54E9127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128A" w14:textId="77777777">
        <w:tc>
          <w:tcPr>
            <w:tcW w:w="0" w:type="auto"/>
            <w:shd w:val="clear" w:color="auto" w:fill="CCEEFF"/>
            <w:tcMar>
              <w:top w:w="40" w:type="dxa"/>
              <w:left w:w="40" w:type="dxa"/>
              <w:bottom w:w="40" w:type="dxa"/>
              <w:right w:w="40" w:type="dxa"/>
            </w:tcMar>
          </w:tcPr>
          <w:p w14:paraId="54E91274"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General and administrative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127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127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1,790</w:t>
            </w:r>
          </w:p>
        </w:tc>
        <w:tc>
          <w:tcPr>
            <w:tcW w:w="0" w:type="auto"/>
            <w:tcBorders>
              <w:top w:val="single" w:sz="8" w:space="0" w:color="000000"/>
              <w:bottom w:val="double" w:sz="6" w:space="0" w:color="000000"/>
            </w:tcBorders>
            <w:shd w:val="clear" w:color="auto" w:fill="CCEEFF"/>
            <w:vAlign w:val="bottom"/>
          </w:tcPr>
          <w:p w14:paraId="54E9127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27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127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127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1,348</w:t>
            </w:r>
          </w:p>
        </w:tc>
        <w:tc>
          <w:tcPr>
            <w:tcW w:w="0" w:type="auto"/>
            <w:tcBorders>
              <w:top w:val="single" w:sz="8" w:space="0" w:color="000000"/>
              <w:bottom w:val="double" w:sz="6" w:space="0" w:color="000000"/>
            </w:tcBorders>
            <w:shd w:val="clear" w:color="auto" w:fill="CCEEFF"/>
            <w:vAlign w:val="bottom"/>
          </w:tcPr>
          <w:p w14:paraId="54E9127B"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27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27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shd w:val="clear" w:color="auto" w:fill="CCEEFF"/>
            <w:tcMar>
              <w:top w:w="40" w:type="dxa"/>
              <w:bottom w:w="40" w:type="dxa"/>
              <w:right w:w="40" w:type="dxa"/>
            </w:tcMar>
            <w:vAlign w:val="bottom"/>
          </w:tcPr>
          <w:p w14:paraId="54E9127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127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128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128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4,965</w:t>
            </w:r>
          </w:p>
        </w:tc>
        <w:tc>
          <w:tcPr>
            <w:tcW w:w="0" w:type="auto"/>
            <w:tcBorders>
              <w:top w:val="single" w:sz="8" w:space="0" w:color="000000"/>
              <w:bottom w:val="double" w:sz="6" w:space="0" w:color="000000"/>
            </w:tcBorders>
            <w:shd w:val="clear" w:color="auto" w:fill="CCEEFF"/>
            <w:vAlign w:val="bottom"/>
          </w:tcPr>
          <w:p w14:paraId="54E91282"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28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128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128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8,636</w:t>
            </w:r>
          </w:p>
        </w:tc>
        <w:tc>
          <w:tcPr>
            <w:tcW w:w="0" w:type="auto"/>
            <w:tcBorders>
              <w:top w:val="single" w:sz="8" w:space="0" w:color="000000"/>
              <w:bottom w:val="double" w:sz="6" w:space="0" w:color="000000"/>
            </w:tcBorders>
            <w:shd w:val="clear" w:color="auto" w:fill="CCEEFF"/>
            <w:vAlign w:val="bottom"/>
          </w:tcPr>
          <w:p w14:paraId="54E91286"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28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28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shd w:val="clear" w:color="auto" w:fill="CCEEFF"/>
            <w:tcMar>
              <w:top w:w="40" w:type="dxa"/>
              <w:bottom w:w="40" w:type="dxa"/>
              <w:right w:w="40" w:type="dxa"/>
            </w:tcMar>
            <w:vAlign w:val="bottom"/>
          </w:tcPr>
          <w:p w14:paraId="54E9128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129B" w14:textId="77777777">
        <w:tc>
          <w:tcPr>
            <w:tcW w:w="0" w:type="auto"/>
            <w:shd w:val="clear" w:color="auto" w:fill="auto"/>
            <w:tcMar>
              <w:top w:w="40" w:type="dxa"/>
              <w:left w:w="40" w:type="dxa"/>
              <w:bottom w:w="40" w:type="dxa"/>
              <w:right w:w="40" w:type="dxa"/>
            </w:tcMar>
          </w:tcPr>
          <w:p w14:paraId="54E9128B"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Percentage of revenue</w:t>
            </w:r>
          </w:p>
        </w:tc>
        <w:tc>
          <w:tcPr>
            <w:tcW w:w="0" w:type="auto"/>
            <w:gridSpan w:val="2"/>
            <w:shd w:val="clear" w:color="auto" w:fill="auto"/>
            <w:tcMar>
              <w:top w:w="40" w:type="dxa"/>
              <w:left w:w="40" w:type="dxa"/>
              <w:bottom w:w="40" w:type="dxa"/>
            </w:tcMar>
            <w:vAlign w:val="bottom"/>
          </w:tcPr>
          <w:p w14:paraId="54E9128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auto"/>
            <w:tcMar>
              <w:top w:w="40" w:type="dxa"/>
              <w:bottom w:w="40" w:type="dxa"/>
              <w:right w:w="40" w:type="dxa"/>
            </w:tcMar>
            <w:vAlign w:val="bottom"/>
          </w:tcPr>
          <w:p w14:paraId="54E9128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28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28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auto"/>
            <w:tcMar>
              <w:top w:w="40" w:type="dxa"/>
              <w:bottom w:w="40" w:type="dxa"/>
              <w:right w:w="40" w:type="dxa"/>
            </w:tcMar>
            <w:vAlign w:val="bottom"/>
          </w:tcPr>
          <w:p w14:paraId="54E9129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29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29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29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29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auto"/>
            <w:tcMar>
              <w:top w:w="40" w:type="dxa"/>
              <w:bottom w:w="40" w:type="dxa"/>
              <w:right w:w="40" w:type="dxa"/>
            </w:tcMar>
            <w:vAlign w:val="bottom"/>
          </w:tcPr>
          <w:p w14:paraId="54E9129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29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29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auto"/>
            <w:tcMar>
              <w:top w:w="40" w:type="dxa"/>
              <w:bottom w:w="40" w:type="dxa"/>
              <w:right w:w="40" w:type="dxa"/>
            </w:tcMar>
            <w:vAlign w:val="bottom"/>
          </w:tcPr>
          <w:p w14:paraId="54E9129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29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29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bl>
    <w:p w14:paraId="54E9129C"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Excluding the $5.0 billion FTC settlement accrual recorded during the first six months of 2019, general and </w:t>
      </w:r>
      <w:r>
        <w:rPr>
          <w:rFonts w:ascii="Times New Roman" w:eastAsia="宋体" w:hAnsi="Times New Roman"/>
          <w:sz w:val="20"/>
          <w:szCs w:val="20"/>
        </w:rPr>
        <w:t>administrative expenses in the three and nine months ended September 30, 2020 increased $442 million, or 33%, and $1.33 billion, or 37%, compared to the same periods in 2019. The majority of the increases was due to increases in other legal-related costs a</w:t>
      </w:r>
      <w:r>
        <w:rPr>
          <w:rFonts w:ascii="Times New Roman" w:eastAsia="宋体" w:hAnsi="Times New Roman"/>
          <w:sz w:val="20"/>
          <w:szCs w:val="20"/>
        </w:rPr>
        <w:t>nd payroll and benefits expenses as a result of a 26% increase in employee headcount from September 30, 2019 to September 30, 2020 in our general and administrative functions.</w:t>
      </w:r>
    </w:p>
    <w:p w14:paraId="54E9129D" w14:textId="77777777" w:rsidR="00F427A3" w:rsidRDefault="0044221F">
      <w:pPr>
        <w:spacing w:line="288" w:lineRule="auto"/>
        <w:rPr>
          <w:rFonts w:ascii="Times New Roman" w:hAnsi="Times New Roman"/>
          <w:sz w:val="20"/>
          <w:szCs w:val="20"/>
        </w:rPr>
      </w:pPr>
      <w:r>
        <w:rPr>
          <w:rFonts w:ascii="Times New Roman" w:eastAsia="宋体" w:hAnsi="Times New Roman"/>
          <w:b/>
          <w:bCs/>
          <w:i/>
          <w:iCs/>
          <w:sz w:val="20"/>
          <w:szCs w:val="20"/>
        </w:rPr>
        <w:t>Interest and other income, net</w:t>
      </w:r>
    </w:p>
    <w:tbl>
      <w:tblPr>
        <w:tblW w:w="5000" w:type="pct"/>
        <w:tblCellMar>
          <w:left w:w="0" w:type="dxa"/>
          <w:right w:w="0" w:type="dxa"/>
        </w:tblCellMar>
        <w:tblLook w:val="04A0" w:firstRow="1" w:lastRow="0" w:firstColumn="1" w:lastColumn="0" w:noHBand="0" w:noVBand="1"/>
      </w:tblPr>
      <w:tblGrid>
        <w:gridCol w:w="2108"/>
        <w:gridCol w:w="140"/>
        <w:gridCol w:w="779"/>
        <w:gridCol w:w="107"/>
        <w:gridCol w:w="130"/>
        <w:gridCol w:w="140"/>
        <w:gridCol w:w="779"/>
        <w:gridCol w:w="107"/>
        <w:gridCol w:w="130"/>
        <w:gridCol w:w="447"/>
        <w:gridCol w:w="274"/>
        <w:gridCol w:w="130"/>
        <w:gridCol w:w="140"/>
        <w:gridCol w:w="780"/>
        <w:gridCol w:w="107"/>
        <w:gridCol w:w="130"/>
        <w:gridCol w:w="140"/>
        <w:gridCol w:w="780"/>
        <w:gridCol w:w="107"/>
        <w:gridCol w:w="130"/>
        <w:gridCol w:w="447"/>
        <w:gridCol w:w="274"/>
      </w:tblGrid>
      <w:tr w:rsidR="00F427A3" w14:paraId="54E9129F" w14:textId="77777777">
        <w:tc>
          <w:tcPr>
            <w:tcW w:w="0" w:type="auto"/>
            <w:gridSpan w:val="22"/>
            <w:shd w:val="clear" w:color="auto" w:fill="auto"/>
            <w:vAlign w:val="center"/>
          </w:tcPr>
          <w:p w14:paraId="54E9129E" w14:textId="77777777" w:rsidR="00F427A3" w:rsidRDefault="00F427A3">
            <w:pPr>
              <w:rPr>
                <w:rFonts w:ascii="Times New Roman" w:hAnsi="Times New Roman"/>
                <w:sz w:val="20"/>
                <w:szCs w:val="20"/>
              </w:rPr>
            </w:pPr>
          </w:p>
        </w:tc>
      </w:tr>
      <w:tr w:rsidR="00F427A3" w14:paraId="54E912B6" w14:textId="77777777">
        <w:tc>
          <w:tcPr>
            <w:tcW w:w="1350" w:type="pct"/>
            <w:shd w:val="clear" w:color="auto" w:fill="auto"/>
            <w:vAlign w:val="center"/>
          </w:tcPr>
          <w:p w14:paraId="54E912A0" w14:textId="77777777" w:rsidR="00F427A3" w:rsidRDefault="00F427A3">
            <w:pPr>
              <w:rPr>
                <w:rFonts w:ascii="Times New Roman" w:hAnsi="Times New Roman"/>
                <w:sz w:val="20"/>
                <w:szCs w:val="20"/>
              </w:rPr>
            </w:pPr>
          </w:p>
        </w:tc>
        <w:tc>
          <w:tcPr>
            <w:tcW w:w="50" w:type="pct"/>
            <w:shd w:val="clear" w:color="auto" w:fill="auto"/>
            <w:vAlign w:val="center"/>
          </w:tcPr>
          <w:p w14:paraId="54E912A1" w14:textId="77777777" w:rsidR="00F427A3" w:rsidRDefault="00F427A3">
            <w:pPr>
              <w:rPr>
                <w:rFonts w:ascii="Times New Roman" w:hAnsi="Times New Roman"/>
                <w:sz w:val="20"/>
                <w:szCs w:val="20"/>
              </w:rPr>
            </w:pPr>
          </w:p>
        </w:tc>
        <w:tc>
          <w:tcPr>
            <w:tcW w:w="550" w:type="pct"/>
            <w:shd w:val="clear" w:color="auto" w:fill="auto"/>
            <w:vAlign w:val="center"/>
          </w:tcPr>
          <w:p w14:paraId="54E912A2" w14:textId="77777777" w:rsidR="00F427A3" w:rsidRDefault="00F427A3">
            <w:pPr>
              <w:rPr>
                <w:rFonts w:ascii="Times New Roman" w:hAnsi="Times New Roman"/>
                <w:sz w:val="20"/>
                <w:szCs w:val="20"/>
              </w:rPr>
            </w:pPr>
          </w:p>
        </w:tc>
        <w:tc>
          <w:tcPr>
            <w:tcW w:w="50" w:type="pct"/>
            <w:shd w:val="clear" w:color="auto" w:fill="auto"/>
            <w:vAlign w:val="center"/>
          </w:tcPr>
          <w:p w14:paraId="54E912A3" w14:textId="77777777" w:rsidR="00F427A3" w:rsidRDefault="00F427A3">
            <w:pPr>
              <w:rPr>
                <w:rFonts w:ascii="Times New Roman" w:hAnsi="Times New Roman"/>
                <w:sz w:val="20"/>
                <w:szCs w:val="20"/>
              </w:rPr>
            </w:pPr>
          </w:p>
        </w:tc>
        <w:tc>
          <w:tcPr>
            <w:tcW w:w="50" w:type="pct"/>
            <w:shd w:val="clear" w:color="auto" w:fill="auto"/>
            <w:vAlign w:val="center"/>
          </w:tcPr>
          <w:p w14:paraId="54E912A4" w14:textId="77777777" w:rsidR="00F427A3" w:rsidRDefault="00F427A3">
            <w:pPr>
              <w:rPr>
                <w:rFonts w:ascii="Times New Roman" w:hAnsi="Times New Roman"/>
                <w:sz w:val="20"/>
                <w:szCs w:val="20"/>
              </w:rPr>
            </w:pPr>
          </w:p>
        </w:tc>
        <w:tc>
          <w:tcPr>
            <w:tcW w:w="50" w:type="pct"/>
            <w:shd w:val="clear" w:color="auto" w:fill="auto"/>
            <w:vAlign w:val="center"/>
          </w:tcPr>
          <w:p w14:paraId="54E912A5" w14:textId="77777777" w:rsidR="00F427A3" w:rsidRDefault="00F427A3">
            <w:pPr>
              <w:rPr>
                <w:rFonts w:ascii="Times New Roman" w:hAnsi="Times New Roman"/>
                <w:sz w:val="20"/>
                <w:szCs w:val="20"/>
              </w:rPr>
            </w:pPr>
          </w:p>
        </w:tc>
        <w:tc>
          <w:tcPr>
            <w:tcW w:w="550" w:type="pct"/>
            <w:shd w:val="clear" w:color="auto" w:fill="auto"/>
            <w:vAlign w:val="center"/>
          </w:tcPr>
          <w:p w14:paraId="54E912A6" w14:textId="77777777" w:rsidR="00F427A3" w:rsidRDefault="00F427A3">
            <w:pPr>
              <w:rPr>
                <w:rFonts w:ascii="Times New Roman" w:hAnsi="Times New Roman"/>
                <w:sz w:val="20"/>
                <w:szCs w:val="20"/>
              </w:rPr>
            </w:pPr>
          </w:p>
        </w:tc>
        <w:tc>
          <w:tcPr>
            <w:tcW w:w="50" w:type="pct"/>
            <w:shd w:val="clear" w:color="auto" w:fill="auto"/>
            <w:vAlign w:val="center"/>
          </w:tcPr>
          <w:p w14:paraId="54E912A7" w14:textId="77777777" w:rsidR="00F427A3" w:rsidRDefault="00F427A3">
            <w:pPr>
              <w:rPr>
                <w:rFonts w:ascii="Times New Roman" w:hAnsi="Times New Roman"/>
                <w:sz w:val="20"/>
                <w:szCs w:val="20"/>
              </w:rPr>
            </w:pPr>
          </w:p>
        </w:tc>
        <w:tc>
          <w:tcPr>
            <w:tcW w:w="50" w:type="pct"/>
            <w:shd w:val="clear" w:color="auto" w:fill="auto"/>
            <w:vAlign w:val="center"/>
          </w:tcPr>
          <w:p w14:paraId="54E912A8" w14:textId="77777777" w:rsidR="00F427A3" w:rsidRDefault="00F427A3">
            <w:pPr>
              <w:rPr>
                <w:rFonts w:ascii="Times New Roman" w:hAnsi="Times New Roman"/>
                <w:sz w:val="20"/>
                <w:szCs w:val="20"/>
              </w:rPr>
            </w:pPr>
          </w:p>
        </w:tc>
        <w:tc>
          <w:tcPr>
            <w:tcW w:w="350" w:type="pct"/>
            <w:shd w:val="clear" w:color="auto" w:fill="auto"/>
            <w:vAlign w:val="center"/>
          </w:tcPr>
          <w:p w14:paraId="54E912A9" w14:textId="77777777" w:rsidR="00F427A3" w:rsidRDefault="00F427A3">
            <w:pPr>
              <w:rPr>
                <w:rFonts w:ascii="Times New Roman" w:hAnsi="Times New Roman"/>
                <w:sz w:val="20"/>
                <w:szCs w:val="20"/>
              </w:rPr>
            </w:pPr>
          </w:p>
        </w:tc>
        <w:tc>
          <w:tcPr>
            <w:tcW w:w="50" w:type="pct"/>
            <w:shd w:val="clear" w:color="auto" w:fill="auto"/>
            <w:vAlign w:val="center"/>
          </w:tcPr>
          <w:p w14:paraId="54E912AA" w14:textId="77777777" w:rsidR="00F427A3" w:rsidRDefault="00F427A3">
            <w:pPr>
              <w:rPr>
                <w:rFonts w:ascii="Times New Roman" w:hAnsi="Times New Roman"/>
                <w:sz w:val="20"/>
                <w:szCs w:val="20"/>
              </w:rPr>
            </w:pPr>
          </w:p>
        </w:tc>
        <w:tc>
          <w:tcPr>
            <w:tcW w:w="50" w:type="pct"/>
            <w:shd w:val="clear" w:color="auto" w:fill="auto"/>
            <w:vAlign w:val="center"/>
          </w:tcPr>
          <w:p w14:paraId="54E912AB" w14:textId="77777777" w:rsidR="00F427A3" w:rsidRDefault="00F427A3">
            <w:pPr>
              <w:rPr>
                <w:rFonts w:ascii="Times New Roman" w:hAnsi="Times New Roman"/>
                <w:sz w:val="20"/>
                <w:szCs w:val="20"/>
              </w:rPr>
            </w:pPr>
          </w:p>
        </w:tc>
        <w:tc>
          <w:tcPr>
            <w:tcW w:w="50" w:type="pct"/>
            <w:shd w:val="clear" w:color="auto" w:fill="auto"/>
            <w:vAlign w:val="center"/>
          </w:tcPr>
          <w:p w14:paraId="54E912AC" w14:textId="77777777" w:rsidR="00F427A3" w:rsidRDefault="00F427A3">
            <w:pPr>
              <w:rPr>
                <w:rFonts w:ascii="Times New Roman" w:hAnsi="Times New Roman"/>
                <w:sz w:val="20"/>
                <w:szCs w:val="20"/>
              </w:rPr>
            </w:pPr>
          </w:p>
        </w:tc>
        <w:tc>
          <w:tcPr>
            <w:tcW w:w="550" w:type="pct"/>
            <w:shd w:val="clear" w:color="auto" w:fill="auto"/>
            <w:vAlign w:val="center"/>
          </w:tcPr>
          <w:p w14:paraId="54E912AD" w14:textId="77777777" w:rsidR="00F427A3" w:rsidRDefault="00F427A3">
            <w:pPr>
              <w:rPr>
                <w:rFonts w:ascii="Times New Roman" w:hAnsi="Times New Roman"/>
                <w:sz w:val="20"/>
                <w:szCs w:val="20"/>
              </w:rPr>
            </w:pPr>
          </w:p>
        </w:tc>
        <w:tc>
          <w:tcPr>
            <w:tcW w:w="50" w:type="pct"/>
            <w:shd w:val="clear" w:color="auto" w:fill="auto"/>
            <w:vAlign w:val="center"/>
          </w:tcPr>
          <w:p w14:paraId="54E912AE" w14:textId="77777777" w:rsidR="00F427A3" w:rsidRDefault="00F427A3">
            <w:pPr>
              <w:rPr>
                <w:rFonts w:ascii="Times New Roman" w:hAnsi="Times New Roman"/>
                <w:sz w:val="20"/>
                <w:szCs w:val="20"/>
              </w:rPr>
            </w:pPr>
          </w:p>
        </w:tc>
        <w:tc>
          <w:tcPr>
            <w:tcW w:w="50" w:type="pct"/>
            <w:shd w:val="clear" w:color="auto" w:fill="auto"/>
            <w:vAlign w:val="center"/>
          </w:tcPr>
          <w:p w14:paraId="54E912AF" w14:textId="77777777" w:rsidR="00F427A3" w:rsidRDefault="00F427A3">
            <w:pPr>
              <w:rPr>
                <w:rFonts w:ascii="Times New Roman" w:hAnsi="Times New Roman"/>
                <w:sz w:val="20"/>
                <w:szCs w:val="20"/>
              </w:rPr>
            </w:pPr>
          </w:p>
        </w:tc>
        <w:tc>
          <w:tcPr>
            <w:tcW w:w="50" w:type="pct"/>
            <w:shd w:val="clear" w:color="auto" w:fill="auto"/>
            <w:vAlign w:val="center"/>
          </w:tcPr>
          <w:p w14:paraId="54E912B0" w14:textId="77777777" w:rsidR="00F427A3" w:rsidRDefault="00F427A3">
            <w:pPr>
              <w:rPr>
                <w:rFonts w:ascii="Times New Roman" w:hAnsi="Times New Roman"/>
                <w:sz w:val="20"/>
                <w:szCs w:val="20"/>
              </w:rPr>
            </w:pPr>
          </w:p>
        </w:tc>
        <w:tc>
          <w:tcPr>
            <w:tcW w:w="550" w:type="pct"/>
            <w:shd w:val="clear" w:color="auto" w:fill="auto"/>
            <w:vAlign w:val="center"/>
          </w:tcPr>
          <w:p w14:paraId="54E912B1" w14:textId="77777777" w:rsidR="00F427A3" w:rsidRDefault="00F427A3">
            <w:pPr>
              <w:rPr>
                <w:rFonts w:ascii="Times New Roman" w:hAnsi="Times New Roman"/>
                <w:sz w:val="20"/>
                <w:szCs w:val="20"/>
              </w:rPr>
            </w:pPr>
          </w:p>
        </w:tc>
        <w:tc>
          <w:tcPr>
            <w:tcW w:w="50" w:type="pct"/>
            <w:shd w:val="clear" w:color="auto" w:fill="auto"/>
            <w:vAlign w:val="center"/>
          </w:tcPr>
          <w:p w14:paraId="54E912B2" w14:textId="77777777" w:rsidR="00F427A3" w:rsidRDefault="00F427A3">
            <w:pPr>
              <w:rPr>
                <w:rFonts w:ascii="Times New Roman" w:hAnsi="Times New Roman"/>
                <w:sz w:val="20"/>
                <w:szCs w:val="20"/>
              </w:rPr>
            </w:pPr>
          </w:p>
        </w:tc>
        <w:tc>
          <w:tcPr>
            <w:tcW w:w="50" w:type="pct"/>
            <w:shd w:val="clear" w:color="auto" w:fill="auto"/>
            <w:vAlign w:val="center"/>
          </w:tcPr>
          <w:p w14:paraId="54E912B3" w14:textId="77777777" w:rsidR="00F427A3" w:rsidRDefault="00F427A3">
            <w:pPr>
              <w:rPr>
                <w:rFonts w:ascii="Times New Roman" w:hAnsi="Times New Roman"/>
                <w:sz w:val="20"/>
                <w:szCs w:val="20"/>
              </w:rPr>
            </w:pPr>
          </w:p>
        </w:tc>
        <w:tc>
          <w:tcPr>
            <w:tcW w:w="350" w:type="pct"/>
            <w:shd w:val="clear" w:color="auto" w:fill="auto"/>
            <w:vAlign w:val="center"/>
          </w:tcPr>
          <w:p w14:paraId="54E912B4" w14:textId="77777777" w:rsidR="00F427A3" w:rsidRDefault="00F427A3">
            <w:pPr>
              <w:rPr>
                <w:rFonts w:ascii="Times New Roman" w:hAnsi="Times New Roman"/>
                <w:sz w:val="20"/>
                <w:szCs w:val="20"/>
              </w:rPr>
            </w:pPr>
          </w:p>
        </w:tc>
        <w:tc>
          <w:tcPr>
            <w:tcW w:w="50" w:type="pct"/>
            <w:shd w:val="clear" w:color="auto" w:fill="auto"/>
            <w:vAlign w:val="center"/>
          </w:tcPr>
          <w:p w14:paraId="54E912B5" w14:textId="77777777" w:rsidR="00F427A3" w:rsidRDefault="00F427A3">
            <w:pPr>
              <w:rPr>
                <w:rFonts w:ascii="Times New Roman" w:hAnsi="Times New Roman"/>
                <w:sz w:val="20"/>
                <w:szCs w:val="20"/>
              </w:rPr>
            </w:pPr>
          </w:p>
        </w:tc>
      </w:tr>
      <w:tr w:rsidR="00F427A3" w14:paraId="54E912BF" w14:textId="77777777">
        <w:tc>
          <w:tcPr>
            <w:tcW w:w="0" w:type="auto"/>
            <w:shd w:val="clear" w:color="auto" w:fill="auto"/>
            <w:tcMar>
              <w:top w:w="40" w:type="dxa"/>
              <w:left w:w="40" w:type="dxa"/>
              <w:bottom w:w="40" w:type="dxa"/>
              <w:right w:w="40" w:type="dxa"/>
            </w:tcMar>
            <w:vAlign w:val="bottom"/>
          </w:tcPr>
          <w:p w14:paraId="54E912B7"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12B8"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Three Months Ended September 30,</w:t>
            </w:r>
          </w:p>
        </w:tc>
        <w:tc>
          <w:tcPr>
            <w:tcW w:w="0" w:type="auto"/>
            <w:shd w:val="clear" w:color="auto" w:fill="auto"/>
            <w:tcMar>
              <w:top w:w="40" w:type="dxa"/>
              <w:left w:w="40" w:type="dxa"/>
              <w:bottom w:w="40" w:type="dxa"/>
              <w:right w:w="40" w:type="dxa"/>
            </w:tcMar>
            <w:vAlign w:val="bottom"/>
          </w:tcPr>
          <w:p w14:paraId="54E912B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2BA"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2B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12BC"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Nine Months Ended September 30,</w:t>
            </w:r>
          </w:p>
        </w:tc>
        <w:tc>
          <w:tcPr>
            <w:tcW w:w="0" w:type="auto"/>
            <w:shd w:val="clear" w:color="auto" w:fill="auto"/>
            <w:tcMar>
              <w:top w:w="40" w:type="dxa"/>
              <w:left w:w="40" w:type="dxa"/>
              <w:bottom w:w="40" w:type="dxa"/>
              <w:right w:w="40" w:type="dxa"/>
            </w:tcMar>
            <w:vAlign w:val="bottom"/>
          </w:tcPr>
          <w:p w14:paraId="54E912B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2BE"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r>
      <w:tr w:rsidR="00F427A3" w14:paraId="54E912CC" w14:textId="77777777">
        <w:tc>
          <w:tcPr>
            <w:tcW w:w="0" w:type="auto"/>
            <w:shd w:val="clear" w:color="auto" w:fill="auto"/>
            <w:tcMar>
              <w:top w:w="40" w:type="dxa"/>
              <w:left w:w="40" w:type="dxa"/>
              <w:bottom w:w="40" w:type="dxa"/>
              <w:right w:w="40" w:type="dxa"/>
            </w:tcMar>
            <w:vAlign w:val="bottom"/>
          </w:tcPr>
          <w:p w14:paraId="54E912C0"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2C1"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54E912C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2C3"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912C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4E912C5"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change</w:t>
            </w:r>
          </w:p>
        </w:tc>
        <w:tc>
          <w:tcPr>
            <w:tcW w:w="0" w:type="auto"/>
            <w:shd w:val="clear" w:color="auto" w:fill="auto"/>
            <w:tcMar>
              <w:top w:w="40" w:type="dxa"/>
              <w:left w:w="40" w:type="dxa"/>
              <w:bottom w:w="40" w:type="dxa"/>
              <w:right w:w="40" w:type="dxa"/>
            </w:tcMar>
            <w:vAlign w:val="bottom"/>
          </w:tcPr>
          <w:p w14:paraId="54E912C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2C7"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4E912C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2C9"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912C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4E912CB"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change</w:t>
            </w:r>
          </w:p>
        </w:tc>
      </w:tr>
      <w:tr w:rsidR="00F427A3" w14:paraId="54E912CF" w14:textId="77777777">
        <w:tc>
          <w:tcPr>
            <w:tcW w:w="0" w:type="auto"/>
            <w:shd w:val="clear" w:color="auto" w:fill="auto"/>
            <w:tcMar>
              <w:top w:w="40" w:type="dxa"/>
              <w:left w:w="40" w:type="dxa"/>
              <w:bottom w:w="40" w:type="dxa"/>
              <w:right w:w="40" w:type="dxa"/>
            </w:tcMar>
            <w:vAlign w:val="bottom"/>
          </w:tcPr>
          <w:p w14:paraId="54E912CD"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1"/>
            <w:shd w:val="clear" w:color="auto" w:fill="auto"/>
            <w:tcMar>
              <w:top w:w="40" w:type="dxa"/>
              <w:left w:w="40" w:type="dxa"/>
              <w:bottom w:w="40" w:type="dxa"/>
            </w:tcMar>
            <w:vAlign w:val="bottom"/>
          </w:tcPr>
          <w:p w14:paraId="54E912CE" w14:textId="77777777" w:rsidR="00F427A3" w:rsidRDefault="0044221F">
            <w:pPr>
              <w:jc w:val="center"/>
              <w:textAlignment w:val="bottom"/>
              <w:rPr>
                <w:rFonts w:ascii="Times New Roman" w:hAnsi="Times New Roman"/>
                <w:sz w:val="16"/>
                <w:szCs w:val="16"/>
              </w:rPr>
            </w:pPr>
            <w:r>
              <w:rPr>
                <w:rFonts w:ascii="Times New Roman" w:eastAsia="宋体" w:hAnsi="Times New Roman"/>
                <w:b/>
                <w:bCs/>
                <w:i/>
                <w:iCs/>
                <w:sz w:val="16"/>
                <w:szCs w:val="16"/>
              </w:rPr>
              <w:t>(in millions, except for percentages)</w:t>
            </w:r>
          </w:p>
        </w:tc>
      </w:tr>
      <w:tr w:rsidR="00F427A3" w14:paraId="54E912E6" w14:textId="77777777">
        <w:tc>
          <w:tcPr>
            <w:tcW w:w="0" w:type="auto"/>
            <w:shd w:val="clear" w:color="auto" w:fill="CCEEFF"/>
            <w:tcMar>
              <w:top w:w="40" w:type="dxa"/>
              <w:left w:w="40" w:type="dxa"/>
              <w:bottom w:w="40" w:type="dxa"/>
              <w:right w:w="40" w:type="dxa"/>
            </w:tcMar>
          </w:tcPr>
          <w:p w14:paraId="54E912D0"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Interest income, net</w:t>
            </w:r>
          </w:p>
        </w:tc>
        <w:tc>
          <w:tcPr>
            <w:tcW w:w="0" w:type="auto"/>
            <w:shd w:val="clear" w:color="auto" w:fill="CCEEFF"/>
            <w:tcMar>
              <w:top w:w="40" w:type="dxa"/>
              <w:left w:w="40" w:type="dxa"/>
              <w:bottom w:w="40" w:type="dxa"/>
            </w:tcMar>
            <w:vAlign w:val="bottom"/>
          </w:tcPr>
          <w:p w14:paraId="54E912D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2D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146</w:t>
            </w:r>
          </w:p>
        </w:tc>
        <w:tc>
          <w:tcPr>
            <w:tcW w:w="0" w:type="auto"/>
            <w:shd w:val="clear" w:color="auto" w:fill="CCEEFF"/>
            <w:vAlign w:val="bottom"/>
          </w:tcPr>
          <w:p w14:paraId="54E912D3"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2D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2D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2D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258</w:t>
            </w:r>
          </w:p>
        </w:tc>
        <w:tc>
          <w:tcPr>
            <w:tcW w:w="0" w:type="auto"/>
            <w:shd w:val="clear" w:color="auto" w:fill="CCEEFF"/>
            <w:vAlign w:val="bottom"/>
          </w:tcPr>
          <w:p w14:paraId="54E912D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2D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2D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shd w:val="clear" w:color="auto" w:fill="CCEEFF"/>
            <w:tcMar>
              <w:top w:w="40" w:type="dxa"/>
              <w:bottom w:w="40" w:type="dxa"/>
              <w:right w:w="40" w:type="dxa"/>
            </w:tcMar>
            <w:vAlign w:val="bottom"/>
          </w:tcPr>
          <w:p w14:paraId="54E912D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12D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2D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2D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536</w:t>
            </w:r>
          </w:p>
        </w:tc>
        <w:tc>
          <w:tcPr>
            <w:tcW w:w="0" w:type="auto"/>
            <w:shd w:val="clear" w:color="auto" w:fill="CCEEFF"/>
            <w:vAlign w:val="bottom"/>
          </w:tcPr>
          <w:p w14:paraId="54E912D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2D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2E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2E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675</w:t>
            </w:r>
          </w:p>
        </w:tc>
        <w:tc>
          <w:tcPr>
            <w:tcW w:w="0" w:type="auto"/>
            <w:shd w:val="clear" w:color="auto" w:fill="CCEEFF"/>
            <w:vAlign w:val="bottom"/>
          </w:tcPr>
          <w:p w14:paraId="54E912E2"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2E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2E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shd w:val="clear" w:color="auto" w:fill="CCEEFF"/>
            <w:tcMar>
              <w:top w:w="40" w:type="dxa"/>
              <w:bottom w:w="40" w:type="dxa"/>
              <w:right w:w="40" w:type="dxa"/>
            </w:tcMar>
            <w:vAlign w:val="bottom"/>
          </w:tcPr>
          <w:p w14:paraId="54E912E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12F9" w14:textId="77777777">
        <w:tc>
          <w:tcPr>
            <w:tcW w:w="0" w:type="auto"/>
            <w:shd w:val="clear" w:color="auto" w:fill="auto"/>
            <w:tcMar>
              <w:top w:w="40" w:type="dxa"/>
              <w:left w:w="40" w:type="dxa"/>
              <w:bottom w:w="40" w:type="dxa"/>
              <w:right w:w="40" w:type="dxa"/>
            </w:tcMar>
          </w:tcPr>
          <w:p w14:paraId="54E912E7"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Other income (expense), net</w:t>
            </w:r>
          </w:p>
        </w:tc>
        <w:tc>
          <w:tcPr>
            <w:tcW w:w="0" w:type="auto"/>
            <w:gridSpan w:val="2"/>
            <w:tcBorders>
              <w:bottom w:val="single" w:sz="8" w:space="0" w:color="000000"/>
            </w:tcBorders>
            <w:shd w:val="clear" w:color="auto" w:fill="auto"/>
            <w:tcMar>
              <w:top w:w="40" w:type="dxa"/>
              <w:left w:w="40" w:type="dxa"/>
              <w:bottom w:w="40" w:type="dxa"/>
            </w:tcMar>
            <w:vAlign w:val="bottom"/>
          </w:tcPr>
          <w:p w14:paraId="54E912E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(53</w:t>
            </w:r>
          </w:p>
        </w:tc>
        <w:tc>
          <w:tcPr>
            <w:tcW w:w="0" w:type="auto"/>
            <w:tcBorders>
              <w:bottom w:val="single" w:sz="8" w:space="0" w:color="000000"/>
            </w:tcBorders>
            <w:shd w:val="clear" w:color="auto" w:fill="auto"/>
            <w:tcMar>
              <w:top w:w="40" w:type="dxa"/>
              <w:bottom w:w="40" w:type="dxa"/>
              <w:right w:w="40" w:type="dxa"/>
            </w:tcMar>
            <w:vAlign w:val="bottom"/>
          </w:tcPr>
          <w:p w14:paraId="54E912E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2E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12E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(114</w:t>
            </w:r>
          </w:p>
        </w:tc>
        <w:tc>
          <w:tcPr>
            <w:tcW w:w="0" w:type="auto"/>
            <w:tcBorders>
              <w:bottom w:val="single" w:sz="8" w:space="0" w:color="000000"/>
            </w:tcBorders>
            <w:shd w:val="clear" w:color="auto" w:fill="auto"/>
            <w:tcMar>
              <w:top w:w="40" w:type="dxa"/>
              <w:bottom w:w="40" w:type="dxa"/>
              <w:right w:w="40" w:type="dxa"/>
            </w:tcMar>
            <w:vAlign w:val="bottom"/>
          </w:tcPr>
          <w:p w14:paraId="54E912E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2E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12E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shd w:val="clear" w:color="auto" w:fill="auto"/>
            <w:tcMar>
              <w:top w:w="40" w:type="dxa"/>
              <w:bottom w:w="40" w:type="dxa"/>
              <w:right w:w="40" w:type="dxa"/>
            </w:tcMar>
            <w:vAlign w:val="bottom"/>
          </w:tcPr>
          <w:p w14:paraId="54E912E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2F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12F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(307</w:t>
            </w:r>
          </w:p>
        </w:tc>
        <w:tc>
          <w:tcPr>
            <w:tcW w:w="0" w:type="auto"/>
            <w:tcBorders>
              <w:bottom w:val="single" w:sz="8" w:space="0" w:color="000000"/>
            </w:tcBorders>
            <w:shd w:val="clear" w:color="auto" w:fill="auto"/>
            <w:tcMar>
              <w:top w:w="40" w:type="dxa"/>
              <w:bottom w:w="40" w:type="dxa"/>
              <w:right w:w="40" w:type="dxa"/>
            </w:tcMar>
            <w:vAlign w:val="bottom"/>
          </w:tcPr>
          <w:p w14:paraId="54E912F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2F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12F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(160</w:t>
            </w:r>
          </w:p>
        </w:tc>
        <w:tc>
          <w:tcPr>
            <w:tcW w:w="0" w:type="auto"/>
            <w:tcBorders>
              <w:bottom w:val="single" w:sz="8" w:space="0" w:color="000000"/>
            </w:tcBorders>
            <w:shd w:val="clear" w:color="auto" w:fill="auto"/>
            <w:tcMar>
              <w:top w:w="40" w:type="dxa"/>
              <w:bottom w:w="40" w:type="dxa"/>
              <w:right w:w="40" w:type="dxa"/>
            </w:tcMar>
            <w:vAlign w:val="bottom"/>
          </w:tcPr>
          <w:p w14:paraId="54E912F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2F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12F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92</w:t>
            </w:r>
          </w:p>
        </w:tc>
        <w:tc>
          <w:tcPr>
            <w:tcW w:w="0" w:type="auto"/>
            <w:shd w:val="clear" w:color="auto" w:fill="auto"/>
            <w:tcMar>
              <w:top w:w="40" w:type="dxa"/>
              <w:bottom w:w="40" w:type="dxa"/>
              <w:right w:w="40" w:type="dxa"/>
            </w:tcMar>
            <w:vAlign w:val="bottom"/>
          </w:tcPr>
          <w:p w14:paraId="54E912F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1310" w14:textId="77777777">
        <w:tc>
          <w:tcPr>
            <w:tcW w:w="0" w:type="auto"/>
            <w:shd w:val="clear" w:color="auto" w:fill="CCEEFF"/>
            <w:tcMar>
              <w:top w:w="40" w:type="dxa"/>
              <w:left w:w="40" w:type="dxa"/>
              <w:bottom w:w="40" w:type="dxa"/>
              <w:right w:w="40" w:type="dxa"/>
            </w:tcMar>
          </w:tcPr>
          <w:p w14:paraId="54E912F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Interest and other income, net</w:t>
            </w:r>
          </w:p>
        </w:tc>
        <w:tc>
          <w:tcPr>
            <w:tcW w:w="0" w:type="auto"/>
            <w:tcBorders>
              <w:bottom w:val="double" w:sz="6" w:space="0" w:color="000000"/>
            </w:tcBorders>
            <w:shd w:val="clear" w:color="auto" w:fill="CCEEFF"/>
            <w:tcMar>
              <w:top w:w="40" w:type="dxa"/>
              <w:left w:w="40" w:type="dxa"/>
              <w:bottom w:w="40" w:type="dxa"/>
            </w:tcMar>
            <w:vAlign w:val="bottom"/>
          </w:tcPr>
          <w:p w14:paraId="54E912F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912F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93</w:t>
            </w:r>
          </w:p>
        </w:tc>
        <w:tc>
          <w:tcPr>
            <w:tcW w:w="0" w:type="auto"/>
            <w:tcBorders>
              <w:bottom w:val="double" w:sz="6" w:space="0" w:color="000000"/>
            </w:tcBorders>
            <w:shd w:val="clear" w:color="auto" w:fill="CCEEFF"/>
            <w:vAlign w:val="bottom"/>
          </w:tcPr>
          <w:p w14:paraId="54E912FD"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2F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4E912F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91300"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144</w:t>
            </w:r>
          </w:p>
        </w:tc>
        <w:tc>
          <w:tcPr>
            <w:tcW w:w="0" w:type="auto"/>
            <w:tcBorders>
              <w:bottom w:val="double" w:sz="6" w:space="0" w:color="000000"/>
            </w:tcBorders>
            <w:shd w:val="clear" w:color="auto" w:fill="CCEEFF"/>
            <w:vAlign w:val="bottom"/>
          </w:tcPr>
          <w:p w14:paraId="54E91301"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30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30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shd w:val="clear" w:color="auto" w:fill="CCEEFF"/>
            <w:tcMar>
              <w:top w:w="40" w:type="dxa"/>
              <w:bottom w:w="40" w:type="dxa"/>
              <w:right w:w="40" w:type="dxa"/>
            </w:tcMar>
            <w:vAlign w:val="bottom"/>
          </w:tcPr>
          <w:p w14:paraId="54E9130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130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4E9130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9130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229</w:t>
            </w:r>
          </w:p>
        </w:tc>
        <w:tc>
          <w:tcPr>
            <w:tcW w:w="0" w:type="auto"/>
            <w:tcBorders>
              <w:bottom w:val="double" w:sz="6" w:space="0" w:color="000000"/>
            </w:tcBorders>
            <w:shd w:val="clear" w:color="auto" w:fill="CCEEFF"/>
            <w:vAlign w:val="bottom"/>
          </w:tcPr>
          <w:p w14:paraId="54E91308"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30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4E9130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4E9130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515</w:t>
            </w:r>
          </w:p>
        </w:tc>
        <w:tc>
          <w:tcPr>
            <w:tcW w:w="0" w:type="auto"/>
            <w:tcBorders>
              <w:bottom w:val="double" w:sz="6" w:space="0" w:color="000000"/>
            </w:tcBorders>
            <w:shd w:val="clear" w:color="auto" w:fill="CCEEFF"/>
            <w:vAlign w:val="bottom"/>
          </w:tcPr>
          <w:p w14:paraId="54E9130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30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30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(56</w:t>
            </w:r>
          </w:p>
        </w:tc>
        <w:tc>
          <w:tcPr>
            <w:tcW w:w="0" w:type="auto"/>
            <w:shd w:val="clear" w:color="auto" w:fill="CCEEFF"/>
            <w:tcMar>
              <w:top w:w="40" w:type="dxa"/>
              <w:bottom w:w="40" w:type="dxa"/>
              <w:right w:w="40" w:type="dxa"/>
            </w:tcMar>
            <w:vAlign w:val="bottom"/>
          </w:tcPr>
          <w:p w14:paraId="54E9130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bl>
    <w:p w14:paraId="54E91311" w14:textId="77777777" w:rsidR="00F427A3" w:rsidRDefault="0044221F">
      <w:pPr>
        <w:spacing w:line="288" w:lineRule="auto"/>
        <w:ind w:firstLine="660"/>
        <w:jc w:val="both"/>
        <w:rPr>
          <w:rFonts w:ascii="Times New Roman" w:hAnsi="Times New Roman"/>
          <w:sz w:val="20"/>
          <w:szCs w:val="20"/>
        </w:rPr>
      </w:pPr>
      <w:r>
        <w:rPr>
          <w:rFonts w:ascii="Times New Roman" w:eastAsia="宋体" w:hAnsi="Times New Roman"/>
          <w:sz w:val="20"/>
          <w:szCs w:val="20"/>
        </w:rPr>
        <w:t>Interest and other income, net in the three months ended September 30, 2020 decreased $51 million, or 35% compared to the same period in 2019. The decrease was mostly due to a decrease in intere</w:t>
      </w:r>
      <w:r>
        <w:rPr>
          <w:rFonts w:ascii="Times New Roman" w:eastAsia="宋体" w:hAnsi="Times New Roman"/>
          <w:sz w:val="20"/>
          <w:szCs w:val="20"/>
        </w:rPr>
        <w:t>st income related to lower interest rates, which was partially offset by a decrease in other expense from lower foreign exchange losses as a result of foreign currency transactions and re</w:t>
      </w:r>
      <w:r>
        <w:rPr>
          <w:rFonts w:ascii="Times New Roman" w:eastAsia="宋体" w:hAnsi="Times New Roman"/>
          <w:sz w:val="20"/>
          <w:szCs w:val="20"/>
        </w:rPr>
        <w:noBreakHyphen/>
        <w:t xml:space="preserve">measurement, compared to the same period in 2019. </w:t>
      </w:r>
    </w:p>
    <w:p w14:paraId="54E91312" w14:textId="77777777" w:rsidR="00F427A3" w:rsidRDefault="0044221F">
      <w:pPr>
        <w:spacing w:line="288" w:lineRule="auto"/>
        <w:ind w:firstLine="660"/>
        <w:jc w:val="both"/>
        <w:rPr>
          <w:rFonts w:ascii="Times New Roman" w:hAnsi="Times New Roman"/>
          <w:sz w:val="20"/>
          <w:szCs w:val="20"/>
        </w:rPr>
      </w:pPr>
      <w:r>
        <w:rPr>
          <w:rFonts w:ascii="Times New Roman" w:eastAsia="宋体" w:hAnsi="Times New Roman"/>
          <w:sz w:val="20"/>
          <w:szCs w:val="20"/>
        </w:rPr>
        <w:t>Interest and othe</w:t>
      </w:r>
      <w:r>
        <w:rPr>
          <w:rFonts w:ascii="Times New Roman" w:eastAsia="宋体" w:hAnsi="Times New Roman"/>
          <w:sz w:val="20"/>
          <w:szCs w:val="20"/>
        </w:rPr>
        <w:t>r income, net in the first nine months of 2020 decreased $286 million, or 56% compared to the same period in 2019. The decrease was due to an increase in other expense, which was mainly due to higher foreign exchange losses and a decrease in interest incom</w:t>
      </w:r>
      <w:r>
        <w:rPr>
          <w:rFonts w:ascii="Times New Roman" w:eastAsia="宋体" w:hAnsi="Times New Roman"/>
          <w:sz w:val="20"/>
          <w:szCs w:val="20"/>
        </w:rPr>
        <w:t>e due to lower interest rates, compared to the same period in 2019.</w:t>
      </w:r>
    </w:p>
    <w:p w14:paraId="54E91313" w14:textId="77777777" w:rsidR="00F427A3" w:rsidRDefault="00F427A3">
      <w:pPr>
        <w:rPr>
          <w:rFonts w:ascii="Times New Roman" w:hAnsi="Times New Roman"/>
          <w:sz w:val="20"/>
          <w:szCs w:val="20"/>
        </w:rPr>
      </w:pPr>
    </w:p>
    <w:p w14:paraId="54E91314"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42</w:t>
      </w:r>
    </w:p>
    <w:p w14:paraId="54E91315" w14:textId="77777777" w:rsidR="00F427A3" w:rsidRDefault="0044221F">
      <w:r>
        <w:rPr>
          <w:rFonts w:ascii="Times New Roman" w:hAnsi="Times New Roman"/>
          <w:sz w:val="20"/>
          <w:szCs w:val="20"/>
        </w:rPr>
        <w:pict w14:anchorId="54E91C5A">
          <v:rect id="_x0000_i1066" style="width:415.3pt;height:1.5pt" o:hralign="center" o:hrstd="t" o:hr="t" fillcolor="#a0a0a0" stroked="f"/>
        </w:pict>
      </w:r>
    </w:p>
    <w:p w14:paraId="54E91316" w14:textId="77777777" w:rsidR="00F427A3" w:rsidRDefault="0044221F">
      <w:pPr>
        <w:spacing w:line="288" w:lineRule="auto"/>
        <w:rPr>
          <w:rFonts w:ascii="Times New Roman" w:hAnsi="Times New Roman"/>
          <w:sz w:val="20"/>
          <w:szCs w:val="20"/>
        </w:rPr>
      </w:pPr>
      <w:hyperlink r:id="rId84" w:anchor="s348EA962CF6D59B599D9921AFA89C381" w:history="1">
        <w:r>
          <w:rPr>
            <w:rStyle w:val="a5"/>
            <w:rFonts w:ascii="Times New Roman" w:eastAsia="宋体" w:hAnsi="Times New Roman"/>
            <w:sz w:val="20"/>
            <w:szCs w:val="20"/>
          </w:rPr>
          <w:t>Table of Contents</w:t>
        </w:r>
      </w:hyperlink>
    </w:p>
    <w:p w14:paraId="54E91317" w14:textId="77777777" w:rsidR="00F427A3" w:rsidRDefault="00F427A3">
      <w:pPr>
        <w:rPr>
          <w:rFonts w:ascii="Times New Roman" w:hAnsi="Times New Roman"/>
          <w:sz w:val="20"/>
          <w:szCs w:val="20"/>
        </w:rPr>
      </w:pPr>
    </w:p>
    <w:p w14:paraId="54E91318" w14:textId="77777777" w:rsidR="00F427A3" w:rsidRDefault="0044221F">
      <w:pPr>
        <w:spacing w:line="288" w:lineRule="auto"/>
        <w:rPr>
          <w:rFonts w:ascii="Times New Roman" w:hAnsi="Times New Roman"/>
          <w:sz w:val="20"/>
          <w:szCs w:val="20"/>
        </w:rPr>
      </w:pPr>
      <w:r>
        <w:rPr>
          <w:rFonts w:ascii="Times New Roman" w:eastAsia="宋体" w:hAnsi="Times New Roman"/>
          <w:b/>
          <w:bCs/>
          <w:i/>
          <w:iCs/>
          <w:sz w:val="20"/>
          <w:szCs w:val="20"/>
        </w:rPr>
        <w:t>Provision for income taxes</w:t>
      </w:r>
    </w:p>
    <w:tbl>
      <w:tblPr>
        <w:tblW w:w="5000" w:type="pct"/>
        <w:tblCellMar>
          <w:left w:w="0" w:type="dxa"/>
          <w:right w:w="0" w:type="dxa"/>
        </w:tblCellMar>
        <w:tblLook w:val="04A0" w:firstRow="1" w:lastRow="0" w:firstColumn="1" w:lastColumn="0" w:noHBand="0" w:noVBand="1"/>
      </w:tblPr>
      <w:tblGrid>
        <w:gridCol w:w="2051"/>
        <w:gridCol w:w="140"/>
        <w:gridCol w:w="722"/>
        <w:gridCol w:w="207"/>
        <w:gridCol w:w="130"/>
        <w:gridCol w:w="140"/>
        <w:gridCol w:w="722"/>
        <w:gridCol w:w="207"/>
        <w:gridCol w:w="130"/>
        <w:gridCol w:w="389"/>
        <w:gridCol w:w="274"/>
        <w:gridCol w:w="130"/>
        <w:gridCol w:w="140"/>
        <w:gridCol w:w="723"/>
        <w:gridCol w:w="207"/>
        <w:gridCol w:w="130"/>
        <w:gridCol w:w="140"/>
        <w:gridCol w:w="723"/>
        <w:gridCol w:w="207"/>
        <w:gridCol w:w="130"/>
        <w:gridCol w:w="390"/>
        <w:gridCol w:w="274"/>
      </w:tblGrid>
      <w:tr w:rsidR="00F427A3" w14:paraId="54E9131A" w14:textId="77777777">
        <w:tc>
          <w:tcPr>
            <w:tcW w:w="0" w:type="auto"/>
            <w:gridSpan w:val="22"/>
            <w:shd w:val="clear" w:color="auto" w:fill="auto"/>
            <w:vAlign w:val="center"/>
          </w:tcPr>
          <w:p w14:paraId="54E91319" w14:textId="77777777" w:rsidR="00F427A3" w:rsidRDefault="00F427A3">
            <w:pPr>
              <w:rPr>
                <w:rFonts w:ascii="Times New Roman" w:hAnsi="Times New Roman"/>
                <w:sz w:val="20"/>
                <w:szCs w:val="20"/>
              </w:rPr>
            </w:pPr>
          </w:p>
        </w:tc>
      </w:tr>
      <w:tr w:rsidR="00F427A3" w14:paraId="54E91331" w14:textId="77777777">
        <w:tc>
          <w:tcPr>
            <w:tcW w:w="1350" w:type="pct"/>
            <w:shd w:val="clear" w:color="auto" w:fill="auto"/>
            <w:vAlign w:val="center"/>
          </w:tcPr>
          <w:p w14:paraId="54E9131B" w14:textId="77777777" w:rsidR="00F427A3" w:rsidRDefault="00F427A3">
            <w:pPr>
              <w:rPr>
                <w:rFonts w:ascii="Times New Roman" w:hAnsi="Times New Roman"/>
                <w:sz w:val="20"/>
                <w:szCs w:val="20"/>
              </w:rPr>
            </w:pPr>
          </w:p>
        </w:tc>
        <w:tc>
          <w:tcPr>
            <w:tcW w:w="50" w:type="pct"/>
            <w:shd w:val="clear" w:color="auto" w:fill="auto"/>
            <w:vAlign w:val="center"/>
          </w:tcPr>
          <w:p w14:paraId="54E9131C" w14:textId="77777777" w:rsidR="00F427A3" w:rsidRDefault="00F427A3">
            <w:pPr>
              <w:rPr>
                <w:rFonts w:ascii="Times New Roman" w:hAnsi="Times New Roman"/>
                <w:sz w:val="20"/>
                <w:szCs w:val="20"/>
              </w:rPr>
            </w:pPr>
          </w:p>
        </w:tc>
        <w:tc>
          <w:tcPr>
            <w:tcW w:w="550" w:type="pct"/>
            <w:shd w:val="clear" w:color="auto" w:fill="auto"/>
            <w:vAlign w:val="center"/>
          </w:tcPr>
          <w:p w14:paraId="54E9131D" w14:textId="77777777" w:rsidR="00F427A3" w:rsidRDefault="00F427A3">
            <w:pPr>
              <w:rPr>
                <w:rFonts w:ascii="Times New Roman" w:hAnsi="Times New Roman"/>
                <w:sz w:val="20"/>
                <w:szCs w:val="20"/>
              </w:rPr>
            </w:pPr>
          </w:p>
        </w:tc>
        <w:tc>
          <w:tcPr>
            <w:tcW w:w="50" w:type="pct"/>
            <w:shd w:val="clear" w:color="auto" w:fill="auto"/>
            <w:vAlign w:val="center"/>
          </w:tcPr>
          <w:p w14:paraId="54E9131E" w14:textId="77777777" w:rsidR="00F427A3" w:rsidRDefault="00F427A3">
            <w:pPr>
              <w:rPr>
                <w:rFonts w:ascii="Times New Roman" w:hAnsi="Times New Roman"/>
                <w:sz w:val="20"/>
                <w:szCs w:val="20"/>
              </w:rPr>
            </w:pPr>
          </w:p>
        </w:tc>
        <w:tc>
          <w:tcPr>
            <w:tcW w:w="50" w:type="pct"/>
            <w:shd w:val="clear" w:color="auto" w:fill="auto"/>
            <w:vAlign w:val="center"/>
          </w:tcPr>
          <w:p w14:paraId="54E9131F" w14:textId="77777777" w:rsidR="00F427A3" w:rsidRDefault="00F427A3">
            <w:pPr>
              <w:rPr>
                <w:rFonts w:ascii="Times New Roman" w:hAnsi="Times New Roman"/>
                <w:sz w:val="20"/>
                <w:szCs w:val="20"/>
              </w:rPr>
            </w:pPr>
          </w:p>
        </w:tc>
        <w:tc>
          <w:tcPr>
            <w:tcW w:w="50" w:type="pct"/>
            <w:shd w:val="clear" w:color="auto" w:fill="auto"/>
            <w:vAlign w:val="center"/>
          </w:tcPr>
          <w:p w14:paraId="54E91320" w14:textId="77777777" w:rsidR="00F427A3" w:rsidRDefault="00F427A3">
            <w:pPr>
              <w:rPr>
                <w:rFonts w:ascii="Times New Roman" w:hAnsi="Times New Roman"/>
                <w:sz w:val="20"/>
                <w:szCs w:val="20"/>
              </w:rPr>
            </w:pPr>
          </w:p>
        </w:tc>
        <w:tc>
          <w:tcPr>
            <w:tcW w:w="550" w:type="pct"/>
            <w:shd w:val="clear" w:color="auto" w:fill="auto"/>
            <w:vAlign w:val="center"/>
          </w:tcPr>
          <w:p w14:paraId="54E91321" w14:textId="77777777" w:rsidR="00F427A3" w:rsidRDefault="00F427A3">
            <w:pPr>
              <w:rPr>
                <w:rFonts w:ascii="Times New Roman" w:hAnsi="Times New Roman"/>
                <w:sz w:val="20"/>
                <w:szCs w:val="20"/>
              </w:rPr>
            </w:pPr>
          </w:p>
        </w:tc>
        <w:tc>
          <w:tcPr>
            <w:tcW w:w="50" w:type="pct"/>
            <w:shd w:val="clear" w:color="auto" w:fill="auto"/>
            <w:vAlign w:val="center"/>
          </w:tcPr>
          <w:p w14:paraId="54E91322" w14:textId="77777777" w:rsidR="00F427A3" w:rsidRDefault="00F427A3">
            <w:pPr>
              <w:rPr>
                <w:rFonts w:ascii="Times New Roman" w:hAnsi="Times New Roman"/>
                <w:sz w:val="20"/>
                <w:szCs w:val="20"/>
              </w:rPr>
            </w:pPr>
          </w:p>
        </w:tc>
        <w:tc>
          <w:tcPr>
            <w:tcW w:w="50" w:type="pct"/>
            <w:shd w:val="clear" w:color="auto" w:fill="auto"/>
            <w:vAlign w:val="center"/>
          </w:tcPr>
          <w:p w14:paraId="54E91323" w14:textId="77777777" w:rsidR="00F427A3" w:rsidRDefault="00F427A3">
            <w:pPr>
              <w:rPr>
                <w:rFonts w:ascii="Times New Roman" w:hAnsi="Times New Roman"/>
                <w:sz w:val="20"/>
                <w:szCs w:val="20"/>
              </w:rPr>
            </w:pPr>
          </w:p>
        </w:tc>
        <w:tc>
          <w:tcPr>
            <w:tcW w:w="350" w:type="pct"/>
            <w:shd w:val="clear" w:color="auto" w:fill="auto"/>
            <w:vAlign w:val="center"/>
          </w:tcPr>
          <w:p w14:paraId="54E91324" w14:textId="77777777" w:rsidR="00F427A3" w:rsidRDefault="00F427A3">
            <w:pPr>
              <w:rPr>
                <w:rFonts w:ascii="Times New Roman" w:hAnsi="Times New Roman"/>
                <w:sz w:val="20"/>
                <w:szCs w:val="20"/>
              </w:rPr>
            </w:pPr>
          </w:p>
        </w:tc>
        <w:tc>
          <w:tcPr>
            <w:tcW w:w="50" w:type="pct"/>
            <w:shd w:val="clear" w:color="auto" w:fill="auto"/>
            <w:vAlign w:val="center"/>
          </w:tcPr>
          <w:p w14:paraId="54E91325" w14:textId="77777777" w:rsidR="00F427A3" w:rsidRDefault="00F427A3">
            <w:pPr>
              <w:rPr>
                <w:rFonts w:ascii="Times New Roman" w:hAnsi="Times New Roman"/>
                <w:sz w:val="20"/>
                <w:szCs w:val="20"/>
              </w:rPr>
            </w:pPr>
          </w:p>
        </w:tc>
        <w:tc>
          <w:tcPr>
            <w:tcW w:w="50" w:type="pct"/>
            <w:shd w:val="clear" w:color="auto" w:fill="auto"/>
            <w:vAlign w:val="center"/>
          </w:tcPr>
          <w:p w14:paraId="54E91326" w14:textId="77777777" w:rsidR="00F427A3" w:rsidRDefault="00F427A3">
            <w:pPr>
              <w:rPr>
                <w:rFonts w:ascii="Times New Roman" w:hAnsi="Times New Roman"/>
                <w:sz w:val="20"/>
                <w:szCs w:val="20"/>
              </w:rPr>
            </w:pPr>
          </w:p>
        </w:tc>
        <w:tc>
          <w:tcPr>
            <w:tcW w:w="50" w:type="pct"/>
            <w:shd w:val="clear" w:color="auto" w:fill="auto"/>
            <w:vAlign w:val="center"/>
          </w:tcPr>
          <w:p w14:paraId="54E91327" w14:textId="77777777" w:rsidR="00F427A3" w:rsidRDefault="00F427A3">
            <w:pPr>
              <w:rPr>
                <w:rFonts w:ascii="Times New Roman" w:hAnsi="Times New Roman"/>
                <w:sz w:val="20"/>
                <w:szCs w:val="20"/>
              </w:rPr>
            </w:pPr>
          </w:p>
        </w:tc>
        <w:tc>
          <w:tcPr>
            <w:tcW w:w="550" w:type="pct"/>
            <w:shd w:val="clear" w:color="auto" w:fill="auto"/>
            <w:vAlign w:val="center"/>
          </w:tcPr>
          <w:p w14:paraId="54E91328" w14:textId="77777777" w:rsidR="00F427A3" w:rsidRDefault="00F427A3">
            <w:pPr>
              <w:rPr>
                <w:rFonts w:ascii="Times New Roman" w:hAnsi="Times New Roman"/>
                <w:sz w:val="20"/>
                <w:szCs w:val="20"/>
              </w:rPr>
            </w:pPr>
          </w:p>
        </w:tc>
        <w:tc>
          <w:tcPr>
            <w:tcW w:w="50" w:type="pct"/>
            <w:shd w:val="clear" w:color="auto" w:fill="auto"/>
            <w:vAlign w:val="center"/>
          </w:tcPr>
          <w:p w14:paraId="54E91329" w14:textId="77777777" w:rsidR="00F427A3" w:rsidRDefault="00F427A3">
            <w:pPr>
              <w:rPr>
                <w:rFonts w:ascii="Times New Roman" w:hAnsi="Times New Roman"/>
                <w:sz w:val="20"/>
                <w:szCs w:val="20"/>
              </w:rPr>
            </w:pPr>
          </w:p>
        </w:tc>
        <w:tc>
          <w:tcPr>
            <w:tcW w:w="50" w:type="pct"/>
            <w:shd w:val="clear" w:color="auto" w:fill="auto"/>
            <w:vAlign w:val="center"/>
          </w:tcPr>
          <w:p w14:paraId="54E9132A" w14:textId="77777777" w:rsidR="00F427A3" w:rsidRDefault="00F427A3">
            <w:pPr>
              <w:rPr>
                <w:rFonts w:ascii="Times New Roman" w:hAnsi="Times New Roman"/>
                <w:sz w:val="20"/>
                <w:szCs w:val="20"/>
              </w:rPr>
            </w:pPr>
          </w:p>
        </w:tc>
        <w:tc>
          <w:tcPr>
            <w:tcW w:w="50" w:type="pct"/>
            <w:shd w:val="clear" w:color="auto" w:fill="auto"/>
            <w:vAlign w:val="center"/>
          </w:tcPr>
          <w:p w14:paraId="54E9132B" w14:textId="77777777" w:rsidR="00F427A3" w:rsidRDefault="00F427A3">
            <w:pPr>
              <w:rPr>
                <w:rFonts w:ascii="Times New Roman" w:hAnsi="Times New Roman"/>
                <w:sz w:val="20"/>
                <w:szCs w:val="20"/>
              </w:rPr>
            </w:pPr>
          </w:p>
        </w:tc>
        <w:tc>
          <w:tcPr>
            <w:tcW w:w="550" w:type="pct"/>
            <w:shd w:val="clear" w:color="auto" w:fill="auto"/>
            <w:vAlign w:val="center"/>
          </w:tcPr>
          <w:p w14:paraId="54E9132C" w14:textId="77777777" w:rsidR="00F427A3" w:rsidRDefault="00F427A3">
            <w:pPr>
              <w:rPr>
                <w:rFonts w:ascii="Times New Roman" w:hAnsi="Times New Roman"/>
                <w:sz w:val="20"/>
                <w:szCs w:val="20"/>
              </w:rPr>
            </w:pPr>
          </w:p>
        </w:tc>
        <w:tc>
          <w:tcPr>
            <w:tcW w:w="50" w:type="pct"/>
            <w:shd w:val="clear" w:color="auto" w:fill="auto"/>
            <w:vAlign w:val="center"/>
          </w:tcPr>
          <w:p w14:paraId="54E9132D" w14:textId="77777777" w:rsidR="00F427A3" w:rsidRDefault="00F427A3">
            <w:pPr>
              <w:rPr>
                <w:rFonts w:ascii="Times New Roman" w:hAnsi="Times New Roman"/>
                <w:sz w:val="20"/>
                <w:szCs w:val="20"/>
              </w:rPr>
            </w:pPr>
          </w:p>
        </w:tc>
        <w:tc>
          <w:tcPr>
            <w:tcW w:w="50" w:type="pct"/>
            <w:shd w:val="clear" w:color="auto" w:fill="auto"/>
            <w:vAlign w:val="center"/>
          </w:tcPr>
          <w:p w14:paraId="54E9132E" w14:textId="77777777" w:rsidR="00F427A3" w:rsidRDefault="00F427A3">
            <w:pPr>
              <w:rPr>
                <w:rFonts w:ascii="Times New Roman" w:hAnsi="Times New Roman"/>
                <w:sz w:val="20"/>
                <w:szCs w:val="20"/>
              </w:rPr>
            </w:pPr>
          </w:p>
        </w:tc>
        <w:tc>
          <w:tcPr>
            <w:tcW w:w="350" w:type="pct"/>
            <w:shd w:val="clear" w:color="auto" w:fill="auto"/>
            <w:vAlign w:val="center"/>
          </w:tcPr>
          <w:p w14:paraId="54E9132F" w14:textId="77777777" w:rsidR="00F427A3" w:rsidRDefault="00F427A3">
            <w:pPr>
              <w:rPr>
                <w:rFonts w:ascii="Times New Roman" w:hAnsi="Times New Roman"/>
                <w:sz w:val="20"/>
                <w:szCs w:val="20"/>
              </w:rPr>
            </w:pPr>
          </w:p>
        </w:tc>
        <w:tc>
          <w:tcPr>
            <w:tcW w:w="50" w:type="pct"/>
            <w:shd w:val="clear" w:color="auto" w:fill="auto"/>
            <w:vAlign w:val="center"/>
          </w:tcPr>
          <w:p w14:paraId="54E91330" w14:textId="77777777" w:rsidR="00F427A3" w:rsidRDefault="00F427A3">
            <w:pPr>
              <w:rPr>
                <w:rFonts w:ascii="Times New Roman" w:hAnsi="Times New Roman"/>
                <w:sz w:val="20"/>
                <w:szCs w:val="20"/>
              </w:rPr>
            </w:pPr>
          </w:p>
        </w:tc>
      </w:tr>
      <w:tr w:rsidR="00F427A3" w14:paraId="54E9133A" w14:textId="77777777">
        <w:tc>
          <w:tcPr>
            <w:tcW w:w="0" w:type="auto"/>
            <w:shd w:val="clear" w:color="auto" w:fill="auto"/>
            <w:tcMar>
              <w:top w:w="40" w:type="dxa"/>
              <w:left w:w="40" w:type="dxa"/>
              <w:bottom w:w="40" w:type="dxa"/>
              <w:right w:w="40" w:type="dxa"/>
            </w:tcMar>
            <w:vAlign w:val="bottom"/>
          </w:tcPr>
          <w:p w14:paraId="54E91332"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1333"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Three Months Ended September 30,</w:t>
            </w:r>
          </w:p>
        </w:tc>
        <w:tc>
          <w:tcPr>
            <w:tcW w:w="0" w:type="auto"/>
            <w:shd w:val="clear" w:color="auto" w:fill="auto"/>
            <w:tcMar>
              <w:top w:w="40" w:type="dxa"/>
              <w:left w:w="40" w:type="dxa"/>
              <w:bottom w:w="40" w:type="dxa"/>
              <w:right w:w="40" w:type="dxa"/>
            </w:tcMar>
            <w:vAlign w:val="bottom"/>
          </w:tcPr>
          <w:p w14:paraId="54E9133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335"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33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4E91337"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Nine Months Ended September 30,</w:t>
            </w:r>
          </w:p>
        </w:tc>
        <w:tc>
          <w:tcPr>
            <w:tcW w:w="0" w:type="auto"/>
            <w:shd w:val="clear" w:color="auto" w:fill="auto"/>
            <w:tcMar>
              <w:top w:w="40" w:type="dxa"/>
              <w:left w:w="40" w:type="dxa"/>
              <w:bottom w:w="40" w:type="dxa"/>
              <w:right w:w="40" w:type="dxa"/>
            </w:tcMar>
            <w:vAlign w:val="bottom"/>
          </w:tcPr>
          <w:p w14:paraId="54E9133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339"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r>
      <w:tr w:rsidR="00F427A3" w14:paraId="54E91347" w14:textId="77777777">
        <w:tc>
          <w:tcPr>
            <w:tcW w:w="0" w:type="auto"/>
            <w:shd w:val="clear" w:color="auto" w:fill="auto"/>
            <w:tcMar>
              <w:top w:w="40" w:type="dxa"/>
              <w:left w:w="40" w:type="dxa"/>
              <w:bottom w:w="40" w:type="dxa"/>
              <w:right w:w="40" w:type="dxa"/>
            </w:tcMar>
            <w:vAlign w:val="bottom"/>
          </w:tcPr>
          <w:p w14:paraId="54E9133B"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33C"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4E9133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33E"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9133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4E91340"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change</w:t>
            </w:r>
          </w:p>
        </w:tc>
        <w:tc>
          <w:tcPr>
            <w:tcW w:w="0" w:type="auto"/>
            <w:shd w:val="clear" w:color="auto" w:fill="auto"/>
            <w:tcMar>
              <w:top w:w="40" w:type="dxa"/>
              <w:left w:w="40" w:type="dxa"/>
              <w:bottom w:w="40" w:type="dxa"/>
              <w:right w:w="40" w:type="dxa"/>
            </w:tcMar>
            <w:vAlign w:val="bottom"/>
          </w:tcPr>
          <w:p w14:paraId="54E9134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342"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4E9134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4E91344"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54E9134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4E91346"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change</w:t>
            </w:r>
          </w:p>
        </w:tc>
      </w:tr>
      <w:tr w:rsidR="00F427A3" w14:paraId="54E9134A" w14:textId="77777777">
        <w:tc>
          <w:tcPr>
            <w:tcW w:w="0" w:type="auto"/>
            <w:shd w:val="clear" w:color="auto" w:fill="auto"/>
            <w:tcMar>
              <w:top w:w="40" w:type="dxa"/>
              <w:left w:w="40" w:type="dxa"/>
              <w:bottom w:w="40" w:type="dxa"/>
              <w:right w:w="40" w:type="dxa"/>
            </w:tcMar>
            <w:vAlign w:val="bottom"/>
          </w:tcPr>
          <w:p w14:paraId="54E91348"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1"/>
            <w:shd w:val="clear" w:color="auto" w:fill="auto"/>
            <w:tcMar>
              <w:top w:w="40" w:type="dxa"/>
              <w:left w:w="40" w:type="dxa"/>
              <w:bottom w:w="40" w:type="dxa"/>
            </w:tcMar>
            <w:vAlign w:val="bottom"/>
          </w:tcPr>
          <w:p w14:paraId="54E91349" w14:textId="77777777" w:rsidR="00F427A3" w:rsidRDefault="0044221F">
            <w:pPr>
              <w:jc w:val="center"/>
              <w:textAlignment w:val="bottom"/>
              <w:rPr>
                <w:rFonts w:ascii="Times New Roman" w:hAnsi="Times New Roman"/>
                <w:sz w:val="16"/>
                <w:szCs w:val="16"/>
              </w:rPr>
            </w:pPr>
            <w:r>
              <w:rPr>
                <w:rFonts w:ascii="Times New Roman" w:eastAsia="宋体" w:hAnsi="Times New Roman"/>
                <w:b/>
                <w:bCs/>
                <w:i/>
                <w:iCs/>
                <w:sz w:val="16"/>
                <w:szCs w:val="16"/>
              </w:rPr>
              <w:t>(in millions, except for percentages)</w:t>
            </w:r>
          </w:p>
        </w:tc>
      </w:tr>
      <w:tr w:rsidR="00F427A3" w14:paraId="54E91361" w14:textId="77777777">
        <w:tc>
          <w:tcPr>
            <w:tcW w:w="0" w:type="auto"/>
            <w:shd w:val="clear" w:color="auto" w:fill="CCEEFF"/>
            <w:tcMar>
              <w:top w:w="40" w:type="dxa"/>
              <w:left w:w="40" w:type="dxa"/>
              <w:bottom w:w="40" w:type="dxa"/>
              <w:right w:w="40" w:type="dxa"/>
            </w:tcMar>
          </w:tcPr>
          <w:p w14:paraId="54E9134B"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Provision for income taxes</w:t>
            </w:r>
          </w:p>
        </w:tc>
        <w:tc>
          <w:tcPr>
            <w:tcW w:w="0" w:type="auto"/>
            <w:shd w:val="clear" w:color="auto" w:fill="CCEEFF"/>
            <w:tcMar>
              <w:top w:w="40" w:type="dxa"/>
              <w:left w:w="40" w:type="dxa"/>
              <w:bottom w:w="40" w:type="dxa"/>
            </w:tcMar>
            <w:vAlign w:val="bottom"/>
          </w:tcPr>
          <w:p w14:paraId="54E9134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34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287</w:t>
            </w:r>
          </w:p>
        </w:tc>
        <w:tc>
          <w:tcPr>
            <w:tcW w:w="0" w:type="auto"/>
            <w:shd w:val="clear" w:color="auto" w:fill="CCEEFF"/>
            <w:vAlign w:val="bottom"/>
          </w:tcPr>
          <w:p w14:paraId="54E9134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34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35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35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1,238</w:t>
            </w:r>
          </w:p>
        </w:tc>
        <w:tc>
          <w:tcPr>
            <w:tcW w:w="0" w:type="auto"/>
            <w:shd w:val="clear" w:color="auto" w:fill="CCEEFF"/>
            <w:vAlign w:val="bottom"/>
          </w:tcPr>
          <w:p w14:paraId="54E91352"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35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35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(77</w:t>
            </w:r>
          </w:p>
        </w:tc>
        <w:tc>
          <w:tcPr>
            <w:tcW w:w="0" w:type="auto"/>
            <w:shd w:val="clear" w:color="auto" w:fill="CCEEFF"/>
            <w:tcMar>
              <w:top w:w="40" w:type="dxa"/>
              <w:bottom w:w="40" w:type="dxa"/>
              <w:right w:w="40" w:type="dxa"/>
            </w:tcMar>
            <w:vAlign w:val="bottom"/>
          </w:tcPr>
          <w:p w14:paraId="54E9135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4E9135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35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358"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2,198</w:t>
            </w:r>
          </w:p>
        </w:tc>
        <w:tc>
          <w:tcPr>
            <w:tcW w:w="0" w:type="auto"/>
            <w:shd w:val="clear" w:color="auto" w:fill="CCEEFF"/>
            <w:vAlign w:val="bottom"/>
          </w:tcPr>
          <w:p w14:paraId="54E91359"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35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35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35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4,507</w:t>
            </w:r>
          </w:p>
        </w:tc>
        <w:tc>
          <w:tcPr>
            <w:tcW w:w="0" w:type="auto"/>
            <w:shd w:val="clear" w:color="auto" w:fill="CCEEFF"/>
            <w:vAlign w:val="bottom"/>
          </w:tcPr>
          <w:p w14:paraId="54E9135D"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35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35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(51</w:t>
            </w:r>
          </w:p>
        </w:tc>
        <w:tc>
          <w:tcPr>
            <w:tcW w:w="0" w:type="auto"/>
            <w:shd w:val="clear" w:color="auto" w:fill="CCEEFF"/>
            <w:tcMar>
              <w:top w:w="40" w:type="dxa"/>
              <w:bottom w:w="40" w:type="dxa"/>
              <w:right w:w="40" w:type="dxa"/>
            </w:tcMar>
            <w:vAlign w:val="bottom"/>
          </w:tcPr>
          <w:p w14:paraId="54E9136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r>
      <w:tr w:rsidR="00F427A3" w14:paraId="54E91372" w14:textId="77777777">
        <w:tc>
          <w:tcPr>
            <w:tcW w:w="0" w:type="auto"/>
            <w:shd w:val="clear" w:color="auto" w:fill="auto"/>
            <w:tcMar>
              <w:top w:w="40" w:type="dxa"/>
              <w:left w:w="40" w:type="dxa"/>
              <w:bottom w:w="40" w:type="dxa"/>
              <w:right w:w="40" w:type="dxa"/>
            </w:tcMar>
          </w:tcPr>
          <w:p w14:paraId="54E91362"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Effective tax rate</w:t>
            </w:r>
          </w:p>
        </w:tc>
        <w:tc>
          <w:tcPr>
            <w:tcW w:w="0" w:type="auto"/>
            <w:gridSpan w:val="2"/>
            <w:shd w:val="clear" w:color="auto" w:fill="auto"/>
            <w:tcMar>
              <w:top w:w="40" w:type="dxa"/>
              <w:left w:w="40" w:type="dxa"/>
              <w:bottom w:w="40" w:type="dxa"/>
            </w:tcMar>
            <w:vAlign w:val="bottom"/>
          </w:tcPr>
          <w:p w14:paraId="54E9136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auto"/>
            <w:tcMar>
              <w:top w:w="40" w:type="dxa"/>
              <w:bottom w:w="40" w:type="dxa"/>
              <w:right w:w="40" w:type="dxa"/>
            </w:tcMar>
            <w:vAlign w:val="bottom"/>
          </w:tcPr>
          <w:p w14:paraId="54E9136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36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36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auto"/>
            <w:tcMar>
              <w:top w:w="40" w:type="dxa"/>
              <w:bottom w:w="40" w:type="dxa"/>
              <w:right w:w="40" w:type="dxa"/>
            </w:tcMar>
            <w:vAlign w:val="bottom"/>
          </w:tcPr>
          <w:p w14:paraId="54E9136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36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36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36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36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auto"/>
            <w:tcMar>
              <w:top w:w="40" w:type="dxa"/>
              <w:bottom w:w="40" w:type="dxa"/>
              <w:right w:w="40" w:type="dxa"/>
            </w:tcMar>
            <w:vAlign w:val="bottom"/>
          </w:tcPr>
          <w:p w14:paraId="54E9136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36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36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auto"/>
            <w:tcMar>
              <w:top w:w="40" w:type="dxa"/>
              <w:bottom w:w="40" w:type="dxa"/>
              <w:right w:w="40" w:type="dxa"/>
            </w:tcMar>
            <w:vAlign w:val="bottom"/>
          </w:tcPr>
          <w:p w14:paraId="54E9136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37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37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bl>
    <w:p w14:paraId="54E91373" w14:textId="77777777" w:rsidR="00F427A3" w:rsidRDefault="0044221F">
      <w:pPr>
        <w:spacing w:line="288" w:lineRule="auto"/>
        <w:ind w:firstLine="660"/>
        <w:jc w:val="both"/>
        <w:rPr>
          <w:rFonts w:ascii="Times New Roman" w:hAnsi="Times New Roman"/>
          <w:sz w:val="20"/>
          <w:szCs w:val="20"/>
        </w:rPr>
      </w:pPr>
      <w:r>
        <w:rPr>
          <w:rFonts w:ascii="Times New Roman" w:eastAsia="宋体" w:hAnsi="Times New Roman"/>
          <w:sz w:val="20"/>
          <w:szCs w:val="20"/>
        </w:rPr>
        <w:t>Our provision for income taxes in the three months ended September 30, 2020 decreased $951 million, or 77%, compared to the same period in 2019, mostly due to the effects of a tax election to capitalize and amortize certain expenses. Our provision for inco</w:t>
      </w:r>
      <w:r>
        <w:rPr>
          <w:rFonts w:ascii="Times New Roman" w:eastAsia="宋体" w:hAnsi="Times New Roman"/>
          <w:sz w:val="20"/>
          <w:szCs w:val="20"/>
        </w:rPr>
        <w:t xml:space="preserve">me taxes in the nine months ended September 30, 2020 decreased $2.31 billion, or 51%, primarily due to the additional tax expense in the second quarter of 2019 from the </w:t>
      </w:r>
      <w:r>
        <w:rPr>
          <w:rFonts w:ascii="Times New Roman" w:eastAsia="宋体" w:hAnsi="Times New Roman"/>
          <w:i/>
          <w:iCs/>
          <w:sz w:val="20"/>
          <w:szCs w:val="20"/>
        </w:rPr>
        <w:t>Altera</w:t>
      </w:r>
      <w:r>
        <w:rPr>
          <w:rFonts w:ascii="Times New Roman" w:eastAsia="宋体" w:hAnsi="Times New Roman"/>
          <w:sz w:val="20"/>
          <w:szCs w:val="20"/>
        </w:rPr>
        <w:t xml:space="preserve"> Ninth Circuit Opinion and the effects of a tax election to capitalize and amorti</w:t>
      </w:r>
      <w:r>
        <w:rPr>
          <w:rFonts w:ascii="Times New Roman" w:eastAsia="宋体" w:hAnsi="Times New Roman"/>
          <w:sz w:val="20"/>
          <w:szCs w:val="20"/>
        </w:rPr>
        <w:t>ze certain expenses, both discussed below.</w:t>
      </w:r>
    </w:p>
    <w:p w14:paraId="54E91374" w14:textId="77777777" w:rsidR="00F427A3" w:rsidRDefault="0044221F">
      <w:pPr>
        <w:spacing w:line="288" w:lineRule="auto"/>
        <w:ind w:firstLine="660"/>
        <w:jc w:val="both"/>
        <w:rPr>
          <w:rFonts w:ascii="Times New Roman" w:hAnsi="Times New Roman"/>
          <w:sz w:val="20"/>
          <w:szCs w:val="20"/>
        </w:rPr>
      </w:pPr>
      <w:r>
        <w:rPr>
          <w:rFonts w:ascii="Times New Roman" w:eastAsia="宋体" w:hAnsi="Times New Roman"/>
          <w:sz w:val="20"/>
          <w:szCs w:val="20"/>
        </w:rPr>
        <w:t>Our effective tax rate in the three months ended September 30, 2020 decreased compared to the same period in 2019, primarily due to the effects of a tax election to capitalize and amortize certain expenses. Our effective tax rate in the nine months ended S</w:t>
      </w:r>
      <w:r>
        <w:rPr>
          <w:rFonts w:ascii="Times New Roman" w:eastAsia="宋体" w:hAnsi="Times New Roman"/>
          <w:sz w:val="20"/>
          <w:szCs w:val="20"/>
        </w:rPr>
        <w:t xml:space="preserve">eptember 30, 2020 decreased compared to the same period in 2019, mostly due to the 2019 legal accrual related to the FTC settlement that was not expected to be tax-deductible, the additional tax expense in the second quarter of 2019 from the </w:t>
      </w:r>
      <w:r>
        <w:rPr>
          <w:rFonts w:ascii="Times New Roman" w:eastAsia="宋体" w:hAnsi="Times New Roman"/>
          <w:i/>
          <w:iCs/>
          <w:sz w:val="20"/>
          <w:szCs w:val="20"/>
        </w:rPr>
        <w:t>Altera</w:t>
      </w:r>
      <w:r>
        <w:rPr>
          <w:rFonts w:ascii="Times New Roman" w:eastAsia="宋体" w:hAnsi="Times New Roman"/>
          <w:sz w:val="20"/>
          <w:szCs w:val="20"/>
        </w:rPr>
        <w:t xml:space="preserve"> Ninth C</w:t>
      </w:r>
      <w:r>
        <w:rPr>
          <w:rFonts w:ascii="Times New Roman" w:eastAsia="宋体" w:hAnsi="Times New Roman"/>
          <w:sz w:val="20"/>
          <w:szCs w:val="20"/>
        </w:rPr>
        <w:t>ircuit Opinion, and the effects of a tax election to capitalize and amortize certain expenses.</w:t>
      </w:r>
    </w:p>
    <w:p w14:paraId="54E91375" w14:textId="77777777" w:rsidR="00F427A3" w:rsidRDefault="0044221F">
      <w:pPr>
        <w:spacing w:line="288" w:lineRule="auto"/>
        <w:ind w:firstLine="660"/>
        <w:jc w:val="both"/>
        <w:rPr>
          <w:rFonts w:ascii="Times New Roman" w:hAnsi="Times New Roman"/>
          <w:sz w:val="20"/>
          <w:szCs w:val="20"/>
        </w:rPr>
      </w:pPr>
      <w:r>
        <w:rPr>
          <w:rFonts w:ascii="Times New Roman" w:eastAsia="宋体" w:hAnsi="Times New Roman"/>
          <w:sz w:val="20"/>
          <w:szCs w:val="20"/>
        </w:rPr>
        <w:t>In the third quarter of 2020, as part of finalizing our U.S. income tax return, we elected to capitalize and amortize certain research and development</w:t>
      </w:r>
      <w:r>
        <w:rPr>
          <w:rFonts w:ascii="Times New Roman" w:eastAsia="宋体" w:hAnsi="Times New Roman"/>
          <w:color w:val="002060"/>
          <w:sz w:val="20"/>
          <w:szCs w:val="20"/>
        </w:rPr>
        <w:t xml:space="preserve"> </w:t>
      </w:r>
      <w:r>
        <w:rPr>
          <w:rFonts w:ascii="Times New Roman" w:eastAsia="宋体" w:hAnsi="Times New Roman"/>
          <w:sz w:val="20"/>
          <w:szCs w:val="20"/>
        </w:rPr>
        <w:t>expenses f</w:t>
      </w:r>
      <w:r>
        <w:rPr>
          <w:rFonts w:ascii="Times New Roman" w:eastAsia="宋体" w:hAnsi="Times New Roman"/>
          <w:sz w:val="20"/>
          <w:szCs w:val="20"/>
        </w:rPr>
        <w:t>or U.S. income tax purposes. As a result, we recorded a one-time income tax benefit of $913 million, which is comprised of an increase in current income tax liability of $746 million offset by an increase in deferred income tax assets of $1.66 billion. The</w:t>
      </w:r>
      <w:r>
        <w:rPr>
          <w:rFonts w:ascii="Times New Roman" w:eastAsia="宋体" w:hAnsi="Times New Roman"/>
          <w:sz w:val="20"/>
          <w:szCs w:val="20"/>
        </w:rPr>
        <w:t xml:space="preserve"> deferred income tax asset amount is greater than the current income tax liability due to different tax rates applicable for the periods in which capitalized expenses will be amortized versus the period in which the increased current tax liability was accr</w:t>
      </w:r>
      <w:r>
        <w:rPr>
          <w:rFonts w:ascii="Times New Roman" w:eastAsia="宋体" w:hAnsi="Times New Roman"/>
          <w:sz w:val="20"/>
          <w:szCs w:val="20"/>
        </w:rPr>
        <w:t xml:space="preserve">ued. We do not believe this election will materially affect our effective tax rate trend in the future. </w:t>
      </w:r>
    </w:p>
    <w:p w14:paraId="54E91376" w14:textId="77777777" w:rsidR="00F427A3" w:rsidRDefault="0044221F">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On July 27, 2015, the United States Tax Court issued a decision (Tax Court Decision) in </w:t>
      </w:r>
      <w:r>
        <w:rPr>
          <w:rFonts w:ascii="Times New Roman" w:eastAsia="宋体" w:hAnsi="Times New Roman"/>
          <w:i/>
          <w:iCs/>
          <w:sz w:val="20"/>
          <w:szCs w:val="20"/>
        </w:rPr>
        <w:t>Altera Corp. v. Commissioner</w:t>
      </w:r>
      <w:r>
        <w:rPr>
          <w:rFonts w:ascii="Times New Roman" w:eastAsia="宋体" w:hAnsi="Times New Roman"/>
          <w:sz w:val="20"/>
          <w:szCs w:val="20"/>
        </w:rPr>
        <w:t>, which concluded that related part</w:t>
      </w:r>
      <w:r>
        <w:rPr>
          <w:rFonts w:ascii="Times New Roman" w:eastAsia="宋体" w:hAnsi="Times New Roman"/>
          <w:sz w:val="20"/>
          <w:szCs w:val="20"/>
        </w:rPr>
        <w:t>ies in a cost sharing arrangement are not required to share expenses related to share-based compensation. The Tax Court Decision was appealed by the Commissioner to the Ninth Circuit Court of Appeals (Ninth Circuit). On June 7, 2019, the Ninth Circuit issu</w:t>
      </w:r>
      <w:r>
        <w:rPr>
          <w:rFonts w:ascii="Times New Roman" w:eastAsia="宋体" w:hAnsi="Times New Roman"/>
          <w:sz w:val="20"/>
          <w:szCs w:val="20"/>
        </w:rPr>
        <w:t>ed an opinion (</w:t>
      </w:r>
      <w:r>
        <w:rPr>
          <w:rFonts w:ascii="Times New Roman" w:eastAsia="宋体" w:hAnsi="Times New Roman"/>
          <w:i/>
          <w:iCs/>
          <w:sz w:val="20"/>
          <w:szCs w:val="20"/>
        </w:rPr>
        <w:t>Altera</w:t>
      </w:r>
      <w:r>
        <w:rPr>
          <w:rFonts w:ascii="Times New Roman" w:eastAsia="宋体" w:hAnsi="Times New Roman"/>
          <w:sz w:val="20"/>
          <w:szCs w:val="20"/>
        </w:rPr>
        <w:t xml:space="preserve"> Ninth Circuit Opinion) that reversed the Tax Court Decision. Based on the </w:t>
      </w:r>
      <w:r>
        <w:rPr>
          <w:rFonts w:ascii="Times New Roman" w:eastAsia="宋体" w:hAnsi="Times New Roman"/>
          <w:i/>
          <w:iCs/>
          <w:sz w:val="20"/>
          <w:szCs w:val="20"/>
        </w:rPr>
        <w:t>Altera</w:t>
      </w:r>
      <w:r>
        <w:rPr>
          <w:rFonts w:ascii="Times New Roman" w:eastAsia="宋体" w:hAnsi="Times New Roman"/>
          <w:sz w:val="20"/>
          <w:szCs w:val="20"/>
        </w:rPr>
        <w:t xml:space="preserve"> Ninth Circuit Opinion, we recorded a cumulative income tax expense of $1.11 billion in the second quarter of 2019. On July 22, 2019, the taxpayer request</w:t>
      </w:r>
      <w:r>
        <w:rPr>
          <w:rFonts w:ascii="Times New Roman" w:eastAsia="宋体" w:hAnsi="Times New Roman"/>
          <w:sz w:val="20"/>
          <w:szCs w:val="20"/>
        </w:rPr>
        <w:t xml:space="preserve">ed a rehearing before the full Ninth Circuit and the request was denied on November 12, 2019. The taxpayer requested a hearing before the Supreme Court of the United States and the request was denied on June 22, 2020. Since we started to accrue income tax </w:t>
      </w:r>
      <w:r>
        <w:rPr>
          <w:rFonts w:ascii="Times New Roman" w:eastAsia="宋体" w:hAnsi="Times New Roman"/>
          <w:sz w:val="20"/>
          <w:szCs w:val="20"/>
        </w:rPr>
        <w:t xml:space="preserve">for stock-based compensation cost-sharing in the second quarter of 2019, the denial of the request by the Supreme Court did not have a material impact to our financial results in 2020. </w:t>
      </w:r>
    </w:p>
    <w:p w14:paraId="54E91377" w14:textId="77777777" w:rsidR="00F427A3" w:rsidRDefault="0044221F">
      <w:pPr>
        <w:spacing w:line="288" w:lineRule="auto"/>
        <w:ind w:firstLine="660"/>
        <w:jc w:val="both"/>
        <w:rPr>
          <w:rFonts w:ascii="Times New Roman" w:hAnsi="Times New Roman"/>
          <w:sz w:val="20"/>
          <w:szCs w:val="20"/>
        </w:rPr>
      </w:pPr>
      <w:r>
        <w:rPr>
          <w:rFonts w:ascii="Times New Roman" w:eastAsia="宋体" w:hAnsi="Times New Roman"/>
          <w:i/>
          <w:iCs/>
          <w:sz w:val="20"/>
          <w:szCs w:val="20"/>
        </w:rPr>
        <w:t>Effective Tax Rate Items</w:t>
      </w:r>
      <w:r>
        <w:rPr>
          <w:rFonts w:ascii="Times New Roman" w:eastAsia="宋体" w:hAnsi="Times New Roman"/>
          <w:sz w:val="20"/>
          <w:szCs w:val="20"/>
        </w:rPr>
        <w:t>. Our effective tax rate in the future will de</w:t>
      </w:r>
      <w:r>
        <w:rPr>
          <w:rFonts w:ascii="Times New Roman" w:eastAsia="宋体" w:hAnsi="Times New Roman"/>
          <w:sz w:val="20"/>
          <w:szCs w:val="20"/>
        </w:rPr>
        <w:t>pend upon the proportion between the following items and income before provision for income taxes: U.S. tax benefits from foreign derived intangible income, tax effects from share-based compensation, tax effects of integrating intellectual property from ac</w:t>
      </w:r>
      <w:r>
        <w:rPr>
          <w:rFonts w:ascii="Times New Roman" w:eastAsia="宋体" w:hAnsi="Times New Roman"/>
          <w:sz w:val="20"/>
          <w:szCs w:val="20"/>
        </w:rPr>
        <w:t>quisitions, settlement of tax contingency items, tax effects of changes in our business, and the effects of changes in tax law.</w:t>
      </w:r>
    </w:p>
    <w:p w14:paraId="54E91378" w14:textId="77777777" w:rsidR="00F427A3" w:rsidRDefault="0044221F">
      <w:pPr>
        <w:spacing w:line="288" w:lineRule="auto"/>
        <w:ind w:firstLine="660"/>
        <w:jc w:val="both"/>
        <w:rPr>
          <w:rFonts w:ascii="Times New Roman" w:hAnsi="Times New Roman"/>
          <w:sz w:val="20"/>
          <w:szCs w:val="20"/>
        </w:rPr>
      </w:pPr>
      <w:r>
        <w:rPr>
          <w:rFonts w:ascii="Times New Roman" w:eastAsia="宋体" w:hAnsi="Times New Roman"/>
          <w:sz w:val="20"/>
          <w:szCs w:val="20"/>
        </w:rPr>
        <w:t>The accounting for share-based compensation may increase or decrease our effective tax rate based upon the difference between ou</w:t>
      </w:r>
      <w:r>
        <w:rPr>
          <w:rFonts w:ascii="Times New Roman" w:eastAsia="宋体" w:hAnsi="Times New Roman"/>
          <w:sz w:val="20"/>
          <w:szCs w:val="20"/>
        </w:rPr>
        <w:t xml:space="preserve">r share-based compensation expense and the deductions taken on our tax return which depends upon the stock price at the time of employee award vesting. If our stock price remains constant to the October 23, 2020 price, we expect our effective tax rate for </w:t>
      </w:r>
      <w:r>
        <w:rPr>
          <w:rFonts w:ascii="Times New Roman" w:eastAsia="宋体" w:hAnsi="Times New Roman"/>
          <w:sz w:val="20"/>
          <w:szCs w:val="20"/>
        </w:rPr>
        <w:t xml:space="preserve">the fourth quarter 2020 will be in the mid-teens and the full year of 2021 will be in the high-teens, although we may see fluctuations in our quarterly rate depending on our financial results. </w:t>
      </w:r>
    </w:p>
    <w:p w14:paraId="54E91379" w14:textId="77777777" w:rsidR="00F427A3" w:rsidRDefault="0044221F">
      <w:pPr>
        <w:spacing w:line="288" w:lineRule="auto"/>
        <w:ind w:firstLine="660"/>
        <w:jc w:val="both"/>
        <w:rPr>
          <w:rFonts w:ascii="Times New Roman" w:hAnsi="Times New Roman"/>
          <w:sz w:val="20"/>
          <w:szCs w:val="20"/>
        </w:rPr>
      </w:pPr>
      <w:r>
        <w:rPr>
          <w:rFonts w:ascii="Times New Roman" w:eastAsia="宋体" w:hAnsi="Times New Roman"/>
          <w:i/>
          <w:iCs/>
          <w:sz w:val="20"/>
          <w:szCs w:val="20"/>
        </w:rPr>
        <w:t>Unrecognized Tax Benefits.</w:t>
      </w:r>
      <w:r>
        <w:rPr>
          <w:rFonts w:ascii="Times New Roman" w:eastAsia="宋体" w:hAnsi="Times New Roman"/>
          <w:sz w:val="20"/>
          <w:szCs w:val="20"/>
        </w:rPr>
        <w:t xml:space="preserve"> As of September 30, 2020, we had ne</w:t>
      </w:r>
      <w:r>
        <w:rPr>
          <w:rFonts w:ascii="Times New Roman" w:eastAsia="宋体" w:hAnsi="Times New Roman"/>
          <w:sz w:val="20"/>
          <w:szCs w:val="20"/>
        </w:rPr>
        <w:t>t unrecognized tax benefits of $3.58 billion which were accrued as other liabilities. These unrecognized tax benefits were predominantly accrued for uncertainties related to transfer pricing with our foreign subsidiaries, which includes licensing of intell</w:t>
      </w:r>
      <w:r>
        <w:rPr>
          <w:rFonts w:ascii="Times New Roman" w:eastAsia="宋体" w:hAnsi="Times New Roman"/>
          <w:sz w:val="20"/>
          <w:szCs w:val="20"/>
        </w:rPr>
        <w:t xml:space="preserve">ectual property, providing services and other transactions, as well as for uncertainties with our research tax credits. The ultimate settlement of the liabilities will depend upon resolution of tax audits, litigation, or events that would otherwise change </w:t>
      </w:r>
      <w:r>
        <w:rPr>
          <w:rFonts w:ascii="Times New Roman" w:eastAsia="宋体" w:hAnsi="Times New Roman"/>
          <w:sz w:val="20"/>
          <w:szCs w:val="20"/>
        </w:rPr>
        <w:t xml:space="preserve">the assessment of such items. Based upon the status of litigation described below and the current status of tax audits in various jurisdictions, we do not anticipate a material change to such amounts within the next 12 months. </w:t>
      </w:r>
    </w:p>
    <w:p w14:paraId="54E9137A" w14:textId="77777777" w:rsidR="00F427A3" w:rsidRDefault="00F427A3">
      <w:pPr>
        <w:rPr>
          <w:rFonts w:ascii="Times New Roman" w:hAnsi="Times New Roman"/>
          <w:sz w:val="20"/>
          <w:szCs w:val="20"/>
        </w:rPr>
      </w:pPr>
    </w:p>
    <w:p w14:paraId="54E9137B"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43</w:t>
      </w:r>
    </w:p>
    <w:p w14:paraId="54E9137C" w14:textId="77777777" w:rsidR="00F427A3" w:rsidRDefault="0044221F">
      <w:r>
        <w:rPr>
          <w:rFonts w:ascii="Times New Roman" w:hAnsi="Times New Roman"/>
          <w:sz w:val="20"/>
          <w:szCs w:val="20"/>
        </w:rPr>
        <w:pict w14:anchorId="54E91C5B">
          <v:rect id="_x0000_i1067" style="width:415.3pt;height:1.5pt" o:hralign="center" o:hrstd="t" o:hr="t" fillcolor="#a0a0a0" stroked="f"/>
        </w:pict>
      </w:r>
    </w:p>
    <w:p w14:paraId="54E9137D" w14:textId="77777777" w:rsidR="00F427A3" w:rsidRDefault="0044221F">
      <w:pPr>
        <w:spacing w:line="288" w:lineRule="auto"/>
        <w:rPr>
          <w:rFonts w:ascii="Times New Roman" w:hAnsi="Times New Roman"/>
          <w:sz w:val="20"/>
          <w:szCs w:val="20"/>
        </w:rPr>
      </w:pPr>
      <w:hyperlink r:id="rId85" w:anchor="s348EA962CF6D59B599D9921AFA89C381" w:history="1">
        <w:r>
          <w:rPr>
            <w:rStyle w:val="a5"/>
            <w:rFonts w:ascii="Times New Roman" w:eastAsia="宋体" w:hAnsi="Times New Roman"/>
            <w:sz w:val="20"/>
            <w:szCs w:val="20"/>
          </w:rPr>
          <w:t>Table of Contents</w:t>
        </w:r>
      </w:hyperlink>
    </w:p>
    <w:p w14:paraId="54E9137E" w14:textId="77777777" w:rsidR="00F427A3" w:rsidRDefault="00F427A3">
      <w:pPr>
        <w:rPr>
          <w:rFonts w:ascii="Times New Roman" w:hAnsi="Times New Roman"/>
          <w:sz w:val="20"/>
          <w:szCs w:val="20"/>
        </w:rPr>
      </w:pPr>
    </w:p>
    <w:p w14:paraId="54E9137F" w14:textId="77777777" w:rsidR="00F427A3" w:rsidRDefault="0044221F">
      <w:pPr>
        <w:spacing w:line="288" w:lineRule="auto"/>
        <w:ind w:firstLine="660"/>
        <w:jc w:val="both"/>
        <w:rPr>
          <w:rFonts w:ascii="Times New Roman" w:hAnsi="Times New Roman"/>
          <w:sz w:val="20"/>
          <w:szCs w:val="20"/>
        </w:rPr>
      </w:pPr>
      <w:r>
        <w:rPr>
          <w:rFonts w:ascii="Times New Roman" w:eastAsia="宋体" w:hAnsi="Times New Roman"/>
          <w:sz w:val="20"/>
          <w:szCs w:val="20"/>
        </w:rPr>
        <w:t>In July 2016, we received a Statutory Notice of Deficiency (Notice) from the IRS related to transfer pricing with our foreign subsidiaries in conjunction with the examination of the 2010 tax year. While the Notice applies only to the 2010 tax year, the IRS</w:t>
      </w:r>
      <w:r>
        <w:rPr>
          <w:rFonts w:ascii="Times New Roman" w:eastAsia="宋体" w:hAnsi="Times New Roman"/>
          <w:sz w:val="20"/>
          <w:szCs w:val="20"/>
        </w:rPr>
        <w:t xml:space="preserve"> stated that it will also apply its position for tax years subsequent to 2010. We do not agree with the position of the IRS and have filed a petition in the Tax Court challenging the Notice. On January 15, 2020, the IRS filed its </w:t>
      </w:r>
      <w:r>
        <w:rPr>
          <w:rFonts w:ascii="Times New Roman" w:eastAsia="宋体" w:hAnsi="Times New Roman"/>
          <w:color w:val="212529"/>
          <w:sz w:val="20"/>
          <w:szCs w:val="20"/>
        </w:rPr>
        <w:t>Pretrial Memorandum</w:t>
      </w:r>
      <w:r>
        <w:rPr>
          <w:rFonts w:ascii="Times New Roman" w:eastAsia="宋体" w:hAnsi="Times New Roman"/>
          <w:sz w:val="20"/>
          <w:szCs w:val="20"/>
        </w:rPr>
        <w:t xml:space="preserve"> in the</w:t>
      </w:r>
      <w:r>
        <w:rPr>
          <w:rFonts w:ascii="Times New Roman" w:eastAsia="宋体" w:hAnsi="Times New Roman"/>
          <w:sz w:val="20"/>
          <w:szCs w:val="20"/>
        </w:rPr>
        <w:t xml:space="preserve"> case stating that it planned to assert at trial an adjustment that is higher than the adjustment stated in the Notice. The first sessions of the trial began in February 2020, and additional sessions are expected to continue in 2021. The IRS did not provid</w:t>
      </w:r>
      <w:r>
        <w:rPr>
          <w:rFonts w:ascii="Times New Roman" w:eastAsia="宋体" w:hAnsi="Times New Roman"/>
          <w:sz w:val="20"/>
          <w:szCs w:val="20"/>
        </w:rPr>
        <w:t>e any information about how it intends to apply the revised adjustment to future years. Based on the information provided, we believe that, if the IRS prevails in its updated position, this could result in an additional federal tax liability of an estimate</w:t>
      </w:r>
      <w:r>
        <w:rPr>
          <w:rFonts w:ascii="Times New Roman" w:eastAsia="宋体" w:hAnsi="Times New Roman"/>
          <w:sz w:val="20"/>
          <w:szCs w:val="20"/>
        </w:rPr>
        <w:t xml:space="preserve">d, aggregate amount of up to approximately $9.0 billion in excess of the amounts in our originally filed U.S. return, plus interest and any penalties asserted. </w:t>
      </w:r>
    </w:p>
    <w:p w14:paraId="54E91380" w14:textId="77777777" w:rsidR="00F427A3" w:rsidRDefault="0044221F">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In March 2018, we received a second Notice from the IRS in conjunction with the examination of </w:t>
      </w:r>
      <w:r>
        <w:rPr>
          <w:rFonts w:ascii="Times New Roman" w:eastAsia="宋体" w:hAnsi="Times New Roman"/>
          <w:sz w:val="20"/>
          <w:szCs w:val="20"/>
        </w:rPr>
        <w:t>our 2011 through 2013 tax years. The IRS applied its position from the 2010 tax year to each of these years and also proposed new adjustments related to other transfer pricing with our foreign subsidiaries and certain tax credits that we claimed. If the IR</w:t>
      </w:r>
      <w:r>
        <w:rPr>
          <w:rFonts w:ascii="Times New Roman" w:eastAsia="宋体" w:hAnsi="Times New Roman"/>
          <w:sz w:val="20"/>
          <w:szCs w:val="20"/>
        </w:rPr>
        <w:t xml:space="preserve">S prevails in its position for these new adjustments, this could result in an additional federal tax liability of up to approximately </w:t>
      </w:r>
      <w:r>
        <w:rPr>
          <w:rFonts w:ascii="Times New Roman" w:eastAsia="宋体" w:hAnsi="Times New Roman"/>
          <w:color w:val="212529"/>
          <w:sz w:val="20"/>
          <w:szCs w:val="20"/>
        </w:rPr>
        <w:t>$680 million</w:t>
      </w:r>
      <w:r>
        <w:rPr>
          <w:rFonts w:ascii="Times New Roman" w:eastAsia="宋体" w:hAnsi="Times New Roman"/>
          <w:sz w:val="20"/>
          <w:szCs w:val="20"/>
        </w:rPr>
        <w:t xml:space="preserve"> in excess of the amounts in our originally filed U.S. returns, plus interest and any penalties asserted. We d</w:t>
      </w:r>
      <w:r>
        <w:rPr>
          <w:rFonts w:ascii="Times New Roman" w:eastAsia="宋体" w:hAnsi="Times New Roman"/>
          <w:sz w:val="20"/>
          <w:szCs w:val="20"/>
        </w:rPr>
        <w:t xml:space="preserve">o not agree with the positions of the IRS in the second Notice and have filed a petition in the Tax Court challenging the second Notice. </w:t>
      </w:r>
    </w:p>
    <w:p w14:paraId="54E91381" w14:textId="77777777" w:rsidR="00F427A3" w:rsidRDefault="0044221F">
      <w:pPr>
        <w:spacing w:line="288" w:lineRule="auto"/>
        <w:ind w:firstLine="660"/>
        <w:jc w:val="both"/>
        <w:rPr>
          <w:rFonts w:ascii="Times New Roman" w:hAnsi="Times New Roman"/>
          <w:sz w:val="20"/>
          <w:szCs w:val="20"/>
        </w:rPr>
      </w:pPr>
      <w:r>
        <w:rPr>
          <w:rFonts w:ascii="Times New Roman" w:eastAsia="宋体" w:hAnsi="Times New Roman"/>
          <w:sz w:val="20"/>
          <w:szCs w:val="20"/>
        </w:rPr>
        <w:t>We have previously accrued an estimated unrecognized tax benefit consistent with the guidance in ASC 740,</w:t>
      </w:r>
      <w:r>
        <w:rPr>
          <w:rFonts w:ascii="Times New Roman" w:eastAsia="宋体" w:hAnsi="Times New Roman"/>
          <w:i/>
          <w:iCs/>
          <w:sz w:val="20"/>
          <w:szCs w:val="20"/>
        </w:rPr>
        <w:t xml:space="preserve"> Income Taxes</w:t>
      </w:r>
      <w:r>
        <w:rPr>
          <w:rFonts w:ascii="Times New Roman" w:eastAsia="宋体" w:hAnsi="Times New Roman"/>
          <w:sz w:val="20"/>
          <w:szCs w:val="20"/>
        </w:rPr>
        <w:t xml:space="preserve">, that is lower than the potential additional federal tax liability from the positions taken by the IRS in the two Notices and its </w:t>
      </w:r>
      <w:r>
        <w:rPr>
          <w:rFonts w:ascii="Times New Roman" w:eastAsia="宋体" w:hAnsi="Times New Roman"/>
          <w:color w:val="212529"/>
          <w:sz w:val="20"/>
          <w:szCs w:val="20"/>
        </w:rPr>
        <w:t>Pretrial Memorandum</w:t>
      </w:r>
      <w:r>
        <w:rPr>
          <w:rFonts w:ascii="Times New Roman" w:eastAsia="宋体" w:hAnsi="Times New Roman"/>
          <w:sz w:val="20"/>
          <w:szCs w:val="20"/>
        </w:rPr>
        <w:t>. In addition, if the IRS prevails in its positions related to transfer pricing with our foreign subsidiar</w:t>
      </w:r>
      <w:r>
        <w:rPr>
          <w:rFonts w:ascii="Times New Roman" w:eastAsia="宋体" w:hAnsi="Times New Roman"/>
          <w:sz w:val="20"/>
          <w:szCs w:val="20"/>
        </w:rPr>
        <w:t>ies, the additional tax that we would owe would be partially offset by a reduction in the tax that we owe under the mandatory transition tax on accumulated foreign earnings from the 2017 Tax Cuts and Jobs Act (Tax Act). As of September 30, 2020, we have no</w:t>
      </w:r>
      <w:r>
        <w:rPr>
          <w:rFonts w:ascii="Times New Roman" w:eastAsia="宋体" w:hAnsi="Times New Roman"/>
          <w:sz w:val="20"/>
          <w:szCs w:val="20"/>
        </w:rPr>
        <w:t>t resolved these matters and proceedings continue in the Tax Court.</w:t>
      </w:r>
    </w:p>
    <w:p w14:paraId="54E91382" w14:textId="77777777" w:rsidR="00F427A3" w:rsidRDefault="0044221F">
      <w:pPr>
        <w:spacing w:line="288" w:lineRule="auto"/>
        <w:ind w:firstLine="660"/>
        <w:jc w:val="both"/>
        <w:rPr>
          <w:rFonts w:ascii="Times New Roman" w:hAnsi="Times New Roman"/>
          <w:sz w:val="20"/>
          <w:szCs w:val="20"/>
        </w:rPr>
      </w:pPr>
      <w:r>
        <w:rPr>
          <w:rFonts w:ascii="Times New Roman" w:eastAsia="宋体" w:hAnsi="Times New Roman"/>
          <w:sz w:val="20"/>
          <w:szCs w:val="20"/>
        </w:rPr>
        <w:t xml:space="preserve">We believe that adequate amounts have been reserved in accordance with ASC 740, </w:t>
      </w:r>
      <w:r>
        <w:rPr>
          <w:rFonts w:ascii="Times New Roman" w:eastAsia="宋体" w:hAnsi="Times New Roman"/>
          <w:i/>
          <w:iCs/>
          <w:sz w:val="20"/>
          <w:szCs w:val="20"/>
        </w:rPr>
        <w:t>Income Taxes</w:t>
      </w:r>
      <w:r>
        <w:rPr>
          <w:rFonts w:ascii="Times New Roman" w:eastAsia="宋体" w:hAnsi="Times New Roman"/>
          <w:sz w:val="20"/>
          <w:szCs w:val="20"/>
        </w:rPr>
        <w:t>, for any adjustments to the provision for income taxes or other tax items that may ultimately r</w:t>
      </w:r>
      <w:r>
        <w:rPr>
          <w:rFonts w:ascii="Times New Roman" w:eastAsia="宋体" w:hAnsi="Times New Roman"/>
          <w:sz w:val="20"/>
          <w:szCs w:val="20"/>
        </w:rPr>
        <w:t>esult from these examinations. The timing of the resolution, settlement, and closure of any audits is highly uncertain, and it is reasonably possible that the balance of gross unrecognized tax benefits could significantly change in the next 12 months. Give</w:t>
      </w:r>
      <w:r>
        <w:rPr>
          <w:rFonts w:ascii="Times New Roman" w:eastAsia="宋体" w:hAnsi="Times New Roman"/>
          <w:sz w:val="20"/>
          <w:szCs w:val="20"/>
        </w:rPr>
        <w:t>n the number of years remaining that are subject to examination in various jurisdictions, we are unable to estimate the full range of possible adjustments to the balance of gross unrecognized tax benefits. If the taxing authorities prevail in the assessmen</w:t>
      </w:r>
      <w:r>
        <w:rPr>
          <w:rFonts w:ascii="Times New Roman" w:eastAsia="宋体" w:hAnsi="Times New Roman"/>
          <w:sz w:val="20"/>
          <w:szCs w:val="20"/>
        </w:rPr>
        <w:t>t of additional tax due, the assessed tax, interest, and penalties, if any, could have a material adverse effect on our financial position, results of operations, and cash flows.</w:t>
      </w:r>
    </w:p>
    <w:p w14:paraId="54E91383" w14:textId="77777777" w:rsidR="00F427A3" w:rsidRDefault="00F427A3">
      <w:pPr>
        <w:rPr>
          <w:rFonts w:ascii="Times New Roman" w:hAnsi="Times New Roman"/>
          <w:sz w:val="20"/>
          <w:szCs w:val="20"/>
        </w:rPr>
      </w:pPr>
    </w:p>
    <w:p w14:paraId="54E91384"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44</w:t>
      </w:r>
    </w:p>
    <w:p w14:paraId="54E91385" w14:textId="77777777" w:rsidR="00F427A3" w:rsidRDefault="0044221F">
      <w:r>
        <w:rPr>
          <w:rFonts w:ascii="Times New Roman" w:hAnsi="Times New Roman"/>
          <w:sz w:val="20"/>
          <w:szCs w:val="20"/>
        </w:rPr>
        <w:pict w14:anchorId="54E91C5C">
          <v:rect id="_x0000_i1068" style="width:415.3pt;height:1.5pt" o:hralign="center" o:hrstd="t" o:hr="t" fillcolor="#a0a0a0" stroked="f"/>
        </w:pict>
      </w:r>
    </w:p>
    <w:p w14:paraId="54E91386" w14:textId="77777777" w:rsidR="00F427A3" w:rsidRDefault="0044221F">
      <w:pPr>
        <w:spacing w:line="288" w:lineRule="auto"/>
        <w:rPr>
          <w:rFonts w:ascii="Times New Roman" w:hAnsi="Times New Roman"/>
          <w:sz w:val="20"/>
          <w:szCs w:val="20"/>
        </w:rPr>
      </w:pPr>
      <w:hyperlink r:id="rId86" w:anchor="s348EA962CF6D59B599D9921AFA89C381" w:history="1">
        <w:r>
          <w:rPr>
            <w:rStyle w:val="a5"/>
            <w:rFonts w:ascii="Times New Roman" w:eastAsia="宋体" w:hAnsi="Times New Roman"/>
            <w:sz w:val="20"/>
            <w:szCs w:val="20"/>
          </w:rPr>
          <w:t>Table of Contents</w:t>
        </w:r>
      </w:hyperlink>
    </w:p>
    <w:p w14:paraId="54E91387" w14:textId="77777777" w:rsidR="00F427A3" w:rsidRDefault="00F427A3">
      <w:pPr>
        <w:rPr>
          <w:rFonts w:ascii="Times New Roman" w:hAnsi="Times New Roman"/>
          <w:sz w:val="20"/>
          <w:szCs w:val="20"/>
        </w:rPr>
      </w:pPr>
    </w:p>
    <w:p w14:paraId="54E91388"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Liquidity and Capital Resources</w:t>
      </w:r>
    </w:p>
    <w:p w14:paraId="54E91389"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Our principal sources of liquidity are our cash and cash equivalents, marketable securities, and cash generated from operat</w:t>
      </w:r>
      <w:r>
        <w:rPr>
          <w:rFonts w:ascii="Times New Roman" w:eastAsia="宋体" w:hAnsi="Times New Roman"/>
          <w:sz w:val="20"/>
          <w:szCs w:val="20"/>
        </w:rPr>
        <w:t>ions. Cash and cash equivalents and marketable securities consist mostly of cash on deposit with banks, investments in money market funds, and investments in U.S. government securities, U.S. government agency securities, and corporate debt securities. Cash</w:t>
      </w:r>
      <w:r>
        <w:rPr>
          <w:rFonts w:ascii="Times New Roman" w:eastAsia="宋体" w:hAnsi="Times New Roman"/>
          <w:sz w:val="20"/>
          <w:szCs w:val="20"/>
        </w:rPr>
        <w:t xml:space="preserve"> and cash equivalents and marketable securities were $55.62 billion as of September 30, 2020, an increase of $765 million from December 31, 2019. The increase was mostly due to $24.71 billion of cash generated from operations, offset by $10.90 billion for </w:t>
      </w:r>
      <w:r>
        <w:rPr>
          <w:rFonts w:ascii="Times New Roman" w:eastAsia="宋体" w:hAnsi="Times New Roman"/>
          <w:sz w:val="20"/>
          <w:szCs w:val="20"/>
        </w:rPr>
        <w:t xml:space="preserve">capital expenditures, including principal payments on finance leases, $6.30 billion for purchases of equity investments, $4.34 billion for repurchases of our Class A common stock, and $2.44 billion of taxes paid related to net share settlement of employee </w:t>
      </w:r>
      <w:r>
        <w:rPr>
          <w:rFonts w:ascii="Times New Roman" w:eastAsia="宋体" w:hAnsi="Times New Roman"/>
          <w:sz w:val="20"/>
          <w:szCs w:val="20"/>
        </w:rPr>
        <w:t>restricted stock units (RSU) awards.</w:t>
      </w:r>
    </w:p>
    <w:p w14:paraId="54E9138A"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Cash paid for income taxes was $3.12 billion in the nine months ended September 30, 2020. As of September 30, 2020, our federal net operating loss carryforward was $9.99 billion, and we anticipate that none of this amou</w:t>
      </w:r>
      <w:r>
        <w:rPr>
          <w:rFonts w:ascii="Times New Roman" w:eastAsia="宋体" w:hAnsi="Times New Roman"/>
          <w:sz w:val="20"/>
          <w:szCs w:val="20"/>
        </w:rPr>
        <w:t>nt will be utilized to offset our federal taxable income in 2020. As of September 30, 2020, we had $378 million of federal tax credit carryforward, of which none will be available to offset our federal tax liabilities in 2020.</w:t>
      </w:r>
    </w:p>
    <w:p w14:paraId="54E9138B"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May 2016, we entered into </w:t>
      </w:r>
      <w:r>
        <w:rPr>
          <w:rFonts w:ascii="Times New Roman" w:eastAsia="宋体" w:hAnsi="Times New Roman"/>
          <w:sz w:val="20"/>
          <w:szCs w:val="20"/>
        </w:rPr>
        <w:t>a $2.0 billion senior unsecured revolving credit facility, and any amounts outstanding under the facility will be due and payable on May 20, 2021. As of September 30, 2020, no amounts had been drawn down and we were in compliance with the covenants under t</w:t>
      </w:r>
      <w:r>
        <w:rPr>
          <w:rFonts w:ascii="Times New Roman" w:eastAsia="宋体" w:hAnsi="Times New Roman"/>
          <w:sz w:val="20"/>
          <w:szCs w:val="20"/>
        </w:rPr>
        <w:t>his credit facility.</w:t>
      </w:r>
    </w:p>
    <w:p w14:paraId="54E9138C"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board of directors has authorized a share repurchase program of our Class A common stock, which does not have an expiration date. As of December 31, 2019, $4.90 billion remained available and authorized for repurchases. In January </w:t>
      </w:r>
      <w:r>
        <w:rPr>
          <w:rFonts w:ascii="Times New Roman" w:eastAsia="宋体" w:hAnsi="Times New Roman"/>
          <w:sz w:val="20"/>
          <w:szCs w:val="20"/>
        </w:rPr>
        <w:t>2020, an additional $10.0 billion of repurchases was authorized under this program. During the nine months ended September 30, 2020, we repurchased and subsequently retired 20 million shares of our Class A common stock for an aggregate amount of $4.36 bill</w:t>
      </w:r>
      <w:r>
        <w:rPr>
          <w:rFonts w:ascii="Times New Roman" w:eastAsia="宋体" w:hAnsi="Times New Roman"/>
          <w:sz w:val="20"/>
          <w:szCs w:val="20"/>
        </w:rPr>
        <w:t>ion. As of September 30, 2020, $10.55 billion remained available and authorized for repurchases.</w:t>
      </w:r>
    </w:p>
    <w:p w14:paraId="54E9138D"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As of September 30, 2020, $6.52 billion of the $55.62 billion in cash and cash equivalents and marketable securities was held by our foreign </w:t>
      </w:r>
      <w:r>
        <w:rPr>
          <w:rFonts w:ascii="Times New Roman" w:eastAsia="宋体" w:hAnsi="Times New Roman"/>
          <w:sz w:val="20"/>
          <w:szCs w:val="20"/>
        </w:rPr>
        <w:t>subsidiaries. The Tax Act imposed a mandatory transition tax on accumulated foreign earnings and eliminated U.S. taxes on foreign subsidiary distributions. As a result, earnings in foreign jurisdictions are available for distribution to the U.S. without in</w:t>
      </w:r>
      <w:r>
        <w:rPr>
          <w:rFonts w:ascii="Times New Roman" w:eastAsia="宋体" w:hAnsi="Times New Roman"/>
          <w:sz w:val="20"/>
          <w:szCs w:val="20"/>
        </w:rPr>
        <w:t>cremental U.S. taxes.</w:t>
      </w:r>
    </w:p>
    <w:p w14:paraId="54E9138E"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In July 2019, we entered into a settlement and modified consent order to resolve the inquiry of the FTC into our platform and user data practices, which was approved by the federal court and took effect in April 2020. We paid the pena</w:t>
      </w:r>
      <w:r>
        <w:rPr>
          <w:rFonts w:ascii="Times New Roman" w:eastAsia="宋体" w:hAnsi="Times New Roman"/>
          <w:sz w:val="20"/>
          <w:szCs w:val="20"/>
        </w:rPr>
        <w:t>lty of $5.0 billion in April 2020 upon the effectiveness of the modified consent order.</w:t>
      </w:r>
    </w:p>
    <w:p w14:paraId="54E9138F"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On April 21, 2020, we entered into a definitive agreement to invest in Jio Platforms Limited, a subsidiary of Reliance Industries Limited. The transaction closed on Jul</w:t>
      </w:r>
      <w:r>
        <w:rPr>
          <w:rFonts w:ascii="Times New Roman" w:eastAsia="宋体" w:hAnsi="Times New Roman"/>
          <w:sz w:val="20"/>
          <w:szCs w:val="20"/>
        </w:rPr>
        <w:t>y 7, 2020, and we paid approximately $5.8 billion at the then-current exchange rate.</w:t>
      </w:r>
    </w:p>
    <w:p w14:paraId="54E91390"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currently anticipate that our available funds, credit facility, and cash flow from operations will be sufficient to meet our operational cash needs for the foreseeable </w:t>
      </w:r>
      <w:r>
        <w:rPr>
          <w:rFonts w:ascii="Times New Roman" w:eastAsia="宋体" w:hAnsi="Times New Roman"/>
          <w:sz w:val="20"/>
          <w:szCs w:val="20"/>
        </w:rPr>
        <w:t>future.</w:t>
      </w:r>
    </w:p>
    <w:p w14:paraId="54E91391"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Cash Provided by Operating Activities</w:t>
      </w:r>
    </w:p>
    <w:p w14:paraId="54E91392"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Cash flow from operating activities during the nine months ended September 30, 2020 consisted mostly of net income adjusted for certain non-cash items, such as $5.0 billion of depreciation and </w:t>
      </w:r>
      <w:r>
        <w:rPr>
          <w:rFonts w:ascii="Times New Roman" w:eastAsia="宋体" w:hAnsi="Times New Roman"/>
          <w:sz w:val="20"/>
          <w:szCs w:val="20"/>
        </w:rPr>
        <w:t>amortization and $4.75 billion of share-based compensation expense, and a cash payment of $5.0 billion for the FTC legal settlement. The decrease in cash flow from operating activities during the nine months ended September 30, 2020, compared to the same p</w:t>
      </w:r>
      <w:r>
        <w:rPr>
          <w:rFonts w:ascii="Times New Roman" w:eastAsia="宋体" w:hAnsi="Times New Roman"/>
          <w:sz w:val="20"/>
          <w:szCs w:val="20"/>
        </w:rPr>
        <w:t>eriod in 2019, was mostly due to the payment of $5.0 billion for the FTC legal settlement partially offset by an increase in net income.</w:t>
      </w:r>
    </w:p>
    <w:p w14:paraId="54E91393"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Cash Used in Investing Activities</w:t>
      </w:r>
    </w:p>
    <w:p w14:paraId="54E91394"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Cash used in investing activities during the nine months ended September 30, 2020 con</w:t>
      </w:r>
      <w:r>
        <w:rPr>
          <w:rFonts w:ascii="Times New Roman" w:eastAsia="宋体" w:hAnsi="Times New Roman"/>
          <w:sz w:val="20"/>
          <w:szCs w:val="20"/>
        </w:rPr>
        <w:t xml:space="preserve">sisted mostly of $10.50 billion of net purchases of property and equipment as we continued to invest in data centers, servers, office buildings, and network infrastructure, $7.69 billion of net purchases, sales and maturities of marketable securities, and </w:t>
      </w:r>
      <w:r>
        <w:rPr>
          <w:rFonts w:ascii="Times New Roman" w:eastAsia="宋体" w:hAnsi="Times New Roman"/>
          <w:sz w:val="20"/>
          <w:szCs w:val="20"/>
        </w:rPr>
        <w:t xml:space="preserve">$6.30 billion of purchases of equity investments. The increase in cash used in investing activities during the nine months ended September 30, 2020, compared to the same period in 2019, was mostly due to increases in purchases of equity investments and in </w:t>
      </w:r>
      <w:r>
        <w:rPr>
          <w:rFonts w:ascii="Times New Roman" w:eastAsia="宋体" w:hAnsi="Times New Roman"/>
          <w:sz w:val="20"/>
          <w:szCs w:val="20"/>
        </w:rPr>
        <w:t>net purchases of marketable securities.</w:t>
      </w:r>
    </w:p>
    <w:p w14:paraId="54E91395" w14:textId="77777777" w:rsidR="00F427A3" w:rsidRDefault="00F427A3">
      <w:pPr>
        <w:rPr>
          <w:rFonts w:ascii="Times New Roman" w:hAnsi="Times New Roman"/>
          <w:sz w:val="20"/>
          <w:szCs w:val="20"/>
        </w:rPr>
      </w:pPr>
    </w:p>
    <w:p w14:paraId="54E91396"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45</w:t>
      </w:r>
    </w:p>
    <w:p w14:paraId="54E91397" w14:textId="77777777" w:rsidR="00F427A3" w:rsidRDefault="0044221F">
      <w:r>
        <w:rPr>
          <w:rFonts w:ascii="Times New Roman" w:hAnsi="Times New Roman"/>
          <w:sz w:val="20"/>
          <w:szCs w:val="20"/>
        </w:rPr>
        <w:pict w14:anchorId="54E91C5D">
          <v:rect id="_x0000_i1069" style="width:415.3pt;height:1.5pt" o:hralign="center" o:hrstd="t" o:hr="t" fillcolor="#a0a0a0" stroked="f"/>
        </w:pict>
      </w:r>
    </w:p>
    <w:p w14:paraId="54E91398" w14:textId="77777777" w:rsidR="00F427A3" w:rsidRDefault="0044221F">
      <w:pPr>
        <w:spacing w:line="288" w:lineRule="auto"/>
        <w:rPr>
          <w:rFonts w:ascii="Times New Roman" w:hAnsi="Times New Roman"/>
          <w:sz w:val="20"/>
          <w:szCs w:val="20"/>
        </w:rPr>
      </w:pPr>
      <w:hyperlink r:id="rId87" w:anchor="s348EA962CF6D59B599D9921AFA89C381" w:history="1">
        <w:r>
          <w:rPr>
            <w:rStyle w:val="a5"/>
            <w:rFonts w:ascii="Times New Roman" w:eastAsia="宋体" w:hAnsi="Times New Roman"/>
            <w:sz w:val="20"/>
            <w:szCs w:val="20"/>
          </w:rPr>
          <w:t>Table of Contents</w:t>
        </w:r>
      </w:hyperlink>
    </w:p>
    <w:p w14:paraId="54E91399" w14:textId="77777777" w:rsidR="00F427A3" w:rsidRDefault="00F427A3">
      <w:pPr>
        <w:rPr>
          <w:rFonts w:ascii="Times New Roman" w:hAnsi="Times New Roman"/>
          <w:sz w:val="20"/>
          <w:szCs w:val="20"/>
        </w:rPr>
      </w:pPr>
    </w:p>
    <w:p w14:paraId="54E9139A"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anticipate making capital expenditu</w:t>
      </w:r>
      <w:r>
        <w:rPr>
          <w:rFonts w:ascii="Times New Roman" w:eastAsia="宋体" w:hAnsi="Times New Roman"/>
          <w:sz w:val="20"/>
          <w:szCs w:val="20"/>
        </w:rPr>
        <w:t>res of approximately $16 billion in 2020 and approximately $21 billion to $23 billion in 2021.</w:t>
      </w:r>
    </w:p>
    <w:p w14:paraId="54E9139B"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Cash Used in Financing Activities</w:t>
      </w:r>
    </w:p>
    <w:p w14:paraId="54E9139C"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Cash used in financing activities during the nine months ended September 30, 2020 consisted mostly of $4.34 billion for repurch</w:t>
      </w:r>
      <w:r>
        <w:rPr>
          <w:rFonts w:ascii="Times New Roman" w:eastAsia="宋体" w:hAnsi="Times New Roman"/>
          <w:sz w:val="20"/>
          <w:szCs w:val="20"/>
        </w:rPr>
        <w:t xml:space="preserve">ases of our Class A common stock and $2.44 billion of taxes paid related to net share settlement of RSUs. The increase in cash used in financing activities during the nine months ended September 30, 2020, compared to the same period in 2019, was primarily </w:t>
      </w:r>
      <w:r>
        <w:rPr>
          <w:rFonts w:ascii="Times New Roman" w:eastAsia="宋体" w:hAnsi="Times New Roman"/>
          <w:sz w:val="20"/>
          <w:szCs w:val="20"/>
        </w:rPr>
        <w:t>due to an increase in repurchases of our Class A common stock.</w:t>
      </w:r>
    </w:p>
    <w:p w14:paraId="54E9139D"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sz w:val="20"/>
          <w:szCs w:val="20"/>
        </w:rPr>
        <w:t>Off-Balance Sheet Arrangements</w:t>
      </w:r>
    </w:p>
    <w:p w14:paraId="54E9139E" w14:textId="77777777" w:rsidR="00F427A3" w:rsidRDefault="0044221F">
      <w:pPr>
        <w:spacing w:line="288" w:lineRule="auto"/>
        <w:ind w:firstLine="720"/>
        <w:jc w:val="both"/>
        <w:rPr>
          <w:rFonts w:ascii="Times New Roman" w:hAnsi="Times New Roman"/>
          <w:sz w:val="22"/>
          <w:szCs w:val="22"/>
        </w:rPr>
      </w:pPr>
      <w:r>
        <w:rPr>
          <w:rFonts w:ascii="Times New Roman" w:eastAsia="宋体" w:hAnsi="Times New Roman"/>
          <w:sz w:val="20"/>
          <w:szCs w:val="20"/>
        </w:rPr>
        <w:t>As of September 30, 2020, we did not have any off-balance sheet arrangements that are reasonably likely to have a material current or future effect on our financi</w:t>
      </w:r>
      <w:r>
        <w:rPr>
          <w:rFonts w:ascii="Times New Roman" w:eastAsia="宋体" w:hAnsi="Times New Roman"/>
          <w:sz w:val="20"/>
          <w:szCs w:val="20"/>
        </w:rPr>
        <w:t>al condition, results of operations, liquidity, capital expenditures, or capital resources.</w:t>
      </w:r>
      <w:r>
        <w:rPr>
          <w:rFonts w:ascii="Times New Roman" w:eastAsia="宋体" w:hAnsi="Times New Roman"/>
          <w:i/>
          <w:iCs/>
          <w:color w:val="FF0000"/>
          <w:sz w:val="22"/>
          <w:szCs w:val="22"/>
        </w:rPr>
        <w:t>​</w:t>
      </w:r>
    </w:p>
    <w:p w14:paraId="54E9139F"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sz w:val="20"/>
          <w:szCs w:val="20"/>
        </w:rPr>
        <w:t>Contractual Obligations</w:t>
      </w:r>
    </w:p>
    <w:p w14:paraId="54E913A0" w14:textId="77777777" w:rsidR="00F427A3" w:rsidRDefault="0044221F">
      <w:pPr>
        <w:spacing w:line="288" w:lineRule="auto"/>
        <w:ind w:firstLine="660"/>
        <w:jc w:val="both"/>
        <w:rPr>
          <w:rFonts w:ascii="Times New Roman" w:hAnsi="Times New Roman"/>
          <w:sz w:val="20"/>
          <w:szCs w:val="20"/>
        </w:rPr>
      </w:pPr>
      <w:r>
        <w:rPr>
          <w:rFonts w:ascii="Times New Roman" w:eastAsia="宋体" w:hAnsi="Times New Roman"/>
          <w:sz w:val="20"/>
          <w:szCs w:val="20"/>
        </w:rPr>
        <w:t>Our principal commitments consist mostly of obligations under operating leases and other contractual commitments. Our obligations under ope</w:t>
      </w:r>
      <w:r>
        <w:rPr>
          <w:rFonts w:ascii="Times New Roman" w:eastAsia="宋体" w:hAnsi="Times New Roman"/>
          <w:sz w:val="20"/>
          <w:szCs w:val="20"/>
        </w:rPr>
        <w:t>rating leases include among others, certain of our offices, data centers, land, colocations, and equipment. Our other contractual commitments are mostly related to our investments in network infrastructure, consumer hardware, content acquisitions, and data</w:t>
      </w:r>
      <w:r>
        <w:rPr>
          <w:rFonts w:ascii="Times New Roman" w:eastAsia="宋体" w:hAnsi="Times New Roman"/>
          <w:sz w:val="20"/>
          <w:szCs w:val="20"/>
        </w:rPr>
        <w:t xml:space="preserve"> center operations. The following table summarizes our commitments to settle contractual obligations in cash as of September 30, 2020 (in millions):</w:t>
      </w:r>
    </w:p>
    <w:tbl>
      <w:tblPr>
        <w:tblW w:w="5000" w:type="pct"/>
        <w:tblCellMar>
          <w:left w:w="0" w:type="dxa"/>
          <w:right w:w="0" w:type="dxa"/>
        </w:tblCellMar>
        <w:tblLook w:val="04A0" w:firstRow="1" w:lastRow="0" w:firstColumn="1" w:lastColumn="0" w:noHBand="0" w:noVBand="1"/>
      </w:tblPr>
      <w:tblGrid>
        <w:gridCol w:w="2837"/>
        <w:gridCol w:w="140"/>
        <w:gridCol w:w="762"/>
        <w:gridCol w:w="14"/>
        <w:gridCol w:w="130"/>
        <w:gridCol w:w="141"/>
        <w:gridCol w:w="845"/>
        <w:gridCol w:w="72"/>
        <w:gridCol w:w="130"/>
        <w:gridCol w:w="141"/>
        <w:gridCol w:w="761"/>
        <w:gridCol w:w="76"/>
        <w:gridCol w:w="130"/>
        <w:gridCol w:w="141"/>
        <w:gridCol w:w="761"/>
        <w:gridCol w:w="76"/>
        <w:gridCol w:w="130"/>
        <w:gridCol w:w="141"/>
        <w:gridCol w:w="799"/>
        <w:gridCol w:w="79"/>
      </w:tblGrid>
      <w:tr w:rsidR="00F427A3" w14:paraId="54E913A2" w14:textId="77777777">
        <w:tc>
          <w:tcPr>
            <w:tcW w:w="0" w:type="auto"/>
            <w:gridSpan w:val="20"/>
            <w:shd w:val="clear" w:color="auto" w:fill="auto"/>
            <w:vAlign w:val="center"/>
          </w:tcPr>
          <w:p w14:paraId="54E913A1" w14:textId="77777777" w:rsidR="00F427A3" w:rsidRDefault="00F427A3">
            <w:pPr>
              <w:rPr>
                <w:rFonts w:ascii="Times New Roman" w:hAnsi="Times New Roman"/>
                <w:sz w:val="20"/>
                <w:szCs w:val="20"/>
              </w:rPr>
            </w:pPr>
          </w:p>
        </w:tc>
      </w:tr>
      <w:tr w:rsidR="00F427A3" w14:paraId="54E913B7" w14:textId="77777777">
        <w:tc>
          <w:tcPr>
            <w:tcW w:w="1750" w:type="pct"/>
            <w:shd w:val="clear" w:color="auto" w:fill="auto"/>
            <w:vAlign w:val="center"/>
          </w:tcPr>
          <w:p w14:paraId="54E913A3" w14:textId="77777777" w:rsidR="00F427A3" w:rsidRDefault="00F427A3">
            <w:pPr>
              <w:rPr>
                <w:rFonts w:ascii="Times New Roman" w:hAnsi="Times New Roman"/>
                <w:sz w:val="20"/>
                <w:szCs w:val="20"/>
              </w:rPr>
            </w:pPr>
          </w:p>
        </w:tc>
        <w:tc>
          <w:tcPr>
            <w:tcW w:w="50" w:type="pct"/>
            <w:shd w:val="clear" w:color="auto" w:fill="auto"/>
            <w:vAlign w:val="center"/>
          </w:tcPr>
          <w:p w14:paraId="54E913A4" w14:textId="77777777" w:rsidR="00F427A3" w:rsidRDefault="00F427A3">
            <w:pPr>
              <w:rPr>
                <w:rFonts w:ascii="Times New Roman" w:hAnsi="Times New Roman"/>
                <w:sz w:val="20"/>
                <w:szCs w:val="20"/>
              </w:rPr>
            </w:pPr>
          </w:p>
        </w:tc>
        <w:tc>
          <w:tcPr>
            <w:tcW w:w="500" w:type="pct"/>
            <w:shd w:val="clear" w:color="auto" w:fill="auto"/>
            <w:vAlign w:val="center"/>
          </w:tcPr>
          <w:p w14:paraId="54E913A5" w14:textId="77777777" w:rsidR="00F427A3" w:rsidRDefault="00F427A3">
            <w:pPr>
              <w:rPr>
                <w:rFonts w:ascii="Times New Roman" w:hAnsi="Times New Roman"/>
                <w:sz w:val="20"/>
                <w:szCs w:val="20"/>
              </w:rPr>
            </w:pPr>
          </w:p>
        </w:tc>
        <w:tc>
          <w:tcPr>
            <w:tcW w:w="50" w:type="pct"/>
            <w:shd w:val="clear" w:color="auto" w:fill="auto"/>
            <w:vAlign w:val="center"/>
          </w:tcPr>
          <w:p w14:paraId="54E913A6" w14:textId="77777777" w:rsidR="00F427A3" w:rsidRDefault="00F427A3">
            <w:pPr>
              <w:rPr>
                <w:rFonts w:ascii="Times New Roman" w:hAnsi="Times New Roman"/>
                <w:sz w:val="20"/>
                <w:szCs w:val="20"/>
              </w:rPr>
            </w:pPr>
          </w:p>
        </w:tc>
        <w:tc>
          <w:tcPr>
            <w:tcW w:w="50" w:type="pct"/>
            <w:shd w:val="clear" w:color="auto" w:fill="auto"/>
            <w:vAlign w:val="center"/>
          </w:tcPr>
          <w:p w14:paraId="54E913A7" w14:textId="77777777" w:rsidR="00F427A3" w:rsidRDefault="00F427A3">
            <w:pPr>
              <w:rPr>
                <w:rFonts w:ascii="Times New Roman" w:hAnsi="Times New Roman"/>
                <w:sz w:val="20"/>
                <w:szCs w:val="20"/>
              </w:rPr>
            </w:pPr>
          </w:p>
        </w:tc>
        <w:tc>
          <w:tcPr>
            <w:tcW w:w="50" w:type="pct"/>
            <w:shd w:val="clear" w:color="auto" w:fill="auto"/>
            <w:vAlign w:val="center"/>
          </w:tcPr>
          <w:p w14:paraId="54E913A8" w14:textId="77777777" w:rsidR="00F427A3" w:rsidRDefault="00F427A3">
            <w:pPr>
              <w:rPr>
                <w:rFonts w:ascii="Times New Roman" w:hAnsi="Times New Roman"/>
                <w:sz w:val="20"/>
                <w:szCs w:val="20"/>
              </w:rPr>
            </w:pPr>
          </w:p>
        </w:tc>
        <w:tc>
          <w:tcPr>
            <w:tcW w:w="550" w:type="pct"/>
            <w:shd w:val="clear" w:color="auto" w:fill="auto"/>
            <w:vAlign w:val="center"/>
          </w:tcPr>
          <w:p w14:paraId="54E913A9" w14:textId="77777777" w:rsidR="00F427A3" w:rsidRDefault="00F427A3">
            <w:pPr>
              <w:rPr>
                <w:rFonts w:ascii="Times New Roman" w:hAnsi="Times New Roman"/>
                <w:sz w:val="20"/>
                <w:szCs w:val="20"/>
              </w:rPr>
            </w:pPr>
          </w:p>
        </w:tc>
        <w:tc>
          <w:tcPr>
            <w:tcW w:w="50" w:type="pct"/>
            <w:shd w:val="clear" w:color="auto" w:fill="auto"/>
            <w:vAlign w:val="center"/>
          </w:tcPr>
          <w:p w14:paraId="54E913AA" w14:textId="77777777" w:rsidR="00F427A3" w:rsidRDefault="00F427A3">
            <w:pPr>
              <w:rPr>
                <w:rFonts w:ascii="Times New Roman" w:hAnsi="Times New Roman"/>
                <w:sz w:val="20"/>
                <w:szCs w:val="20"/>
              </w:rPr>
            </w:pPr>
          </w:p>
        </w:tc>
        <w:tc>
          <w:tcPr>
            <w:tcW w:w="50" w:type="pct"/>
            <w:shd w:val="clear" w:color="auto" w:fill="auto"/>
            <w:vAlign w:val="center"/>
          </w:tcPr>
          <w:p w14:paraId="54E913AB" w14:textId="77777777" w:rsidR="00F427A3" w:rsidRDefault="00F427A3">
            <w:pPr>
              <w:rPr>
                <w:rFonts w:ascii="Times New Roman" w:hAnsi="Times New Roman"/>
                <w:sz w:val="20"/>
                <w:szCs w:val="20"/>
              </w:rPr>
            </w:pPr>
          </w:p>
        </w:tc>
        <w:tc>
          <w:tcPr>
            <w:tcW w:w="50" w:type="pct"/>
            <w:shd w:val="clear" w:color="auto" w:fill="auto"/>
            <w:vAlign w:val="center"/>
          </w:tcPr>
          <w:p w14:paraId="54E913AC" w14:textId="77777777" w:rsidR="00F427A3" w:rsidRDefault="00F427A3">
            <w:pPr>
              <w:rPr>
                <w:rFonts w:ascii="Times New Roman" w:hAnsi="Times New Roman"/>
                <w:sz w:val="20"/>
                <w:szCs w:val="20"/>
              </w:rPr>
            </w:pPr>
          </w:p>
        </w:tc>
        <w:tc>
          <w:tcPr>
            <w:tcW w:w="500" w:type="pct"/>
            <w:shd w:val="clear" w:color="auto" w:fill="auto"/>
            <w:vAlign w:val="center"/>
          </w:tcPr>
          <w:p w14:paraId="54E913AD" w14:textId="77777777" w:rsidR="00F427A3" w:rsidRDefault="00F427A3">
            <w:pPr>
              <w:rPr>
                <w:rFonts w:ascii="Times New Roman" w:hAnsi="Times New Roman"/>
                <w:sz w:val="20"/>
                <w:szCs w:val="20"/>
              </w:rPr>
            </w:pPr>
          </w:p>
        </w:tc>
        <w:tc>
          <w:tcPr>
            <w:tcW w:w="50" w:type="pct"/>
            <w:shd w:val="clear" w:color="auto" w:fill="auto"/>
            <w:vAlign w:val="center"/>
          </w:tcPr>
          <w:p w14:paraId="54E913AE" w14:textId="77777777" w:rsidR="00F427A3" w:rsidRDefault="00F427A3">
            <w:pPr>
              <w:rPr>
                <w:rFonts w:ascii="Times New Roman" w:hAnsi="Times New Roman"/>
                <w:sz w:val="20"/>
                <w:szCs w:val="20"/>
              </w:rPr>
            </w:pPr>
          </w:p>
        </w:tc>
        <w:tc>
          <w:tcPr>
            <w:tcW w:w="50" w:type="pct"/>
            <w:shd w:val="clear" w:color="auto" w:fill="auto"/>
            <w:vAlign w:val="center"/>
          </w:tcPr>
          <w:p w14:paraId="54E913AF" w14:textId="77777777" w:rsidR="00F427A3" w:rsidRDefault="00F427A3">
            <w:pPr>
              <w:rPr>
                <w:rFonts w:ascii="Times New Roman" w:hAnsi="Times New Roman"/>
                <w:sz w:val="20"/>
                <w:szCs w:val="20"/>
              </w:rPr>
            </w:pPr>
          </w:p>
        </w:tc>
        <w:tc>
          <w:tcPr>
            <w:tcW w:w="50" w:type="pct"/>
            <w:shd w:val="clear" w:color="auto" w:fill="auto"/>
            <w:vAlign w:val="center"/>
          </w:tcPr>
          <w:p w14:paraId="54E913B0" w14:textId="77777777" w:rsidR="00F427A3" w:rsidRDefault="00F427A3">
            <w:pPr>
              <w:rPr>
                <w:rFonts w:ascii="Times New Roman" w:hAnsi="Times New Roman"/>
                <w:sz w:val="20"/>
                <w:szCs w:val="20"/>
              </w:rPr>
            </w:pPr>
          </w:p>
        </w:tc>
        <w:tc>
          <w:tcPr>
            <w:tcW w:w="500" w:type="pct"/>
            <w:shd w:val="clear" w:color="auto" w:fill="auto"/>
            <w:vAlign w:val="center"/>
          </w:tcPr>
          <w:p w14:paraId="54E913B1" w14:textId="77777777" w:rsidR="00F427A3" w:rsidRDefault="00F427A3">
            <w:pPr>
              <w:rPr>
                <w:rFonts w:ascii="Times New Roman" w:hAnsi="Times New Roman"/>
                <w:sz w:val="20"/>
                <w:szCs w:val="20"/>
              </w:rPr>
            </w:pPr>
          </w:p>
        </w:tc>
        <w:tc>
          <w:tcPr>
            <w:tcW w:w="50" w:type="pct"/>
            <w:shd w:val="clear" w:color="auto" w:fill="auto"/>
            <w:vAlign w:val="center"/>
          </w:tcPr>
          <w:p w14:paraId="54E913B2" w14:textId="77777777" w:rsidR="00F427A3" w:rsidRDefault="00F427A3">
            <w:pPr>
              <w:rPr>
                <w:rFonts w:ascii="Times New Roman" w:hAnsi="Times New Roman"/>
                <w:sz w:val="20"/>
                <w:szCs w:val="20"/>
              </w:rPr>
            </w:pPr>
          </w:p>
        </w:tc>
        <w:tc>
          <w:tcPr>
            <w:tcW w:w="50" w:type="pct"/>
            <w:shd w:val="clear" w:color="auto" w:fill="auto"/>
            <w:vAlign w:val="center"/>
          </w:tcPr>
          <w:p w14:paraId="54E913B3" w14:textId="77777777" w:rsidR="00F427A3" w:rsidRDefault="00F427A3">
            <w:pPr>
              <w:rPr>
                <w:rFonts w:ascii="Times New Roman" w:hAnsi="Times New Roman"/>
                <w:sz w:val="20"/>
                <w:szCs w:val="20"/>
              </w:rPr>
            </w:pPr>
          </w:p>
        </w:tc>
        <w:tc>
          <w:tcPr>
            <w:tcW w:w="50" w:type="pct"/>
            <w:shd w:val="clear" w:color="auto" w:fill="auto"/>
            <w:vAlign w:val="center"/>
          </w:tcPr>
          <w:p w14:paraId="54E913B4" w14:textId="77777777" w:rsidR="00F427A3" w:rsidRDefault="00F427A3">
            <w:pPr>
              <w:rPr>
                <w:rFonts w:ascii="Times New Roman" w:hAnsi="Times New Roman"/>
                <w:sz w:val="20"/>
                <w:szCs w:val="20"/>
              </w:rPr>
            </w:pPr>
          </w:p>
        </w:tc>
        <w:tc>
          <w:tcPr>
            <w:tcW w:w="500" w:type="pct"/>
            <w:shd w:val="clear" w:color="auto" w:fill="auto"/>
            <w:vAlign w:val="center"/>
          </w:tcPr>
          <w:p w14:paraId="54E913B5" w14:textId="77777777" w:rsidR="00F427A3" w:rsidRDefault="00F427A3">
            <w:pPr>
              <w:rPr>
                <w:rFonts w:ascii="Times New Roman" w:hAnsi="Times New Roman"/>
                <w:sz w:val="20"/>
                <w:szCs w:val="20"/>
              </w:rPr>
            </w:pPr>
          </w:p>
        </w:tc>
        <w:tc>
          <w:tcPr>
            <w:tcW w:w="50" w:type="pct"/>
            <w:shd w:val="clear" w:color="auto" w:fill="auto"/>
            <w:vAlign w:val="center"/>
          </w:tcPr>
          <w:p w14:paraId="54E913B6" w14:textId="77777777" w:rsidR="00F427A3" w:rsidRDefault="00F427A3">
            <w:pPr>
              <w:rPr>
                <w:rFonts w:ascii="Times New Roman" w:hAnsi="Times New Roman"/>
                <w:sz w:val="20"/>
                <w:szCs w:val="20"/>
              </w:rPr>
            </w:pPr>
          </w:p>
        </w:tc>
      </w:tr>
      <w:tr w:rsidR="00F427A3" w14:paraId="54E913BC" w14:textId="77777777">
        <w:tc>
          <w:tcPr>
            <w:tcW w:w="0" w:type="auto"/>
            <w:shd w:val="clear" w:color="auto" w:fill="auto"/>
            <w:tcMar>
              <w:top w:w="40" w:type="dxa"/>
              <w:left w:w="40" w:type="dxa"/>
              <w:bottom w:w="40" w:type="dxa"/>
              <w:right w:w="40" w:type="dxa"/>
            </w:tcMar>
            <w:vAlign w:val="bottom"/>
          </w:tcPr>
          <w:p w14:paraId="54E913B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13B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3B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180" w:type="dxa"/>
              <w:bottom w:w="40" w:type="dxa"/>
            </w:tcMar>
            <w:vAlign w:val="bottom"/>
          </w:tcPr>
          <w:p w14:paraId="54E913BB"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Payment Due by Period</w:t>
            </w:r>
            <w:r>
              <w:rPr>
                <w:rFonts w:ascii="Times New Roman" w:eastAsia="宋体" w:hAnsi="Times New Roman"/>
                <w:sz w:val="16"/>
                <w:szCs w:val="16"/>
              </w:rPr>
              <w:t> </w:t>
            </w:r>
          </w:p>
        </w:tc>
      </w:tr>
      <w:tr w:rsidR="00F427A3" w14:paraId="54E913C7" w14:textId="77777777">
        <w:tc>
          <w:tcPr>
            <w:tcW w:w="0" w:type="auto"/>
            <w:shd w:val="clear" w:color="auto" w:fill="auto"/>
            <w:tcMar>
              <w:top w:w="40" w:type="dxa"/>
              <w:left w:w="40" w:type="dxa"/>
              <w:bottom w:w="40" w:type="dxa"/>
              <w:right w:w="40" w:type="dxa"/>
            </w:tcMar>
            <w:vAlign w:val="bottom"/>
          </w:tcPr>
          <w:p w14:paraId="54E913B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180" w:type="dxa"/>
              <w:bottom w:w="40" w:type="dxa"/>
              <w:right w:w="40" w:type="dxa"/>
            </w:tcMar>
            <w:vAlign w:val="bottom"/>
          </w:tcPr>
          <w:p w14:paraId="54E913BE"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auto"/>
            <w:tcMar>
              <w:top w:w="40" w:type="dxa"/>
              <w:left w:w="40" w:type="dxa"/>
              <w:bottom w:w="40" w:type="dxa"/>
              <w:right w:w="40" w:type="dxa"/>
            </w:tcMar>
            <w:vAlign w:val="bottom"/>
          </w:tcPr>
          <w:p w14:paraId="54E913B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180" w:type="dxa"/>
              <w:bottom w:w="40" w:type="dxa"/>
              <w:right w:w="40" w:type="dxa"/>
            </w:tcMar>
            <w:vAlign w:val="bottom"/>
          </w:tcPr>
          <w:p w14:paraId="54E913C0"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The remainder of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4E913C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180" w:type="dxa"/>
              <w:bottom w:w="40" w:type="dxa"/>
              <w:right w:w="40" w:type="dxa"/>
            </w:tcMar>
            <w:vAlign w:val="bottom"/>
          </w:tcPr>
          <w:p w14:paraId="54E913C2"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2021-2022</w:t>
            </w:r>
          </w:p>
        </w:tc>
        <w:tc>
          <w:tcPr>
            <w:tcW w:w="0" w:type="auto"/>
            <w:tcBorders>
              <w:top w:val="single" w:sz="8" w:space="0" w:color="000000"/>
            </w:tcBorders>
            <w:shd w:val="clear" w:color="auto" w:fill="auto"/>
            <w:tcMar>
              <w:top w:w="40" w:type="dxa"/>
              <w:left w:w="40" w:type="dxa"/>
              <w:bottom w:w="40" w:type="dxa"/>
              <w:right w:w="40" w:type="dxa"/>
            </w:tcMar>
            <w:vAlign w:val="bottom"/>
          </w:tcPr>
          <w:p w14:paraId="54E913C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180" w:type="dxa"/>
              <w:bottom w:w="40" w:type="dxa"/>
              <w:right w:w="40" w:type="dxa"/>
            </w:tcMar>
            <w:vAlign w:val="bottom"/>
          </w:tcPr>
          <w:p w14:paraId="54E913C4"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2023-2024</w:t>
            </w:r>
          </w:p>
        </w:tc>
        <w:tc>
          <w:tcPr>
            <w:tcW w:w="0" w:type="auto"/>
            <w:tcBorders>
              <w:top w:val="single" w:sz="8" w:space="0" w:color="000000"/>
            </w:tcBorders>
            <w:shd w:val="clear" w:color="auto" w:fill="auto"/>
            <w:tcMar>
              <w:top w:w="40" w:type="dxa"/>
              <w:left w:w="40" w:type="dxa"/>
              <w:bottom w:w="40" w:type="dxa"/>
              <w:right w:w="40" w:type="dxa"/>
            </w:tcMar>
            <w:vAlign w:val="bottom"/>
          </w:tcPr>
          <w:p w14:paraId="54E913C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180" w:type="dxa"/>
              <w:bottom w:w="40" w:type="dxa"/>
              <w:right w:w="40" w:type="dxa"/>
            </w:tcMar>
            <w:vAlign w:val="bottom"/>
          </w:tcPr>
          <w:p w14:paraId="54E913C6"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Thereafter</w:t>
            </w:r>
          </w:p>
        </w:tc>
      </w:tr>
      <w:tr w:rsidR="00F427A3" w14:paraId="54E913DC" w14:textId="77777777">
        <w:tc>
          <w:tcPr>
            <w:tcW w:w="0" w:type="auto"/>
            <w:shd w:val="clear" w:color="auto" w:fill="CCEEFF"/>
            <w:tcMar>
              <w:top w:w="40" w:type="dxa"/>
              <w:left w:w="40" w:type="dxa"/>
              <w:bottom w:w="40" w:type="dxa"/>
              <w:right w:w="40" w:type="dxa"/>
            </w:tcMar>
            <w:vAlign w:val="bottom"/>
          </w:tcPr>
          <w:p w14:paraId="54E913C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Operating lease obligations, including imputed interest</w:t>
            </w:r>
            <w:r>
              <w:rPr>
                <w:rFonts w:ascii="Times New Roman" w:eastAsia="宋体" w:hAnsi="Times New Roman"/>
                <w:sz w:val="14"/>
                <w:szCs w:val="14"/>
              </w:rPr>
              <w:t>(1)</w:t>
            </w:r>
          </w:p>
        </w:tc>
        <w:tc>
          <w:tcPr>
            <w:tcW w:w="0" w:type="auto"/>
            <w:shd w:val="clear" w:color="auto" w:fill="CCEEFF"/>
            <w:tcMar>
              <w:top w:w="40" w:type="dxa"/>
              <w:left w:w="40" w:type="dxa"/>
              <w:bottom w:w="40" w:type="dxa"/>
            </w:tcMar>
            <w:vAlign w:val="bottom"/>
          </w:tcPr>
          <w:p w14:paraId="54E913C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3C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20,658</w:t>
            </w:r>
          </w:p>
        </w:tc>
        <w:tc>
          <w:tcPr>
            <w:tcW w:w="0" w:type="auto"/>
            <w:shd w:val="clear" w:color="auto" w:fill="CCEEFF"/>
            <w:vAlign w:val="bottom"/>
          </w:tcPr>
          <w:p w14:paraId="54E913CB"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3C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3C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3C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235</w:t>
            </w:r>
          </w:p>
        </w:tc>
        <w:tc>
          <w:tcPr>
            <w:tcW w:w="0" w:type="auto"/>
            <w:shd w:val="clear" w:color="auto" w:fill="CCEEFF"/>
            <w:vAlign w:val="bottom"/>
          </w:tcPr>
          <w:p w14:paraId="54E913CF"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3D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3D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3D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2,842</w:t>
            </w:r>
          </w:p>
        </w:tc>
        <w:tc>
          <w:tcPr>
            <w:tcW w:w="0" w:type="auto"/>
            <w:shd w:val="clear" w:color="auto" w:fill="CCEEFF"/>
            <w:vAlign w:val="bottom"/>
          </w:tcPr>
          <w:p w14:paraId="54E913D3"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3D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3D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3D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2,998</w:t>
            </w:r>
          </w:p>
        </w:tc>
        <w:tc>
          <w:tcPr>
            <w:tcW w:w="0" w:type="auto"/>
            <w:shd w:val="clear" w:color="auto" w:fill="CCEEFF"/>
            <w:vAlign w:val="bottom"/>
          </w:tcPr>
          <w:p w14:paraId="54E913D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3D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3D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3D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14,583</w:t>
            </w:r>
          </w:p>
        </w:tc>
        <w:tc>
          <w:tcPr>
            <w:tcW w:w="0" w:type="auto"/>
            <w:shd w:val="clear" w:color="auto" w:fill="CCEEFF"/>
            <w:vAlign w:val="bottom"/>
          </w:tcPr>
          <w:p w14:paraId="54E913DB" w14:textId="77777777" w:rsidR="00F427A3" w:rsidRDefault="00F427A3">
            <w:pPr>
              <w:textAlignment w:val="bottom"/>
              <w:rPr>
                <w:rFonts w:ascii="Times New Roman" w:hAnsi="Times New Roman"/>
                <w:sz w:val="20"/>
                <w:szCs w:val="20"/>
              </w:rPr>
            </w:pPr>
          </w:p>
        </w:tc>
      </w:tr>
      <w:tr w:rsidR="00F427A3" w14:paraId="54E913EC" w14:textId="77777777">
        <w:tc>
          <w:tcPr>
            <w:tcW w:w="0" w:type="auto"/>
            <w:shd w:val="clear" w:color="auto" w:fill="auto"/>
            <w:tcMar>
              <w:top w:w="40" w:type="dxa"/>
              <w:left w:w="40" w:type="dxa"/>
              <w:bottom w:w="40" w:type="dxa"/>
              <w:right w:w="40" w:type="dxa"/>
            </w:tcMar>
            <w:vAlign w:val="bottom"/>
          </w:tcPr>
          <w:p w14:paraId="54E913D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Finance lease obligations, including imputed interest</w:t>
            </w:r>
            <w:r>
              <w:rPr>
                <w:rFonts w:ascii="Times New Roman" w:eastAsia="宋体" w:hAnsi="Times New Roman"/>
                <w:sz w:val="14"/>
                <w:szCs w:val="14"/>
              </w:rPr>
              <w:t>(1)</w:t>
            </w:r>
          </w:p>
        </w:tc>
        <w:tc>
          <w:tcPr>
            <w:tcW w:w="0" w:type="auto"/>
            <w:gridSpan w:val="2"/>
            <w:shd w:val="clear" w:color="auto" w:fill="auto"/>
            <w:tcMar>
              <w:top w:w="40" w:type="dxa"/>
              <w:left w:w="40" w:type="dxa"/>
              <w:bottom w:w="40" w:type="dxa"/>
            </w:tcMar>
            <w:vAlign w:val="bottom"/>
          </w:tcPr>
          <w:p w14:paraId="54E913D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1,045</w:t>
            </w:r>
          </w:p>
        </w:tc>
        <w:tc>
          <w:tcPr>
            <w:tcW w:w="0" w:type="auto"/>
            <w:shd w:val="clear" w:color="auto" w:fill="auto"/>
            <w:vAlign w:val="bottom"/>
          </w:tcPr>
          <w:p w14:paraId="54E913DF"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3E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3E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140</w:t>
            </w:r>
          </w:p>
        </w:tc>
        <w:tc>
          <w:tcPr>
            <w:tcW w:w="0" w:type="auto"/>
            <w:shd w:val="clear" w:color="auto" w:fill="auto"/>
            <w:vAlign w:val="bottom"/>
          </w:tcPr>
          <w:p w14:paraId="54E913E2"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3E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3E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265</w:t>
            </w:r>
          </w:p>
        </w:tc>
        <w:tc>
          <w:tcPr>
            <w:tcW w:w="0" w:type="auto"/>
            <w:shd w:val="clear" w:color="auto" w:fill="auto"/>
            <w:vAlign w:val="bottom"/>
          </w:tcPr>
          <w:p w14:paraId="54E913E5"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3E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3E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96</w:t>
            </w:r>
          </w:p>
        </w:tc>
        <w:tc>
          <w:tcPr>
            <w:tcW w:w="0" w:type="auto"/>
            <w:shd w:val="clear" w:color="auto" w:fill="auto"/>
            <w:vAlign w:val="bottom"/>
          </w:tcPr>
          <w:p w14:paraId="54E913E8"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3E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3E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544</w:t>
            </w:r>
          </w:p>
        </w:tc>
        <w:tc>
          <w:tcPr>
            <w:tcW w:w="0" w:type="auto"/>
            <w:shd w:val="clear" w:color="auto" w:fill="auto"/>
            <w:vAlign w:val="bottom"/>
          </w:tcPr>
          <w:p w14:paraId="54E913EB" w14:textId="77777777" w:rsidR="00F427A3" w:rsidRDefault="00F427A3">
            <w:pPr>
              <w:textAlignment w:val="bottom"/>
              <w:rPr>
                <w:rFonts w:ascii="Times New Roman" w:hAnsi="Times New Roman"/>
                <w:sz w:val="20"/>
                <w:szCs w:val="20"/>
              </w:rPr>
            </w:pPr>
          </w:p>
        </w:tc>
      </w:tr>
      <w:tr w:rsidR="00F427A3" w14:paraId="54E913FC" w14:textId="77777777">
        <w:tc>
          <w:tcPr>
            <w:tcW w:w="0" w:type="auto"/>
            <w:shd w:val="clear" w:color="auto" w:fill="CCEEFF"/>
            <w:tcMar>
              <w:top w:w="40" w:type="dxa"/>
              <w:left w:w="40" w:type="dxa"/>
              <w:bottom w:w="40" w:type="dxa"/>
              <w:right w:w="40" w:type="dxa"/>
            </w:tcMar>
            <w:vAlign w:val="bottom"/>
          </w:tcPr>
          <w:p w14:paraId="54E913E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Transition tax payable</w:t>
            </w:r>
          </w:p>
        </w:tc>
        <w:tc>
          <w:tcPr>
            <w:tcW w:w="0" w:type="auto"/>
            <w:gridSpan w:val="2"/>
            <w:shd w:val="clear" w:color="auto" w:fill="CCEEFF"/>
            <w:tcMar>
              <w:top w:w="40" w:type="dxa"/>
              <w:left w:w="40" w:type="dxa"/>
              <w:bottom w:w="40" w:type="dxa"/>
            </w:tcMar>
            <w:vAlign w:val="bottom"/>
          </w:tcPr>
          <w:p w14:paraId="54E913E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1,565</w:t>
            </w:r>
          </w:p>
        </w:tc>
        <w:tc>
          <w:tcPr>
            <w:tcW w:w="0" w:type="auto"/>
            <w:shd w:val="clear" w:color="auto" w:fill="CCEEFF"/>
            <w:vAlign w:val="bottom"/>
          </w:tcPr>
          <w:p w14:paraId="54E913EF"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3F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13F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13F2"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3F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13F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4E913F5"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3F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13F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869</w:t>
            </w:r>
          </w:p>
        </w:tc>
        <w:tc>
          <w:tcPr>
            <w:tcW w:w="0" w:type="auto"/>
            <w:shd w:val="clear" w:color="auto" w:fill="CCEEFF"/>
            <w:vAlign w:val="bottom"/>
          </w:tcPr>
          <w:p w14:paraId="54E913F8"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3F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4E913F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696</w:t>
            </w:r>
          </w:p>
        </w:tc>
        <w:tc>
          <w:tcPr>
            <w:tcW w:w="0" w:type="auto"/>
            <w:shd w:val="clear" w:color="auto" w:fill="CCEEFF"/>
            <w:vAlign w:val="bottom"/>
          </w:tcPr>
          <w:p w14:paraId="54E913FB" w14:textId="77777777" w:rsidR="00F427A3" w:rsidRDefault="00F427A3">
            <w:pPr>
              <w:textAlignment w:val="bottom"/>
              <w:rPr>
                <w:rFonts w:ascii="Times New Roman" w:hAnsi="Times New Roman"/>
                <w:sz w:val="20"/>
                <w:szCs w:val="20"/>
              </w:rPr>
            </w:pPr>
          </w:p>
        </w:tc>
      </w:tr>
      <w:tr w:rsidR="00F427A3" w14:paraId="54E9140C" w14:textId="77777777">
        <w:tc>
          <w:tcPr>
            <w:tcW w:w="0" w:type="auto"/>
            <w:shd w:val="clear" w:color="auto" w:fill="auto"/>
            <w:tcMar>
              <w:top w:w="40" w:type="dxa"/>
              <w:left w:w="40" w:type="dxa"/>
              <w:bottom w:w="40" w:type="dxa"/>
              <w:right w:w="40" w:type="dxa"/>
            </w:tcMar>
            <w:vAlign w:val="bottom"/>
          </w:tcPr>
          <w:p w14:paraId="54E913F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Other contractual commitments</w:t>
            </w:r>
          </w:p>
        </w:tc>
        <w:tc>
          <w:tcPr>
            <w:tcW w:w="0" w:type="auto"/>
            <w:gridSpan w:val="2"/>
            <w:shd w:val="clear" w:color="auto" w:fill="auto"/>
            <w:tcMar>
              <w:top w:w="40" w:type="dxa"/>
              <w:left w:w="40" w:type="dxa"/>
              <w:bottom w:w="40" w:type="dxa"/>
            </w:tcMar>
            <w:vAlign w:val="bottom"/>
          </w:tcPr>
          <w:p w14:paraId="54E913F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7,905</w:t>
            </w:r>
          </w:p>
        </w:tc>
        <w:tc>
          <w:tcPr>
            <w:tcW w:w="0" w:type="auto"/>
            <w:shd w:val="clear" w:color="auto" w:fill="auto"/>
            <w:vAlign w:val="bottom"/>
          </w:tcPr>
          <w:p w14:paraId="54E913FF"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40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40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3,023</w:t>
            </w:r>
          </w:p>
        </w:tc>
        <w:tc>
          <w:tcPr>
            <w:tcW w:w="0" w:type="auto"/>
            <w:shd w:val="clear" w:color="auto" w:fill="auto"/>
            <w:vAlign w:val="bottom"/>
          </w:tcPr>
          <w:p w14:paraId="54E91402"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40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40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2,382</w:t>
            </w:r>
          </w:p>
        </w:tc>
        <w:tc>
          <w:tcPr>
            <w:tcW w:w="0" w:type="auto"/>
            <w:shd w:val="clear" w:color="auto" w:fill="auto"/>
            <w:vAlign w:val="bottom"/>
          </w:tcPr>
          <w:p w14:paraId="54E91405"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40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4E9140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404</w:t>
            </w:r>
          </w:p>
        </w:tc>
        <w:tc>
          <w:tcPr>
            <w:tcW w:w="0" w:type="auto"/>
            <w:shd w:val="clear" w:color="auto" w:fill="auto"/>
            <w:vAlign w:val="bottom"/>
          </w:tcPr>
          <w:p w14:paraId="54E91408"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40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4E9140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2,096</w:t>
            </w:r>
          </w:p>
        </w:tc>
        <w:tc>
          <w:tcPr>
            <w:tcW w:w="0" w:type="auto"/>
            <w:tcBorders>
              <w:bottom w:val="single" w:sz="8" w:space="0" w:color="000000"/>
            </w:tcBorders>
            <w:shd w:val="clear" w:color="auto" w:fill="auto"/>
            <w:vAlign w:val="bottom"/>
          </w:tcPr>
          <w:p w14:paraId="54E9140B" w14:textId="77777777" w:rsidR="00F427A3" w:rsidRDefault="00F427A3">
            <w:pPr>
              <w:textAlignment w:val="bottom"/>
              <w:rPr>
                <w:rFonts w:ascii="Times New Roman" w:hAnsi="Times New Roman"/>
                <w:sz w:val="20"/>
                <w:szCs w:val="20"/>
              </w:rPr>
            </w:pPr>
          </w:p>
        </w:tc>
      </w:tr>
      <w:tr w:rsidR="00F427A3" w14:paraId="54E91421" w14:textId="77777777">
        <w:tc>
          <w:tcPr>
            <w:tcW w:w="0" w:type="auto"/>
            <w:shd w:val="clear" w:color="auto" w:fill="CCEEFF"/>
            <w:tcMar>
              <w:top w:w="40" w:type="dxa"/>
              <w:left w:w="400" w:type="dxa"/>
              <w:bottom w:w="40" w:type="dxa"/>
              <w:right w:w="40" w:type="dxa"/>
            </w:tcMar>
            <w:vAlign w:val="bottom"/>
          </w:tcPr>
          <w:p w14:paraId="54E9140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xml:space="preserve">Total contractual </w:t>
            </w:r>
            <w:r>
              <w:rPr>
                <w:rFonts w:ascii="Times New Roman" w:eastAsia="宋体" w:hAnsi="Times New Roman"/>
                <w:sz w:val="20"/>
                <w:szCs w:val="20"/>
              </w:rPr>
              <w:t>obligations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140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140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31,173</w:t>
            </w:r>
          </w:p>
        </w:tc>
        <w:tc>
          <w:tcPr>
            <w:tcW w:w="0" w:type="auto"/>
            <w:tcBorders>
              <w:top w:val="single" w:sz="8" w:space="0" w:color="000000"/>
              <w:bottom w:val="double" w:sz="6" w:space="0" w:color="000000"/>
            </w:tcBorders>
            <w:shd w:val="clear" w:color="auto" w:fill="CCEEFF"/>
            <w:vAlign w:val="bottom"/>
          </w:tcPr>
          <w:p w14:paraId="54E9141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41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141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141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3,398</w:t>
            </w:r>
          </w:p>
        </w:tc>
        <w:tc>
          <w:tcPr>
            <w:tcW w:w="0" w:type="auto"/>
            <w:tcBorders>
              <w:top w:val="single" w:sz="8" w:space="0" w:color="000000"/>
              <w:bottom w:val="double" w:sz="6" w:space="0" w:color="000000"/>
            </w:tcBorders>
            <w:shd w:val="clear" w:color="auto" w:fill="CCEEFF"/>
            <w:vAlign w:val="bottom"/>
          </w:tcPr>
          <w:p w14:paraId="54E91414"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41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141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1417"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5,489</w:t>
            </w:r>
          </w:p>
        </w:tc>
        <w:tc>
          <w:tcPr>
            <w:tcW w:w="0" w:type="auto"/>
            <w:tcBorders>
              <w:top w:val="single" w:sz="8" w:space="0" w:color="000000"/>
              <w:bottom w:val="double" w:sz="6" w:space="0" w:color="000000"/>
            </w:tcBorders>
            <w:shd w:val="clear" w:color="auto" w:fill="CCEEFF"/>
            <w:vAlign w:val="bottom"/>
          </w:tcPr>
          <w:p w14:paraId="54E91418"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41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141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141B"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4,367</w:t>
            </w:r>
          </w:p>
        </w:tc>
        <w:tc>
          <w:tcPr>
            <w:tcW w:w="0" w:type="auto"/>
            <w:tcBorders>
              <w:top w:val="single" w:sz="8" w:space="0" w:color="000000"/>
              <w:bottom w:val="double" w:sz="6" w:space="0" w:color="000000"/>
            </w:tcBorders>
            <w:shd w:val="clear" w:color="auto" w:fill="CCEEFF"/>
            <w:vAlign w:val="bottom"/>
          </w:tcPr>
          <w:p w14:paraId="54E9141C"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41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4E9141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4E9141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17,919</w:t>
            </w:r>
          </w:p>
        </w:tc>
        <w:tc>
          <w:tcPr>
            <w:tcW w:w="0" w:type="auto"/>
            <w:tcBorders>
              <w:top w:val="single" w:sz="8" w:space="0" w:color="000000"/>
              <w:bottom w:val="double" w:sz="6" w:space="0" w:color="000000"/>
            </w:tcBorders>
            <w:shd w:val="clear" w:color="auto" w:fill="CCEEFF"/>
            <w:vAlign w:val="bottom"/>
          </w:tcPr>
          <w:p w14:paraId="54E91420" w14:textId="77777777" w:rsidR="00F427A3" w:rsidRDefault="00F427A3">
            <w:pPr>
              <w:textAlignment w:val="bottom"/>
              <w:rPr>
                <w:rFonts w:ascii="Times New Roman" w:hAnsi="Times New Roman"/>
                <w:sz w:val="20"/>
                <w:szCs w:val="20"/>
              </w:rPr>
            </w:pPr>
          </w:p>
        </w:tc>
      </w:tr>
    </w:tbl>
    <w:p w14:paraId="54E91422" w14:textId="77777777" w:rsidR="00F427A3" w:rsidRDefault="0044221F">
      <w:pPr>
        <w:spacing w:line="288" w:lineRule="auto"/>
        <w:ind w:hanging="480"/>
        <w:jc w:val="both"/>
        <w:rPr>
          <w:rFonts w:ascii="Times New Roman" w:hAnsi="Times New Roman"/>
          <w:sz w:val="12"/>
          <w:szCs w:val="12"/>
        </w:rPr>
      </w:pPr>
      <w:r>
        <w:rPr>
          <w:rFonts w:ascii="Times New Roman" w:eastAsia="宋体" w:hAnsi="Times New Roman"/>
          <w:sz w:val="12"/>
          <w:szCs w:val="12"/>
        </w:rPr>
        <w:t>____________________________________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323"/>
      </w:tblGrid>
      <w:tr w:rsidR="00F427A3" w14:paraId="54E91425" w14:textId="77777777">
        <w:trPr>
          <w:tblCellSpacing w:w="0" w:type="dxa"/>
        </w:trPr>
        <w:tc>
          <w:tcPr>
            <w:tcW w:w="480" w:type="dxa"/>
            <w:shd w:val="clear" w:color="auto" w:fill="auto"/>
            <w:vAlign w:val="center"/>
          </w:tcPr>
          <w:p w14:paraId="54E91423" w14:textId="77777777" w:rsidR="00F427A3" w:rsidRDefault="00F427A3">
            <w:pPr>
              <w:rPr>
                <w:rFonts w:ascii="Times New Roman" w:hAnsi="Times New Roman"/>
                <w:sz w:val="20"/>
                <w:szCs w:val="20"/>
              </w:rPr>
            </w:pPr>
          </w:p>
        </w:tc>
        <w:tc>
          <w:tcPr>
            <w:tcW w:w="0" w:type="auto"/>
            <w:shd w:val="clear" w:color="auto" w:fill="auto"/>
            <w:vAlign w:val="center"/>
          </w:tcPr>
          <w:p w14:paraId="54E91424" w14:textId="77777777" w:rsidR="00F427A3" w:rsidRDefault="00F427A3">
            <w:pPr>
              <w:rPr>
                <w:rFonts w:ascii="Times New Roman" w:hAnsi="Times New Roman"/>
                <w:sz w:val="20"/>
                <w:szCs w:val="20"/>
              </w:rPr>
            </w:pPr>
          </w:p>
        </w:tc>
      </w:tr>
      <w:tr w:rsidR="00F427A3" w14:paraId="54E91428" w14:textId="77777777">
        <w:trPr>
          <w:tblCellSpacing w:w="0" w:type="dxa"/>
        </w:trPr>
        <w:tc>
          <w:tcPr>
            <w:tcW w:w="0" w:type="auto"/>
            <w:shd w:val="clear" w:color="auto" w:fill="auto"/>
          </w:tcPr>
          <w:p w14:paraId="54E91426" w14:textId="77777777" w:rsidR="00F427A3" w:rsidRDefault="0044221F">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54E91427" w14:textId="77777777" w:rsidR="00F427A3" w:rsidRDefault="0044221F">
            <w:pPr>
              <w:spacing w:line="288" w:lineRule="auto"/>
              <w:jc w:val="both"/>
              <w:textAlignment w:val="top"/>
              <w:rPr>
                <w:rFonts w:ascii="Times New Roman" w:hAnsi="Times New Roman"/>
                <w:sz w:val="18"/>
                <w:szCs w:val="18"/>
              </w:rPr>
            </w:pPr>
            <w:r>
              <w:rPr>
                <w:rFonts w:ascii="Times New Roman" w:eastAsia="宋体" w:hAnsi="Times New Roman"/>
                <w:sz w:val="18"/>
                <w:szCs w:val="18"/>
              </w:rPr>
              <w:t>Includes variable lease payments that were fixed subsequent to lease commencement or modification.</w:t>
            </w:r>
          </w:p>
        </w:tc>
      </w:tr>
    </w:tbl>
    <w:p w14:paraId="54E91429"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Additionally, as part of the normal course of the business, we may also enter into multi-year agreements to purchase renewable energy that do not specify a fixed or minimum volume commitment or to purchase certain network components that do not specify a f</w:t>
      </w:r>
      <w:r>
        <w:rPr>
          <w:rFonts w:ascii="Times New Roman" w:eastAsia="宋体" w:hAnsi="Times New Roman"/>
          <w:sz w:val="20"/>
          <w:szCs w:val="20"/>
        </w:rPr>
        <w:t>ixed or minimum price commitment. These agreements are generally entered into in order to secure either volume or price. Using projected market prices or expected volume consumption, the total estimated spend is approximately $4.90 billion. The ultimate sp</w:t>
      </w:r>
      <w:r>
        <w:rPr>
          <w:rFonts w:ascii="Times New Roman" w:eastAsia="宋体" w:hAnsi="Times New Roman"/>
          <w:sz w:val="20"/>
          <w:szCs w:val="20"/>
        </w:rPr>
        <w:t xml:space="preserve">end under these agreements may vary and will be based on prevailing market prices or actual volume purchased.  </w:t>
      </w:r>
    </w:p>
    <w:p w14:paraId="54E9142A" w14:textId="77777777" w:rsidR="00F427A3" w:rsidRDefault="0044221F">
      <w:pPr>
        <w:spacing w:line="288" w:lineRule="auto"/>
        <w:ind w:firstLine="660"/>
        <w:jc w:val="both"/>
        <w:rPr>
          <w:rFonts w:ascii="Times New Roman" w:hAnsi="Times New Roman"/>
          <w:sz w:val="20"/>
          <w:szCs w:val="20"/>
        </w:rPr>
      </w:pPr>
      <w:r>
        <w:rPr>
          <w:rFonts w:ascii="Times New Roman" w:eastAsia="宋体" w:hAnsi="Times New Roman"/>
          <w:sz w:val="20"/>
          <w:szCs w:val="20"/>
        </w:rPr>
        <w:t>Our other liabilities also include $3.58 billion related to net uncertain tax positions as of September 30, 2020. Due to uncertainties in the ti</w:t>
      </w:r>
      <w:r>
        <w:rPr>
          <w:rFonts w:ascii="Times New Roman" w:eastAsia="宋体" w:hAnsi="Times New Roman"/>
          <w:sz w:val="20"/>
          <w:szCs w:val="20"/>
        </w:rPr>
        <w:t>ming of the completion of tax audits, the timing of the resolution of these positions is uncertain and we are unable to make a reasonably reliable estimate of the timing of payments in individual years beyond 12 months. As a result, this amount is not incl</w:t>
      </w:r>
      <w:r>
        <w:rPr>
          <w:rFonts w:ascii="Times New Roman" w:eastAsia="宋体" w:hAnsi="Times New Roman"/>
          <w:sz w:val="20"/>
          <w:szCs w:val="20"/>
        </w:rPr>
        <w:t>uded in the above contractual obligations table.</w:t>
      </w:r>
    </w:p>
    <w:p w14:paraId="54E9142B" w14:textId="77777777" w:rsidR="00F427A3" w:rsidRDefault="00F427A3">
      <w:pPr>
        <w:rPr>
          <w:rFonts w:ascii="Times New Roman" w:hAnsi="Times New Roman"/>
          <w:sz w:val="20"/>
          <w:szCs w:val="20"/>
        </w:rPr>
      </w:pPr>
    </w:p>
    <w:p w14:paraId="54E9142C"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46</w:t>
      </w:r>
    </w:p>
    <w:p w14:paraId="54E9142D" w14:textId="77777777" w:rsidR="00F427A3" w:rsidRDefault="0044221F">
      <w:r>
        <w:rPr>
          <w:rFonts w:ascii="Times New Roman" w:hAnsi="Times New Roman"/>
          <w:sz w:val="20"/>
          <w:szCs w:val="20"/>
        </w:rPr>
        <w:pict w14:anchorId="54E91C5E">
          <v:rect id="_x0000_i1070" style="width:415.3pt;height:1.5pt" o:hralign="center" o:hrstd="t" o:hr="t" fillcolor="#a0a0a0" stroked="f"/>
        </w:pict>
      </w:r>
    </w:p>
    <w:p w14:paraId="54E9142E" w14:textId="77777777" w:rsidR="00F427A3" w:rsidRDefault="0044221F">
      <w:pPr>
        <w:spacing w:line="288" w:lineRule="auto"/>
        <w:rPr>
          <w:rFonts w:ascii="Times New Roman" w:hAnsi="Times New Roman"/>
          <w:sz w:val="20"/>
          <w:szCs w:val="20"/>
        </w:rPr>
      </w:pPr>
      <w:hyperlink r:id="rId88" w:anchor="s348EA962CF6D59B599D9921AFA89C381" w:history="1">
        <w:r>
          <w:rPr>
            <w:rStyle w:val="a5"/>
            <w:rFonts w:ascii="Times New Roman" w:eastAsia="宋体" w:hAnsi="Times New Roman"/>
            <w:sz w:val="20"/>
            <w:szCs w:val="20"/>
          </w:rPr>
          <w:t>Table of Contents</w:t>
        </w:r>
      </w:hyperlink>
    </w:p>
    <w:p w14:paraId="54E9142F" w14:textId="77777777" w:rsidR="00F427A3" w:rsidRDefault="00F427A3">
      <w:pPr>
        <w:rPr>
          <w:rFonts w:ascii="Times New Roman" w:hAnsi="Times New Roman"/>
          <w:sz w:val="20"/>
          <w:szCs w:val="20"/>
        </w:rPr>
      </w:pPr>
    </w:p>
    <w:p w14:paraId="54E91430"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sz w:val="20"/>
          <w:szCs w:val="20"/>
        </w:rPr>
        <w:t>Contingencies</w:t>
      </w:r>
    </w:p>
    <w:p w14:paraId="54E91431"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are involved in legal proceedings, claims, and regulatory, tax or g</w:t>
      </w:r>
      <w:r>
        <w:rPr>
          <w:rFonts w:ascii="Times New Roman" w:eastAsia="宋体" w:hAnsi="Times New Roman"/>
          <w:sz w:val="20"/>
          <w:szCs w:val="20"/>
        </w:rPr>
        <w:t>overnment inquiries and investigations. We record a provision for a liability when we believe that it is both probable that a liability has been incurred, and that the amount can be reasonably estimated. If we determine there is a reasonable possibility th</w:t>
      </w:r>
      <w:r>
        <w:rPr>
          <w:rFonts w:ascii="Times New Roman" w:eastAsia="宋体" w:hAnsi="Times New Roman"/>
          <w:sz w:val="20"/>
          <w:szCs w:val="20"/>
        </w:rPr>
        <w:t>at we may incur a loss and the loss or range of loss can be estimated, we disclose the possible loss in the accompanying notes to the condensed consolidated financial statements to the extent material. Significant judgment is required to determine both pro</w:t>
      </w:r>
      <w:r>
        <w:rPr>
          <w:rFonts w:ascii="Times New Roman" w:eastAsia="宋体" w:hAnsi="Times New Roman"/>
          <w:sz w:val="20"/>
          <w:szCs w:val="20"/>
        </w:rPr>
        <w:t>bability and the estimated amount of loss. Such matters are inherently unpredictable and subject to significant uncertainties, some of which are beyond our control. Should any of these estimates and assumptions change or prove to be incorrect, it could hav</w:t>
      </w:r>
      <w:r>
        <w:rPr>
          <w:rFonts w:ascii="Times New Roman" w:eastAsia="宋体" w:hAnsi="Times New Roman"/>
          <w:sz w:val="20"/>
          <w:szCs w:val="20"/>
        </w:rPr>
        <w:t>e a material impact on our results of operations, financial position, and cash flows.</w:t>
      </w:r>
    </w:p>
    <w:p w14:paraId="54E91432"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See Note 11 — Commitments and Contingencies and Note 13 — Income Taxes in the notes to the condensed consolidated financial statements included in Part I, Item 1, and "Le</w:t>
      </w:r>
      <w:r>
        <w:rPr>
          <w:rFonts w:ascii="Times New Roman" w:eastAsia="宋体" w:hAnsi="Times New Roman"/>
          <w:sz w:val="20"/>
          <w:szCs w:val="20"/>
        </w:rPr>
        <w:t>gal Proceedings" contained in Part II, Item 1 of this Quarterly Report on Form 10-Q for additional information regarding contingencies.</w:t>
      </w:r>
    </w:p>
    <w:p w14:paraId="54E91433" w14:textId="77777777" w:rsidR="00F427A3" w:rsidRDefault="00F427A3">
      <w:pPr>
        <w:spacing w:line="288" w:lineRule="auto"/>
        <w:rPr>
          <w:rFonts w:ascii="Times New Roman" w:hAnsi="Times New Roman"/>
          <w:sz w:val="20"/>
          <w:szCs w:val="20"/>
        </w:rPr>
      </w:pPr>
    </w:p>
    <w:p w14:paraId="54E91434"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sz w:val="20"/>
          <w:szCs w:val="20"/>
        </w:rPr>
        <w:t>Critical Accounting Policies and Estimates</w:t>
      </w:r>
    </w:p>
    <w:p w14:paraId="54E91435" w14:textId="77777777" w:rsidR="00F427A3" w:rsidRDefault="00F427A3">
      <w:pPr>
        <w:spacing w:line="288" w:lineRule="auto"/>
        <w:ind w:firstLine="720"/>
        <w:jc w:val="both"/>
        <w:rPr>
          <w:rFonts w:ascii="Times New Roman" w:hAnsi="Times New Roman"/>
          <w:sz w:val="20"/>
          <w:szCs w:val="20"/>
        </w:rPr>
      </w:pPr>
    </w:p>
    <w:p w14:paraId="54E91436"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condensed consolidated financial statements are prepared in accordance </w:t>
      </w:r>
      <w:r>
        <w:rPr>
          <w:rFonts w:ascii="Times New Roman" w:eastAsia="宋体" w:hAnsi="Times New Roman"/>
          <w:sz w:val="20"/>
          <w:szCs w:val="20"/>
        </w:rPr>
        <w:t>with GAAP. The preparation of these condensed consolidated financial statements requires us to make estimates and assumptions that affect the reported amounts of assets, liabilities, revenue, costs and expenses, and related disclosures. These estimates for</w:t>
      </w:r>
      <w:r>
        <w:rPr>
          <w:rFonts w:ascii="Times New Roman" w:eastAsia="宋体" w:hAnsi="Times New Roman"/>
          <w:sz w:val="20"/>
          <w:szCs w:val="20"/>
        </w:rPr>
        <w:t xml:space="preserve">m the basis for judgments we make about the carrying values of our assets and liabilities, which are not readily apparent from other sources. We base our estimates and judgments on historical experience and on various other assumptions that we believe are </w:t>
      </w:r>
      <w:r>
        <w:rPr>
          <w:rFonts w:ascii="Times New Roman" w:eastAsia="宋体" w:hAnsi="Times New Roman"/>
          <w:sz w:val="20"/>
          <w:szCs w:val="20"/>
        </w:rPr>
        <w:t xml:space="preserve">reasonable under the circumstances. On an ongoing basis, we evaluate our estimates and assumptions. Our actual results may differ from these estimates under different assumptions or conditions. </w:t>
      </w:r>
    </w:p>
    <w:p w14:paraId="54E91437" w14:textId="77777777" w:rsidR="00F427A3" w:rsidRDefault="00F427A3">
      <w:pPr>
        <w:spacing w:line="288" w:lineRule="auto"/>
        <w:ind w:firstLine="720"/>
        <w:jc w:val="both"/>
        <w:rPr>
          <w:rFonts w:ascii="Times New Roman" w:hAnsi="Times New Roman"/>
          <w:sz w:val="20"/>
          <w:szCs w:val="20"/>
        </w:rPr>
      </w:pPr>
    </w:p>
    <w:p w14:paraId="54E91438"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An accounting policy is deemed to be critical if it requires</w:t>
      </w:r>
      <w:r>
        <w:rPr>
          <w:rFonts w:ascii="Times New Roman" w:eastAsia="宋体" w:hAnsi="Times New Roman"/>
          <w:sz w:val="20"/>
          <w:szCs w:val="20"/>
        </w:rPr>
        <w:t xml:space="preserve"> an accounting estimate to be made based on assumptions about matters that are highly uncertain at the time the estimate is made, if different estimates reasonably could have been used, or if changes in the estimate that are reasonably possible could mater</w:t>
      </w:r>
      <w:r>
        <w:rPr>
          <w:rFonts w:ascii="Times New Roman" w:eastAsia="宋体" w:hAnsi="Times New Roman"/>
          <w:sz w:val="20"/>
          <w:szCs w:val="20"/>
        </w:rPr>
        <w:t xml:space="preserve">ially impact the financial statements. </w:t>
      </w:r>
    </w:p>
    <w:p w14:paraId="54E91439" w14:textId="77777777" w:rsidR="00F427A3" w:rsidRDefault="00F427A3">
      <w:pPr>
        <w:spacing w:line="288" w:lineRule="auto"/>
        <w:ind w:firstLine="720"/>
        <w:jc w:val="both"/>
        <w:rPr>
          <w:rFonts w:ascii="Times New Roman" w:hAnsi="Times New Roman"/>
          <w:sz w:val="20"/>
          <w:szCs w:val="20"/>
        </w:rPr>
      </w:pPr>
    </w:p>
    <w:p w14:paraId="54E9143A"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our Annual Report on Form 10-K for the fiscal year ended December 31, 2019, we disclosed the assumptions and estimates associated with income taxes, loss contingencies, and valuation of long-lived assets </w:t>
      </w:r>
      <w:r>
        <w:rPr>
          <w:rFonts w:ascii="Times New Roman" w:eastAsia="宋体" w:hAnsi="Times New Roman"/>
          <w:sz w:val="20"/>
          <w:szCs w:val="20"/>
        </w:rPr>
        <w:t xml:space="preserve">including goodwill, intangible assets and their associated estimated useful lives have the greatest potential impact on our consolidated financial statements. There have been no material changes from the fiscal year ended December 31, 2019, except for the </w:t>
      </w:r>
      <w:r>
        <w:rPr>
          <w:rFonts w:ascii="Times New Roman" w:eastAsia="宋体" w:hAnsi="Times New Roman"/>
          <w:sz w:val="20"/>
          <w:szCs w:val="20"/>
        </w:rPr>
        <w:t>assumptions and estimates noted below.</w:t>
      </w:r>
    </w:p>
    <w:p w14:paraId="54E9143B" w14:textId="77777777" w:rsidR="00F427A3" w:rsidRDefault="00F427A3">
      <w:pPr>
        <w:spacing w:line="288" w:lineRule="auto"/>
        <w:ind w:firstLine="720"/>
        <w:jc w:val="both"/>
        <w:rPr>
          <w:rFonts w:ascii="Times New Roman" w:hAnsi="Times New Roman"/>
          <w:sz w:val="20"/>
          <w:szCs w:val="20"/>
        </w:rPr>
      </w:pPr>
    </w:p>
    <w:p w14:paraId="54E9143C"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During the nine months ended September 30, 2020, in response to the economic slowdown caused by the COVID-19 pandemic, we now believe that the assumptions and estimates associated with collectibility assessment of re</w:t>
      </w:r>
      <w:r>
        <w:rPr>
          <w:rFonts w:ascii="Times New Roman" w:eastAsia="宋体" w:hAnsi="Times New Roman"/>
          <w:sz w:val="20"/>
          <w:szCs w:val="20"/>
        </w:rPr>
        <w:t>venue and credit losses of accounts receivable may also have a material impact to our consolidated financial statements in future periods, depending on the duration or degree of the impact of the COVID-19 pandemic on the global economy. </w:t>
      </w:r>
    </w:p>
    <w:p w14:paraId="54E9143D" w14:textId="77777777" w:rsidR="00F427A3" w:rsidRDefault="00F427A3">
      <w:pPr>
        <w:spacing w:line="288" w:lineRule="auto"/>
        <w:rPr>
          <w:rFonts w:ascii="Times New Roman" w:hAnsi="Times New Roman"/>
          <w:sz w:val="20"/>
          <w:szCs w:val="20"/>
        </w:rPr>
      </w:pPr>
    </w:p>
    <w:p w14:paraId="54E9143E" w14:textId="77777777" w:rsidR="00F427A3" w:rsidRDefault="0044221F">
      <w:pPr>
        <w:spacing w:line="288" w:lineRule="auto"/>
        <w:rPr>
          <w:rFonts w:ascii="Times New Roman" w:hAnsi="Times New Roman"/>
          <w:sz w:val="20"/>
          <w:szCs w:val="20"/>
        </w:rPr>
      </w:pPr>
      <w:r>
        <w:rPr>
          <w:rFonts w:ascii="Times New Roman" w:eastAsia="宋体" w:hAnsi="Times New Roman"/>
          <w:b/>
          <w:bCs/>
          <w:i/>
          <w:iCs/>
          <w:sz w:val="20"/>
          <w:szCs w:val="20"/>
        </w:rPr>
        <w:t>Collectibility as</w:t>
      </w:r>
      <w:r>
        <w:rPr>
          <w:rFonts w:ascii="Times New Roman" w:eastAsia="宋体" w:hAnsi="Times New Roman"/>
          <w:b/>
          <w:bCs/>
          <w:i/>
          <w:iCs/>
          <w:sz w:val="20"/>
          <w:szCs w:val="20"/>
        </w:rPr>
        <w:t>sessment of revenue </w:t>
      </w:r>
    </w:p>
    <w:p w14:paraId="54E9143F" w14:textId="77777777" w:rsidR="00F427A3" w:rsidRDefault="00F427A3">
      <w:pPr>
        <w:spacing w:line="288" w:lineRule="auto"/>
        <w:ind w:firstLine="720"/>
        <w:jc w:val="both"/>
        <w:rPr>
          <w:rFonts w:ascii="Times New Roman" w:hAnsi="Times New Roman"/>
          <w:sz w:val="20"/>
          <w:szCs w:val="20"/>
        </w:rPr>
      </w:pPr>
    </w:p>
    <w:p w14:paraId="54E91440"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Under Topic 606, we recognize revenue using a five-step model. In step one, for a revenue contract to exist, it must be probable that substantially all of the consideration to which we are entitled to will be collected. In performing </w:t>
      </w:r>
      <w:r>
        <w:rPr>
          <w:rFonts w:ascii="Times New Roman" w:eastAsia="宋体" w:hAnsi="Times New Roman"/>
          <w:sz w:val="20"/>
          <w:szCs w:val="20"/>
        </w:rPr>
        <w:t>such collectibility assessment, we consider various facts and circumstances including future expectations about our customer’s ability and intention to pay. Collectibility assessment uses a probable threshold which requires estimation based on several obje</w:t>
      </w:r>
      <w:r>
        <w:rPr>
          <w:rFonts w:ascii="Times New Roman" w:eastAsia="宋体" w:hAnsi="Times New Roman"/>
          <w:sz w:val="20"/>
          <w:szCs w:val="20"/>
        </w:rPr>
        <w:t>ctive and subjective factors, such as probability of default, customer’s intention to pay, payment history, financial strength, geography, and industry sub-vertical risks. The collectibility assessment has become increasingly uncertain during the current e</w:t>
      </w:r>
      <w:r>
        <w:rPr>
          <w:rFonts w:ascii="Times New Roman" w:eastAsia="宋体" w:hAnsi="Times New Roman"/>
          <w:sz w:val="20"/>
          <w:szCs w:val="20"/>
        </w:rPr>
        <w:t xml:space="preserve">conomic environment caused by the COVID-19 pandemic, and our actual experience in the future may differ from our past experiences or current assessment. </w:t>
      </w:r>
    </w:p>
    <w:p w14:paraId="54E91441" w14:textId="77777777" w:rsidR="00F427A3" w:rsidRDefault="00F427A3">
      <w:pPr>
        <w:spacing w:line="288" w:lineRule="auto"/>
        <w:ind w:firstLine="720"/>
        <w:jc w:val="both"/>
        <w:rPr>
          <w:rFonts w:ascii="Times New Roman" w:hAnsi="Times New Roman"/>
          <w:sz w:val="20"/>
          <w:szCs w:val="20"/>
        </w:rPr>
      </w:pPr>
    </w:p>
    <w:p w14:paraId="54E91442" w14:textId="77777777" w:rsidR="00F427A3" w:rsidRDefault="00F427A3">
      <w:pPr>
        <w:rPr>
          <w:rFonts w:ascii="Times New Roman" w:hAnsi="Times New Roman"/>
          <w:sz w:val="20"/>
          <w:szCs w:val="20"/>
        </w:rPr>
      </w:pPr>
    </w:p>
    <w:p w14:paraId="54E91443"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47</w:t>
      </w:r>
    </w:p>
    <w:p w14:paraId="54E91444" w14:textId="77777777" w:rsidR="00F427A3" w:rsidRDefault="0044221F">
      <w:r>
        <w:rPr>
          <w:rFonts w:ascii="Times New Roman" w:hAnsi="Times New Roman"/>
          <w:sz w:val="20"/>
          <w:szCs w:val="20"/>
        </w:rPr>
        <w:pict w14:anchorId="54E91C5F">
          <v:rect id="_x0000_i1071" style="width:415.3pt;height:1.5pt" o:hralign="center" o:hrstd="t" o:hr="t" fillcolor="#a0a0a0" stroked="f"/>
        </w:pict>
      </w:r>
    </w:p>
    <w:p w14:paraId="54E91445" w14:textId="77777777" w:rsidR="00F427A3" w:rsidRDefault="0044221F">
      <w:pPr>
        <w:spacing w:line="288" w:lineRule="auto"/>
        <w:rPr>
          <w:rFonts w:ascii="Times New Roman" w:hAnsi="Times New Roman"/>
          <w:sz w:val="20"/>
          <w:szCs w:val="20"/>
        </w:rPr>
      </w:pPr>
      <w:hyperlink r:id="rId89" w:anchor="s348EA962CF6D59B599D9921AFA89C381" w:history="1">
        <w:r>
          <w:rPr>
            <w:rStyle w:val="a5"/>
            <w:rFonts w:ascii="Times New Roman" w:eastAsia="宋体" w:hAnsi="Times New Roman"/>
            <w:sz w:val="20"/>
            <w:szCs w:val="20"/>
          </w:rPr>
          <w:t>Table of Contents</w:t>
        </w:r>
      </w:hyperlink>
    </w:p>
    <w:p w14:paraId="54E91446" w14:textId="77777777" w:rsidR="00F427A3" w:rsidRDefault="00F427A3">
      <w:pPr>
        <w:rPr>
          <w:rFonts w:ascii="Times New Roman" w:hAnsi="Times New Roman"/>
          <w:sz w:val="20"/>
          <w:szCs w:val="20"/>
        </w:rPr>
      </w:pPr>
    </w:p>
    <w:p w14:paraId="54E91447" w14:textId="77777777" w:rsidR="00F427A3" w:rsidRDefault="0044221F">
      <w:pPr>
        <w:spacing w:line="288" w:lineRule="auto"/>
        <w:ind w:firstLine="720"/>
        <w:rPr>
          <w:rFonts w:ascii="Times New Roman" w:hAnsi="Times New Roman"/>
          <w:sz w:val="20"/>
          <w:szCs w:val="20"/>
        </w:rPr>
      </w:pPr>
      <w:r>
        <w:rPr>
          <w:rFonts w:ascii="Times New Roman" w:eastAsia="宋体" w:hAnsi="Times New Roman"/>
          <w:b/>
          <w:bCs/>
          <w:i/>
          <w:iCs/>
          <w:sz w:val="20"/>
          <w:szCs w:val="20"/>
        </w:rPr>
        <w:t>Credit losses of accounts receivable</w:t>
      </w:r>
    </w:p>
    <w:p w14:paraId="54E91448" w14:textId="77777777" w:rsidR="00F427A3" w:rsidRDefault="00F427A3">
      <w:pPr>
        <w:spacing w:line="288" w:lineRule="auto"/>
        <w:ind w:firstLine="720"/>
        <w:jc w:val="both"/>
        <w:rPr>
          <w:rFonts w:ascii="Times New Roman" w:hAnsi="Times New Roman"/>
          <w:sz w:val="20"/>
          <w:szCs w:val="20"/>
        </w:rPr>
      </w:pPr>
    </w:p>
    <w:p w14:paraId="54E91449"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On January 1, 2020, we adopted Accounting Standards Update No. 2016-13, </w:t>
      </w:r>
      <w:r>
        <w:rPr>
          <w:rFonts w:ascii="Times New Roman" w:eastAsia="宋体" w:hAnsi="Times New Roman"/>
          <w:i/>
          <w:iCs/>
          <w:sz w:val="20"/>
          <w:szCs w:val="20"/>
        </w:rPr>
        <w:t>Financial Instruments-Credit Losses (Topic 326): Measurement of Credit Losses on Financial Instruments</w:t>
      </w:r>
      <w:r>
        <w:rPr>
          <w:rFonts w:ascii="Times New Roman" w:eastAsia="宋体" w:hAnsi="Times New Roman"/>
          <w:sz w:val="20"/>
          <w:szCs w:val="20"/>
        </w:rPr>
        <w:t>, which requires the measurement and recognition of expected credit losses for fin</w:t>
      </w:r>
      <w:r>
        <w:rPr>
          <w:rFonts w:ascii="Times New Roman" w:eastAsia="宋体" w:hAnsi="Times New Roman"/>
          <w:sz w:val="20"/>
          <w:szCs w:val="20"/>
        </w:rPr>
        <w:t>ancial assets held at amortized cost that an entity does not expect to collect over the asset’s contractual life, considering past events, current conditions, and reasonable and supportable forecasts of future economic conditions. </w:t>
      </w:r>
    </w:p>
    <w:p w14:paraId="54E9144A" w14:textId="77777777" w:rsidR="00F427A3" w:rsidRDefault="00F427A3">
      <w:pPr>
        <w:spacing w:line="288" w:lineRule="auto"/>
        <w:ind w:firstLine="720"/>
        <w:jc w:val="both"/>
        <w:rPr>
          <w:rFonts w:ascii="Times New Roman" w:hAnsi="Times New Roman"/>
          <w:sz w:val="20"/>
          <w:szCs w:val="20"/>
        </w:rPr>
      </w:pPr>
    </w:p>
    <w:p w14:paraId="54E9144B"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For accounts receivable</w:t>
      </w:r>
      <w:r>
        <w:rPr>
          <w:rFonts w:ascii="Times New Roman" w:eastAsia="宋体" w:hAnsi="Times New Roman"/>
          <w:sz w:val="20"/>
          <w:szCs w:val="20"/>
        </w:rPr>
        <w:t xml:space="preserve"> measured at amortized cost, we use aging analysis, probability of default methods and incorporate macroeconomic variables that are most relevant to evaluating and estimating the expected credit losses. These macroeconomic variables may vary by geography, </w:t>
      </w:r>
      <w:r>
        <w:rPr>
          <w:rFonts w:ascii="Times New Roman" w:eastAsia="宋体" w:hAnsi="Times New Roman"/>
          <w:sz w:val="20"/>
          <w:szCs w:val="20"/>
        </w:rPr>
        <w:t>customer-type, or industry sub-vertical. The contractual life of our trade accounts receivable is generally short-term; however, we may experience increasing credit loss risks from accounts receivable in future periods depending on the duration or degree o</w:t>
      </w:r>
      <w:r>
        <w:rPr>
          <w:rFonts w:ascii="Times New Roman" w:eastAsia="宋体" w:hAnsi="Times New Roman"/>
          <w:sz w:val="20"/>
          <w:szCs w:val="20"/>
        </w:rPr>
        <w:t xml:space="preserve">f economic slowdown caused by the COVID-19 pandemic, and our actual experience in the future may differ from our past experiences or current assessment. </w:t>
      </w:r>
    </w:p>
    <w:p w14:paraId="54E9144C" w14:textId="77777777" w:rsidR="00F427A3" w:rsidRDefault="00F427A3">
      <w:pPr>
        <w:spacing w:line="288" w:lineRule="auto"/>
        <w:ind w:firstLine="720"/>
        <w:jc w:val="both"/>
        <w:rPr>
          <w:rFonts w:ascii="Times New Roman" w:hAnsi="Times New Roman"/>
          <w:sz w:val="20"/>
          <w:szCs w:val="20"/>
        </w:rPr>
      </w:pPr>
    </w:p>
    <w:p w14:paraId="54E9144D" w14:textId="77777777" w:rsidR="00F427A3" w:rsidRDefault="0044221F">
      <w:pPr>
        <w:spacing w:line="288" w:lineRule="auto"/>
        <w:rPr>
          <w:rFonts w:ascii="Times New Roman" w:hAnsi="Times New Roman"/>
          <w:sz w:val="20"/>
          <w:szCs w:val="20"/>
        </w:rPr>
      </w:pPr>
      <w:r>
        <w:rPr>
          <w:rFonts w:ascii="Times New Roman" w:eastAsia="宋体" w:hAnsi="Times New Roman"/>
          <w:b/>
          <w:bCs/>
          <w:i/>
          <w:iCs/>
          <w:sz w:val="20"/>
          <w:szCs w:val="20"/>
        </w:rPr>
        <w:t>Valuation of Equity Investments</w:t>
      </w:r>
    </w:p>
    <w:p w14:paraId="54E9144E" w14:textId="77777777" w:rsidR="00F427A3" w:rsidRDefault="00F427A3">
      <w:pPr>
        <w:spacing w:line="288" w:lineRule="auto"/>
        <w:ind w:firstLine="720"/>
        <w:rPr>
          <w:rFonts w:ascii="Times New Roman" w:hAnsi="Times New Roman"/>
          <w:sz w:val="20"/>
          <w:szCs w:val="20"/>
        </w:rPr>
      </w:pPr>
    </w:p>
    <w:p w14:paraId="54E9144F"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For our equity securities without readily determinable fair values a</w:t>
      </w:r>
      <w:r>
        <w:rPr>
          <w:rFonts w:ascii="Times New Roman" w:eastAsia="宋体" w:hAnsi="Times New Roman"/>
          <w:sz w:val="20"/>
          <w:szCs w:val="20"/>
        </w:rPr>
        <w:t>ccounted for using the measurement alternative, determining whether an equity security issued by the same issuer is similar to the equity security we hold may require judgment in (a) assessment of differences in rights and obligations associated with the i</w:t>
      </w:r>
      <w:r>
        <w:rPr>
          <w:rFonts w:ascii="Times New Roman" w:eastAsia="宋体" w:hAnsi="Times New Roman"/>
          <w:sz w:val="20"/>
          <w:szCs w:val="20"/>
        </w:rPr>
        <w:t>nstruments such as voting rights, distribution rights and preferences, and conversion features, and (b) adjustments to the observable price for differences such as, but not limited to, rights and obligations, control premium, liquidity, or principal or mos</w:t>
      </w:r>
      <w:r>
        <w:rPr>
          <w:rFonts w:ascii="Times New Roman" w:eastAsia="宋体" w:hAnsi="Times New Roman"/>
          <w:sz w:val="20"/>
          <w:szCs w:val="20"/>
        </w:rPr>
        <w:t>t advantageous markets. In addition, the identification of observable transactions will depend on the timely reporting of these transactions from our investee companies, which may occur in a period subsequent to when the transactions take place. Therefore,</w:t>
      </w:r>
      <w:r>
        <w:rPr>
          <w:rFonts w:ascii="Times New Roman" w:eastAsia="宋体" w:hAnsi="Times New Roman"/>
          <w:sz w:val="20"/>
          <w:szCs w:val="20"/>
        </w:rPr>
        <w:t xml:space="preserve"> our fair value adjustment for these observable transactions may occur in a period subsequent to when the transaction actually occurred. For equity investments, we perform a qualitative assessment at each reporting date to determine whether there are trigg</w:t>
      </w:r>
      <w:r>
        <w:rPr>
          <w:rFonts w:ascii="Times New Roman" w:eastAsia="宋体" w:hAnsi="Times New Roman"/>
          <w:sz w:val="20"/>
          <w:szCs w:val="20"/>
        </w:rPr>
        <w:t xml:space="preserve">ering events for impairment. The qualitative assessment considers factors such as, but not limited to, the investee's financial condition and business outlook; industry and sector performance; regulatory, economic or technological environment; operational </w:t>
      </w:r>
      <w:r>
        <w:rPr>
          <w:rFonts w:ascii="Times New Roman" w:eastAsia="宋体" w:hAnsi="Times New Roman"/>
          <w:sz w:val="20"/>
          <w:szCs w:val="20"/>
        </w:rPr>
        <w:t xml:space="preserve">and financing cash flows; and other relevant events and factors affecting the investee. When indicators of impairment exist, we estimate the fair value of our equity investments using the market approach and/or the income approach and recognize impairment </w:t>
      </w:r>
      <w:r>
        <w:rPr>
          <w:rFonts w:ascii="Times New Roman" w:eastAsia="宋体" w:hAnsi="Times New Roman"/>
          <w:sz w:val="20"/>
          <w:szCs w:val="20"/>
        </w:rPr>
        <w:t>loss in net income if the estimated fair value is less than the carrying value. Estimating fair value requires judgment and use of estimates such as discount rates, forecast cash flows, holding period, and market data of comparable companies, among others.</w:t>
      </w:r>
    </w:p>
    <w:p w14:paraId="54E91450" w14:textId="77777777" w:rsidR="00F427A3" w:rsidRDefault="00F427A3">
      <w:pPr>
        <w:spacing w:line="288" w:lineRule="auto"/>
        <w:rPr>
          <w:rFonts w:ascii="Times New Roman" w:hAnsi="Times New Roman"/>
          <w:sz w:val="20"/>
          <w:szCs w:val="20"/>
        </w:rPr>
      </w:pPr>
    </w:p>
    <w:p w14:paraId="54E91451" w14:textId="77777777" w:rsidR="00F427A3" w:rsidRDefault="00F427A3">
      <w:pPr>
        <w:rPr>
          <w:rFonts w:ascii="Times New Roman" w:hAnsi="Times New Roman"/>
          <w:sz w:val="20"/>
          <w:szCs w:val="20"/>
        </w:rPr>
      </w:pPr>
    </w:p>
    <w:p w14:paraId="54E91452"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48</w:t>
      </w:r>
    </w:p>
    <w:p w14:paraId="54E91453" w14:textId="77777777" w:rsidR="00F427A3" w:rsidRDefault="0044221F">
      <w:r>
        <w:rPr>
          <w:rFonts w:ascii="Times New Roman" w:hAnsi="Times New Roman"/>
          <w:sz w:val="20"/>
          <w:szCs w:val="20"/>
        </w:rPr>
        <w:pict w14:anchorId="54E91C60">
          <v:rect id="_x0000_i1072" style="width:415.3pt;height:1.5pt" o:hralign="center" o:hrstd="t" o:hr="t" fillcolor="#a0a0a0" stroked="f"/>
        </w:pict>
      </w:r>
    </w:p>
    <w:p w14:paraId="54E91454" w14:textId="77777777" w:rsidR="00F427A3" w:rsidRDefault="0044221F">
      <w:pPr>
        <w:spacing w:line="288" w:lineRule="auto"/>
        <w:rPr>
          <w:rFonts w:ascii="Times New Roman" w:hAnsi="Times New Roman"/>
          <w:sz w:val="20"/>
          <w:szCs w:val="20"/>
        </w:rPr>
      </w:pPr>
      <w:hyperlink r:id="rId90" w:anchor="s348EA962CF6D59B599D9921AFA89C381" w:history="1">
        <w:r>
          <w:rPr>
            <w:rStyle w:val="a5"/>
            <w:rFonts w:ascii="Times New Roman" w:eastAsia="宋体" w:hAnsi="Times New Roman"/>
            <w:sz w:val="20"/>
            <w:szCs w:val="20"/>
          </w:rPr>
          <w:t>Table of Contents</w:t>
        </w:r>
      </w:hyperlink>
    </w:p>
    <w:p w14:paraId="54E91455" w14:textId="77777777" w:rsidR="00F427A3" w:rsidRDefault="00F427A3">
      <w:pPr>
        <w:rPr>
          <w:rFonts w:ascii="Times New Roman" w:hAnsi="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960"/>
        <w:gridCol w:w="5189"/>
      </w:tblGrid>
      <w:tr w:rsidR="00F427A3" w14:paraId="54E91458" w14:textId="77777777">
        <w:trPr>
          <w:tblCellSpacing w:w="0" w:type="dxa"/>
        </w:trPr>
        <w:tc>
          <w:tcPr>
            <w:tcW w:w="960" w:type="dxa"/>
            <w:shd w:val="clear" w:color="auto" w:fill="auto"/>
            <w:vAlign w:val="center"/>
          </w:tcPr>
          <w:p w14:paraId="54E91456" w14:textId="77777777" w:rsidR="00F427A3" w:rsidRDefault="00F427A3">
            <w:pPr>
              <w:rPr>
                <w:rFonts w:ascii="Times New Roman" w:hAnsi="Times New Roman"/>
                <w:sz w:val="20"/>
                <w:szCs w:val="20"/>
              </w:rPr>
            </w:pPr>
          </w:p>
        </w:tc>
        <w:tc>
          <w:tcPr>
            <w:tcW w:w="0" w:type="auto"/>
            <w:shd w:val="clear" w:color="auto" w:fill="auto"/>
            <w:vAlign w:val="center"/>
          </w:tcPr>
          <w:p w14:paraId="54E91457" w14:textId="77777777" w:rsidR="00F427A3" w:rsidRDefault="00F427A3">
            <w:pPr>
              <w:rPr>
                <w:rFonts w:ascii="Times New Roman" w:hAnsi="Times New Roman"/>
                <w:sz w:val="20"/>
                <w:szCs w:val="20"/>
              </w:rPr>
            </w:pPr>
          </w:p>
        </w:tc>
      </w:tr>
      <w:tr w:rsidR="00F427A3" w14:paraId="54E9145B" w14:textId="77777777">
        <w:trPr>
          <w:tblCellSpacing w:w="0" w:type="dxa"/>
        </w:trPr>
        <w:tc>
          <w:tcPr>
            <w:tcW w:w="0" w:type="auto"/>
            <w:shd w:val="clear" w:color="auto" w:fill="auto"/>
          </w:tcPr>
          <w:p w14:paraId="54E91459"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b/>
                <w:bCs/>
                <w:sz w:val="20"/>
                <w:szCs w:val="20"/>
              </w:rPr>
              <w:t>Item 3.</w:t>
            </w:r>
          </w:p>
        </w:tc>
        <w:tc>
          <w:tcPr>
            <w:tcW w:w="0" w:type="auto"/>
            <w:shd w:val="clear" w:color="auto" w:fill="auto"/>
          </w:tcPr>
          <w:p w14:paraId="54E9145A"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Quantitative and Qualitative Disclosures About Market Risk</w:t>
            </w:r>
          </w:p>
        </w:tc>
      </w:tr>
    </w:tbl>
    <w:p w14:paraId="54E9145C"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w:t>
      </w:r>
      <w:r>
        <w:rPr>
          <w:rFonts w:ascii="Times New Roman" w:eastAsia="宋体" w:hAnsi="Times New Roman"/>
          <w:sz w:val="20"/>
          <w:szCs w:val="20"/>
        </w:rPr>
        <w:t>are exposed to market risks, including changes to foreign currency exchange rates, interest rates, equity investment risk, and inflation.</w:t>
      </w:r>
    </w:p>
    <w:p w14:paraId="54E9145D"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sz w:val="20"/>
          <w:szCs w:val="20"/>
        </w:rPr>
        <w:t>Foreign Currency Exchange Risk</w:t>
      </w:r>
    </w:p>
    <w:p w14:paraId="54E9145E"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have foreign currency risks related to our revenue and operating expenses denominate</w:t>
      </w:r>
      <w:r>
        <w:rPr>
          <w:rFonts w:ascii="Times New Roman" w:eastAsia="宋体" w:hAnsi="Times New Roman"/>
          <w:sz w:val="20"/>
          <w:szCs w:val="20"/>
        </w:rPr>
        <w:t>d in currencies other than the U.S. dollar, primarily the Euro. Accordingly, changes in exchange rates, and in particular a strengthening of the U.S. dollar, have in the past, and may in the future, negatively affect our revenue and other operating results</w:t>
      </w:r>
      <w:r>
        <w:rPr>
          <w:rFonts w:ascii="Times New Roman" w:eastAsia="宋体" w:hAnsi="Times New Roman"/>
          <w:sz w:val="20"/>
          <w:szCs w:val="20"/>
        </w:rPr>
        <w:t xml:space="preserve"> as expressed in U.S. dollars.</w:t>
      </w:r>
    </w:p>
    <w:p w14:paraId="54E9145F"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have experienced and will continue to experience fluctuations in our net income as a result of transaction gains or losses related to revaluing monetary asset and liability balances that are denominated in currencies other</w:t>
      </w:r>
      <w:r>
        <w:rPr>
          <w:rFonts w:ascii="Times New Roman" w:eastAsia="宋体" w:hAnsi="Times New Roman"/>
          <w:sz w:val="20"/>
          <w:szCs w:val="20"/>
        </w:rPr>
        <w:t xml:space="preserve"> than the functional currency of the entities in which they are recorded. At this time, we have not entered into, but in the future we may enter into, derivatives or other financial instruments in an attempt to hedge our foreign currency exchange risk. It </w:t>
      </w:r>
      <w:r>
        <w:rPr>
          <w:rFonts w:ascii="Times New Roman" w:eastAsia="宋体" w:hAnsi="Times New Roman"/>
          <w:sz w:val="20"/>
          <w:szCs w:val="20"/>
        </w:rPr>
        <w:t xml:space="preserve">is difficult to predict the effect hedging activities would have on our results of operations. Foreign currency gains or losses recognized in the three and nine months ended September 30, 2020 and 2019 were not material. </w:t>
      </w:r>
    </w:p>
    <w:p w14:paraId="54E91460"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sz w:val="20"/>
          <w:szCs w:val="20"/>
        </w:rPr>
        <w:t>Interest Rate Sensitivity</w:t>
      </w:r>
    </w:p>
    <w:p w14:paraId="54E91461" w14:textId="77777777" w:rsidR="00F427A3" w:rsidRDefault="00F427A3">
      <w:pPr>
        <w:spacing w:line="288" w:lineRule="auto"/>
        <w:ind w:firstLine="720"/>
        <w:jc w:val="both"/>
        <w:rPr>
          <w:rFonts w:ascii="Times New Roman" w:hAnsi="Times New Roman"/>
          <w:sz w:val="20"/>
          <w:szCs w:val="20"/>
        </w:rPr>
      </w:pPr>
    </w:p>
    <w:p w14:paraId="54E91462"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w:t>
      </w:r>
      <w:r>
        <w:rPr>
          <w:rFonts w:ascii="Times New Roman" w:eastAsia="宋体" w:hAnsi="Times New Roman"/>
          <w:sz w:val="20"/>
          <w:szCs w:val="20"/>
        </w:rPr>
        <w:t>exposure to changes in interest rates relates primarily to interest earned and market value on our cash and cash equivalents and marketable securities.</w:t>
      </w:r>
    </w:p>
    <w:p w14:paraId="54E91463" w14:textId="77777777" w:rsidR="00F427A3" w:rsidRDefault="00F427A3">
      <w:pPr>
        <w:spacing w:line="288" w:lineRule="auto"/>
        <w:ind w:firstLine="720"/>
        <w:jc w:val="both"/>
        <w:rPr>
          <w:rFonts w:ascii="Times New Roman" w:hAnsi="Times New Roman"/>
          <w:sz w:val="20"/>
          <w:szCs w:val="20"/>
        </w:rPr>
      </w:pPr>
    </w:p>
    <w:p w14:paraId="54E91464"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cash and cash equivalents and marketable securities consist of cash, certificates of deposit, time </w:t>
      </w:r>
      <w:r>
        <w:rPr>
          <w:rFonts w:ascii="Times New Roman" w:eastAsia="宋体" w:hAnsi="Times New Roman"/>
          <w:sz w:val="20"/>
          <w:szCs w:val="20"/>
        </w:rPr>
        <w:t>deposits, money market funds, U.S. government securities, U.S. government agency securities, and investment grade corporate debt securities. Our investment policy and strategy are focused on preservation of capital and supporting our liquidity requirements</w:t>
      </w:r>
      <w:r>
        <w:rPr>
          <w:rFonts w:ascii="Times New Roman" w:eastAsia="宋体" w:hAnsi="Times New Roman"/>
          <w:sz w:val="20"/>
          <w:szCs w:val="20"/>
        </w:rPr>
        <w:t>. Changes in U.S. interest rates affect the interest earned on our cash and cash equivalents and marketable securities, and the market value of those securities. A hypothetical 100 basis point increase in interest rates would have resulted in a decrease of</w:t>
      </w:r>
      <w:r>
        <w:rPr>
          <w:rFonts w:ascii="Times New Roman" w:eastAsia="宋体" w:hAnsi="Times New Roman"/>
          <w:sz w:val="20"/>
          <w:szCs w:val="20"/>
        </w:rPr>
        <w:t xml:space="preserve"> $797 million and $525 million in the market value of our available-for-sale debt securities as of September 30, 2020 and December 31, 2019, respectively. Any realized gains or losses resulting from such interest rate changes would only occur if we sold th</w:t>
      </w:r>
      <w:r>
        <w:rPr>
          <w:rFonts w:ascii="Times New Roman" w:eastAsia="宋体" w:hAnsi="Times New Roman"/>
          <w:sz w:val="20"/>
          <w:szCs w:val="20"/>
        </w:rPr>
        <w:t>e investments prior to maturity.</w:t>
      </w:r>
    </w:p>
    <w:p w14:paraId="54E91465" w14:textId="77777777" w:rsidR="00F427A3" w:rsidRDefault="00F427A3">
      <w:pPr>
        <w:spacing w:line="288" w:lineRule="auto"/>
        <w:jc w:val="both"/>
        <w:rPr>
          <w:rFonts w:ascii="Times New Roman" w:hAnsi="Times New Roman"/>
          <w:sz w:val="20"/>
          <w:szCs w:val="20"/>
        </w:rPr>
      </w:pPr>
    </w:p>
    <w:p w14:paraId="54E91466"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sz w:val="20"/>
          <w:szCs w:val="20"/>
        </w:rPr>
        <w:t>Equity Investment Risk</w:t>
      </w:r>
    </w:p>
    <w:p w14:paraId="54E91467" w14:textId="77777777" w:rsidR="00F427A3" w:rsidRDefault="00F427A3">
      <w:pPr>
        <w:spacing w:line="288" w:lineRule="auto"/>
        <w:ind w:firstLine="720"/>
        <w:jc w:val="both"/>
        <w:rPr>
          <w:rFonts w:ascii="Times New Roman" w:hAnsi="Times New Roman"/>
          <w:sz w:val="20"/>
          <w:szCs w:val="20"/>
        </w:rPr>
      </w:pPr>
    </w:p>
    <w:p w14:paraId="54E91468"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Our equity investments are subject to a wide variety of market-related risks that could have a material impact on the carrying value of our holdings. We continually evaluate our equity investments i</w:t>
      </w:r>
      <w:r>
        <w:rPr>
          <w:rFonts w:ascii="Times New Roman" w:eastAsia="宋体" w:hAnsi="Times New Roman"/>
          <w:sz w:val="20"/>
          <w:szCs w:val="20"/>
        </w:rPr>
        <w:t xml:space="preserve">n privately-held companies. </w:t>
      </w:r>
    </w:p>
    <w:p w14:paraId="54E91469" w14:textId="77777777" w:rsidR="00F427A3" w:rsidRDefault="00F427A3">
      <w:pPr>
        <w:spacing w:line="288" w:lineRule="auto"/>
        <w:jc w:val="both"/>
        <w:rPr>
          <w:rFonts w:ascii="Times New Roman" w:hAnsi="Times New Roman"/>
          <w:sz w:val="20"/>
          <w:szCs w:val="20"/>
        </w:rPr>
      </w:pPr>
    </w:p>
    <w:p w14:paraId="54E9146A"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Our equity investments are investments in equity securities of privately-held companies without readily determinable market values. We elected to account for most of our equity investments using the measurement alternative, wh</w:t>
      </w:r>
      <w:r>
        <w:rPr>
          <w:rFonts w:ascii="Times New Roman" w:eastAsia="宋体" w:hAnsi="Times New Roman"/>
          <w:sz w:val="20"/>
          <w:szCs w:val="20"/>
        </w:rPr>
        <w:t>ich is cost, less any impairment, adjusted for changes in fair value resulting from observable transactions for identical or similar investments of the same issuer. We perform a qualitative assessment at each reporting date to determine whether there are t</w:t>
      </w:r>
      <w:r>
        <w:rPr>
          <w:rFonts w:ascii="Times New Roman" w:eastAsia="宋体" w:hAnsi="Times New Roman"/>
          <w:sz w:val="20"/>
          <w:szCs w:val="20"/>
        </w:rPr>
        <w:t>riggering events for impairment. The qualitative assessment considers factors such as, but not limited to, the investee's financial condition and business outlook; industry and sector performance; economic or technological environment; and other relevant e</w:t>
      </w:r>
      <w:r>
        <w:rPr>
          <w:rFonts w:ascii="Times New Roman" w:eastAsia="宋体" w:hAnsi="Times New Roman"/>
          <w:sz w:val="20"/>
          <w:szCs w:val="20"/>
        </w:rPr>
        <w:t>vents and factors affecting the investee. Valuations of our equity investments are complex due to the lack of readily available market data and observable transactions. Volatility in the global economic climate and financial markets, including recent and o</w:t>
      </w:r>
      <w:r>
        <w:rPr>
          <w:rFonts w:ascii="Times New Roman" w:eastAsia="宋体" w:hAnsi="Times New Roman"/>
          <w:sz w:val="20"/>
          <w:szCs w:val="20"/>
        </w:rPr>
        <w:t>ngoing effects related to the impact of the COVID-19 pandemic, which requires significant judgments, could result in a material impairment charge on our equity investments. Equity investments accounted for under the equity method were immaterial as of Sept</w:t>
      </w:r>
      <w:r>
        <w:rPr>
          <w:rFonts w:ascii="Times New Roman" w:eastAsia="宋体" w:hAnsi="Times New Roman"/>
          <w:sz w:val="20"/>
          <w:szCs w:val="20"/>
        </w:rPr>
        <w:t xml:space="preserve">ember 30, 2020 and December 31, 2019. As of September 30, 2020, our equity investments had a carrying value of $6.16 billion. </w:t>
      </w:r>
    </w:p>
    <w:p w14:paraId="54E9146B" w14:textId="77777777" w:rsidR="00F427A3" w:rsidRDefault="00F427A3">
      <w:pPr>
        <w:spacing w:line="288" w:lineRule="auto"/>
        <w:jc w:val="both"/>
        <w:rPr>
          <w:rFonts w:ascii="Times New Roman" w:hAnsi="Times New Roman"/>
          <w:sz w:val="20"/>
          <w:szCs w:val="20"/>
        </w:rPr>
      </w:pPr>
    </w:p>
    <w:p w14:paraId="54E9146C"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For additional information about our equity investments, see Note 1 — Summary of Significant Accounting Policies, Note 5 — Equit</w:t>
      </w:r>
      <w:r>
        <w:rPr>
          <w:rFonts w:ascii="Times New Roman" w:eastAsia="宋体" w:hAnsi="Times New Roman"/>
          <w:sz w:val="20"/>
          <w:szCs w:val="20"/>
        </w:rPr>
        <w:t>y Investments, and Note 6 — Fair Value Measurements in the notes to the condensed consolidated financial statements included in Part I, Item 1, and "Management’s Discussion and Analysis of Financial Conditions and Results of Operations — Critical Accountin</w:t>
      </w:r>
      <w:r>
        <w:rPr>
          <w:rFonts w:ascii="Times New Roman" w:eastAsia="宋体" w:hAnsi="Times New Roman"/>
          <w:sz w:val="20"/>
          <w:szCs w:val="20"/>
        </w:rPr>
        <w:t>g Policies and Estimates" contained in Part I, Item 2 of this Quarterly Report on Form 10-Q.</w:t>
      </w:r>
    </w:p>
    <w:p w14:paraId="54E9146D" w14:textId="77777777" w:rsidR="00F427A3" w:rsidRDefault="00F427A3">
      <w:pPr>
        <w:rPr>
          <w:rFonts w:ascii="Times New Roman" w:hAnsi="Times New Roman"/>
          <w:sz w:val="20"/>
          <w:szCs w:val="20"/>
        </w:rPr>
      </w:pPr>
    </w:p>
    <w:p w14:paraId="54E9146E"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49</w:t>
      </w:r>
    </w:p>
    <w:p w14:paraId="54E9146F" w14:textId="77777777" w:rsidR="00F427A3" w:rsidRDefault="0044221F">
      <w:r>
        <w:rPr>
          <w:rFonts w:ascii="Times New Roman" w:hAnsi="Times New Roman"/>
          <w:sz w:val="20"/>
          <w:szCs w:val="20"/>
        </w:rPr>
        <w:pict w14:anchorId="54E91C61">
          <v:rect id="_x0000_i1073" style="width:415.3pt;height:1.5pt" o:hralign="center" o:hrstd="t" o:hr="t" fillcolor="#a0a0a0" stroked="f"/>
        </w:pict>
      </w:r>
    </w:p>
    <w:p w14:paraId="54E91470" w14:textId="77777777" w:rsidR="00F427A3" w:rsidRDefault="0044221F">
      <w:pPr>
        <w:spacing w:line="288" w:lineRule="auto"/>
        <w:rPr>
          <w:rFonts w:ascii="Times New Roman" w:hAnsi="Times New Roman"/>
          <w:sz w:val="20"/>
          <w:szCs w:val="20"/>
        </w:rPr>
      </w:pPr>
      <w:hyperlink r:id="rId91" w:anchor="s348EA962CF6D59B599D9921AFA89C381" w:history="1">
        <w:r>
          <w:rPr>
            <w:rStyle w:val="a5"/>
            <w:rFonts w:ascii="Times New Roman" w:eastAsia="宋体" w:hAnsi="Times New Roman"/>
            <w:sz w:val="20"/>
            <w:szCs w:val="20"/>
          </w:rPr>
          <w:t>Table o</w:t>
        </w:r>
        <w:r>
          <w:rPr>
            <w:rStyle w:val="a5"/>
            <w:rFonts w:ascii="Times New Roman" w:eastAsia="宋体" w:hAnsi="Times New Roman"/>
            <w:sz w:val="20"/>
            <w:szCs w:val="20"/>
          </w:rPr>
          <w:t>f Contents</w:t>
        </w:r>
      </w:hyperlink>
    </w:p>
    <w:p w14:paraId="54E91471" w14:textId="77777777" w:rsidR="00F427A3" w:rsidRDefault="00F427A3">
      <w:pPr>
        <w:rPr>
          <w:rFonts w:ascii="Times New Roman" w:hAnsi="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960"/>
        <w:gridCol w:w="2134"/>
      </w:tblGrid>
      <w:tr w:rsidR="00F427A3" w14:paraId="54E91474" w14:textId="77777777">
        <w:trPr>
          <w:tblCellSpacing w:w="0" w:type="dxa"/>
        </w:trPr>
        <w:tc>
          <w:tcPr>
            <w:tcW w:w="960" w:type="dxa"/>
            <w:shd w:val="clear" w:color="auto" w:fill="auto"/>
            <w:vAlign w:val="center"/>
          </w:tcPr>
          <w:p w14:paraId="54E91472" w14:textId="77777777" w:rsidR="00F427A3" w:rsidRDefault="00F427A3">
            <w:pPr>
              <w:rPr>
                <w:rFonts w:ascii="Times New Roman" w:hAnsi="Times New Roman"/>
                <w:sz w:val="20"/>
                <w:szCs w:val="20"/>
              </w:rPr>
            </w:pPr>
          </w:p>
        </w:tc>
        <w:tc>
          <w:tcPr>
            <w:tcW w:w="0" w:type="auto"/>
            <w:shd w:val="clear" w:color="auto" w:fill="auto"/>
            <w:vAlign w:val="center"/>
          </w:tcPr>
          <w:p w14:paraId="54E91473" w14:textId="77777777" w:rsidR="00F427A3" w:rsidRDefault="00F427A3">
            <w:pPr>
              <w:rPr>
                <w:rFonts w:ascii="Times New Roman" w:hAnsi="Times New Roman"/>
                <w:sz w:val="20"/>
                <w:szCs w:val="20"/>
              </w:rPr>
            </w:pPr>
          </w:p>
        </w:tc>
      </w:tr>
      <w:tr w:rsidR="00F427A3" w14:paraId="54E91477" w14:textId="77777777">
        <w:trPr>
          <w:tblCellSpacing w:w="0" w:type="dxa"/>
        </w:trPr>
        <w:tc>
          <w:tcPr>
            <w:tcW w:w="0" w:type="auto"/>
            <w:shd w:val="clear" w:color="auto" w:fill="auto"/>
          </w:tcPr>
          <w:p w14:paraId="54E91475"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b/>
                <w:bCs/>
                <w:sz w:val="20"/>
                <w:szCs w:val="20"/>
              </w:rPr>
              <w:t>Item 4.</w:t>
            </w:r>
          </w:p>
        </w:tc>
        <w:tc>
          <w:tcPr>
            <w:tcW w:w="0" w:type="auto"/>
            <w:shd w:val="clear" w:color="auto" w:fill="auto"/>
          </w:tcPr>
          <w:p w14:paraId="54E91476"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b/>
                <w:bCs/>
                <w:sz w:val="20"/>
                <w:szCs w:val="20"/>
              </w:rPr>
              <w:t>Controls and Procedures</w:t>
            </w:r>
          </w:p>
        </w:tc>
      </w:tr>
    </w:tbl>
    <w:p w14:paraId="54E91478"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Evaluation of Disclosure Controls and Procedures</w:t>
      </w:r>
    </w:p>
    <w:p w14:paraId="54E91479"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management, with the participation of our chief executive officer (CEO) and chief financial officer (CFO), has evaluated the effectiveness of our </w:t>
      </w:r>
      <w:r>
        <w:rPr>
          <w:rFonts w:ascii="Times New Roman" w:eastAsia="宋体" w:hAnsi="Times New Roman"/>
          <w:sz w:val="20"/>
          <w:szCs w:val="20"/>
        </w:rPr>
        <w:t>disclosure controls and procedures (as defined in Rules 13a- 15(e) and 15d- 15(e) under the Securities Exchange Act of 1934, as amended (Exchange Act)), as of the end of the period covered by this Quarterly Report on Form 10-Q. Based on such evaluation, ou</w:t>
      </w:r>
      <w:r>
        <w:rPr>
          <w:rFonts w:ascii="Times New Roman" w:eastAsia="宋体" w:hAnsi="Times New Roman"/>
          <w:sz w:val="20"/>
          <w:szCs w:val="20"/>
        </w:rPr>
        <w:t>r CEO and CFO have concluded that as of September 30, 2020, our disclosure controls and procedures are designed at a reasonable assurance level and are effective to provide reasonable assurance that information we are required to disclose in reports that w</w:t>
      </w:r>
      <w:r>
        <w:rPr>
          <w:rFonts w:ascii="Times New Roman" w:eastAsia="宋体" w:hAnsi="Times New Roman"/>
          <w:sz w:val="20"/>
          <w:szCs w:val="20"/>
        </w:rPr>
        <w:t xml:space="preserve">e file or submit under the Exchange Act is recorded, processed, summarized, and reported within the time periods specified in the rules and forms of the Securities and Exchange Commission (SEC), and that such information is accumulated and communicated to </w:t>
      </w:r>
      <w:r>
        <w:rPr>
          <w:rFonts w:ascii="Times New Roman" w:eastAsia="宋体" w:hAnsi="Times New Roman"/>
          <w:sz w:val="20"/>
          <w:szCs w:val="20"/>
        </w:rPr>
        <w:t>our management, including our CEO and CFO, as appropriate, to allow timely decisions regarding required disclosure.</w:t>
      </w:r>
    </w:p>
    <w:p w14:paraId="54E9147A"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Changes in Internal Control</w:t>
      </w:r>
    </w:p>
    <w:p w14:paraId="54E9147B" w14:textId="77777777" w:rsidR="00F427A3" w:rsidRDefault="00F427A3">
      <w:pPr>
        <w:spacing w:line="288" w:lineRule="auto"/>
        <w:ind w:firstLine="720"/>
        <w:jc w:val="both"/>
        <w:rPr>
          <w:rFonts w:ascii="Times New Roman" w:hAnsi="Times New Roman"/>
          <w:sz w:val="20"/>
          <w:szCs w:val="20"/>
        </w:rPr>
      </w:pPr>
    </w:p>
    <w:p w14:paraId="54E9147C"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There were no changes in our internal control over financial reporting identified in management's evaluation pu</w:t>
      </w:r>
      <w:r>
        <w:rPr>
          <w:rFonts w:ascii="Times New Roman" w:eastAsia="宋体" w:hAnsi="Times New Roman"/>
          <w:sz w:val="20"/>
          <w:szCs w:val="20"/>
        </w:rPr>
        <w:t>rsuant to Rules 13a-15(d) or 15d-15(d) of the Exchange Act during the period covered by this Quarterly Report on Form 10-Q that materially affected, or are reasonably likely to materially affect, our internal control over financial reporting.</w:t>
      </w:r>
    </w:p>
    <w:p w14:paraId="54E9147D"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Limitations o</w:t>
      </w:r>
      <w:r>
        <w:rPr>
          <w:rFonts w:ascii="Times New Roman" w:eastAsia="宋体" w:hAnsi="Times New Roman"/>
          <w:b/>
          <w:bCs/>
          <w:sz w:val="20"/>
          <w:szCs w:val="20"/>
        </w:rPr>
        <w:t>n Effectiveness of Controls and Procedures</w:t>
      </w:r>
    </w:p>
    <w:p w14:paraId="54E9147E"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In designing and evaluating the disclosure controls and procedures and internal control over financial reporting, management recognizes that any controls and procedures, no matter how well designed and operated, c</w:t>
      </w:r>
      <w:r>
        <w:rPr>
          <w:rFonts w:ascii="Times New Roman" w:eastAsia="宋体" w:hAnsi="Times New Roman"/>
          <w:sz w:val="20"/>
          <w:szCs w:val="20"/>
        </w:rPr>
        <w:t>an provide only reasonable assurance of achieving the desired control objectives. In addition, the design of disclosure controls and procedures and internal control over financial reporting must reflect the fact that there are resource constraints and that</w:t>
      </w:r>
      <w:r>
        <w:rPr>
          <w:rFonts w:ascii="Times New Roman" w:eastAsia="宋体" w:hAnsi="Times New Roman"/>
          <w:sz w:val="20"/>
          <w:szCs w:val="20"/>
        </w:rPr>
        <w:t xml:space="preserve"> management is required to apply judgment in evaluating the benefits of possible controls and procedures relative to their costs.</w:t>
      </w:r>
    </w:p>
    <w:p w14:paraId="54E9147F" w14:textId="77777777" w:rsidR="00F427A3" w:rsidRDefault="00F427A3">
      <w:pPr>
        <w:spacing w:line="288" w:lineRule="auto"/>
        <w:ind w:firstLine="720"/>
        <w:jc w:val="both"/>
        <w:rPr>
          <w:rFonts w:ascii="Times New Roman" w:hAnsi="Times New Roman"/>
          <w:sz w:val="20"/>
          <w:szCs w:val="20"/>
        </w:rPr>
      </w:pPr>
    </w:p>
    <w:p w14:paraId="54E91480" w14:textId="77777777" w:rsidR="00F427A3" w:rsidRDefault="00F427A3">
      <w:pPr>
        <w:rPr>
          <w:rFonts w:ascii="Times New Roman" w:hAnsi="Times New Roman"/>
          <w:sz w:val="20"/>
          <w:szCs w:val="20"/>
        </w:rPr>
      </w:pPr>
    </w:p>
    <w:p w14:paraId="54E91481"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50</w:t>
      </w:r>
    </w:p>
    <w:p w14:paraId="54E91482" w14:textId="77777777" w:rsidR="00F427A3" w:rsidRDefault="0044221F">
      <w:r>
        <w:rPr>
          <w:rFonts w:ascii="Times New Roman" w:hAnsi="Times New Roman"/>
          <w:sz w:val="20"/>
          <w:szCs w:val="20"/>
        </w:rPr>
        <w:pict w14:anchorId="54E91C62">
          <v:rect id="_x0000_i1074" style="width:415.3pt;height:1.5pt" o:hralign="center" o:hrstd="t" o:hr="t" fillcolor="#a0a0a0" stroked="f"/>
        </w:pict>
      </w:r>
    </w:p>
    <w:p w14:paraId="54E91483" w14:textId="77777777" w:rsidR="00F427A3" w:rsidRDefault="0044221F">
      <w:pPr>
        <w:spacing w:line="288" w:lineRule="auto"/>
        <w:rPr>
          <w:rFonts w:ascii="Times New Roman" w:hAnsi="Times New Roman"/>
          <w:sz w:val="20"/>
          <w:szCs w:val="20"/>
        </w:rPr>
      </w:pPr>
      <w:hyperlink r:id="rId92" w:anchor="s348EA962CF6D59B599D9921AFA89C381" w:history="1">
        <w:r>
          <w:rPr>
            <w:rStyle w:val="a5"/>
            <w:rFonts w:ascii="Times New Roman" w:eastAsia="宋体" w:hAnsi="Times New Roman"/>
            <w:sz w:val="20"/>
            <w:szCs w:val="20"/>
          </w:rPr>
          <w:t>Table of Contents</w:t>
        </w:r>
      </w:hyperlink>
    </w:p>
    <w:p w14:paraId="54E91484" w14:textId="77777777" w:rsidR="00F427A3" w:rsidRDefault="00F427A3">
      <w:pPr>
        <w:rPr>
          <w:rFonts w:ascii="Times New Roman" w:hAnsi="Times New Roman"/>
          <w:sz w:val="20"/>
          <w:szCs w:val="20"/>
        </w:rPr>
      </w:pPr>
    </w:p>
    <w:p w14:paraId="54E91485" w14:textId="77777777" w:rsidR="00F427A3" w:rsidRDefault="0044221F">
      <w:pPr>
        <w:spacing w:line="288" w:lineRule="auto"/>
        <w:rPr>
          <w:rFonts w:ascii="Times New Roman" w:hAnsi="Times New Roman"/>
          <w:sz w:val="20"/>
          <w:szCs w:val="20"/>
        </w:rPr>
      </w:pPr>
      <w:r>
        <w:rPr>
          <w:rFonts w:ascii="Times New Roman" w:eastAsia="宋体" w:hAnsi="Times New Roman"/>
          <w:b/>
          <w:bCs/>
          <w:sz w:val="20"/>
          <w:szCs w:val="20"/>
        </w:rPr>
        <w:t>PART II—OTHER INFORMATION</w:t>
      </w:r>
    </w:p>
    <w:tbl>
      <w:tblPr>
        <w:tblW w:w="0" w:type="auto"/>
        <w:tblCellSpacing w:w="0" w:type="dxa"/>
        <w:tblCellMar>
          <w:top w:w="240" w:type="dxa"/>
          <w:left w:w="0" w:type="dxa"/>
          <w:right w:w="0" w:type="dxa"/>
        </w:tblCellMar>
        <w:tblLook w:val="04A0" w:firstRow="1" w:lastRow="0" w:firstColumn="1" w:lastColumn="0" w:noHBand="0" w:noVBand="1"/>
      </w:tblPr>
      <w:tblGrid>
        <w:gridCol w:w="960"/>
        <w:gridCol w:w="1561"/>
      </w:tblGrid>
      <w:tr w:rsidR="00F427A3" w14:paraId="54E91488" w14:textId="77777777">
        <w:trPr>
          <w:tblCellSpacing w:w="0" w:type="dxa"/>
        </w:trPr>
        <w:tc>
          <w:tcPr>
            <w:tcW w:w="960" w:type="dxa"/>
            <w:shd w:val="clear" w:color="auto" w:fill="auto"/>
            <w:vAlign w:val="center"/>
          </w:tcPr>
          <w:p w14:paraId="54E91486" w14:textId="77777777" w:rsidR="00F427A3" w:rsidRDefault="00F427A3">
            <w:pPr>
              <w:rPr>
                <w:rFonts w:ascii="Times New Roman" w:hAnsi="Times New Roman"/>
                <w:sz w:val="20"/>
                <w:szCs w:val="20"/>
              </w:rPr>
            </w:pPr>
          </w:p>
        </w:tc>
        <w:tc>
          <w:tcPr>
            <w:tcW w:w="0" w:type="auto"/>
            <w:shd w:val="clear" w:color="auto" w:fill="auto"/>
            <w:vAlign w:val="center"/>
          </w:tcPr>
          <w:p w14:paraId="54E91487" w14:textId="77777777" w:rsidR="00F427A3" w:rsidRDefault="00F427A3">
            <w:pPr>
              <w:rPr>
                <w:rFonts w:ascii="Times New Roman" w:hAnsi="Times New Roman"/>
                <w:sz w:val="20"/>
                <w:szCs w:val="20"/>
              </w:rPr>
            </w:pPr>
          </w:p>
        </w:tc>
      </w:tr>
      <w:tr w:rsidR="00F427A3" w14:paraId="54E9148B" w14:textId="77777777">
        <w:trPr>
          <w:tblCellSpacing w:w="0" w:type="dxa"/>
        </w:trPr>
        <w:tc>
          <w:tcPr>
            <w:tcW w:w="0" w:type="auto"/>
            <w:shd w:val="clear" w:color="auto" w:fill="auto"/>
          </w:tcPr>
          <w:p w14:paraId="54E91489"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b/>
                <w:bCs/>
                <w:sz w:val="20"/>
                <w:szCs w:val="20"/>
              </w:rPr>
              <w:t>Item 1.</w:t>
            </w:r>
          </w:p>
        </w:tc>
        <w:tc>
          <w:tcPr>
            <w:tcW w:w="0" w:type="auto"/>
            <w:shd w:val="clear" w:color="auto" w:fill="auto"/>
          </w:tcPr>
          <w:p w14:paraId="54E9148A"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b/>
                <w:bCs/>
                <w:sz w:val="20"/>
                <w:szCs w:val="20"/>
              </w:rPr>
              <w:t>Legal Proceedings</w:t>
            </w:r>
          </w:p>
        </w:tc>
      </w:tr>
    </w:tbl>
    <w:p w14:paraId="54E9148C"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Beginning on March 20, </w:t>
      </w:r>
      <w:r>
        <w:rPr>
          <w:rFonts w:ascii="Times New Roman" w:eastAsia="宋体" w:hAnsi="Times New Roman"/>
          <w:sz w:val="20"/>
          <w:szCs w:val="20"/>
        </w:rPr>
        <w:t xml:space="preserve">2018, multiple putative class actions and derivative actions were filed in state and federal courts in the United States and elsewhere against us and certain of our directors and officers alleging violations of securities laws, breach of fiduciary duties, </w:t>
      </w:r>
      <w:r>
        <w:rPr>
          <w:rFonts w:ascii="Times New Roman" w:eastAsia="宋体" w:hAnsi="Times New Roman"/>
          <w:sz w:val="20"/>
          <w:szCs w:val="20"/>
        </w:rPr>
        <w:t>and other causes of action in connection with our platform and user data practices as well as the misuse of certain data by a developer that shared such data with third parties in violation of our terms and policies, and seeking unspecified damages and inj</w:t>
      </w:r>
      <w:r>
        <w:rPr>
          <w:rFonts w:ascii="Times New Roman" w:eastAsia="宋体" w:hAnsi="Times New Roman"/>
          <w:sz w:val="20"/>
          <w:szCs w:val="20"/>
        </w:rPr>
        <w:t>unctive relief. Beginning on July 27, 2018, two putative class actions were filed in federal court in the United States against us and certain of our directors and officers alleging violations of securities laws in connection with the disclosure of our ear</w:t>
      </w:r>
      <w:r>
        <w:rPr>
          <w:rFonts w:ascii="Times New Roman" w:eastAsia="宋体" w:hAnsi="Times New Roman"/>
          <w:sz w:val="20"/>
          <w:szCs w:val="20"/>
        </w:rPr>
        <w:t>nings results for the second quarter of 2018 and seeking unspecified damages. These two actions subsequently were transferred and consolidated in the U.S. District Court for the Northern District of California with the putative securities class action desc</w:t>
      </w:r>
      <w:r>
        <w:rPr>
          <w:rFonts w:ascii="Times New Roman" w:eastAsia="宋体" w:hAnsi="Times New Roman"/>
          <w:sz w:val="20"/>
          <w:szCs w:val="20"/>
        </w:rPr>
        <w:t>ribed above relating to our platform and user data practices. On September 25, 2019, the district court granted our motion to dismiss the consolidated putative securities class action, with leave to amend. On November 15, 2019, a second amended complaint w</w:t>
      </w:r>
      <w:r>
        <w:rPr>
          <w:rFonts w:ascii="Times New Roman" w:eastAsia="宋体" w:hAnsi="Times New Roman"/>
          <w:sz w:val="20"/>
          <w:szCs w:val="20"/>
        </w:rPr>
        <w:t>as filed in the consolidated putative securities class action. On August 7, 2020, the district court granted our motion to dismiss the second amended complaint, with leave to amend. On October 16, 2020, a third amended complaint was filed in the consolidat</w:t>
      </w:r>
      <w:r>
        <w:rPr>
          <w:rFonts w:ascii="Times New Roman" w:eastAsia="宋体" w:hAnsi="Times New Roman"/>
          <w:sz w:val="20"/>
          <w:szCs w:val="20"/>
        </w:rPr>
        <w:t>ed putative securities class action. We believe these lawsuits are without merit, and we are vigorously defending them. In addition, our platform and user data practices, as well as the events surrounding the misuse of certain data by a developer, became t</w:t>
      </w:r>
      <w:r>
        <w:rPr>
          <w:rFonts w:ascii="Times New Roman" w:eastAsia="宋体" w:hAnsi="Times New Roman"/>
          <w:sz w:val="20"/>
          <w:szCs w:val="20"/>
        </w:rPr>
        <w:t>he subject of U.S. Federal Trade Commission (FTC), state attorneys general, and other government inquiries in the United States, Europe, and other jurisdictions. In July 2019, we entered into a settlement and modified consent order to resolve the FTC inqui</w:t>
      </w:r>
      <w:r>
        <w:rPr>
          <w:rFonts w:ascii="Times New Roman" w:eastAsia="宋体" w:hAnsi="Times New Roman"/>
          <w:sz w:val="20"/>
          <w:szCs w:val="20"/>
        </w:rPr>
        <w:t>ry, which was approved by the federal court and took effect in April 2020. Among other matters, our settlement with the FTC required us to pay a penalty of $5.0 billion and to significantly enhance our practices and processes for privacy compliance and ove</w:t>
      </w:r>
      <w:r>
        <w:rPr>
          <w:rFonts w:ascii="Times New Roman" w:eastAsia="宋体" w:hAnsi="Times New Roman"/>
          <w:sz w:val="20"/>
          <w:szCs w:val="20"/>
        </w:rPr>
        <w:t xml:space="preserve">rsight. Any other government inquiries regarding these matters could subject us to additional substantial fines and costs, require us to change our business practices, divert resources and the attention of management from our business, or adversely affect </w:t>
      </w:r>
      <w:r>
        <w:rPr>
          <w:rFonts w:ascii="Times New Roman" w:eastAsia="宋体" w:hAnsi="Times New Roman"/>
          <w:sz w:val="20"/>
          <w:szCs w:val="20"/>
        </w:rPr>
        <w:t>our business.</w:t>
      </w:r>
    </w:p>
    <w:p w14:paraId="54E9148D"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On April 1, 2015, a putative class action was filed against us in the U.S. District Court for the Northern District of California by Facebook users alleging that the "tag suggestions" facial recognition feature violates the Illinois Biometric</w:t>
      </w:r>
      <w:r>
        <w:rPr>
          <w:rFonts w:ascii="Times New Roman" w:eastAsia="宋体" w:hAnsi="Times New Roman"/>
          <w:sz w:val="20"/>
          <w:szCs w:val="20"/>
        </w:rPr>
        <w:t xml:space="preserve"> Information Privacy Act, and seeking statutory damages and injunctive relief. On April 16, 2018, the district court certified a class of Illinois residents, and on May 14, 2018, the district court denied both parties' motions for summary judgment. On May </w:t>
      </w:r>
      <w:r>
        <w:rPr>
          <w:rFonts w:ascii="Times New Roman" w:eastAsia="宋体" w:hAnsi="Times New Roman"/>
          <w:sz w:val="20"/>
          <w:szCs w:val="20"/>
        </w:rPr>
        <w:t>29, 2018, the U.S. Court of Appeals for the Ninth Circuit granted our petition for review of the class certification order and stayed the proceeding. On August 8, 2019, the Ninth Circuit affirmed the class certification order. On December 2, 2019, we filed</w:t>
      </w:r>
      <w:r>
        <w:rPr>
          <w:rFonts w:ascii="Times New Roman" w:eastAsia="宋体" w:hAnsi="Times New Roman"/>
          <w:sz w:val="20"/>
          <w:szCs w:val="20"/>
        </w:rPr>
        <w:t xml:space="preserve"> a petition with the U.S. Supreme Court seeking review of the decision of the Ninth Circuit, which was denied. On January 15, 2020, the parties agreed to a settlement in principle to resolve the lawsuit, which provided for a payment of $550 million by us a</w:t>
      </w:r>
      <w:r>
        <w:rPr>
          <w:rFonts w:ascii="Times New Roman" w:eastAsia="宋体" w:hAnsi="Times New Roman"/>
          <w:sz w:val="20"/>
          <w:szCs w:val="20"/>
        </w:rPr>
        <w:t>nd was subject to court approval. On or about May 8, 2020, the parties executed a formal settlement agreement, and plaintiffs filed a motion for preliminary approval of the settlement by the district court. On June 4, 2020, the district court denied the pl</w:t>
      </w:r>
      <w:r>
        <w:rPr>
          <w:rFonts w:ascii="Times New Roman" w:eastAsia="宋体" w:hAnsi="Times New Roman"/>
          <w:sz w:val="20"/>
          <w:szCs w:val="20"/>
        </w:rPr>
        <w:t>aintiffs' motion without prejudice. On July 22, 2020, the parties executed an amended settlement agreement, which, among other terms, provides for a payment of $650 million by us. On August 19, 2020, the court granted preliminary approval of the settlement</w:t>
      </w:r>
      <w:r>
        <w:rPr>
          <w:rFonts w:ascii="Times New Roman" w:eastAsia="宋体" w:hAnsi="Times New Roman"/>
          <w:sz w:val="20"/>
          <w:szCs w:val="20"/>
        </w:rPr>
        <w:t>. The settlement is subject to final court approval.</w:t>
      </w:r>
    </w:p>
    <w:p w14:paraId="54E9148E"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Beginning on September 28, 2018, multiple putative class actions were filed in state and federal courts in the United States and elsewhere against us alleging violations of consumer protection laws and o</w:t>
      </w:r>
      <w:r>
        <w:rPr>
          <w:rFonts w:ascii="Times New Roman" w:eastAsia="宋体" w:hAnsi="Times New Roman"/>
          <w:sz w:val="20"/>
          <w:szCs w:val="20"/>
        </w:rPr>
        <w:t>ther causes of action in connection with a third-party cyber-attack that exploited a vulnerability in Facebook's code to steal user access tokens and access certain profile information from user accounts on Facebook, and seeking unspecified damages and inj</w:t>
      </w:r>
      <w:r>
        <w:rPr>
          <w:rFonts w:ascii="Times New Roman" w:eastAsia="宋体" w:hAnsi="Times New Roman"/>
          <w:sz w:val="20"/>
          <w:szCs w:val="20"/>
        </w:rPr>
        <w:t xml:space="preserve">unctive relief. The actions filed in the United States were consolidated in the U.S. District Court for the Northern District of California. On November 26, 2019, the district court certified a class for injunctive relief purposes but denied certification </w:t>
      </w:r>
      <w:r>
        <w:rPr>
          <w:rFonts w:ascii="Times New Roman" w:eastAsia="宋体" w:hAnsi="Times New Roman"/>
          <w:sz w:val="20"/>
          <w:szCs w:val="20"/>
        </w:rPr>
        <w:t>of a class for purposes of pursuing damages. On January 16, 2020, the parties agreed to a settlement in principle to resolve the lawsuit. The settlement is subject to court approval. We believe the remaining lawsuits are without merit, and we are vigorousl</w:t>
      </w:r>
      <w:r>
        <w:rPr>
          <w:rFonts w:ascii="Times New Roman" w:eastAsia="宋体" w:hAnsi="Times New Roman"/>
          <w:sz w:val="20"/>
          <w:szCs w:val="20"/>
        </w:rPr>
        <w:t>y defending them. In addition, the events surrounding this cyber-attack became the subject of Irish Data Protection Commission (IDPC) and other government inquiries. Any such inquiries could subject us to substantial fines and costs, require us to change o</w:t>
      </w:r>
      <w:r>
        <w:rPr>
          <w:rFonts w:ascii="Times New Roman" w:eastAsia="宋体" w:hAnsi="Times New Roman"/>
          <w:sz w:val="20"/>
          <w:szCs w:val="20"/>
        </w:rPr>
        <w:t>ur business practices, divert resources and the attention of management from our business, or adversely affect our business.</w:t>
      </w:r>
    </w:p>
    <w:p w14:paraId="54E9148F"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From time to time we also notify the IDPC, our designated European privacy regulator under the General Data Protection Regulation, </w:t>
      </w:r>
      <w:r>
        <w:rPr>
          <w:rFonts w:ascii="Times New Roman" w:eastAsia="宋体" w:hAnsi="Times New Roman"/>
          <w:sz w:val="20"/>
          <w:szCs w:val="20"/>
        </w:rPr>
        <w:t>of certain other personal data breaches and privacy issues, and are subject to inquiries and investigations regarding various aspects of our regulatory compliance. For example, in August 2020, we received a preliminary draft decision from the IDPC that pre</w:t>
      </w:r>
      <w:r>
        <w:rPr>
          <w:rFonts w:ascii="Times New Roman" w:eastAsia="宋体" w:hAnsi="Times New Roman"/>
          <w:sz w:val="20"/>
          <w:szCs w:val="20"/>
        </w:rPr>
        <w:t xml:space="preserve">liminarily concluded that Facebook Ireland's reliance on Standard Contractual Clauses in respect of European user data does not achieve compliance with the GDPR and preliminarily proposed that such transfers of user data from the European </w:t>
      </w:r>
    </w:p>
    <w:p w14:paraId="54E91490" w14:textId="77777777" w:rsidR="00F427A3" w:rsidRDefault="00F427A3">
      <w:pPr>
        <w:rPr>
          <w:rFonts w:ascii="Times New Roman" w:hAnsi="Times New Roman"/>
          <w:sz w:val="20"/>
          <w:szCs w:val="20"/>
        </w:rPr>
      </w:pPr>
    </w:p>
    <w:p w14:paraId="54E91491"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51</w:t>
      </w:r>
    </w:p>
    <w:p w14:paraId="54E91492" w14:textId="77777777" w:rsidR="00F427A3" w:rsidRDefault="0044221F">
      <w:r>
        <w:rPr>
          <w:rFonts w:ascii="Times New Roman" w:hAnsi="Times New Roman"/>
          <w:sz w:val="20"/>
          <w:szCs w:val="20"/>
        </w:rPr>
        <w:pict w14:anchorId="54E91C63">
          <v:rect id="_x0000_i1075" style="width:415.3pt;height:1.5pt" o:hralign="center" o:hrstd="t" o:hr="t" fillcolor="#a0a0a0" stroked="f"/>
        </w:pict>
      </w:r>
    </w:p>
    <w:p w14:paraId="54E91493" w14:textId="77777777" w:rsidR="00F427A3" w:rsidRDefault="00F427A3">
      <w:pPr>
        <w:rPr>
          <w:rFonts w:ascii="Times New Roman" w:hAnsi="Times New Roman"/>
          <w:sz w:val="20"/>
          <w:szCs w:val="20"/>
        </w:rPr>
      </w:pPr>
    </w:p>
    <w:p w14:paraId="54E91494" w14:textId="77777777" w:rsidR="00F427A3" w:rsidRDefault="0044221F">
      <w:pPr>
        <w:spacing w:line="288" w:lineRule="auto"/>
        <w:jc w:val="both"/>
        <w:rPr>
          <w:rFonts w:ascii="Times New Roman" w:hAnsi="Times New Roman"/>
          <w:sz w:val="20"/>
          <w:szCs w:val="20"/>
        </w:rPr>
      </w:pPr>
      <w:r>
        <w:rPr>
          <w:rFonts w:ascii="Times New Roman" w:eastAsia="宋体" w:hAnsi="Times New Roman"/>
          <w:sz w:val="20"/>
          <w:szCs w:val="20"/>
        </w:rPr>
        <w:t xml:space="preserve">Union to </w:t>
      </w:r>
      <w:r>
        <w:rPr>
          <w:rFonts w:ascii="Times New Roman" w:eastAsia="宋体" w:hAnsi="Times New Roman"/>
          <w:sz w:val="20"/>
          <w:szCs w:val="20"/>
        </w:rPr>
        <w:t>the United States should therefore be suspended. Facebook Ireland challenged procedural aspects of this IDPC inquiry in a judicial review commenced in the Irish High Court in September 2020, and the court ordered the IDPC not to take further steps in respe</w:t>
      </w:r>
      <w:r>
        <w:rPr>
          <w:rFonts w:ascii="Times New Roman" w:eastAsia="宋体" w:hAnsi="Times New Roman"/>
          <w:sz w:val="20"/>
          <w:szCs w:val="20"/>
        </w:rPr>
        <w:t>ct of the inquiry until the judicial review proceedings conclude (subject to the IDPC's right to apply to vary or lift this order), which we expect to occur in early 2021. For additional information, see Part II, Item 1A, "Risk Factors—Our business is subj</w:t>
      </w:r>
      <w:r>
        <w:rPr>
          <w:rFonts w:ascii="Times New Roman" w:eastAsia="宋体" w:hAnsi="Times New Roman"/>
          <w:sz w:val="20"/>
          <w:szCs w:val="20"/>
        </w:rPr>
        <w:t>ect to complex and evolving U.S. and foreign laws and regulations regarding privacy, data protection, content, competition, consumer protection, and other matters" in this Quarterly Report on Form 10-Q. Any such inquiries or investigations could subject us</w:t>
      </w:r>
      <w:r>
        <w:rPr>
          <w:rFonts w:ascii="Times New Roman" w:eastAsia="宋体" w:hAnsi="Times New Roman"/>
          <w:sz w:val="20"/>
          <w:szCs w:val="20"/>
        </w:rPr>
        <w:t xml:space="preserve"> to substantial fines and costs, require us to change our business practices, divert resources and the attention of management from our business, or adversely affect our business.</w:t>
      </w:r>
    </w:p>
    <w:p w14:paraId="54E91495"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from time to time we are subject to inquiries and investigation</w:t>
      </w:r>
      <w:r>
        <w:rPr>
          <w:rFonts w:ascii="Times New Roman" w:eastAsia="宋体" w:hAnsi="Times New Roman"/>
          <w:sz w:val="20"/>
          <w:szCs w:val="20"/>
        </w:rPr>
        <w:t>s, formal or informal, by competition authorities in the United States, Europe, and other jurisdictions. For example, in June 2019 we were informed by the FTC that it had opened an antitrust investigation of our company. In addition, beginning in the third</w:t>
      </w:r>
      <w:r>
        <w:rPr>
          <w:rFonts w:ascii="Times New Roman" w:eastAsia="宋体" w:hAnsi="Times New Roman"/>
          <w:sz w:val="20"/>
          <w:szCs w:val="20"/>
        </w:rPr>
        <w:t xml:space="preserve"> quarter of 2019, we became the subject of antitrust investigations by the U.S. Department of Justice and state attorneys general. These investigations and inquiries concern, among other things, our business practices in the areas of social networking or s</w:t>
      </w:r>
      <w:r>
        <w:rPr>
          <w:rFonts w:ascii="Times New Roman" w:eastAsia="宋体" w:hAnsi="Times New Roman"/>
          <w:sz w:val="20"/>
          <w:szCs w:val="20"/>
        </w:rPr>
        <w:t>ocial media services, digital advertising, and/or mobile or online applications, as well as past acquisitions. The result of such investigations or inquiries could subject us to substantial monetary remedies and costs, interrupt or require us to change our</w:t>
      </w:r>
      <w:r>
        <w:rPr>
          <w:rFonts w:ascii="Times New Roman" w:eastAsia="宋体" w:hAnsi="Times New Roman"/>
          <w:sz w:val="20"/>
          <w:szCs w:val="20"/>
        </w:rPr>
        <w:t xml:space="preserve"> business practices, divert resources and the attention of management from our business, or subject us to other structural or behavioral remedies that adversely affect our business.</w:t>
      </w:r>
    </w:p>
    <w:p w14:paraId="54E91496"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from time to time, we are subject to litigation and other pro</w:t>
      </w:r>
      <w:r>
        <w:rPr>
          <w:rFonts w:ascii="Times New Roman" w:eastAsia="宋体" w:hAnsi="Times New Roman"/>
          <w:sz w:val="20"/>
          <w:szCs w:val="20"/>
        </w:rPr>
        <w:t>ceedings involving law enforcement and other regulatory agencies, including in particular in Brazil and Europe, in order to ascertain the precise scope of our legal obligations to comply with the requests of those agencies, including our obligation to disc</w:t>
      </w:r>
      <w:r>
        <w:rPr>
          <w:rFonts w:ascii="Times New Roman" w:eastAsia="宋体" w:hAnsi="Times New Roman"/>
          <w:sz w:val="20"/>
          <w:szCs w:val="20"/>
        </w:rPr>
        <w:t>lose user information in particular circumstances. A number of such instances have resulted in the assessment of fines and penalties against us. We believe we have multiple legal grounds to satisfy these requests or prevail against associated fines and pen</w:t>
      </w:r>
      <w:r>
        <w:rPr>
          <w:rFonts w:ascii="Times New Roman" w:eastAsia="宋体" w:hAnsi="Times New Roman"/>
          <w:sz w:val="20"/>
          <w:szCs w:val="20"/>
        </w:rPr>
        <w:t>alties, and we intend to vigorously defend such fines and penalties.</w:t>
      </w:r>
    </w:p>
    <w:p w14:paraId="54E91497"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are also party to various other legal proceedings, claims, and regulatory, tax or government inquiries and investigations that arise in the ordinary course of business, and we may in t</w:t>
      </w:r>
      <w:r>
        <w:rPr>
          <w:rFonts w:ascii="Times New Roman" w:eastAsia="宋体" w:hAnsi="Times New Roman"/>
          <w:sz w:val="20"/>
          <w:szCs w:val="20"/>
        </w:rPr>
        <w:t>he future be subject to additional legal proceedings and disputes.</w:t>
      </w:r>
    </w:p>
    <w:p w14:paraId="54E91498" w14:textId="77777777" w:rsidR="00F427A3" w:rsidRDefault="00F427A3">
      <w:pPr>
        <w:rPr>
          <w:rFonts w:ascii="Times New Roman" w:hAnsi="Times New Roman"/>
          <w:sz w:val="20"/>
          <w:szCs w:val="20"/>
        </w:rPr>
      </w:pPr>
    </w:p>
    <w:p w14:paraId="54E91499"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52</w:t>
      </w:r>
    </w:p>
    <w:p w14:paraId="54E9149A" w14:textId="77777777" w:rsidR="00F427A3" w:rsidRDefault="0044221F">
      <w:r>
        <w:rPr>
          <w:rFonts w:ascii="Times New Roman" w:hAnsi="Times New Roman"/>
          <w:sz w:val="20"/>
          <w:szCs w:val="20"/>
        </w:rPr>
        <w:pict w14:anchorId="54E91C64">
          <v:rect id="_x0000_i1076" style="width:415.3pt;height:1.5pt" o:hralign="center" o:hrstd="t" o:hr="t" fillcolor="#a0a0a0" stroked="f"/>
        </w:pict>
      </w:r>
    </w:p>
    <w:p w14:paraId="54E9149B" w14:textId="77777777" w:rsidR="00F427A3" w:rsidRDefault="0044221F">
      <w:pPr>
        <w:spacing w:line="288" w:lineRule="auto"/>
        <w:rPr>
          <w:rFonts w:ascii="Times New Roman" w:hAnsi="Times New Roman"/>
          <w:sz w:val="20"/>
          <w:szCs w:val="20"/>
        </w:rPr>
      </w:pPr>
      <w:hyperlink r:id="rId93" w:anchor="s348EA962CF6D59B599D9921AFA89C381" w:history="1">
        <w:r>
          <w:rPr>
            <w:rStyle w:val="a5"/>
            <w:rFonts w:ascii="Times New Roman" w:eastAsia="宋体" w:hAnsi="Times New Roman"/>
            <w:sz w:val="20"/>
            <w:szCs w:val="20"/>
          </w:rPr>
          <w:t>Table of Contents</w:t>
        </w:r>
      </w:hyperlink>
    </w:p>
    <w:p w14:paraId="54E9149C" w14:textId="77777777" w:rsidR="00F427A3" w:rsidRDefault="00F427A3">
      <w:pPr>
        <w:rPr>
          <w:rFonts w:ascii="Times New Roman" w:hAnsi="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1080"/>
        <w:gridCol w:w="1084"/>
      </w:tblGrid>
      <w:tr w:rsidR="00F427A3" w14:paraId="54E9149F" w14:textId="77777777">
        <w:trPr>
          <w:tblCellSpacing w:w="0" w:type="dxa"/>
        </w:trPr>
        <w:tc>
          <w:tcPr>
            <w:tcW w:w="1080" w:type="dxa"/>
            <w:shd w:val="clear" w:color="auto" w:fill="auto"/>
            <w:vAlign w:val="center"/>
          </w:tcPr>
          <w:p w14:paraId="54E9149D" w14:textId="77777777" w:rsidR="00F427A3" w:rsidRDefault="00F427A3">
            <w:pPr>
              <w:rPr>
                <w:rFonts w:ascii="Times New Roman" w:hAnsi="Times New Roman"/>
                <w:sz w:val="20"/>
                <w:szCs w:val="20"/>
              </w:rPr>
            </w:pPr>
          </w:p>
        </w:tc>
        <w:tc>
          <w:tcPr>
            <w:tcW w:w="0" w:type="auto"/>
            <w:shd w:val="clear" w:color="auto" w:fill="auto"/>
            <w:vAlign w:val="center"/>
          </w:tcPr>
          <w:p w14:paraId="54E9149E" w14:textId="77777777" w:rsidR="00F427A3" w:rsidRDefault="00F427A3">
            <w:pPr>
              <w:rPr>
                <w:rFonts w:ascii="Times New Roman" w:hAnsi="Times New Roman"/>
                <w:sz w:val="20"/>
                <w:szCs w:val="20"/>
              </w:rPr>
            </w:pPr>
          </w:p>
        </w:tc>
      </w:tr>
      <w:tr w:rsidR="00F427A3" w14:paraId="54E914A2" w14:textId="77777777">
        <w:trPr>
          <w:tblCellSpacing w:w="0" w:type="dxa"/>
        </w:trPr>
        <w:tc>
          <w:tcPr>
            <w:tcW w:w="0" w:type="auto"/>
            <w:shd w:val="clear" w:color="auto" w:fill="auto"/>
          </w:tcPr>
          <w:p w14:paraId="54E914A0"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Item </w:t>
            </w:r>
            <w:r>
              <w:rPr>
                <w:rFonts w:ascii="Times New Roman" w:eastAsia="宋体" w:hAnsi="Times New Roman"/>
                <w:b/>
                <w:bCs/>
                <w:sz w:val="20"/>
                <w:szCs w:val="20"/>
              </w:rPr>
              <w:t>1A.</w:t>
            </w:r>
          </w:p>
        </w:tc>
        <w:tc>
          <w:tcPr>
            <w:tcW w:w="0" w:type="auto"/>
            <w:shd w:val="clear" w:color="auto" w:fill="auto"/>
          </w:tcPr>
          <w:p w14:paraId="54E914A1"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 xml:space="preserve">Risk Factors </w:t>
            </w:r>
          </w:p>
        </w:tc>
      </w:tr>
    </w:tbl>
    <w:p w14:paraId="54E914A3" w14:textId="77777777" w:rsidR="00F427A3" w:rsidRDefault="0044221F">
      <w:pPr>
        <w:spacing w:line="288" w:lineRule="auto"/>
        <w:jc w:val="both"/>
        <w:rPr>
          <w:rFonts w:ascii="Times New Roman" w:hAnsi="Times New Roman"/>
          <w:sz w:val="20"/>
          <w:szCs w:val="20"/>
        </w:rPr>
      </w:pPr>
      <w:r>
        <w:rPr>
          <w:rFonts w:ascii="Times New Roman" w:eastAsia="宋体" w:hAnsi="Times New Roman"/>
          <w:i/>
          <w:iCs/>
          <w:sz w:val="20"/>
          <w:szCs w:val="20"/>
        </w:rPr>
        <w:t xml:space="preserve">Certain factors may have a material adverse effect on our business, financial condition, and results of operations. You should consider carefully the risks and uncertainties described below, in addition to other information contained in </w:t>
      </w:r>
      <w:r>
        <w:rPr>
          <w:rFonts w:ascii="Times New Roman" w:eastAsia="宋体" w:hAnsi="Times New Roman"/>
          <w:i/>
          <w:iCs/>
          <w:sz w:val="20"/>
          <w:szCs w:val="20"/>
        </w:rPr>
        <w:t>this Quarterly Report on Form 10-Q, including our condensed consolidated financial statements and related notes. The risks and uncertainties described below are not the only ones we face. Additional risks and uncertainties that we are unaware of, or that w</w:t>
      </w:r>
      <w:r>
        <w:rPr>
          <w:rFonts w:ascii="Times New Roman" w:eastAsia="宋体" w:hAnsi="Times New Roman"/>
          <w:i/>
          <w:iCs/>
          <w:sz w:val="20"/>
          <w:szCs w:val="20"/>
        </w:rPr>
        <w:t>e currently believe are not material, may also become important factors that adversely affect our business. If any of the following risks actually occurs, our business, financial condition, results of operations, and future prospects could be materially an</w:t>
      </w:r>
      <w:r>
        <w:rPr>
          <w:rFonts w:ascii="Times New Roman" w:eastAsia="宋体" w:hAnsi="Times New Roman"/>
          <w:i/>
          <w:iCs/>
          <w:sz w:val="20"/>
          <w:szCs w:val="20"/>
        </w:rPr>
        <w:t>d adversely affected. In that event, the trading price of our Class A common stock could decline, and you could lose part or all of your investment.</w:t>
      </w:r>
    </w:p>
    <w:p w14:paraId="54E914A4"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sz w:val="20"/>
          <w:szCs w:val="20"/>
        </w:rPr>
        <w:t>Risks Related to Our Business and Industry</w:t>
      </w:r>
    </w:p>
    <w:p w14:paraId="54E914A5" w14:textId="77777777" w:rsidR="00F427A3" w:rsidRDefault="00F427A3">
      <w:pPr>
        <w:spacing w:line="288" w:lineRule="auto"/>
        <w:rPr>
          <w:rFonts w:ascii="Times New Roman" w:hAnsi="Times New Roman"/>
          <w:sz w:val="20"/>
          <w:szCs w:val="20"/>
        </w:rPr>
      </w:pPr>
    </w:p>
    <w:p w14:paraId="54E914A6"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The COVID-19 pandemic has had, and is expected to </w:t>
      </w:r>
      <w:r>
        <w:rPr>
          <w:rFonts w:ascii="Times New Roman" w:eastAsia="宋体" w:hAnsi="Times New Roman"/>
          <w:b/>
          <w:bCs/>
          <w:i/>
          <w:iCs/>
          <w:sz w:val="20"/>
          <w:szCs w:val="20"/>
        </w:rPr>
        <w:t>continue to have, a significant adverse impact on our advertising revenue and also exposes our business to other risks.</w:t>
      </w:r>
    </w:p>
    <w:p w14:paraId="54E914A7" w14:textId="77777777" w:rsidR="00F427A3" w:rsidRDefault="00F427A3">
      <w:pPr>
        <w:spacing w:line="288" w:lineRule="auto"/>
        <w:ind w:firstLine="960"/>
        <w:jc w:val="both"/>
        <w:rPr>
          <w:rFonts w:ascii="Times New Roman" w:hAnsi="Times New Roman"/>
          <w:sz w:val="20"/>
          <w:szCs w:val="20"/>
        </w:rPr>
      </w:pPr>
    </w:p>
    <w:p w14:paraId="54E914A8"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COVID-19 pandemic has resulted in authorities implementing numerous preventative measures to contain or mitigate the </w:t>
      </w:r>
      <w:r>
        <w:rPr>
          <w:rFonts w:ascii="Times New Roman" w:eastAsia="宋体" w:hAnsi="Times New Roman"/>
          <w:sz w:val="20"/>
          <w:szCs w:val="20"/>
        </w:rPr>
        <w:t>outbreak of the virus, such as travel bans and restrictions, limitations on business activity, quarantines, and shelter-in-place orders. These measures have caused, and are continuing to cause, business slowdowns or shutdowns in affected areas, both region</w:t>
      </w:r>
      <w:r>
        <w:rPr>
          <w:rFonts w:ascii="Times New Roman" w:eastAsia="宋体" w:hAnsi="Times New Roman"/>
          <w:sz w:val="20"/>
          <w:szCs w:val="20"/>
        </w:rPr>
        <w:t>ally and worldwide, which have significantly impacted our business and results of operations. For example, in the second quarter of 2020, our advertising revenue grew 10% year-over-year, which was the slowest growth rate for any fiscal quarter since our in</w:t>
      </w:r>
      <w:r>
        <w:rPr>
          <w:rFonts w:ascii="Times New Roman" w:eastAsia="宋体" w:hAnsi="Times New Roman"/>
          <w:sz w:val="20"/>
          <w:szCs w:val="20"/>
        </w:rPr>
        <w:t>itial public offering. While our advertising revenue growth rate improved in the third quarter of 2020, there can be no assurance that it will not decrease again as a result of the effects of the pandemic. In addition, we believe that the pandemic has cont</w:t>
      </w:r>
      <w:r>
        <w:rPr>
          <w:rFonts w:ascii="Times New Roman" w:eastAsia="宋体" w:hAnsi="Times New Roman"/>
          <w:sz w:val="20"/>
          <w:szCs w:val="20"/>
        </w:rPr>
        <w:t>ributed to an acceleration in the shift of commerce from offline to online, which in turn has increased demand for our advertising services; however, it is possible that this increased demand may not continue in future periods and may even recede as the ef</w:t>
      </w:r>
      <w:r>
        <w:rPr>
          <w:rFonts w:ascii="Times New Roman" w:eastAsia="宋体" w:hAnsi="Times New Roman"/>
          <w:sz w:val="20"/>
          <w:szCs w:val="20"/>
        </w:rPr>
        <w:t>fects of the pandemic subside, which could adversely affect our advertising revenue growth given that online commerce is our largest advertising vertical. The demand for and pricing of our advertising services may be materially and adversely impacted by th</w:t>
      </w:r>
      <w:r>
        <w:rPr>
          <w:rFonts w:ascii="Times New Roman" w:eastAsia="宋体" w:hAnsi="Times New Roman"/>
          <w:sz w:val="20"/>
          <w:szCs w:val="20"/>
        </w:rPr>
        <w:t xml:space="preserve">e pandemic for the foreseeable future, and we are unable to predict the duration or degree of such impact with any certainty. In addition, while our advertising revenue grew 17% year-over-year in the first nine months of 2020, our total costs and expenses </w:t>
      </w:r>
      <w:r>
        <w:rPr>
          <w:rFonts w:ascii="Times New Roman" w:eastAsia="宋体" w:hAnsi="Times New Roman"/>
          <w:sz w:val="20"/>
          <w:szCs w:val="20"/>
        </w:rPr>
        <w:t>for the same period grew at a significantly higher rate of 29% year-over-year (after excluding the $5.0 billion legal accrual in the first nine months of 2019 related to our FTC settlement). If this trend persists for a significant period of time, our oper</w:t>
      </w:r>
      <w:r>
        <w:rPr>
          <w:rFonts w:ascii="Times New Roman" w:eastAsia="宋体" w:hAnsi="Times New Roman"/>
          <w:sz w:val="20"/>
          <w:szCs w:val="20"/>
        </w:rPr>
        <w:t>ating margin and profitability will be adversely affected and the trading price of our Class A common stock could decline. In addition to the impact on our advertising business and operating margin, the pandemic exposes our business, operations, and workfo</w:t>
      </w:r>
      <w:r>
        <w:rPr>
          <w:rFonts w:ascii="Times New Roman" w:eastAsia="宋体" w:hAnsi="Times New Roman"/>
          <w:sz w:val="20"/>
          <w:szCs w:val="20"/>
        </w:rPr>
        <w:t>rce to a variety of other risks, including:</w:t>
      </w: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4AB" w14:textId="77777777">
        <w:trPr>
          <w:tblCellSpacing w:w="0" w:type="dxa"/>
        </w:trPr>
        <w:tc>
          <w:tcPr>
            <w:tcW w:w="1440" w:type="dxa"/>
            <w:shd w:val="clear" w:color="auto" w:fill="auto"/>
            <w:vAlign w:val="center"/>
          </w:tcPr>
          <w:p w14:paraId="54E914A9" w14:textId="77777777" w:rsidR="00F427A3" w:rsidRDefault="00F427A3">
            <w:pPr>
              <w:rPr>
                <w:rFonts w:ascii="Times New Roman" w:hAnsi="Times New Roman"/>
                <w:sz w:val="20"/>
                <w:szCs w:val="20"/>
              </w:rPr>
            </w:pPr>
          </w:p>
        </w:tc>
        <w:tc>
          <w:tcPr>
            <w:tcW w:w="0" w:type="auto"/>
            <w:shd w:val="clear" w:color="auto" w:fill="auto"/>
            <w:vAlign w:val="center"/>
          </w:tcPr>
          <w:p w14:paraId="54E914AA" w14:textId="77777777" w:rsidR="00F427A3" w:rsidRDefault="00F427A3">
            <w:pPr>
              <w:rPr>
                <w:rFonts w:ascii="Times New Roman" w:hAnsi="Times New Roman"/>
                <w:sz w:val="20"/>
                <w:szCs w:val="20"/>
              </w:rPr>
            </w:pPr>
          </w:p>
        </w:tc>
      </w:tr>
      <w:tr w:rsidR="00F427A3" w14:paraId="54E914AE" w14:textId="77777777">
        <w:trPr>
          <w:tblCellSpacing w:w="0" w:type="dxa"/>
        </w:trPr>
        <w:tc>
          <w:tcPr>
            <w:tcW w:w="0" w:type="auto"/>
            <w:shd w:val="clear" w:color="auto" w:fill="auto"/>
          </w:tcPr>
          <w:p w14:paraId="54E914AC"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4AD"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volatility in the size of our user base and user engagement, particularly for our messaging products, whether as a result of shelter-in-place measures or other factors;</w:t>
            </w:r>
          </w:p>
        </w:tc>
      </w:tr>
    </w:tbl>
    <w:p w14:paraId="54E914AF"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4B2" w14:textId="77777777">
        <w:trPr>
          <w:tblCellSpacing w:w="0" w:type="dxa"/>
        </w:trPr>
        <w:tc>
          <w:tcPr>
            <w:tcW w:w="1440" w:type="dxa"/>
            <w:shd w:val="clear" w:color="auto" w:fill="auto"/>
            <w:vAlign w:val="center"/>
          </w:tcPr>
          <w:p w14:paraId="54E914B0" w14:textId="77777777" w:rsidR="00F427A3" w:rsidRDefault="00F427A3">
            <w:pPr>
              <w:rPr>
                <w:rFonts w:ascii="Times New Roman" w:hAnsi="Times New Roman"/>
                <w:sz w:val="20"/>
                <w:szCs w:val="20"/>
              </w:rPr>
            </w:pPr>
          </w:p>
        </w:tc>
        <w:tc>
          <w:tcPr>
            <w:tcW w:w="0" w:type="auto"/>
            <w:shd w:val="clear" w:color="auto" w:fill="auto"/>
            <w:vAlign w:val="center"/>
          </w:tcPr>
          <w:p w14:paraId="54E914B1" w14:textId="77777777" w:rsidR="00F427A3" w:rsidRDefault="00F427A3">
            <w:pPr>
              <w:rPr>
                <w:rFonts w:ascii="Times New Roman" w:hAnsi="Times New Roman"/>
                <w:sz w:val="20"/>
                <w:szCs w:val="20"/>
              </w:rPr>
            </w:pPr>
          </w:p>
        </w:tc>
      </w:tr>
      <w:tr w:rsidR="00F427A3" w14:paraId="54E914B5" w14:textId="77777777">
        <w:trPr>
          <w:tblCellSpacing w:w="0" w:type="dxa"/>
        </w:trPr>
        <w:tc>
          <w:tcPr>
            <w:tcW w:w="0" w:type="auto"/>
            <w:shd w:val="clear" w:color="auto" w:fill="auto"/>
          </w:tcPr>
          <w:p w14:paraId="54E914B3"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4B4"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decreased user </w:t>
            </w:r>
            <w:r>
              <w:rPr>
                <w:rFonts w:ascii="Times New Roman" w:eastAsia="宋体" w:hAnsi="Times New Roman"/>
                <w:sz w:val="20"/>
                <w:szCs w:val="20"/>
              </w:rPr>
              <w:t>engagement as a result of users' inability to purchase data packs or devices to access our products and services;</w:t>
            </w:r>
          </w:p>
        </w:tc>
      </w:tr>
    </w:tbl>
    <w:p w14:paraId="54E914B6"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4B9" w14:textId="77777777">
        <w:trPr>
          <w:tblCellSpacing w:w="0" w:type="dxa"/>
        </w:trPr>
        <w:tc>
          <w:tcPr>
            <w:tcW w:w="1440" w:type="dxa"/>
            <w:shd w:val="clear" w:color="auto" w:fill="auto"/>
            <w:vAlign w:val="center"/>
          </w:tcPr>
          <w:p w14:paraId="54E914B7" w14:textId="77777777" w:rsidR="00F427A3" w:rsidRDefault="00F427A3">
            <w:pPr>
              <w:rPr>
                <w:rFonts w:ascii="Times New Roman" w:hAnsi="Times New Roman"/>
                <w:sz w:val="20"/>
                <w:szCs w:val="20"/>
              </w:rPr>
            </w:pPr>
          </w:p>
        </w:tc>
        <w:tc>
          <w:tcPr>
            <w:tcW w:w="0" w:type="auto"/>
            <w:shd w:val="clear" w:color="auto" w:fill="auto"/>
            <w:vAlign w:val="center"/>
          </w:tcPr>
          <w:p w14:paraId="54E914B8" w14:textId="77777777" w:rsidR="00F427A3" w:rsidRDefault="00F427A3">
            <w:pPr>
              <w:rPr>
                <w:rFonts w:ascii="Times New Roman" w:hAnsi="Times New Roman"/>
                <w:sz w:val="20"/>
                <w:szCs w:val="20"/>
              </w:rPr>
            </w:pPr>
          </w:p>
        </w:tc>
      </w:tr>
      <w:tr w:rsidR="00F427A3" w14:paraId="54E914BC" w14:textId="77777777">
        <w:trPr>
          <w:tblCellSpacing w:w="0" w:type="dxa"/>
        </w:trPr>
        <w:tc>
          <w:tcPr>
            <w:tcW w:w="0" w:type="auto"/>
            <w:shd w:val="clear" w:color="auto" w:fill="auto"/>
          </w:tcPr>
          <w:p w14:paraId="54E914BA"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4BB"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interruptions in the accessibility or performance of our products and services due to capacity constraints from increased usage, or </w:t>
            </w:r>
            <w:r>
              <w:rPr>
                <w:rFonts w:ascii="Times New Roman" w:eastAsia="宋体" w:hAnsi="Times New Roman"/>
                <w:sz w:val="20"/>
                <w:szCs w:val="20"/>
              </w:rPr>
              <w:t>product changes we implement to maintain accessibility of our services, such as reducing the quality of video to reduce bandwidth usage;</w:t>
            </w:r>
          </w:p>
        </w:tc>
      </w:tr>
    </w:tbl>
    <w:p w14:paraId="54E914BD"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4C0" w14:textId="77777777">
        <w:trPr>
          <w:tblCellSpacing w:w="0" w:type="dxa"/>
        </w:trPr>
        <w:tc>
          <w:tcPr>
            <w:tcW w:w="1440" w:type="dxa"/>
            <w:shd w:val="clear" w:color="auto" w:fill="auto"/>
            <w:vAlign w:val="center"/>
          </w:tcPr>
          <w:p w14:paraId="54E914BE" w14:textId="77777777" w:rsidR="00F427A3" w:rsidRDefault="00F427A3">
            <w:pPr>
              <w:rPr>
                <w:rFonts w:ascii="Times New Roman" w:hAnsi="Times New Roman"/>
                <w:sz w:val="20"/>
                <w:szCs w:val="20"/>
              </w:rPr>
            </w:pPr>
          </w:p>
        </w:tc>
        <w:tc>
          <w:tcPr>
            <w:tcW w:w="0" w:type="auto"/>
            <w:shd w:val="clear" w:color="auto" w:fill="auto"/>
            <w:vAlign w:val="center"/>
          </w:tcPr>
          <w:p w14:paraId="54E914BF" w14:textId="77777777" w:rsidR="00F427A3" w:rsidRDefault="00F427A3">
            <w:pPr>
              <w:rPr>
                <w:rFonts w:ascii="Times New Roman" w:hAnsi="Times New Roman"/>
                <w:sz w:val="20"/>
                <w:szCs w:val="20"/>
              </w:rPr>
            </w:pPr>
          </w:p>
        </w:tc>
      </w:tr>
      <w:tr w:rsidR="00F427A3" w14:paraId="54E914C3" w14:textId="77777777">
        <w:trPr>
          <w:tblCellSpacing w:w="0" w:type="dxa"/>
        </w:trPr>
        <w:tc>
          <w:tcPr>
            <w:tcW w:w="0" w:type="auto"/>
            <w:shd w:val="clear" w:color="auto" w:fill="auto"/>
          </w:tcPr>
          <w:p w14:paraId="54E914C1"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4C2"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delays in product development or releases, or reductions in manufacturing production and sales of </w:t>
            </w:r>
            <w:r>
              <w:rPr>
                <w:rFonts w:ascii="Times New Roman" w:eastAsia="宋体" w:hAnsi="Times New Roman"/>
                <w:sz w:val="20"/>
                <w:szCs w:val="20"/>
              </w:rPr>
              <w:t>consumer hardware, as a result of inventory shortages, supply chain shortages, or diversion of our efforts and resources to projects related to COVID-19;</w:t>
            </w:r>
          </w:p>
        </w:tc>
      </w:tr>
    </w:tbl>
    <w:p w14:paraId="54E914C4"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4C7" w14:textId="77777777">
        <w:trPr>
          <w:tblCellSpacing w:w="0" w:type="dxa"/>
        </w:trPr>
        <w:tc>
          <w:tcPr>
            <w:tcW w:w="1440" w:type="dxa"/>
            <w:shd w:val="clear" w:color="auto" w:fill="auto"/>
            <w:vAlign w:val="center"/>
          </w:tcPr>
          <w:p w14:paraId="54E914C5" w14:textId="77777777" w:rsidR="00F427A3" w:rsidRDefault="00F427A3">
            <w:pPr>
              <w:rPr>
                <w:rFonts w:ascii="Times New Roman" w:hAnsi="Times New Roman"/>
                <w:sz w:val="20"/>
                <w:szCs w:val="20"/>
              </w:rPr>
            </w:pPr>
          </w:p>
        </w:tc>
        <w:tc>
          <w:tcPr>
            <w:tcW w:w="0" w:type="auto"/>
            <w:shd w:val="clear" w:color="auto" w:fill="auto"/>
            <w:vAlign w:val="center"/>
          </w:tcPr>
          <w:p w14:paraId="54E914C6" w14:textId="77777777" w:rsidR="00F427A3" w:rsidRDefault="00F427A3">
            <w:pPr>
              <w:rPr>
                <w:rFonts w:ascii="Times New Roman" w:hAnsi="Times New Roman"/>
                <w:sz w:val="20"/>
                <w:szCs w:val="20"/>
              </w:rPr>
            </w:pPr>
          </w:p>
        </w:tc>
      </w:tr>
      <w:tr w:rsidR="00F427A3" w14:paraId="54E914CA" w14:textId="77777777">
        <w:trPr>
          <w:tblCellSpacing w:w="0" w:type="dxa"/>
        </w:trPr>
        <w:tc>
          <w:tcPr>
            <w:tcW w:w="0" w:type="auto"/>
            <w:shd w:val="clear" w:color="auto" w:fill="auto"/>
          </w:tcPr>
          <w:p w14:paraId="54E914C8"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4C9"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increased misuse of our products and services or user data by third parties, including improper</w:t>
            </w:r>
            <w:r>
              <w:rPr>
                <w:rFonts w:ascii="Times New Roman" w:eastAsia="宋体" w:hAnsi="Times New Roman"/>
                <w:sz w:val="20"/>
                <w:szCs w:val="20"/>
              </w:rPr>
              <w:t xml:space="preserve"> advertising practices or other activity inconsistent with our terms, contracts, or policies, misinformation or other illicit or objectionable material on our platforms, election interference, or other undesirable activity; </w:t>
            </w:r>
          </w:p>
        </w:tc>
      </w:tr>
    </w:tbl>
    <w:p w14:paraId="54E914CB"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4CE" w14:textId="77777777">
        <w:trPr>
          <w:tblCellSpacing w:w="0" w:type="dxa"/>
        </w:trPr>
        <w:tc>
          <w:tcPr>
            <w:tcW w:w="1440" w:type="dxa"/>
            <w:shd w:val="clear" w:color="auto" w:fill="auto"/>
            <w:vAlign w:val="center"/>
          </w:tcPr>
          <w:p w14:paraId="54E914CC" w14:textId="77777777" w:rsidR="00F427A3" w:rsidRDefault="00F427A3">
            <w:pPr>
              <w:rPr>
                <w:rFonts w:ascii="Times New Roman" w:hAnsi="Times New Roman"/>
                <w:sz w:val="20"/>
                <w:szCs w:val="20"/>
              </w:rPr>
            </w:pPr>
          </w:p>
        </w:tc>
        <w:tc>
          <w:tcPr>
            <w:tcW w:w="0" w:type="auto"/>
            <w:shd w:val="clear" w:color="auto" w:fill="auto"/>
            <w:vAlign w:val="center"/>
          </w:tcPr>
          <w:p w14:paraId="54E914CD" w14:textId="77777777" w:rsidR="00F427A3" w:rsidRDefault="00F427A3">
            <w:pPr>
              <w:rPr>
                <w:rFonts w:ascii="Times New Roman" w:hAnsi="Times New Roman"/>
                <w:sz w:val="20"/>
                <w:szCs w:val="20"/>
              </w:rPr>
            </w:pPr>
          </w:p>
        </w:tc>
      </w:tr>
      <w:tr w:rsidR="00F427A3" w14:paraId="54E914D1" w14:textId="77777777">
        <w:trPr>
          <w:tblCellSpacing w:w="0" w:type="dxa"/>
        </w:trPr>
        <w:tc>
          <w:tcPr>
            <w:tcW w:w="0" w:type="auto"/>
            <w:shd w:val="clear" w:color="auto" w:fill="auto"/>
          </w:tcPr>
          <w:p w14:paraId="54E914CF"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4D0"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adverse impacts to </w:t>
            </w:r>
            <w:r>
              <w:rPr>
                <w:rFonts w:ascii="Times New Roman" w:eastAsia="宋体" w:hAnsi="Times New Roman"/>
                <w:sz w:val="20"/>
                <w:szCs w:val="20"/>
              </w:rPr>
              <w:t>our efforts to combat misuse of our products and services and user data as a result of limitations on our safety, security, and content review efforts while our workforce is working remotely, such as the necessity to rely more heavily on artificial intelli</w:t>
            </w:r>
            <w:r>
              <w:rPr>
                <w:rFonts w:ascii="Times New Roman" w:eastAsia="宋体" w:hAnsi="Times New Roman"/>
                <w:sz w:val="20"/>
                <w:szCs w:val="20"/>
              </w:rPr>
              <w:t>gence to perform tasks that our workforce is unable to perform; </w:t>
            </w:r>
          </w:p>
        </w:tc>
      </w:tr>
    </w:tbl>
    <w:p w14:paraId="54E914D2" w14:textId="77777777" w:rsidR="00F427A3" w:rsidRDefault="00F427A3">
      <w:pPr>
        <w:rPr>
          <w:rFonts w:ascii="Times New Roman" w:hAnsi="Times New Roman"/>
          <w:sz w:val="20"/>
          <w:szCs w:val="20"/>
        </w:rPr>
      </w:pPr>
    </w:p>
    <w:p w14:paraId="54E914D3"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53</w:t>
      </w:r>
    </w:p>
    <w:p w14:paraId="54E914D4" w14:textId="77777777" w:rsidR="00F427A3" w:rsidRDefault="0044221F">
      <w:r>
        <w:rPr>
          <w:rFonts w:ascii="Times New Roman" w:hAnsi="Times New Roman"/>
          <w:sz w:val="20"/>
          <w:szCs w:val="20"/>
        </w:rPr>
        <w:pict w14:anchorId="54E91C65">
          <v:rect id="_x0000_i1077" style="width:415.3pt;height:1.5pt" o:hralign="center" o:hrstd="t" o:hr="t" fillcolor="#a0a0a0" stroked="f"/>
        </w:pict>
      </w:r>
    </w:p>
    <w:p w14:paraId="54E914D5" w14:textId="77777777" w:rsidR="00F427A3" w:rsidRDefault="0044221F">
      <w:pPr>
        <w:spacing w:line="288" w:lineRule="auto"/>
        <w:rPr>
          <w:rFonts w:ascii="Times New Roman" w:hAnsi="Times New Roman"/>
          <w:sz w:val="20"/>
          <w:szCs w:val="20"/>
        </w:rPr>
      </w:pPr>
      <w:hyperlink r:id="rId94" w:anchor="s348EA962CF6D59B599D9921AFA89C381" w:history="1">
        <w:r>
          <w:rPr>
            <w:rStyle w:val="a5"/>
            <w:rFonts w:ascii="Times New Roman" w:eastAsia="宋体" w:hAnsi="Times New Roman"/>
            <w:sz w:val="20"/>
            <w:szCs w:val="20"/>
          </w:rPr>
          <w:t>Table of Contents</w:t>
        </w:r>
      </w:hyperlink>
    </w:p>
    <w:p w14:paraId="54E914D6" w14:textId="77777777" w:rsidR="00F427A3" w:rsidRDefault="00F427A3">
      <w:pPr>
        <w:rPr>
          <w:rFonts w:ascii="Times New Roman" w:hAnsi="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4D9" w14:textId="77777777">
        <w:trPr>
          <w:tblCellSpacing w:w="0" w:type="dxa"/>
        </w:trPr>
        <w:tc>
          <w:tcPr>
            <w:tcW w:w="1440" w:type="dxa"/>
            <w:shd w:val="clear" w:color="auto" w:fill="auto"/>
            <w:vAlign w:val="center"/>
          </w:tcPr>
          <w:p w14:paraId="54E914D7" w14:textId="77777777" w:rsidR="00F427A3" w:rsidRDefault="00F427A3">
            <w:pPr>
              <w:rPr>
                <w:rFonts w:ascii="Times New Roman" w:hAnsi="Times New Roman"/>
                <w:sz w:val="20"/>
                <w:szCs w:val="20"/>
              </w:rPr>
            </w:pPr>
          </w:p>
        </w:tc>
        <w:tc>
          <w:tcPr>
            <w:tcW w:w="0" w:type="auto"/>
            <w:shd w:val="clear" w:color="auto" w:fill="auto"/>
            <w:vAlign w:val="center"/>
          </w:tcPr>
          <w:p w14:paraId="54E914D8" w14:textId="77777777" w:rsidR="00F427A3" w:rsidRDefault="00F427A3">
            <w:pPr>
              <w:rPr>
                <w:rFonts w:ascii="Times New Roman" w:hAnsi="Times New Roman"/>
                <w:sz w:val="20"/>
                <w:szCs w:val="20"/>
              </w:rPr>
            </w:pPr>
          </w:p>
        </w:tc>
      </w:tr>
      <w:tr w:rsidR="00F427A3" w14:paraId="54E914DC" w14:textId="77777777">
        <w:trPr>
          <w:tblCellSpacing w:w="0" w:type="dxa"/>
        </w:trPr>
        <w:tc>
          <w:tcPr>
            <w:tcW w:w="0" w:type="auto"/>
            <w:shd w:val="clear" w:color="auto" w:fill="auto"/>
          </w:tcPr>
          <w:p w14:paraId="54E914DA"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4DB"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inability to recognize revenue, collect payment, or generate future </w:t>
            </w:r>
            <w:r>
              <w:rPr>
                <w:rFonts w:ascii="Times New Roman" w:eastAsia="宋体" w:hAnsi="Times New Roman"/>
                <w:sz w:val="20"/>
                <w:szCs w:val="20"/>
              </w:rPr>
              <w:t>revenue from marketers, including from those that have been or may be forced to close their businesses or are otherwise impacted by the economic downturn;</w:t>
            </w:r>
          </w:p>
        </w:tc>
      </w:tr>
    </w:tbl>
    <w:p w14:paraId="54E914DD"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4E0" w14:textId="77777777">
        <w:trPr>
          <w:tblCellSpacing w:w="0" w:type="dxa"/>
        </w:trPr>
        <w:tc>
          <w:tcPr>
            <w:tcW w:w="1440" w:type="dxa"/>
            <w:shd w:val="clear" w:color="auto" w:fill="auto"/>
            <w:vAlign w:val="center"/>
          </w:tcPr>
          <w:p w14:paraId="54E914DE" w14:textId="77777777" w:rsidR="00F427A3" w:rsidRDefault="00F427A3">
            <w:pPr>
              <w:rPr>
                <w:rFonts w:ascii="Times New Roman" w:hAnsi="Times New Roman"/>
                <w:sz w:val="20"/>
                <w:szCs w:val="20"/>
              </w:rPr>
            </w:pPr>
          </w:p>
        </w:tc>
        <w:tc>
          <w:tcPr>
            <w:tcW w:w="0" w:type="auto"/>
            <w:shd w:val="clear" w:color="auto" w:fill="auto"/>
            <w:vAlign w:val="center"/>
          </w:tcPr>
          <w:p w14:paraId="54E914DF" w14:textId="77777777" w:rsidR="00F427A3" w:rsidRDefault="00F427A3">
            <w:pPr>
              <w:rPr>
                <w:rFonts w:ascii="Times New Roman" w:hAnsi="Times New Roman"/>
                <w:sz w:val="20"/>
                <w:szCs w:val="20"/>
              </w:rPr>
            </w:pPr>
          </w:p>
        </w:tc>
      </w:tr>
      <w:tr w:rsidR="00F427A3" w14:paraId="54E914E3" w14:textId="77777777">
        <w:trPr>
          <w:tblCellSpacing w:w="0" w:type="dxa"/>
        </w:trPr>
        <w:tc>
          <w:tcPr>
            <w:tcW w:w="0" w:type="auto"/>
            <w:shd w:val="clear" w:color="auto" w:fill="auto"/>
          </w:tcPr>
          <w:p w14:paraId="54E914E1"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4E2"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increased expenses resulting from our initiatives or donations related to the </w:t>
            </w:r>
            <w:r>
              <w:rPr>
                <w:rFonts w:ascii="Times New Roman" w:eastAsia="宋体" w:hAnsi="Times New Roman"/>
                <w:sz w:val="20"/>
                <w:szCs w:val="20"/>
              </w:rPr>
              <w:t>pandemic;</w:t>
            </w:r>
          </w:p>
        </w:tc>
      </w:tr>
    </w:tbl>
    <w:p w14:paraId="54E914E4"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4E7" w14:textId="77777777">
        <w:trPr>
          <w:tblCellSpacing w:w="0" w:type="dxa"/>
        </w:trPr>
        <w:tc>
          <w:tcPr>
            <w:tcW w:w="1440" w:type="dxa"/>
            <w:shd w:val="clear" w:color="auto" w:fill="auto"/>
            <w:vAlign w:val="center"/>
          </w:tcPr>
          <w:p w14:paraId="54E914E5" w14:textId="77777777" w:rsidR="00F427A3" w:rsidRDefault="00F427A3">
            <w:pPr>
              <w:rPr>
                <w:rFonts w:ascii="Times New Roman" w:hAnsi="Times New Roman"/>
                <w:sz w:val="20"/>
                <w:szCs w:val="20"/>
              </w:rPr>
            </w:pPr>
          </w:p>
        </w:tc>
        <w:tc>
          <w:tcPr>
            <w:tcW w:w="0" w:type="auto"/>
            <w:shd w:val="clear" w:color="auto" w:fill="auto"/>
            <w:vAlign w:val="center"/>
          </w:tcPr>
          <w:p w14:paraId="54E914E6" w14:textId="77777777" w:rsidR="00F427A3" w:rsidRDefault="00F427A3">
            <w:pPr>
              <w:rPr>
                <w:rFonts w:ascii="Times New Roman" w:hAnsi="Times New Roman"/>
                <w:sz w:val="20"/>
                <w:szCs w:val="20"/>
              </w:rPr>
            </w:pPr>
          </w:p>
        </w:tc>
      </w:tr>
      <w:tr w:rsidR="00F427A3" w14:paraId="54E914EA" w14:textId="77777777">
        <w:trPr>
          <w:tblCellSpacing w:w="0" w:type="dxa"/>
        </w:trPr>
        <w:tc>
          <w:tcPr>
            <w:tcW w:w="0" w:type="auto"/>
            <w:shd w:val="clear" w:color="auto" w:fill="auto"/>
          </w:tcPr>
          <w:p w14:paraId="54E914E8"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4E9"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significant volatility and disruption of global financial markets, which could cause fluctuations in currency exchange rates or negatively impact our ability to access capital in the future;</w:t>
            </w:r>
          </w:p>
        </w:tc>
      </w:tr>
    </w:tbl>
    <w:p w14:paraId="54E914EB"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4EE" w14:textId="77777777">
        <w:trPr>
          <w:tblCellSpacing w:w="0" w:type="dxa"/>
        </w:trPr>
        <w:tc>
          <w:tcPr>
            <w:tcW w:w="1440" w:type="dxa"/>
            <w:shd w:val="clear" w:color="auto" w:fill="auto"/>
            <w:vAlign w:val="center"/>
          </w:tcPr>
          <w:p w14:paraId="54E914EC" w14:textId="77777777" w:rsidR="00F427A3" w:rsidRDefault="00F427A3">
            <w:pPr>
              <w:rPr>
                <w:rFonts w:ascii="Times New Roman" w:hAnsi="Times New Roman"/>
                <w:sz w:val="20"/>
                <w:szCs w:val="20"/>
              </w:rPr>
            </w:pPr>
          </w:p>
        </w:tc>
        <w:tc>
          <w:tcPr>
            <w:tcW w:w="0" w:type="auto"/>
            <w:shd w:val="clear" w:color="auto" w:fill="auto"/>
            <w:vAlign w:val="center"/>
          </w:tcPr>
          <w:p w14:paraId="54E914ED" w14:textId="77777777" w:rsidR="00F427A3" w:rsidRDefault="00F427A3">
            <w:pPr>
              <w:rPr>
                <w:rFonts w:ascii="Times New Roman" w:hAnsi="Times New Roman"/>
                <w:sz w:val="20"/>
                <w:szCs w:val="20"/>
              </w:rPr>
            </w:pPr>
          </w:p>
        </w:tc>
      </w:tr>
      <w:tr w:rsidR="00F427A3" w14:paraId="54E914F1" w14:textId="77777777">
        <w:trPr>
          <w:tblCellSpacing w:w="0" w:type="dxa"/>
        </w:trPr>
        <w:tc>
          <w:tcPr>
            <w:tcW w:w="0" w:type="auto"/>
            <w:shd w:val="clear" w:color="auto" w:fill="auto"/>
          </w:tcPr>
          <w:p w14:paraId="54E914EF"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4F0"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negative impact on our workforce </w:t>
            </w:r>
            <w:r>
              <w:rPr>
                <w:rFonts w:ascii="Times New Roman" w:eastAsia="宋体" w:hAnsi="Times New Roman"/>
                <w:sz w:val="20"/>
                <w:szCs w:val="20"/>
              </w:rPr>
              <w:t>productivity, product development, and research and development due to difficulties resulting from our personnel working remotely; </w:t>
            </w:r>
          </w:p>
        </w:tc>
      </w:tr>
    </w:tbl>
    <w:p w14:paraId="54E914F2"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4F5" w14:textId="77777777">
        <w:trPr>
          <w:tblCellSpacing w:w="0" w:type="dxa"/>
        </w:trPr>
        <w:tc>
          <w:tcPr>
            <w:tcW w:w="1440" w:type="dxa"/>
            <w:shd w:val="clear" w:color="auto" w:fill="auto"/>
            <w:vAlign w:val="center"/>
          </w:tcPr>
          <w:p w14:paraId="54E914F3" w14:textId="77777777" w:rsidR="00F427A3" w:rsidRDefault="00F427A3">
            <w:pPr>
              <w:rPr>
                <w:rFonts w:ascii="Times New Roman" w:hAnsi="Times New Roman"/>
                <w:sz w:val="20"/>
                <w:szCs w:val="20"/>
              </w:rPr>
            </w:pPr>
          </w:p>
        </w:tc>
        <w:tc>
          <w:tcPr>
            <w:tcW w:w="0" w:type="auto"/>
            <w:shd w:val="clear" w:color="auto" w:fill="auto"/>
            <w:vAlign w:val="center"/>
          </w:tcPr>
          <w:p w14:paraId="54E914F4" w14:textId="77777777" w:rsidR="00F427A3" w:rsidRDefault="00F427A3">
            <w:pPr>
              <w:rPr>
                <w:rFonts w:ascii="Times New Roman" w:hAnsi="Times New Roman"/>
                <w:sz w:val="20"/>
                <w:szCs w:val="20"/>
              </w:rPr>
            </w:pPr>
          </w:p>
        </w:tc>
      </w:tr>
      <w:tr w:rsidR="00F427A3" w14:paraId="54E914F8" w14:textId="77777777">
        <w:trPr>
          <w:tblCellSpacing w:w="0" w:type="dxa"/>
        </w:trPr>
        <w:tc>
          <w:tcPr>
            <w:tcW w:w="0" w:type="auto"/>
            <w:shd w:val="clear" w:color="auto" w:fill="auto"/>
          </w:tcPr>
          <w:p w14:paraId="54E914F6"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4F7"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illnesses to key employees, or a significant portion of our workforce, which may result in </w:t>
            </w:r>
            <w:r>
              <w:rPr>
                <w:rFonts w:ascii="Times New Roman" w:eastAsia="宋体" w:hAnsi="Times New Roman"/>
                <w:sz w:val="20"/>
                <w:szCs w:val="20"/>
              </w:rPr>
              <w:t>inefficiencies, delays, and disruptions in our business; and</w:t>
            </w:r>
          </w:p>
        </w:tc>
      </w:tr>
    </w:tbl>
    <w:p w14:paraId="54E914F9"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4FC" w14:textId="77777777">
        <w:trPr>
          <w:tblCellSpacing w:w="0" w:type="dxa"/>
        </w:trPr>
        <w:tc>
          <w:tcPr>
            <w:tcW w:w="1440" w:type="dxa"/>
            <w:shd w:val="clear" w:color="auto" w:fill="auto"/>
            <w:vAlign w:val="center"/>
          </w:tcPr>
          <w:p w14:paraId="54E914FA" w14:textId="77777777" w:rsidR="00F427A3" w:rsidRDefault="00F427A3">
            <w:pPr>
              <w:rPr>
                <w:rFonts w:ascii="Times New Roman" w:hAnsi="Times New Roman"/>
                <w:sz w:val="20"/>
                <w:szCs w:val="20"/>
              </w:rPr>
            </w:pPr>
          </w:p>
        </w:tc>
        <w:tc>
          <w:tcPr>
            <w:tcW w:w="0" w:type="auto"/>
            <w:shd w:val="clear" w:color="auto" w:fill="auto"/>
            <w:vAlign w:val="center"/>
          </w:tcPr>
          <w:p w14:paraId="54E914FB" w14:textId="77777777" w:rsidR="00F427A3" w:rsidRDefault="00F427A3">
            <w:pPr>
              <w:rPr>
                <w:rFonts w:ascii="Times New Roman" w:hAnsi="Times New Roman"/>
                <w:sz w:val="20"/>
                <w:szCs w:val="20"/>
              </w:rPr>
            </w:pPr>
          </w:p>
        </w:tc>
      </w:tr>
      <w:tr w:rsidR="00F427A3" w14:paraId="54E914FF" w14:textId="77777777">
        <w:trPr>
          <w:tblCellSpacing w:w="0" w:type="dxa"/>
        </w:trPr>
        <w:tc>
          <w:tcPr>
            <w:tcW w:w="0" w:type="auto"/>
            <w:shd w:val="clear" w:color="auto" w:fill="auto"/>
          </w:tcPr>
          <w:p w14:paraId="54E914FD"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4FE"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increased volatility and uncertainty in the financial projections we use as the basis for estimates used in our financial statements.</w:t>
            </w:r>
          </w:p>
        </w:tc>
      </w:tr>
    </w:tbl>
    <w:p w14:paraId="54E91500" w14:textId="77777777" w:rsidR="00F427A3" w:rsidRDefault="00F427A3">
      <w:pPr>
        <w:spacing w:line="288" w:lineRule="auto"/>
        <w:jc w:val="both"/>
        <w:rPr>
          <w:rFonts w:ascii="Times New Roman" w:hAnsi="Times New Roman"/>
          <w:sz w:val="20"/>
          <w:szCs w:val="20"/>
        </w:rPr>
      </w:pPr>
    </w:p>
    <w:p w14:paraId="54E91501"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Any of these developments may adversely affect </w:t>
      </w:r>
      <w:r>
        <w:rPr>
          <w:rFonts w:ascii="Times New Roman" w:eastAsia="宋体" w:hAnsi="Times New Roman"/>
          <w:sz w:val="20"/>
          <w:szCs w:val="20"/>
        </w:rPr>
        <w:t xml:space="preserve">our business, harm our reputation, or result in legal or regulatory actions against us. The persistence of COVID-19, and the preventative measures implemented to help limit the spread of the illness, have impacted, and will continue to impact, our ability </w:t>
      </w:r>
      <w:r>
        <w:rPr>
          <w:rFonts w:ascii="Times New Roman" w:eastAsia="宋体" w:hAnsi="Times New Roman"/>
          <w:sz w:val="20"/>
          <w:szCs w:val="20"/>
        </w:rPr>
        <w:t>to operate our business and may materially and adversely impact our business, financial condition, and results of operations.</w:t>
      </w:r>
    </w:p>
    <w:p w14:paraId="54E91502"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If we fail to retain existing users or add new users, or if our users decrease their level of engagement with our products, our re</w:t>
      </w:r>
      <w:r>
        <w:rPr>
          <w:rFonts w:ascii="Times New Roman" w:eastAsia="宋体" w:hAnsi="Times New Roman"/>
          <w:b/>
          <w:bCs/>
          <w:i/>
          <w:iCs/>
          <w:sz w:val="20"/>
          <w:szCs w:val="20"/>
        </w:rPr>
        <w:t>venue, financial results, and business may be significantly harmed.</w:t>
      </w:r>
    </w:p>
    <w:p w14:paraId="54E91503"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size of our user base and our users' level of engagement are critical to our success. Our financial performance has been and will continue to be significantly determined by our success</w:t>
      </w:r>
      <w:r>
        <w:rPr>
          <w:rFonts w:ascii="Times New Roman" w:eastAsia="宋体" w:hAnsi="Times New Roman"/>
          <w:sz w:val="20"/>
          <w:szCs w:val="20"/>
        </w:rPr>
        <w:t xml:space="preserve"> in adding, retaining, and engaging active users of our products, particularly for Facebook and Instagram. We anticipate that our active user growth rate will generally decline over time as the size of our active user base increases, and we expect that the</w:t>
      </w:r>
      <w:r>
        <w:rPr>
          <w:rFonts w:ascii="Times New Roman" w:eastAsia="宋体" w:hAnsi="Times New Roman"/>
          <w:sz w:val="20"/>
          <w:szCs w:val="20"/>
        </w:rPr>
        <w:t xml:space="preserve"> size of our active user base will fluctuate or decline in one or more markets from time to time, particularly in markets where we have achieved higher penetration rates. For example, beginning in the first quarter of 2020, we experienced significant incre</w:t>
      </w:r>
      <w:r>
        <w:rPr>
          <w:rFonts w:ascii="Times New Roman" w:eastAsia="宋体" w:hAnsi="Times New Roman"/>
          <w:sz w:val="20"/>
          <w:szCs w:val="20"/>
        </w:rPr>
        <w:t>ases in the size and engagement of our active user base across a number of regions as a result of the COVID-19 pandemic. More recently, we have seen user growth and engagement returning to pre-pandemic trends, and in the third quarter of 2020, we experienc</w:t>
      </w:r>
      <w:r>
        <w:rPr>
          <w:rFonts w:ascii="Times New Roman" w:eastAsia="宋体" w:hAnsi="Times New Roman"/>
          <w:sz w:val="20"/>
          <w:szCs w:val="20"/>
        </w:rPr>
        <w:t>ed slight declines on a quarter-over-quarter basis in the number of daily active users and monthly active users on Facebook in the United States &amp; Canada region. We expect this trend to continue in the future, although we are unable to predict the impact o</w:t>
      </w:r>
      <w:r>
        <w:rPr>
          <w:rFonts w:ascii="Times New Roman" w:eastAsia="宋体" w:hAnsi="Times New Roman"/>
          <w:sz w:val="20"/>
          <w:szCs w:val="20"/>
        </w:rPr>
        <w:t>f the pandemic on user growth and engagement with any certainty. If people do not perceive our products to be useful, reliable, and trustworthy, we may not be able to attract or retain users or otherwise maintain or increase the frequency and duration of t</w:t>
      </w:r>
      <w:r>
        <w:rPr>
          <w:rFonts w:ascii="Times New Roman" w:eastAsia="宋体" w:hAnsi="Times New Roman"/>
          <w:sz w:val="20"/>
          <w:szCs w:val="20"/>
        </w:rPr>
        <w:t xml:space="preserve">heir engagement. A number of other social networking companies that achieved early popularity have since seen their active user bases or levels of engagement decline, in some cases precipitously. There is no guarantee that we will not experience a similar </w:t>
      </w:r>
      <w:r>
        <w:rPr>
          <w:rFonts w:ascii="Times New Roman" w:eastAsia="宋体" w:hAnsi="Times New Roman"/>
          <w:sz w:val="20"/>
          <w:szCs w:val="20"/>
        </w:rPr>
        <w:t>erosion of our active user base or engagement levels. Our user engagement patterns have changed over time, and user engagement can be difficult to measure, particularly as we introduce new and different products and services. Any number of factors can nega</w:t>
      </w:r>
      <w:r>
        <w:rPr>
          <w:rFonts w:ascii="Times New Roman" w:eastAsia="宋体" w:hAnsi="Times New Roman"/>
          <w:sz w:val="20"/>
          <w:szCs w:val="20"/>
        </w:rPr>
        <w:t>tively affect user retention, growth, and engagement, including if:</w:t>
      </w:r>
    </w:p>
    <w:tbl>
      <w:tblPr>
        <w:tblW w:w="0" w:type="auto"/>
        <w:tblCellSpacing w:w="0" w:type="dxa"/>
        <w:tblCellMar>
          <w:top w:w="240" w:type="dxa"/>
          <w:left w:w="0" w:type="dxa"/>
          <w:right w:w="0" w:type="dxa"/>
        </w:tblCellMar>
        <w:tblLook w:val="04A0" w:firstRow="1" w:lastRow="0" w:firstColumn="1" w:lastColumn="0" w:noHBand="0" w:noVBand="1"/>
      </w:tblPr>
      <w:tblGrid>
        <w:gridCol w:w="1440"/>
        <w:gridCol w:w="5621"/>
      </w:tblGrid>
      <w:tr w:rsidR="00F427A3" w14:paraId="54E91506" w14:textId="77777777">
        <w:trPr>
          <w:tblCellSpacing w:w="0" w:type="dxa"/>
        </w:trPr>
        <w:tc>
          <w:tcPr>
            <w:tcW w:w="1440" w:type="dxa"/>
            <w:shd w:val="clear" w:color="auto" w:fill="auto"/>
            <w:vAlign w:val="center"/>
          </w:tcPr>
          <w:p w14:paraId="54E91504" w14:textId="77777777" w:rsidR="00F427A3" w:rsidRDefault="00F427A3">
            <w:pPr>
              <w:rPr>
                <w:rFonts w:ascii="Times New Roman" w:hAnsi="Times New Roman"/>
                <w:sz w:val="20"/>
                <w:szCs w:val="20"/>
              </w:rPr>
            </w:pPr>
          </w:p>
        </w:tc>
        <w:tc>
          <w:tcPr>
            <w:tcW w:w="0" w:type="auto"/>
            <w:shd w:val="clear" w:color="auto" w:fill="auto"/>
            <w:vAlign w:val="center"/>
          </w:tcPr>
          <w:p w14:paraId="54E91505" w14:textId="77777777" w:rsidR="00F427A3" w:rsidRDefault="00F427A3">
            <w:pPr>
              <w:rPr>
                <w:rFonts w:ascii="Times New Roman" w:hAnsi="Times New Roman"/>
                <w:sz w:val="20"/>
                <w:szCs w:val="20"/>
              </w:rPr>
            </w:pPr>
          </w:p>
        </w:tc>
      </w:tr>
      <w:tr w:rsidR="00F427A3" w14:paraId="54E91509" w14:textId="77777777">
        <w:trPr>
          <w:tblCellSpacing w:w="0" w:type="dxa"/>
        </w:trPr>
        <w:tc>
          <w:tcPr>
            <w:tcW w:w="0" w:type="auto"/>
            <w:shd w:val="clear" w:color="auto" w:fill="auto"/>
          </w:tcPr>
          <w:p w14:paraId="54E91507"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08"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users increasingly engage with other competitive products or services;</w:t>
            </w:r>
          </w:p>
        </w:tc>
      </w:tr>
    </w:tbl>
    <w:p w14:paraId="54E9150A"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0D" w14:textId="77777777">
        <w:trPr>
          <w:tblCellSpacing w:w="0" w:type="dxa"/>
        </w:trPr>
        <w:tc>
          <w:tcPr>
            <w:tcW w:w="1440" w:type="dxa"/>
            <w:shd w:val="clear" w:color="auto" w:fill="auto"/>
            <w:vAlign w:val="center"/>
          </w:tcPr>
          <w:p w14:paraId="54E9150B" w14:textId="77777777" w:rsidR="00F427A3" w:rsidRDefault="00F427A3">
            <w:pPr>
              <w:rPr>
                <w:rFonts w:ascii="Times New Roman" w:hAnsi="Times New Roman"/>
                <w:sz w:val="20"/>
                <w:szCs w:val="20"/>
              </w:rPr>
            </w:pPr>
          </w:p>
        </w:tc>
        <w:tc>
          <w:tcPr>
            <w:tcW w:w="0" w:type="auto"/>
            <w:shd w:val="clear" w:color="auto" w:fill="auto"/>
            <w:vAlign w:val="center"/>
          </w:tcPr>
          <w:p w14:paraId="54E9150C" w14:textId="77777777" w:rsidR="00F427A3" w:rsidRDefault="00F427A3">
            <w:pPr>
              <w:rPr>
                <w:rFonts w:ascii="Times New Roman" w:hAnsi="Times New Roman"/>
                <w:sz w:val="20"/>
                <w:szCs w:val="20"/>
              </w:rPr>
            </w:pPr>
          </w:p>
        </w:tc>
      </w:tr>
      <w:tr w:rsidR="00F427A3" w14:paraId="54E91510" w14:textId="77777777">
        <w:trPr>
          <w:tblCellSpacing w:w="0" w:type="dxa"/>
        </w:trPr>
        <w:tc>
          <w:tcPr>
            <w:tcW w:w="0" w:type="auto"/>
            <w:shd w:val="clear" w:color="auto" w:fill="auto"/>
          </w:tcPr>
          <w:p w14:paraId="54E9150E"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0F"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we fail to introduce new features, products or services that users find engaging or if we </w:t>
            </w:r>
            <w:r>
              <w:rPr>
                <w:rFonts w:ascii="Times New Roman" w:eastAsia="宋体" w:hAnsi="Times New Roman"/>
                <w:sz w:val="20"/>
                <w:szCs w:val="20"/>
              </w:rPr>
              <w:t>introduce new products or services, or make changes to existing products and services, that are not favorably received;</w:t>
            </w:r>
          </w:p>
        </w:tc>
      </w:tr>
    </w:tbl>
    <w:p w14:paraId="54E91511"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14" w14:textId="77777777">
        <w:trPr>
          <w:tblCellSpacing w:w="0" w:type="dxa"/>
        </w:trPr>
        <w:tc>
          <w:tcPr>
            <w:tcW w:w="1440" w:type="dxa"/>
            <w:shd w:val="clear" w:color="auto" w:fill="auto"/>
            <w:vAlign w:val="center"/>
          </w:tcPr>
          <w:p w14:paraId="54E91512" w14:textId="77777777" w:rsidR="00F427A3" w:rsidRDefault="00F427A3">
            <w:pPr>
              <w:rPr>
                <w:rFonts w:ascii="Times New Roman" w:hAnsi="Times New Roman"/>
                <w:sz w:val="20"/>
                <w:szCs w:val="20"/>
              </w:rPr>
            </w:pPr>
          </w:p>
        </w:tc>
        <w:tc>
          <w:tcPr>
            <w:tcW w:w="0" w:type="auto"/>
            <w:shd w:val="clear" w:color="auto" w:fill="auto"/>
            <w:vAlign w:val="center"/>
          </w:tcPr>
          <w:p w14:paraId="54E91513" w14:textId="77777777" w:rsidR="00F427A3" w:rsidRDefault="00F427A3">
            <w:pPr>
              <w:rPr>
                <w:rFonts w:ascii="Times New Roman" w:hAnsi="Times New Roman"/>
                <w:sz w:val="20"/>
                <w:szCs w:val="20"/>
              </w:rPr>
            </w:pPr>
          </w:p>
        </w:tc>
      </w:tr>
      <w:tr w:rsidR="00F427A3" w14:paraId="54E91517" w14:textId="77777777">
        <w:trPr>
          <w:tblCellSpacing w:w="0" w:type="dxa"/>
        </w:trPr>
        <w:tc>
          <w:tcPr>
            <w:tcW w:w="0" w:type="auto"/>
            <w:shd w:val="clear" w:color="auto" w:fill="auto"/>
          </w:tcPr>
          <w:p w14:paraId="54E91515"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16"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users feel that their experience is diminished as a result of the decisions we make with respect to the frequency, prominence, fo</w:t>
            </w:r>
            <w:r>
              <w:rPr>
                <w:rFonts w:ascii="Times New Roman" w:eastAsia="宋体" w:hAnsi="Times New Roman"/>
                <w:sz w:val="20"/>
                <w:szCs w:val="20"/>
              </w:rPr>
              <w:t>rmat, size, and quality of ads that we display;</w:t>
            </w:r>
          </w:p>
        </w:tc>
      </w:tr>
    </w:tbl>
    <w:p w14:paraId="54E91518"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1B" w14:textId="77777777">
        <w:trPr>
          <w:tblCellSpacing w:w="0" w:type="dxa"/>
        </w:trPr>
        <w:tc>
          <w:tcPr>
            <w:tcW w:w="1440" w:type="dxa"/>
            <w:shd w:val="clear" w:color="auto" w:fill="auto"/>
            <w:vAlign w:val="center"/>
          </w:tcPr>
          <w:p w14:paraId="54E91519" w14:textId="77777777" w:rsidR="00F427A3" w:rsidRDefault="00F427A3">
            <w:pPr>
              <w:rPr>
                <w:rFonts w:ascii="Times New Roman" w:hAnsi="Times New Roman"/>
                <w:sz w:val="20"/>
                <w:szCs w:val="20"/>
              </w:rPr>
            </w:pPr>
          </w:p>
        </w:tc>
        <w:tc>
          <w:tcPr>
            <w:tcW w:w="0" w:type="auto"/>
            <w:shd w:val="clear" w:color="auto" w:fill="auto"/>
            <w:vAlign w:val="center"/>
          </w:tcPr>
          <w:p w14:paraId="54E9151A" w14:textId="77777777" w:rsidR="00F427A3" w:rsidRDefault="00F427A3">
            <w:pPr>
              <w:rPr>
                <w:rFonts w:ascii="Times New Roman" w:hAnsi="Times New Roman"/>
                <w:sz w:val="20"/>
                <w:szCs w:val="20"/>
              </w:rPr>
            </w:pPr>
          </w:p>
        </w:tc>
      </w:tr>
      <w:tr w:rsidR="00F427A3" w14:paraId="54E9151E" w14:textId="77777777">
        <w:trPr>
          <w:tblCellSpacing w:w="0" w:type="dxa"/>
        </w:trPr>
        <w:tc>
          <w:tcPr>
            <w:tcW w:w="0" w:type="auto"/>
            <w:shd w:val="clear" w:color="auto" w:fill="auto"/>
          </w:tcPr>
          <w:p w14:paraId="54E9151C"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1D"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users have difficulty installing, updating, or otherwise accessing our products on mobile devices as a result of actions by us or third parties that we rely on to distribute our products and </w:t>
            </w:r>
            <w:r>
              <w:rPr>
                <w:rFonts w:ascii="Times New Roman" w:eastAsia="宋体" w:hAnsi="Times New Roman"/>
                <w:sz w:val="20"/>
                <w:szCs w:val="20"/>
              </w:rPr>
              <w:t>deliver our services;</w:t>
            </w:r>
          </w:p>
        </w:tc>
      </w:tr>
    </w:tbl>
    <w:p w14:paraId="54E9151F"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22" w14:textId="77777777">
        <w:trPr>
          <w:tblCellSpacing w:w="0" w:type="dxa"/>
        </w:trPr>
        <w:tc>
          <w:tcPr>
            <w:tcW w:w="1440" w:type="dxa"/>
            <w:shd w:val="clear" w:color="auto" w:fill="auto"/>
            <w:vAlign w:val="center"/>
          </w:tcPr>
          <w:p w14:paraId="54E91520" w14:textId="77777777" w:rsidR="00F427A3" w:rsidRDefault="00F427A3">
            <w:pPr>
              <w:rPr>
                <w:rFonts w:ascii="Times New Roman" w:hAnsi="Times New Roman"/>
                <w:sz w:val="20"/>
                <w:szCs w:val="20"/>
              </w:rPr>
            </w:pPr>
          </w:p>
        </w:tc>
        <w:tc>
          <w:tcPr>
            <w:tcW w:w="0" w:type="auto"/>
            <w:shd w:val="clear" w:color="auto" w:fill="auto"/>
            <w:vAlign w:val="center"/>
          </w:tcPr>
          <w:p w14:paraId="54E91521" w14:textId="77777777" w:rsidR="00F427A3" w:rsidRDefault="00F427A3">
            <w:pPr>
              <w:rPr>
                <w:rFonts w:ascii="Times New Roman" w:hAnsi="Times New Roman"/>
                <w:sz w:val="20"/>
                <w:szCs w:val="20"/>
              </w:rPr>
            </w:pPr>
          </w:p>
        </w:tc>
      </w:tr>
      <w:tr w:rsidR="00F427A3" w14:paraId="54E91525" w14:textId="77777777">
        <w:trPr>
          <w:tblCellSpacing w:w="0" w:type="dxa"/>
        </w:trPr>
        <w:tc>
          <w:tcPr>
            <w:tcW w:w="0" w:type="auto"/>
            <w:shd w:val="clear" w:color="auto" w:fill="auto"/>
          </w:tcPr>
          <w:p w14:paraId="54E91523"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24"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user behavior on any of our products changes, including decreases in the quality and frequency of content shared on our products and services;</w:t>
            </w:r>
          </w:p>
        </w:tc>
      </w:tr>
    </w:tbl>
    <w:p w14:paraId="54E91526"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29" w14:textId="77777777">
        <w:trPr>
          <w:tblCellSpacing w:w="0" w:type="dxa"/>
        </w:trPr>
        <w:tc>
          <w:tcPr>
            <w:tcW w:w="1440" w:type="dxa"/>
            <w:shd w:val="clear" w:color="auto" w:fill="auto"/>
            <w:vAlign w:val="center"/>
          </w:tcPr>
          <w:p w14:paraId="54E91527" w14:textId="77777777" w:rsidR="00F427A3" w:rsidRDefault="00F427A3">
            <w:pPr>
              <w:rPr>
                <w:rFonts w:ascii="Times New Roman" w:hAnsi="Times New Roman"/>
                <w:sz w:val="20"/>
                <w:szCs w:val="20"/>
              </w:rPr>
            </w:pPr>
          </w:p>
        </w:tc>
        <w:tc>
          <w:tcPr>
            <w:tcW w:w="0" w:type="auto"/>
            <w:shd w:val="clear" w:color="auto" w:fill="auto"/>
            <w:vAlign w:val="center"/>
          </w:tcPr>
          <w:p w14:paraId="54E91528" w14:textId="77777777" w:rsidR="00F427A3" w:rsidRDefault="00F427A3">
            <w:pPr>
              <w:rPr>
                <w:rFonts w:ascii="Times New Roman" w:hAnsi="Times New Roman"/>
                <w:sz w:val="20"/>
                <w:szCs w:val="20"/>
              </w:rPr>
            </w:pPr>
          </w:p>
        </w:tc>
      </w:tr>
      <w:tr w:rsidR="00F427A3" w14:paraId="54E9152C" w14:textId="77777777">
        <w:trPr>
          <w:tblCellSpacing w:w="0" w:type="dxa"/>
        </w:trPr>
        <w:tc>
          <w:tcPr>
            <w:tcW w:w="0" w:type="auto"/>
            <w:shd w:val="clear" w:color="auto" w:fill="auto"/>
          </w:tcPr>
          <w:p w14:paraId="54E9152A"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2B"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we are unable to continue to develop products for mobile devices that </w:t>
            </w:r>
            <w:r>
              <w:rPr>
                <w:rFonts w:ascii="Times New Roman" w:eastAsia="宋体" w:hAnsi="Times New Roman"/>
                <w:sz w:val="20"/>
                <w:szCs w:val="20"/>
              </w:rPr>
              <w:t>users find engaging, that work with a variety of mobile operating systems and networks, and that achieve a high level of market acceptance;</w:t>
            </w:r>
          </w:p>
        </w:tc>
      </w:tr>
    </w:tbl>
    <w:p w14:paraId="54E9152D" w14:textId="77777777" w:rsidR="00F427A3" w:rsidRDefault="00F427A3">
      <w:pPr>
        <w:rPr>
          <w:rFonts w:ascii="Times New Roman" w:hAnsi="Times New Roman"/>
          <w:sz w:val="20"/>
          <w:szCs w:val="20"/>
        </w:rPr>
      </w:pPr>
    </w:p>
    <w:p w14:paraId="54E9152E"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54</w:t>
      </w:r>
    </w:p>
    <w:p w14:paraId="54E9152F" w14:textId="77777777" w:rsidR="00F427A3" w:rsidRDefault="0044221F">
      <w:r>
        <w:rPr>
          <w:rFonts w:ascii="Times New Roman" w:hAnsi="Times New Roman"/>
          <w:sz w:val="20"/>
          <w:szCs w:val="20"/>
        </w:rPr>
        <w:pict w14:anchorId="54E91C66">
          <v:rect id="_x0000_i1078" style="width:415.3pt;height:1.5pt" o:hralign="center" o:hrstd="t" o:hr="t" fillcolor="#a0a0a0" stroked="f"/>
        </w:pict>
      </w:r>
    </w:p>
    <w:p w14:paraId="54E91530" w14:textId="77777777" w:rsidR="00F427A3" w:rsidRDefault="0044221F">
      <w:pPr>
        <w:spacing w:line="288" w:lineRule="auto"/>
        <w:rPr>
          <w:rFonts w:ascii="Times New Roman" w:hAnsi="Times New Roman"/>
          <w:sz w:val="20"/>
          <w:szCs w:val="20"/>
        </w:rPr>
      </w:pPr>
      <w:hyperlink r:id="rId95" w:anchor="s348EA962CF6D59B599D9921AFA89C381" w:history="1">
        <w:r>
          <w:rPr>
            <w:rStyle w:val="a5"/>
            <w:rFonts w:ascii="Times New Roman" w:eastAsia="宋体" w:hAnsi="Times New Roman"/>
            <w:sz w:val="20"/>
            <w:szCs w:val="20"/>
          </w:rPr>
          <w:t>Table of Contents</w:t>
        </w:r>
      </w:hyperlink>
    </w:p>
    <w:p w14:paraId="54E91531" w14:textId="77777777" w:rsidR="00F427A3" w:rsidRDefault="00F427A3">
      <w:pPr>
        <w:rPr>
          <w:rFonts w:ascii="Times New Roman" w:hAnsi="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34" w14:textId="77777777">
        <w:trPr>
          <w:tblCellSpacing w:w="0" w:type="dxa"/>
        </w:trPr>
        <w:tc>
          <w:tcPr>
            <w:tcW w:w="1440" w:type="dxa"/>
            <w:shd w:val="clear" w:color="auto" w:fill="auto"/>
            <w:vAlign w:val="center"/>
          </w:tcPr>
          <w:p w14:paraId="54E91532" w14:textId="77777777" w:rsidR="00F427A3" w:rsidRDefault="00F427A3">
            <w:pPr>
              <w:rPr>
                <w:rFonts w:ascii="Times New Roman" w:hAnsi="Times New Roman"/>
                <w:sz w:val="20"/>
                <w:szCs w:val="20"/>
              </w:rPr>
            </w:pPr>
          </w:p>
        </w:tc>
        <w:tc>
          <w:tcPr>
            <w:tcW w:w="0" w:type="auto"/>
            <w:shd w:val="clear" w:color="auto" w:fill="auto"/>
            <w:vAlign w:val="center"/>
          </w:tcPr>
          <w:p w14:paraId="54E91533" w14:textId="77777777" w:rsidR="00F427A3" w:rsidRDefault="00F427A3">
            <w:pPr>
              <w:rPr>
                <w:rFonts w:ascii="Times New Roman" w:hAnsi="Times New Roman"/>
                <w:sz w:val="20"/>
                <w:szCs w:val="20"/>
              </w:rPr>
            </w:pPr>
          </w:p>
        </w:tc>
      </w:tr>
      <w:tr w:rsidR="00F427A3" w14:paraId="54E91537" w14:textId="77777777">
        <w:trPr>
          <w:tblCellSpacing w:w="0" w:type="dxa"/>
        </w:trPr>
        <w:tc>
          <w:tcPr>
            <w:tcW w:w="0" w:type="auto"/>
            <w:shd w:val="clear" w:color="auto" w:fill="auto"/>
          </w:tcPr>
          <w:p w14:paraId="54E91535"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36"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there are decreases in user sentiment due to questions about the quality or usefulness of our products or our user data practices, or concerns related to privacy and sharing, </w:t>
            </w:r>
            <w:r>
              <w:rPr>
                <w:rFonts w:ascii="Times New Roman" w:eastAsia="宋体" w:hAnsi="Times New Roman"/>
                <w:sz w:val="20"/>
                <w:szCs w:val="20"/>
              </w:rPr>
              <w:t>safety, security, well-being, or other factors;</w:t>
            </w:r>
          </w:p>
        </w:tc>
      </w:tr>
    </w:tbl>
    <w:p w14:paraId="54E91538"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3B" w14:textId="77777777">
        <w:trPr>
          <w:tblCellSpacing w:w="0" w:type="dxa"/>
        </w:trPr>
        <w:tc>
          <w:tcPr>
            <w:tcW w:w="1440" w:type="dxa"/>
            <w:shd w:val="clear" w:color="auto" w:fill="auto"/>
            <w:vAlign w:val="center"/>
          </w:tcPr>
          <w:p w14:paraId="54E91539" w14:textId="77777777" w:rsidR="00F427A3" w:rsidRDefault="00F427A3">
            <w:pPr>
              <w:rPr>
                <w:rFonts w:ascii="Times New Roman" w:hAnsi="Times New Roman"/>
                <w:sz w:val="20"/>
                <w:szCs w:val="20"/>
              </w:rPr>
            </w:pPr>
          </w:p>
        </w:tc>
        <w:tc>
          <w:tcPr>
            <w:tcW w:w="0" w:type="auto"/>
            <w:shd w:val="clear" w:color="auto" w:fill="auto"/>
            <w:vAlign w:val="center"/>
          </w:tcPr>
          <w:p w14:paraId="54E9153A" w14:textId="77777777" w:rsidR="00F427A3" w:rsidRDefault="00F427A3">
            <w:pPr>
              <w:rPr>
                <w:rFonts w:ascii="Times New Roman" w:hAnsi="Times New Roman"/>
                <w:sz w:val="20"/>
                <w:szCs w:val="20"/>
              </w:rPr>
            </w:pPr>
          </w:p>
        </w:tc>
      </w:tr>
      <w:tr w:rsidR="00F427A3" w14:paraId="54E9153E" w14:textId="77777777">
        <w:trPr>
          <w:tblCellSpacing w:w="0" w:type="dxa"/>
        </w:trPr>
        <w:tc>
          <w:tcPr>
            <w:tcW w:w="0" w:type="auto"/>
            <w:shd w:val="clear" w:color="auto" w:fill="auto"/>
          </w:tcPr>
          <w:p w14:paraId="54E9153C"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3D"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we are unable to manage and prioritize information to ensure users are presented with content that is appropriate, interesting, useful, and relevant to them;</w:t>
            </w:r>
          </w:p>
        </w:tc>
      </w:tr>
    </w:tbl>
    <w:p w14:paraId="54E9153F"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015"/>
      </w:tblGrid>
      <w:tr w:rsidR="00F427A3" w14:paraId="54E91542" w14:textId="77777777">
        <w:trPr>
          <w:tblCellSpacing w:w="0" w:type="dxa"/>
        </w:trPr>
        <w:tc>
          <w:tcPr>
            <w:tcW w:w="1440" w:type="dxa"/>
            <w:shd w:val="clear" w:color="auto" w:fill="auto"/>
            <w:vAlign w:val="center"/>
          </w:tcPr>
          <w:p w14:paraId="54E91540" w14:textId="77777777" w:rsidR="00F427A3" w:rsidRDefault="00F427A3">
            <w:pPr>
              <w:rPr>
                <w:rFonts w:ascii="Times New Roman" w:hAnsi="Times New Roman"/>
                <w:sz w:val="20"/>
                <w:szCs w:val="20"/>
              </w:rPr>
            </w:pPr>
          </w:p>
        </w:tc>
        <w:tc>
          <w:tcPr>
            <w:tcW w:w="0" w:type="auto"/>
            <w:shd w:val="clear" w:color="auto" w:fill="auto"/>
            <w:vAlign w:val="center"/>
          </w:tcPr>
          <w:p w14:paraId="54E91541" w14:textId="77777777" w:rsidR="00F427A3" w:rsidRDefault="00F427A3">
            <w:pPr>
              <w:rPr>
                <w:rFonts w:ascii="Times New Roman" w:hAnsi="Times New Roman"/>
                <w:sz w:val="20"/>
                <w:szCs w:val="20"/>
              </w:rPr>
            </w:pPr>
          </w:p>
        </w:tc>
      </w:tr>
      <w:tr w:rsidR="00F427A3" w14:paraId="54E91545" w14:textId="77777777">
        <w:trPr>
          <w:tblCellSpacing w:w="0" w:type="dxa"/>
        </w:trPr>
        <w:tc>
          <w:tcPr>
            <w:tcW w:w="0" w:type="auto"/>
            <w:shd w:val="clear" w:color="auto" w:fill="auto"/>
          </w:tcPr>
          <w:p w14:paraId="54E91543"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44"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we are unable to obtain or </w:t>
            </w:r>
            <w:r>
              <w:rPr>
                <w:rFonts w:ascii="Times New Roman" w:eastAsia="宋体" w:hAnsi="Times New Roman"/>
                <w:sz w:val="20"/>
                <w:szCs w:val="20"/>
              </w:rPr>
              <w:t>attract engaging third-party content;</w:t>
            </w:r>
          </w:p>
        </w:tc>
      </w:tr>
    </w:tbl>
    <w:p w14:paraId="54E91546"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49" w14:textId="77777777">
        <w:trPr>
          <w:tblCellSpacing w:w="0" w:type="dxa"/>
        </w:trPr>
        <w:tc>
          <w:tcPr>
            <w:tcW w:w="1440" w:type="dxa"/>
            <w:shd w:val="clear" w:color="auto" w:fill="auto"/>
            <w:vAlign w:val="center"/>
          </w:tcPr>
          <w:p w14:paraId="54E91547" w14:textId="77777777" w:rsidR="00F427A3" w:rsidRDefault="00F427A3">
            <w:pPr>
              <w:rPr>
                <w:rFonts w:ascii="Times New Roman" w:hAnsi="Times New Roman"/>
                <w:sz w:val="20"/>
                <w:szCs w:val="20"/>
              </w:rPr>
            </w:pPr>
          </w:p>
        </w:tc>
        <w:tc>
          <w:tcPr>
            <w:tcW w:w="0" w:type="auto"/>
            <w:shd w:val="clear" w:color="auto" w:fill="auto"/>
            <w:vAlign w:val="center"/>
          </w:tcPr>
          <w:p w14:paraId="54E91548" w14:textId="77777777" w:rsidR="00F427A3" w:rsidRDefault="00F427A3">
            <w:pPr>
              <w:rPr>
                <w:rFonts w:ascii="Times New Roman" w:hAnsi="Times New Roman"/>
                <w:sz w:val="20"/>
                <w:szCs w:val="20"/>
              </w:rPr>
            </w:pPr>
          </w:p>
        </w:tc>
      </w:tr>
      <w:tr w:rsidR="00F427A3" w14:paraId="54E9154C" w14:textId="77777777">
        <w:trPr>
          <w:tblCellSpacing w:w="0" w:type="dxa"/>
        </w:trPr>
        <w:tc>
          <w:tcPr>
            <w:tcW w:w="0" w:type="auto"/>
            <w:shd w:val="clear" w:color="auto" w:fill="auto"/>
          </w:tcPr>
          <w:p w14:paraId="54E9154A"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4B"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we are unable to successfully maintain or grow usage of and engagement with mobile and web applications that integrate with Facebook and our other products;</w:t>
            </w:r>
          </w:p>
        </w:tc>
      </w:tr>
    </w:tbl>
    <w:p w14:paraId="54E9154D"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50" w14:textId="77777777">
        <w:trPr>
          <w:tblCellSpacing w:w="0" w:type="dxa"/>
        </w:trPr>
        <w:tc>
          <w:tcPr>
            <w:tcW w:w="1440" w:type="dxa"/>
            <w:shd w:val="clear" w:color="auto" w:fill="auto"/>
            <w:vAlign w:val="center"/>
          </w:tcPr>
          <w:p w14:paraId="54E9154E" w14:textId="77777777" w:rsidR="00F427A3" w:rsidRDefault="00F427A3">
            <w:pPr>
              <w:rPr>
                <w:rFonts w:ascii="Times New Roman" w:hAnsi="Times New Roman"/>
                <w:sz w:val="20"/>
                <w:szCs w:val="20"/>
              </w:rPr>
            </w:pPr>
          </w:p>
        </w:tc>
        <w:tc>
          <w:tcPr>
            <w:tcW w:w="0" w:type="auto"/>
            <w:shd w:val="clear" w:color="auto" w:fill="auto"/>
            <w:vAlign w:val="center"/>
          </w:tcPr>
          <w:p w14:paraId="54E9154F" w14:textId="77777777" w:rsidR="00F427A3" w:rsidRDefault="00F427A3">
            <w:pPr>
              <w:rPr>
                <w:rFonts w:ascii="Times New Roman" w:hAnsi="Times New Roman"/>
                <w:sz w:val="20"/>
                <w:szCs w:val="20"/>
              </w:rPr>
            </w:pPr>
          </w:p>
        </w:tc>
      </w:tr>
      <w:tr w:rsidR="00F427A3" w14:paraId="54E91553" w14:textId="77777777">
        <w:trPr>
          <w:tblCellSpacing w:w="0" w:type="dxa"/>
        </w:trPr>
        <w:tc>
          <w:tcPr>
            <w:tcW w:w="0" w:type="auto"/>
            <w:shd w:val="clear" w:color="auto" w:fill="auto"/>
          </w:tcPr>
          <w:p w14:paraId="54E91551"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52"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users adopt new technologies where our </w:t>
            </w:r>
            <w:r>
              <w:rPr>
                <w:rFonts w:ascii="Times New Roman" w:eastAsia="宋体" w:hAnsi="Times New Roman"/>
                <w:sz w:val="20"/>
                <w:szCs w:val="20"/>
              </w:rPr>
              <w:t>products may be displaced in favor of other products or services, or may not be featured or otherwise available;</w:t>
            </w:r>
          </w:p>
        </w:tc>
      </w:tr>
    </w:tbl>
    <w:p w14:paraId="54E91554"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57" w14:textId="77777777">
        <w:trPr>
          <w:tblCellSpacing w:w="0" w:type="dxa"/>
        </w:trPr>
        <w:tc>
          <w:tcPr>
            <w:tcW w:w="1440" w:type="dxa"/>
            <w:shd w:val="clear" w:color="auto" w:fill="auto"/>
            <w:vAlign w:val="center"/>
          </w:tcPr>
          <w:p w14:paraId="54E91555" w14:textId="77777777" w:rsidR="00F427A3" w:rsidRDefault="00F427A3">
            <w:pPr>
              <w:rPr>
                <w:rFonts w:ascii="Times New Roman" w:hAnsi="Times New Roman"/>
                <w:sz w:val="20"/>
                <w:szCs w:val="20"/>
              </w:rPr>
            </w:pPr>
          </w:p>
        </w:tc>
        <w:tc>
          <w:tcPr>
            <w:tcW w:w="0" w:type="auto"/>
            <w:shd w:val="clear" w:color="auto" w:fill="auto"/>
            <w:vAlign w:val="center"/>
          </w:tcPr>
          <w:p w14:paraId="54E91556" w14:textId="77777777" w:rsidR="00F427A3" w:rsidRDefault="00F427A3">
            <w:pPr>
              <w:rPr>
                <w:rFonts w:ascii="Times New Roman" w:hAnsi="Times New Roman"/>
                <w:sz w:val="20"/>
                <w:szCs w:val="20"/>
              </w:rPr>
            </w:pPr>
          </w:p>
        </w:tc>
      </w:tr>
      <w:tr w:rsidR="00F427A3" w14:paraId="54E9155A" w14:textId="77777777">
        <w:trPr>
          <w:tblCellSpacing w:w="0" w:type="dxa"/>
        </w:trPr>
        <w:tc>
          <w:tcPr>
            <w:tcW w:w="0" w:type="auto"/>
            <w:shd w:val="clear" w:color="auto" w:fill="auto"/>
          </w:tcPr>
          <w:p w14:paraId="54E91558"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59"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there are changes mandated by legislation, regulatory authorities, or litigation that adversely affect our products or users;</w:t>
            </w:r>
          </w:p>
        </w:tc>
      </w:tr>
    </w:tbl>
    <w:p w14:paraId="54E9155B"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5E" w14:textId="77777777">
        <w:trPr>
          <w:tblCellSpacing w:w="0" w:type="dxa"/>
        </w:trPr>
        <w:tc>
          <w:tcPr>
            <w:tcW w:w="1440" w:type="dxa"/>
            <w:shd w:val="clear" w:color="auto" w:fill="auto"/>
            <w:vAlign w:val="center"/>
          </w:tcPr>
          <w:p w14:paraId="54E9155C" w14:textId="77777777" w:rsidR="00F427A3" w:rsidRDefault="00F427A3">
            <w:pPr>
              <w:rPr>
                <w:rFonts w:ascii="Times New Roman" w:hAnsi="Times New Roman"/>
                <w:sz w:val="20"/>
                <w:szCs w:val="20"/>
              </w:rPr>
            </w:pPr>
          </w:p>
        </w:tc>
        <w:tc>
          <w:tcPr>
            <w:tcW w:w="0" w:type="auto"/>
            <w:shd w:val="clear" w:color="auto" w:fill="auto"/>
            <w:vAlign w:val="center"/>
          </w:tcPr>
          <w:p w14:paraId="54E9155D" w14:textId="77777777" w:rsidR="00F427A3" w:rsidRDefault="00F427A3">
            <w:pPr>
              <w:rPr>
                <w:rFonts w:ascii="Times New Roman" w:hAnsi="Times New Roman"/>
                <w:sz w:val="20"/>
                <w:szCs w:val="20"/>
              </w:rPr>
            </w:pPr>
          </w:p>
        </w:tc>
      </w:tr>
      <w:tr w:rsidR="00F427A3" w14:paraId="54E91561" w14:textId="77777777">
        <w:trPr>
          <w:tblCellSpacing w:w="0" w:type="dxa"/>
        </w:trPr>
        <w:tc>
          <w:tcPr>
            <w:tcW w:w="0" w:type="auto"/>
            <w:shd w:val="clear" w:color="auto" w:fill="auto"/>
          </w:tcPr>
          <w:p w14:paraId="54E9155F"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60"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we are unable to operate material portions of our business in Europe, or are otherwise limited in such operations, as a result of European regulators, courts, or legislative bodies determining that our reliance on Standard Contractual Clauses (SCCs) or oth</w:t>
            </w:r>
            <w:r>
              <w:rPr>
                <w:rFonts w:ascii="Times New Roman" w:eastAsia="宋体" w:hAnsi="Times New Roman"/>
                <w:sz w:val="20"/>
                <w:szCs w:val="20"/>
              </w:rPr>
              <w:t>er legal bases we rely upon to transfer user data from the European Union to the United States is invalid;</w:t>
            </w:r>
          </w:p>
        </w:tc>
      </w:tr>
    </w:tbl>
    <w:p w14:paraId="54E91562"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65" w14:textId="77777777">
        <w:trPr>
          <w:tblCellSpacing w:w="0" w:type="dxa"/>
        </w:trPr>
        <w:tc>
          <w:tcPr>
            <w:tcW w:w="1440" w:type="dxa"/>
            <w:shd w:val="clear" w:color="auto" w:fill="auto"/>
            <w:vAlign w:val="center"/>
          </w:tcPr>
          <w:p w14:paraId="54E91563" w14:textId="77777777" w:rsidR="00F427A3" w:rsidRDefault="00F427A3">
            <w:pPr>
              <w:rPr>
                <w:rFonts w:ascii="Times New Roman" w:hAnsi="Times New Roman"/>
                <w:sz w:val="20"/>
                <w:szCs w:val="20"/>
              </w:rPr>
            </w:pPr>
          </w:p>
        </w:tc>
        <w:tc>
          <w:tcPr>
            <w:tcW w:w="0" w:type="auto"/>
            <w:shd w:val="clear" w:color="auto" w:fill="auto"/>
            <w:vAlign w:val="center"/>
          </w:tcPr>
          <w:p w14:paraId="54E91564" w14:textId="77777777" w:rsidR="00F427A3" w:rsidRDefault="00F427A3">
            <w:pPr>
              <w:rPr>
                <w:rFonts w:ascii="Times New Roman" w:hAnsi="Times New Roman"/>
                <w:sz w:val="20"/>
                <w:szCs w:val="20"/>
              </w:rPr>
            </w:pPr>
          </w:p>
        </w:tc>
      </w:tr>
      <w:tr w:rsidR="00F427A3" w14:paraId="54E91568" w14:textId="77777777">
        <w:trPr>
          <w:tblCellSpacing w:w="0" w:type="dxa"/>
        </w:trPr>
        <w:tc>
          <w:tcPr>
            <w:tcW w:w="0" w:type="auto"/>
            <w:shd w:val="clear" w:color="auto" w:fill="auto"/>
          </w:tcPr>
          <w:p w14:paraId="54E91566"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67"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there is decreased engagement with our products, or failure to accept our terms of service, as part of changes that we implemented in </w:t>
            </w:r>
            <w:r>
              <w:rPr>
                <w:rFonts w:ascii="Times New Roman" w:eastAsia="宋体" w:hAnsi="Times New Roman"/>
                <w:sz w:val="20"/>
                <w:szCs w:val="20"/>
              </w:rPr>
              <w:t>connection with the General Data Protection Regulation (GDPR) in Europe, other similar changes that we implemented in the United States and around the world, or other changes we have implemented or may implement in the future in connection with the GDPR, o</w:t>
            </w:r>
            <w:r>
              <w:rPr>
                <w:rFonts w:ascii="Times New Roman" w:eastAsia="宋体" w:hAnsi="Times New Roman"/>
                <w:sz w:val="20"/>
                <w:szCs w:val="20"/>
              </w:rPr>
              <w:t>ther regulations, regulatory actions, or otherwise;</w:t>
            </w:r>
          </w:p>
        </w:tc>
      </w:tr>
    </w:tbl>
    <w:p w14:paraId="54E91569"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6C" w14:textId="77777777">
        <w:trPr>
          <w:tblCellSpacing w:w="0" w:type="dxa"/>
        </w:trPr>
        <w:tc>
          <w:tcPr>
            <w:tcW w:w="1440" w:type="dxa"/>
            <w:shd w:val="clear" w:color="auto" w:fill="auto"/>
            <w:vAlign w:val="center"/>
          </w:tcPr>
          <w:p w14:paraId="54E9156A" w14:textId="77777777" w:rsidR="00F427A3" w:rsidRDefault="00F427A3">
            <w:pPr>
              <w:rPr>
                <w:rFonts w:ascii="Times New Roman" w:hAnsi="Times New Roman"/>
                <w:sz w:val="20"/>
                <w:szCs w:val="20"/>
              </w:rPr>
            </w:pPr>
          </w:p>
        </w:tc>
        <w:tc>
          <w:tcPr>
            <w:tcW w:w="0" w:type="auto"/>
            <w:shd w:val="clear" w:color="auto" w:fill="auto"/>
            <w:vAlign w:val="center"/>
          </w:tcPr>
          <w:p w14:paraId="54E9156B" w14:textId="77777777" w:rsidR="00F427A3" w:rsidRDefault="00F427A3">
            <w:pPr>
              <w:rPr>
                <w:rFonts w:ascii="Times New Roman" w:hAnsi="Times New Roman"/>
                <w:sz w:val="20"/>
                <w:szCs w:val="20"/>
              </w:rPr>
            </w:pPr>
          </w:p>
        </w:tc>
      </w:tr>
      <w:tr w:rsidR="00F427A3" w14:paraId="54E9156F" w14:textId="77777777">
        <w:trPr>
          <w:tblCellSpacing w:w="0" w:type="dxa"/>
        </w:trPr>
        <w:tc>
          <w:tcPr>
            <w:tcW w:w="0" w:type="auto"/>
            <w:shd w:val="clear" w:color="auto" w:fill="auto"/>
          </w:tcPr>
          <w:p w14:paraId="54E9156D"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6E"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technical or other problems prevent us from delivering our products in a rapid and reliable manner or otherwise affect the user experience, such as security breaches or failure to prevent or limit </w:t>
            </w:r>
            <w:r>
              <w:rPr>
                <w:rFonts w:ascii="Times New Roman" w:eastAsia="宋体" w:hAnsi="Times New Roman"/>
                <w:sz w:val="20"/>
                <w:szCs w:val="20"/>
              </w:rPr>
              <w:t xml:space="preserve">spam or similar content; </w:t>
            </w:r>
          </w:p>
        </w:tc>
      </w:tr>
    </w:tbl>
    <w:p w14:paraId="54E91570"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73" w14:textId="77777777">
        <w:trPr>
          <w:tblCellSpacing w:w="0" w:type="dxa"/>
        </w:trPr>
        <w:tc>
          <w:tcPr>
            <w:tcW w:w="1440" w:type="dxa"/>
            <w:shd w:val="clear" w:color="auto" w:fill="auto"/>
            <w:vAlign w:val="center"/>
          </w:tcPr>
          <w:p w14:paraId="54E91571" w14:textId="77777777" w:rsidR="00F427A3" w:rsidRDefault="00F427A3">
            <w:pPr>
              <w:rPr>
                <w:rFonts w:ascii="Times New Roman" w:hAnsi="Times New Roman"/>
                <w:sz w:val="20"/>
                <w:szCs w:val="20"/>
              </w:rPr>
            </w:pPr>
          </w:p>
        </w:tc>
        <w:tc>
          <w:tcPr>
            <w:tcW w:w="0" w:type="auto"/>
            <w:shd w:val="clear" w:color="auto" w:fill="auto"/>
            <w:vAlign w:val="center"/>
          </w:tcPr>
          <w:p w14:paraId="54E91572" w14:textId="77777777" w:rsidR="00F427A3" w:rsidRDefault="00F427A3">
            <w:pPr>
              <w:rPr>
                <w:rFonts w:ascii="Times New Roman" w:hAnsi="Times New Roman"/>
                <w:sz w:val="20"/>
                <w:szCs w:val="20"/>
              </w:rPr>
            </w:pPr>
          </w:p>
        </w:tc>
      </w:tr>
      <w:tr w:rsidR="00F427A3" w14:paraId="54E91576" w14:textId="77777777">
        <w:trPr>
          <w:tblCellSpacing w:w="0" w:type="dxa"/>
        </w:trPr>
        <w:tc>
          <w:tcPr>
            <w:tcW w:w="0" w:type="auto"/>
            <w:shd w:val="clear" w:color="auto" w:fill="auto"/>
          </w:tcPr>
          <w:p w14:paraId="54E91574"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75"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we adopt terms, policies, or procedures related to areas such as sharing, content, user data, or advertising that are perceived negatively by our users or the general public;</w:t>
            </w:r>
          </w:p>
        </w:tc>
      </w:tr>
    </w:tbl>
    <w:p w14:paraId="54E91577"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7A" w14:textId="77777777">
        <w:trPr>
          <w:tblCellSpacing w:w="0" w:type="dxa"/>
        </w:trPr>
        <w:tc>
          <w:tcPr>
            <w:tcW w:w="1440" w:type="dxa"/>
            <w:shd w:val="clear" w:color="auto" w:fill="auto"/>
            <w:vAlign w:val="center"/>
          </w:tcPr>
          <w:p w14:paraId="54E91578" w14:textId="77777777" w:rsidR="00F427A3" w:rsidRDefault="00F427A3">
            <w:pPr>
              <w:rPr>
                <w:rFonts w:ascii="Times New Roman" w:hAnsi="Times New Roman"/>
                <w:sz w:val="20"/>
                <w:szCs w:val="20"/>
              </w:rPr>
            </w:pPr>
          </w:p>
        </w:tc>
        <w:tc>
          <w:tcPr>
            <w:tcW w:w="0" w:type="auto"/>
            <w:shd w:val="clear" w:color="auto" w:fill="auto"/>
            <w:vAlign w:val="center"/>
          </w:tcPr>
          <w:p w14:paraId="54E91579" w14:textId="77777777" w:rsidR="00F427A3" w:rsidRDefault="00F427A3">
            <w:pPr>
              <w:rPr>
                <w:rFonts w:ascii="Times New Roman" w:hAnsi="Times New Roman"/>
                <w:sz w:val="20"/>
                <w:szCs w:val="20"/>
              </w:rPr>
            </w:pPr>
          </w:p>
        </w:tc>
      </w:tr>
      <w:tr w:rsidR="00F427A3" w14:paraId="54E9157D" w14:textId="77777777">
        <w:trPr>
          <w:tblCellSpacing w:w="0" w:type="dxa"/>
        </w:trPr>
        <w:tc>
          <w:tcPr>
            <w:tcW w:w="0" w:type="auto"/>
            <w:shd w:val="clear" w:color="auto" w:fill="auto"/>
          </w:tcPr>
          <w:p w14:paraId="54E9157B"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7C"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we elect to focus our product </w:t>
            </w:r>
            <w:r>
              <w:rPr>
                <w:rFonts w:ascii="Times New Roman" w:eastAsia="宋体" w:hAnsi="Times New Roman"/>
                <w:sz w:val="20"/>
                <w:szCs w:val="20"/>
              </w:rPr>
              <w:t>decisions on longer-term initiatives that do not prioritize near-term user growth and engagement;</w:t>
            </w:r>
          </w:p>
        </w:tc>
      </w:tr>
    </w:tbl>
    <w:p w14:paraId="54E9157E"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81" w14:textId="77777777">
        <w:trPr>
          <w:tblCellSpacing w:w="0" w:type="dxa"/>
        </w:trPr>
        <w:tc>
          <w:tcPr>
            <w:tcW w:w="1440" w:type="dxa"/>
            <w:shd w:val="clear" w:color="auto" w:fill="auto"/>
            <w:vAlign w:val="center"/>
          </w:tcPr>
          <w:p w14:paraId="54E9157F" w14:textId="77777777" w:rsidR="00F427A3" w:rsidRDefault="00F427A3">
            <w:pPr>
              <w:rPr>
                <w:rFonts w:ascii="Times New Roman" w:hAnsi="Times New Roman"/>
                <w:sz w:val="20"/>
                <w:szCs w:val="20"/>
              </w:rPr>
            </w:pPr>
          </w:p>
        </w:tc>
        <w:tc>
          <w:tcPr>
            <w:tcW w:w="0" w:type="auto"/>
            <w:shd w:val="clear" w:color="auto" w:fill="auto"/>
            <w:vAlign w:val="center"/>
          </w:tcPr>
          <w:p w14:paraId="54E91580" w14:textId="77777777" w:rsidR="00F427A3" w:rsidRDefault="00F427A3">
            <w:pPr>
              <w:rPr>
                <w:rFonts w:ascii="Times New Roman" w:hAnsi="Times New Roman"/>
                <w:sz w:val="20"/>
                <w:szCs w:val="20"/>
              </w:rPr>
            </w:pPr>
          </w:p>
        </w:tc>
      </w:tr>
      <w:tr w:rsidR="00F427A3" w14:paraId="54E91584" w14:textId="77777777">
        <w:trPr>
          <w:tblCellSpacing w:w="0" w:type="dxa"/>
        </w:trPr>
        <w:tc>
          <w:tcPr>
            <w:tcW w:w="0" w:type="auto"/>
            <w:shd w:val="clear" w:color="auto" w:fill="auto"/>
          </w:tcPr>
          <w:p w14:paraId="54E91582"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83"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we make changes in how we promote different products and services across our family of products;</w:t>
            </w:r>
          </w:p>
        </w:tc>
      </w:tr>
    </w:tbl>
    <w:p w14:paraId="54E91585"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88" w14:textId="77777777">
        <w:trPr>
          <w:tblCellSpacing w:w="0" w:type="dxa"/>
        </w:trPr>
        <w:tc>
          <w:tcPr>
            <w:tcW w:w="1440" w:type="dxa"/>
            <w:shd w:val="clear" w:color="auto" w:fill="auto"/>
            <w:vAlign w:val="center"/>
          </w:tcPr>
          <w:p w14:paraId="54E91586" w14:textId="77777777" w:rsidR="00F427A3" w:rsidRDefault="00F427A3">
            <w:pPr>
              <w:rPr>
                <w:rFonts w:ascii="Times New Roman" w:hAnsi="Times New Roman"/>
                <w:sz w:val="20"/>
                <w:szCs w:val="20"/>
              </w:rPr>
            </w:pPr>
          </w:p>
        </w:tc>
        <w:tc>
          <w:tcPr>
            <w:tcW w:w="0" w:type="auto"/>
            <w:shd w:val="clear" w:color="auto" w:fill="auto"/>
            <w:vAlign w:val="center"/>
          </w:tcPr>
          <w:p w14:paraId="54E91587" w14:textId="77777777" w:rsidR="00F427A3" w:rsidRDefault="00F427A3">
            <w:pPr>
              <w:rPr>
                <w:rFonts w:ascii="Times New Roman" w:hAnsi="Times New Roman"/>
                <w:sz w:val="20"/>
                <w:szCs w:val="20"/>
              </w:rPr>
            </w:pPr>
          </w:p>
        </w:tc>
      </w:tr>
      <w:tr w:rsidR="00F427A3" w14:paraId="54E9158B" w14:textId="77777777">
        <w:trPr>
          <w:tblCellSpacing w:w="0" w:type="dxa"/>
        </w:trPr>
        <w:tc>
          <w:tcPr>
            <w:tcW w:w="0" w:type="auto"/>
            <w:shd w:val="clear" w:color="auto" w:fill="auto"/>
          </w:tcPr>
          <w:p w14:paraId="54E91589"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8A"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initiatives designed to attract and </w:t>
            </w:r>
            <w:r>
              <w:rPr>
                <w:rFonts w:ascii="Times New Roman" w:eastAsia="宋体" w:hAnsi="Times New Roman"/>
                <w:sz w:val="20"/>
                <w:szCs w:val="20"/>
              </w:rPr>
              <w:t>retain users and engagement are unsuccessful or discontinued, whether as a result of actions by us, third parties, or otherwise;</w:t>
            </w:r>
          </w:p>
        </w:tc>
      </w:tr>
    </w:tbl>
    <w:p w14:paraId="54E9158C"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8F" w14:textId="77777777">
        <w:trPr>
          <w:tblCellSpacing w:w="0" w:type="dxa"/>
        </w:trPr>
        <w:tc>
          <w:tcPr>
            <w:tcW w:w="1440" w:type="dxa"/>
            <w:shd w:val="clear" w:color="auto" w:fill="auto"/>
            <w:vAlign w:val="center"/>
          </w:tcPr>
          <w:p w14:paraId="54E9158D" w14:textId="77777777" w:rsidR="00F427A3" w:rsidRDefault="00F427A3">
            <w:pPr>
              <w:rPr>
                <w:rFonts w:ascii="Times New Roman" w:hAnsi="Times New Roman"/>
                <w:sz w:val="20"/>
                <w:szCs w:val="20"/>
              </w:rPr>
            </w:pPr>
          </w:p>
        </w:tc>
        <w:tc>
          <w:tcPr>
            <w:tcW w:w="0" w:type="auto"/>
            <w:shd w:val="clear" w:color="auto" w:fill="auto"/>
            <w:vAlign w:val="center"/>
          </w:tcPr>
          <w:p w14:paraId="54E9158E" w14:textId="77777777" w:rsidR="00F427A3" w:rsidRDefault="00F427A3">
            <w:pPr>
              <w:rPr>
                <w:rFonts w:ascii="Times New Roman" w:hAnsi="Times New Roman"/>
                <w:sz w:val="20"/>
                <w:szCs w:val="20"/>
              </w:rPr>
            </w:pPr>
          </w:p>
        </w:tc>
      </w:tr>
      <w:tr w:rsidR="00F427A3" w14:paraId="54E91592" w14:textId="77777777">
        <w:trPr>
          <w:tblCellSpacing w:w="0" w:type="dxa"/>
        </w:trPr>
        <w:tc>
          <w:tcPr>
            <w:tcW w:w="0" w:type="auto"/>
            <w:shd w:val="clear" w:color="auto" w:fill="auto"/>
          </w:tcPr>
          <w:p w14:paraId="54E91590"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91"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third-party initiatives that may enable greater use of our products, including low-cost or discounted data plans, are </w:t>
            </w:r>
            <w:r>
              <w:rPr>
                <w:rFonts w:ascii="Times New Roman" w:eastAsia="宋体" w:hAnsi="Times New Roman"/>
                <w:sz w:val="20"/>
                <w:szCs w:val="20"/>
              </w:rPr>
              <w:t>discontinued;</w:t>
            </w:r>
          </w:p>
        </w:tc>
      </w:tr>
    </w:tbl>
    <w:p w14:paraId="54E91593"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96" w14:textId="77777777">
        <w:trPr>
          <w:tblCellSpacing w:w="0" w:type="dxa"/>
        </w:trPr>
        <w:tc>
          <w:tcPr>
            <w:tcW w:w="1440" w:type="dxa"/>
            <w:shd w:val="clear" w:color="auto" w:fill="auto"/>
            <w:vAlign w:val="center"/>
          </w:tcPr>
          <w:p w14:paraId="54E91594" w14:textId="77777777" w:rsidR="00F427A3" w:rsidRDefault="00F427A3">
            <w:pPr>
              <w:rPr>
                <w:rFonts w:ascii="Times New Roman" w:hAnsi="Times New Roman"/>
                <w:sz w:val="20"/>
                <w:szCs w:val="20"/>
              </w:rPr>
            </w:pPr>
          </w:p>
        </w:tc>
        <w:tc>
          <w:tcPr>
            <w:tcW w:w="0" w:type="auto"/>
            <w:shd w:val="clear" w:color="auto" w:fill="auto"/>
            <w:vAlign w:val="center"/>
          </w:tcPr>
          <w:p w14:paraId="54E91595" w14:textId="77777777" w:rsidR="00F427A3" w:rsidRDefault="00F427A3">
            <w:pPr>
              <w:rPr>
                <w:rFonts w:ascii="Times New Roman" w:hAnsi="Times New Roman"/>
                <w:sz w:val="20"/>
                <w:szCs w:val="20"/>
              </w:rPr>
            </w:pPr>
          </w:p>
        </w:tc>
      </w:tr>
      <w:tr w:rsidR="00F427A3" w14:paraId="54E91599" w14:textId="77777777">
        <w:trPr>
          <w:tblCellSpacing w:w="0" w:type="dxa"/>
        </w:trPr>
        <w:tc>
          <w:tcPr>
            <w:tcW w:w="0" w:type="auto"/>
            <w:shd w:val="clear" w:color="auto" w:fill="auto"/>
          </w:tcPr>
          <w:p w14:paraId="54E91597"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98"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there is decreased engagement with our products as a result of taxes imposed on the use of social media or other mobile applications in certain countries, internet shutdowns, or other actions by governments that affect the accessibilit</w:t>
            </w:r>
            <w:r>
              <w:rPr>
                <w:rFonts w:ascii="Times New Roman" w:eastAsia="宋体" w:hAnsi="Times New Roman"/>
                <w:sz w:val="20"/>
                <w:szCs w:val="20"/>
              </w:rPr>
              <w:t>y of our products in their countries;</w:t>
            </w:r>
          </w:p>
        </w:tc>
      </w:tr>
    </w:tbl>
    <w:p w14:paraId="54E9159A"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9D" w14:textId="77777777">
        <w:trPr>
          <w:tblCellSpacing w:w="0" w:type="dxa"/>
        </w:trPr>
        <w:tc>
          <w:tcPr>
            <w:tcW w:w="1440" w:type="dxa"/>
            <w:shd w:val="clear" w:color="auto" w:fill="auto"/>
            <w:vAlign w:val="center"/>
          </w:tcPr>
          <w:p w14:paraId="54E9159B" w14:textId="77777777" w:rsidR="00F427A3" w:rsidRDefault="00F427A3">
            <w:pPr>
              <w:rPr>
                <w:rFonts w:ascii="Times New Roman" w:hAnsi="Times New Roman"/>
                <w:sz w:val="20"/>
                <w:szCs w:val="20"/>
              </w:rPr>
            </w:pPr>
          </w:p>
        </w:tc>
        <w:tc>
          <w:tcPr>
            <w:tcW w:w="0" w:type="auto"/>
            <w:shd w:val="clear" w:color="auto" w:fill="auto"/>
            <w:vAlign w:val="center"/>
          </w:tcPr>
          <w:p w14:paraId="54E9159C" w14:textId="77777777" w:rsidR="00F427A3" w:rsidRDefault="00F427A3">
            <w:pPr>
              <w:rPr>
                <w:rFonts w:ascii="Times New Roman" w:hAnsi="Times New Roman"/>
                <w:sz w:val="20"/>
                <w:szCs w:val="20"/>
              </w:rPr>
            </w:pPr>
          </w:p>
        </w:tc>
      </w:tr>
      <w:tr w:rsidR="00F427A3" w14:paraId="54E915A0" w14:textId="77777777">
        <w:trPr>
          <w:tblCellSpacing w:w="0" w:type="dxa"/>
        </w:trPr>
        <w:tc>
          <w:tcPr>
            <w:tcW w:w="0" w:type="auto"/>
            <w:shd w:val="clear" w:color="auto" w:fill="auto"/>
          </w:tcPr>
          <w:p w14:paraId="54E9159E"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9F"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we fail to provide adequate customer service to users, marketers, developers, or other partners;</w:t>
            </w:r>
          </w:p>
        </w:tc>
      </w:tr>
    </w:tbl>
    <w:p w14:paraId="54E915A1"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A4" w14:textId="77777777">
        <w:trPr>
          <w:tblCellSpacing w:w="0" w:type="dxa"/>
        </w:trPr>
        <w:tc>
          <w:tcPr>
            <w:tcW w:w="1440" w:type="dxa"/>
            <w:shd w:val="clear" w:color="auto" w:fill="auto"/>
            <w:vAlign w:val="center"/>
          </w:tcPr>
          <w:p w14:paraId="54E915A2" w14:textId="77777777" w:rsidR="00F427A3" w:rsidRDefault="00F427A3">
            <w:pPr>
              <w:rPr>
                <w:rFonts w:ascii="Times New Roman" w:hAnsi="Times New Roman"/>
                <w:sz w:val="20"/>
                <w:szCs w:val="20"/>
              </w:rPr>
            </w:pPr>
          </w:p>
        </w:tc>
        <w:tc>
          <w:tcPr>
            <w:tcW w:w="0" w:type="auto"/>
            <w:shd w:val="clear" w:color="auto" w:fill="auto"/>
            <w:vAlign w:val="center"/>
          </w:tcPr>
          <w:p w14:paraId="54E915A3" w14:textId="77777777" w:rsidR="00F427A3" w:rsidRDefault="00F427A3">
            <w:pPr>
              <w:rPr>
                <w:rFonts w:ascii="Times New Roman" w:hAnsi="Times New Roman"/>
                <w:sz w:val="20"/>
                <w:szCs w:val="20"/>
              </w:rPr>
            </w:pPr>
          </w:p>
        </w:tc>
      </w:tr>
      <w:tr w:rsidR="00F427A3" w14:paraId="54E915A7" w14:textId="77777777">
        <w:trPr>
          <w:tblCellSpacing w:w="0" w:type="dxa"/>
        </w:trPr>
        <w:tc>
          <w:tcPr>
            <w:tcW w:w="0" w:type="auto"/>
            <w:shd w:val="clear" w:color="auto" w:fill="auto"/>
          </w:tcPr>
          <w:p w14:paraId="54E915A5"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A6"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we, developers whose products are integrated with our products, or other partners and companies in our </w:t>
            </w:r>
            <w:r>
              <w:rPr>
                <w:rFonts w:ascii="Times New Roman" w:eastAsia="宋体" w:hAnsi="Times New Roman"/>
                <w:sz w:val="20"/>
                <w:szCs w:val="20"/>
              </w:rPr>
              <w:t>industry are the subject of adverse media reports or other negative publicity, including as a result of our or their user data practices; or</w:t>
            </w:r>
          </w:p>
        </w:tc>
      </w:tr>
    </w:tbl>
    <w:p w14:paraId="54E915A8"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AB" w14:textId="77777777">
        <w:trPr>
          <w:tblCellSpacing w:w="0" w:type="dxa"/>
        </w:trPr>
        <w:tc>
          <w:tcPr>
            <w:tcW w:w="1440" w:type="dxa"/>
            <w:shd w:val="clear" w:color="auto" w:fill="auto"/>
            <w:vAlign w:val="center"/>
          </w:tcPr>
          <w:p w14:paraId="54E915A9" w14:textId="77777777" w:rsidR="00F427A3" w:rsidRDefault="00F427A3">
            <w:pPr>
              <w:rPr>
                <w:rFonts w:ascii="Times New Roman" w:hAnsi="Times New Roman"/>
                <w:sz w:val="20"/>
                <w:szCs w:val="20"/>
              </w:rPr>
            </w:pPr>
          </w:p>
        </w:tc>
        <w:tc>
          <w:tcPr>
            <w:tcW w:w="0" w:type="auto"/>
            <w:shd w:val="clear" w:color="auto" w:fill="auto"/>
            <w:vAlign w:val="center"/>
          </w:tcPr>
          <w:p w14:paraId="54E915AA" w14:textId="77777777" w:rsidR="00F427A3" w:rsidRDefault="00F427A3">
            <w:pPr>
              <w:rPr>
                <w:rFonts w:ascii="Times New Roman" w:hAnsi="Times New Roman"/>
                <w:sz w:val="20"/>
                <w:szCs w:val="20"/>
              </w:rPr>
            </w:pPr>
          </w:p>
        </w:tc>
      </w:tr>
      <w:tr w:rsidR="00F427A3" w14:paraId="54E915AE" w14:textId="77777777">
        <w:trPr>
          <w:tblCellSpacing w:w="0" w:type="dxa"/>
        </w:trPr>
        <w:tc>
          <w:tcPr>
            <w:tcW w:w="0" w:type="auto"/>
            <w:shd w:val="clear" w:color="auto" w:fill="auto"/>
          </w:tcPr>
          <w:p w14:paraId="54E915AC"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AD"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current or future products, such as our development tools and application programming </w:t>
            </w:r>
            <w:r>
              <w:rPr>
                <w:rFonts w:ascii="Times New Roman" w:eastAsia="宋体" w:hAnsi="Times New Roman"/>
                <w:sz w:val="20"/>
                <w:szCs w:val="20"/>
              </w:rPr>
              <w:t>interfaces that enable developers to build, grow, and monetize mobile and web applications, reduce user activity on our products by making it easier for our users to interact and share on third-party mobile and web applications.</w:t>
            </w:r>
          </w:p>
        </w:tc>
      </w:tr>
    </w:tbl>
    <w:p w14:paraId="54E915AF"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From time to time, certain</w:t>
      </w:r>
      <w:r>
        <w:rPr>
          <w:rFonts w:ascii="Times New Roman" w:eastAsia="宋体" w:hAnsi="Times New Roman"/>
          <w:sz w:val="20"/>
          <w:szCs w:val="20"/>
        </w:rPr>
        <w:t xml:space="preserve"> of these factors have negatively affected user retention, growth, and engagement to varying degrees. If we are unable to maintain or increase our user base and user engagement, particularly for our significant </w:t>
      </w:r>
    </w:p>
    <w:p w14:paraId="54E915B0" w14:textId="77777777" w:rsidR="00F427A3" w:rsidRDefault="00F427A3">
      <w:pPr>
        <w:rPr>
          <w:rFonts w:ascii="Times New Roman" w:hAnsi="Times New Roman"/>
          <w:sz w:val="20"/>
          <w:szCs w:val="20"/>
        </w:rPr>
      </w:pPr>
    </w:p>
    <w:p w14:paraId="54E915B1"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55</w:t>
      </w:r>
    </w:p>
    <w:p w14:paraId="54E915B2" w14:textId="77777777" w:rsidR="00F427A3" w:rsidRDefault="0044221F">
      <w:r>
        <w:rPr>
          <w:rFonts w:ascii="Times New Roman" w:hAnsi="Times New Roman"/>
          <w:sz w:val="20"/>
          <w:szCs w:val="20"/>
        </w:rPr>
        <w:pict w14:anchorId="54E91C67">
          <v:rect id="_x0000_i1079" style="width:415.3pt;height:1.5pt" o:hralign="center" o:hrstd="t" o:hr="t" fillcolor="#a0a0a0" stroked="f"/>
        </w:pict>
      </w:r>
    </w:p>
    <w:p w14:paraId="54E915B3" w14:textId="77777777" w:rsidR="00F427A3" w:rsidRDefault="0044221F">
      <w:pPr>
        <w:spacing w:line="288" w:lineRule="auto"/>
        <w:rPr>
          <w:rFonts w:ascii="Times New Roman" w:hAnsi="Times New Roman"/>
          <w:sz w:val="20"/>
          <w:szCs w:val="20"/>
        </w:rPr>
      </w:pPr>
      <w:hyperlink r:id="rId96" w:anchor="s348EA962CF6D59B599D9921AFA89C381" w:history="1">
        <w:r>
          <w:rPr>
            <w:rStyle w:val="a5"/>
            <w:rFonts w:ascii="Times New Roman" w:eastAsia="宋体" w:hAnsi="Times New Roman"/>
            <w:sz w:val="20"/>
            <w:szCs w:val="20"/>
          </w:rPr>
          <w:t>Table of Contents</w:t>
        </w:r>
      </w:hyperlink>
    </w:p>
    <w:p w14:paraId="54E915B4" w14:textId="77777777" w:rsidR="00F427A3" w:rsidRDefault="00F427A3">
      <w:pPr>
        <w:rPr>
          <w:rFonts w:ascii="Times New Roman" w:hAnsi="Times New Roman"/>
          <w:sz w:val="20"/>
          <w:szCs w:val="20"/>
        </w:rPr>
      </w:pPr>
    </w:p>
    <w:p w14:paraId="54E915B5" w14:textId="77777777" w:rsidR="00F427A3" w:rsidRDefault="0044221F">
      <w:pPr>
        <w:spacing w:line="288" w:lineRule="auto"/>
        <w:jc w:val="both"/>
        <w:rPr>
          <w:rFonts w:ascii="Times New Roman" w:hAnsi="Times New Roman"/>
          <w:sz w:val="20"/>
          <w:szCs w:val="20"/>
        </w:rPr>
      </w:pPr>
      <w:r>
        <w:rPr>
          <w:rFonts w:ascii="Times New Roman" w:eastAsia="宋体" w:hAnsi="Times New Roman"/>
          <w:sz w:val="20"/>
          <w:szCs w:val="20"/>
        </w:rPr>
        <w:t>revenue</w:t>
      </w:r>
      <w:r>
        <w:rPr>
          <w:rFonts w:ascii="Times New Roman" w:eastAsia="宋体" w:hAnsi="Times New Roman"/>
          <w:sz w:val="20"/>
          <w:szCs w:val="20"/>
        </w:rPr>
        <w:noBreakHyphen/>
        <w:t xml:space="preserve">generating products like Facebook and Instagram, our revenue and financial results may be adversely affected. Any </w:t>
      </w:r>
      <w:r>
        <w:rPr>
          <w:rFonts w:ascii="Times New Roman" w:eastAsia="宋体" w:hAnsi="Times New Roman"/>
          <w:sz w:val="20"/>
          <w:szCs w:val="20"/>
        </w:rPr>
        <w:t>decrease in user retention, growth, or engagement could render our products less attractive to users, marketers, and developers, which is likely to have a material and adverse impact on our revenue, business, financial condition, and results of operations.</w:t>
      </w:r>
      <w:r>
        <w:rPr>
          <w:rFonts w:ascii="Times New Roman" w:eastAsia="宋体" w:hAnsi="Times New Roman"/>
          <w:sz w:val="20"/>
          <w:szCs w:val="20"/>
        </w:rPr>
        <w:t xml:space="preserve"> If our active user growth rate continues to slow, we will become increasingly dependent on our ability to maintain or increase levels of user engagement and monetization in order to drive revenue growth.</w:t>
      </w:r>
    </w:p>
    <w:p w14:paraId="54E915B6"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We generate substantially all of our revenue from a</w:t>
      </w:r>
      <w:r>
        <w:rPr>
          <w:rFonts w:ascii="Times New Roman" w:eastAsia="宋体" w:hAnsi="Times New Roman"/>
          <w:b/>
          <w:bCs/>
          <w:i/>
          <w:iCs/>
          <w:sz w:val="20"/>
          <w:szCs w:val="20"/>
        </w:rPr>
        <w:t>dvertising. The loss of marketers, or reduction in spending by marketers, could seriously harm our business.</w:t>
      </w:r>
    </w:p>
    <w:p w14:paraId="54E915B7"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Substantially all of our revenue is currently generated from third parties advertising on Facebook and Instagram. As is common in the industry, our</w:t>
      </w:r>
      <w:r>
        <w:rPr>
          <w:rFonts w:ascii="Times New Roman" w:eastAsia="宋体" w:hAnsi="Times New Roman"/>
          <w:sz w:val="20"/>
          <w:szCs w:val="20"/>
        </w:rPr>
        <w:t xml:space="preserve"> marketers do not have long-term advertising commitments with us. Many of our marketers spend only a relatively small portion of their overall advertising budget with us. Marketers will not continue to do business with us, or they will reduce the budgets t</w:t>
      </w:r>
      <w:r>
        <w:rPr>
          <w:rFonts w:ascii="Times New Roman" w:eastAsia="宋体" w:hAnsi="Times New Roman"/>
          <w:sz w:val="20"/>
          <w:szCs w:val="20"/>
        </w:rPr>
        <w:t>hey are willing to commit to us, if we do not deliver ads in an effective manner, or if they do not believe that their investment in advertising with us will generate a competitive return relative to other alternatives. We have recently implemented, and we</w:t>
      </w:r>
      <w:r>
        <w:rPr>
          <w:rFonts w:ascii="Times New Roman" w:eastAsia="宋体" w:hAnsi="Times New Roman"/>
          <w:sz w:val="20"/>
          <w:szCs w:val="20"/>
        </w:rPr>
        <w:t xml:space="preserve"> will continue to implement, changes to our user data practices. Some of these changes reduce our ability to effectively target ads, which has to some extent adversely affected, and will continue to adversely affect, our advertising business. If we are una</w:t>
      </w:r>
      <w:r>
        <w:rPr>
          <w:rFonts w:ascii="Times New Roman" w:eastAsia="宋体" w:hAnsi="Times New Roman"/>
          <w:sz w:val="20"/>
          <w:szCs w:val="20"/>
        </w:rPr>
        <w:t>ble to provide marketers with a suitable return on investment, the pricing of our ads may not increase, or may decline, in which case our revenue and financial results may be harmed.</w:t>
      </w:r>
    </w:p>
    <w:p w14:paraId="54E915B8"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Our advertising revenue can also be adversely affected by a number of oth</w:t>
      </w:r>
      <w:r>
        <w:rPr>
          <w:rFonts w:ascii="Times New Roman" w:eastAsia="宋体" w:hAnsi="Times New Roman"/>
          <w:sz w:val="20"/>
          <w:szCs w:val="20"/>
        </w:rPr>
        <w:t>er factors, including:</w:t>
      </w:r>
    </w:p>
    <w:tbl>
      <w:tblPr>
        <w:tblW w:w="0" w:type="auto"/>
        <w:tblCellSpacing w:w="0" w:type="dxa"/>
        <w:tblCellMar>
          <w:top w:w="240" w:type="dxa"/>
          <w:left w:w="0" w:type="dxa"/>
          <w:right w:w="0" w:type="dxa"/>
        </w:tblCellMar>
        <w:tblLook w:val="04A0" w:firstRow="1" w:lastRow="0" w:firstColumn="1" w:lastColumn="0" w:noHBand="0" w:noVBand="1"/>
      </w:tblPr>
      <w:tblGrid>
        <w:gridCol w:w="1440"/>
        <w:gridCol w:w="5466"/>
      </w:tblGrid>
      <w:tr w:rsidR="00F427A3" w14:paraId="54E915BB" w14:textId="77777777">
        <w:trPr>
          <w:tblCellSpacing w:w="0" w:type="dxa"/>
        </w:trPr>
        <w:tc>
          <w:tcPr>
            <w:tcW w:w="1440" w:type="dxa"/>
            <w:shd w:val="clear" w:color="auto" w:fill="auto"/>
            <w:vAlign w:val="center"/>
          </w:tcPr>
          <w:p w14:paraId="54E915B9" w14:textId="77777777" w:rsidR="00F427A3" w:rsidRDefault="00F427A3">
            <w:pPr>
              <w:rPr>
                <w:rFonts w:ascii="Times New Roman" w:hAnsi="Times New Roman"/>
                <w:sz w:val="20"/>
                <w:szCs w:val="20"/>
              </w:rPr>
            </w:pPr>
          </w:p>
        </w:tc>
        <w:tc>
          <w:tcPr>
            <w:tcW w:w="0" w:type="auto"/>
            <w:shd w:val="clear" w:color="auto" w:fill="auto"/>
            <w:vAlign w:val="center"/>
          </w:tcPr>
          <w:p w14:paraId="54E915BA" w14:textId="77777777" w:rsidR="00F427A3" w:rsidRDefault="00F427A3">
            <w:pPr>
              <w:rPr>
                <w:rFonts w:ascii="Times New Roman" w:hAnsi="Times New Roman"/>
                <w:sz w:val="20"/>
                <w:szCs w:val="20"/>
              </w:rPr>
            </w:pPr>
          </w:p>
        </w:tc>
      </w:tr>
      <w:tr w:rsidR="00F427A3" w14:paraId="54E915BE" w14:textId="77777777">
        <w:trPr>
          <w:tblCellSpacing w:w="0" w:type="dxa"/>
        </w:trPr>
        <w:tc>
          <w:tcPr>
            <w:tcW w:w="0" w:type="auto"/>
            <w:shd w:val="clear" w:color="auto" w:fill="auto"/>
          </w:tcPr>
          <w:p w14:paraId="54E915BC"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BD"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decreases in user engagement, including time spent on our products;</w:t>
            </w:r>
          </w:p>
        </w:tc>
      </w:tr>
    </w:tbl>
    <w:p w14:paraId="54E915BF"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0"/>
      </w:tblGrid>
      <w:tr w:rsidR="00F427A3" w14:paraId="54E915C2" w14:textId="77777777">
        <w:trPr>
          <w:tblCellSpacing w:w="0" w:type="dxa"/>
        </w:trPr>
        <w:tc>
          <w:tcPr>
            <w:tcW w:w="1440" w:type="dxa"/>
            <w:shd w:val="clear" w:color="auto" w:fill="auto"/>
            <w:vAlign w:val="center"/>
          </w:tcPr>
          <w:p w14:paraId="54E915C0" w14:textId="77777777" w:rsidR="00F427A3" w:rsidRDefault="00F427A3">
            <w:pPr>
              <w:rPr>
                <w:rFonts w:ascii="Times New Roman" w:hAnsi="Times New Roman"/>
                <w:sz w:val="20"/>
                <w:szCs w:val="20"/>
              </w:rPr>
            </w:pPr>
          </w:p>
        </w:tc>
        <w:tc>
          <w:tcPr>
            <w:tcW w:w="0" w:type="auto"/>
            <w:shd w:val="clear" w:color="auto" w:fill="auto"/>
            <w:vAlign w:val="center"/>
          </w:tcPr>
          <w:p w14:paraId="54E915C1" w14:textId="77777777" w:rsidR="00F427A3" w:rsidRDefault="00F427A3">
            <w:pPr>
              <w:rPr>
                <w:rFonts w:ascii="Times New Roman" w:hAnsi="Times New Roman"/>
                <w:sz w:val="20"/>
                <w:szCs w:val="20"/>
              </w:rPr>
            </w:pPr>
          </w:p>
        </w:tc>
      </w:tr>
      <w:tr w:rsidR="00F427A3" w14:paraId="54E915C5" w14:textId="77777777">
        <w:trPr>
          <w:tblCellSpacing w:w="0" w:type="dxa"/>
        </w:trPr>
        <w:tc>
          <w:tcPr>
            <w:tcW w:w="0" w:type="auto"/>
            <w:shd w:val="clear" w:color="auto" w:fill="auto"/>
          </w:tcPr>
          <w:p w14:paraId="54E915C3"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C4"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our inability to continue to increase user access to and engagement with our products;</w:t>
            </w:r>
          </w:p>
        </w:tc>
      </w:tr>
    </w:tbl>
    <w:p w14:paraId="54E915C6"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C9" w14:textId="77777777">
        <w:trPr>
          <w:tblCellSpacing w:w="0" w:type="dxa"/>
        </w:trPr>
        <w:tc>
          <w:tcPr>
            <w:tcW w:w="1440" w:type="dxa"/>
            <w:shd w:val="clear" w:color="auto" w:fill="auto"/>
            <w:vAlign w:val="center"/>
          </w:tcPr>
          <w:p w14:paraId="54E915C7" w14:textId="77777777" w:rsidR="00F427A3" w:rsidRDefault="00F427A3">
            <w:pPr>
              <w:rPr>
                <w:rFonts w:ascii="Times New Roman" w:hAnsi="Times New Roman"/>
                <w:sz w:val="20"/>
                <w:szCs w:val="20"/>
              </w:rPr>
            </w:pPr>
          </w:p>
        </w:tc>
        <w:tc>
          <w:tcPr>
            <w:tcW w:w="0" w:type="auto"/>
            <w:shd w:val="clear" w:color="auto" w:fill="auto"/>
            <w:vAlign w:val="center"/>
          </w:tcPr>
          <w:p w14:paraId="54E915C8" w14:textId="77777777" w:rsidR="00F427A3" w:rsidRDefault="00F427A3">
            <w:pPr>
              <w:rPr>
                <w:rFonts w:ascii="Times New Roman" w:hAnsi="Times New Roman"/>
                <w:sz w:val="20"/>
                <w:szCs w:val="20"/>
              </w:rPr>
            </w:pPr>
          </w:p>
        </w:tc>
      </w:tr>
      <w:tr w:rsidR="00F427A3" w14:paraId="54E915CC" w14:textId="77777777">
        <w:trPr>
          <w:tblCellSpacing w:w="0" w:type="dxa"/>
        </w:trPr>
        <w:tc>
          <w:tcPr>
            <w:tcW w:w="0" w:type="auto"/>
            <w:shd w:val="clear" w:color="auto" w:fill="auto"/>
          </w:tcPr>
          <w:p w14:paraId="54E915CA"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CB"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product changes or inventory management decisions we may </w:t>
            </w:r>
            <w:r>
              <w:rPr>
                <w:rFonts w:ascii="Times New Roman" w:eastAsia="宋体" w:hAnsi="Times New Roman"/>
                <w:sz w:val="20"/>
                <w:szCs w:val="20"/>
              </w:rPr>
              <w:t>make that change the size, format, frequency, or relative prominence of ads displayed on our products or of other unpaid content shared by marketers on our products;</w:t>
            </w:r>
          </w:p>
        </w:tc>
      </w:tr>
    </w:tbl>
    <w:p w14:paraId="54E915CD"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43"/>
      </w:tblGrid>
      <w:tr w:rsidR="00F427A3" w14:paraId="54E915D0" w14:textId="77777777">
        <w:trPr>
          <w:tblCellSpacing w:w="0" w:type="dxa"/>
        </w:trPr>
        <w:tc>
          <w:tcPr>
            <w:tcW w:w="1440" w:type="dxa"/>
            <w:shd w:val="clear" w:color="auto" w:fill="auto"/>
            <w:vAlign w:val="center"/>
          </w:tcPr>
          <w:p w14:paraId="54E915CE" w14:textId="77777777" w:rsidR="00F427A3" w:rsidRDefault="00F427A3">
            <w:pPr>
              <w:rPr>
                <w:rFonts w:ascii="Times New Roman" w:hAnsi="Times New Roman"/>
                <w:sz w:val="20"/>
                <w:szCs w:val="20"/>
              </w:rPr>
            </w:pPr>
          </w:p>
        </w:tc>
        <w:tc>
          <w:tcPr>
            <w:tcW w:w="0" w:type="auto"/>
            <w:shd w:val="clear" w:color="auto" w:fill="auto"/>
            <w:vAlign w:val="center"/>
          </w:tcPr>
          <w:p w14:paraId="54E915CF" w14:textId="77777777" w:rsidR="00F427A3" w:rsidRDefault="00F427A3">
            <w:pPr>
              <w:rPr>
                <w:rFonts w:ascii="Times New Roman" w:hAnsi="Times New Roman"/>
                <w:sz w:val="20"/>
                <w:szCs w:val="20"/>
              </w:rPr>
            </w:pPr>
          </w:p>
        </w:tc>
      </w:tr>
      <w:tr w:rsidR="00F427A3" w14:paraId="54E915D3" w14:textId="77777777">
        <w:trPr>
          <w:tblCellSpacing w:w="0" w:type="dxa"/>
        </w:trPr>
        <w:tc>
          <w:tcPr>
            <w:tcW w:w="0" w:type="auto"/>
            <w:shd w:val="clear" w:color="auto" w:fill="auto"/>
          </w:tcPr>
          <w:p w14:paraId="54E915D1"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D2"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inability to maintain or increase marketer demand, the pricing of our ads, or </w:t>
            </w:r>
            <w:r>
              <w:rPr>
                <w:rFonts w:ascii="Times New Roman" w:eastAsia="宋体" w:hAnsi="Times New Roman"/>
                <w:sz w:val="20"/>
                <w:szCs w:val="20"/>
              </w:rPr>
              <w:t>both;</w:t>
            </w:r>
          </w:p>
        </w:tc>
      </w:tr>
    </w:tbl>
    <w:p w14:paraId="54E915D4"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510"/>
      </w:tblGrid>
      <w:tr w:rsidR="00F427A3" w14:paraId="54E915D7" w14:textId="77777777">
        <w:trPr>
          <w:tblCellSpacing w:w="0" w:type="dxa"/>
        </w:trPr>
        <w:tc>
          <w:tcPr>
            <w:tcW w:w="1440" w:type="dxa"/>
            <w:shd w:val="clear" w:color="auto" w:fill="auto"/>
            <w:vAlign w:val="center"/>
          </w:tcPr>
          <w:p w14:paraId="54E915D5" w14:textId="77777777" w:rsidR="00F427A3" w:rsidRDefault="00F427A3">
            <w:pPr>
              <w:rPr>
                <w:rFonts w:ascii="Times New Roman" w:hAnsi="Times New Roman"/>
                <w:sz w:val="20"/>
                <w:szCs w:val="20"/>
              </w:rPr>
            </w:pPr>
          </w:p>
        </w:tc>
        <w:tc>
          <w:tcPr>
            <w:tcW w:w="0" w:type="auto"/>
            <w:shd w:val="clear" w:color="auto" w:fill="auto"/>
            <w:vAlign w:val="center"/>
          </w:tcPr>
          <w:p w14:paraId="54E915D6" w14:textId="77777777" w:rsidR="00F427A3" w:rsidRDefault="00F427A3">
            <w:pPr>
              <w:rPr>
                <w:rFonts w:ascii="Times New Roman" w:hAnsi="Times New Roman"/>
                <w:sz w:val="20"/>
                <w:szCs w:val="20"/>
              </w:rPr>
            </w:pPr>
          </w:p>
        </w:tc>
      </w:tr>
      <w:tr w:rsidR="00F427A3" w14:paraId="54E915DA" w14:textId="77777777">
        <w:trPr>
          <w:tblCellSpacing w:w="0" w:type="dxa"/>
        </w:trPr>
        <w:tc>
          <w:tcPr>
            <w:tcW w:w="0" w:type="auto"/>
            <w:shd w:val="clear" w:color="auto" w:fill="auto"/>
          </w:tcPr>
          <w:p w14:paraId="54E915D8"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D9"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our inability to maintain or increase the quantity or quality of ads shown to users;</w:t>
            </w:r>
          </w:p>
        </w:tc>
      </w:tr>
    </w:tbl>
    <w:p w14:paraId="54E915DB"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DE" w14:textId="77777777">
        <w:trPr>
          <w:tblCellSpacing w:w="0" w:type="dxa"/>
        </w:trPr>
        <w:tc>
          <w:tcPr>
            <w:tcW w:w="1440" w:type="dxa"/>
            <w:shd w:val="clear" w:color="auto" w:fill="auto"/>
            <w:vAlign w:val="center"/>
          </w:tcPr>
          <w:p w14:paraId="54E915DC" w14:textId="77777777" w:rsidR="00F427A3" w:rsidRDefault="00F427A3">
            <w:pPr>
              <w:rPr>
                <w:rFonts w:ascii="Times New Roman" w:hAnsi="Times New Roman"/>
                <w:sz w:val="20"/>
                <w:szCs w:val="20"/>
              </w:rPr>
            </w:pPr>
          </w:p>
        </w:tc>
        <w:tc>
          <w:tcPr>
            <w:tcW w:w="0" w:type="auto"/>
            <w:shd w:val="clear" w:color="auto" w:fill="auto"/>
            <w:vAlign w:val="center"/>
          </w:tcPr>
          <w:p w14:paraId="54E915DD" w14:textId="77777777" w:rsidR="00F427A3" w:rsidRDefault="00F427A3">
            <w:pPr>
              <w:rPr>
                <w:rFonts w:ascii="Times New Roman" w:hAnsi="Times New Roman"/>
                <w:sz w:val="20"/>
                <w:szCs w:val="20"/>
              </w:rPr>
            </w:pPr>
          </w:p>
        </w:tc>
      </w:tr>
      <w:tr w:rsidR="00F427A3" w14:paraId="54E915E1" w14:textId="77777777">
        <w:trPr>
          <w:tblCellSpacing w:w="0" w:type="dxa"/>
        </w:trPr>
        <w:tc>
          <w:tcPr>
            <w:tcW w:w="0" w:type="auto"/>
            <w:shd w:val="clear" w:color="auto" w:fill="auto"/>
          </w:tcPr>
          <w:p w14:paraId="54E915DF"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E0"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user behavior or product changes that may reduce traffic to features or products that we successfully monetize, including as a result of our </w:t>
            </w:r>
            <w:r>
              <w:rPr>
                <w:rFonts w:ascii="Times New Roman" w:eastAsia="宋体" w:hAnsi="Times New Roman"/>
                <w:sz w:val="20"/>
                <w:szCs w:val="20"/>
              </w:rPr>
              <w:t>efforts to promote the Stories format or increased usage of our messaging products;</w:t>
            </w:r>
          </w:p>
        </w:tc>
      </w:tr>
    </w:tbl>
    <w:p w14:paraId="54E915E2"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E5" w14:textId="77777777">
        <w:trPr>
          <w:tblCellSpacing w:w="0" w:type="dxa"/>
        </w:trPr>
        <w:tc>
          <w:tcPr>
            <w:tcW w:w="1440" w:type="dxa"/>
            <w:shd w:val="clear" w:color="auto" w:fill="auto"/>
            <w:vAlign w:val="center"/>
          </w:tcPr>
          <w:p w14:paraId="54E915E3" w14:textId="77777777" w:rsidR="00F427A3" w:rsidRDefault="00F427A3">
            <w:pPr>
              <w:rPr>
                <w:rFonts w:ascii="Times New Roman" w:hAnsi="Times New Roman"/>
                <w:sz w:val="20"/>
                <w:szCs w:val="20"/>
              </w:rPr>
            </w:pPr>
          </w:p>
        </w:tc>
        <w:tc>
          <w:tcPr>
            <w:tcW w:w="0" w:type="auto"/>
            <w:shd w:val="clear" w:color="auto" w:fill="auto"/>
            <w:vAlign w:val="center"/>
          </w:tcPr>
          <w:p w14:paraId="54E915E4" w14:textId="77777777" w:rsidR="00F427A3" w:rsidRDefault="00F427A3">
            <w:pPr>
              <w:rPr>
                <w:rFonts w:ascii="Times New Roman" w:hAnsi="Times New Roman"/>
                <w:sz w:val="20"/>
                <w:szCs w:val="20"/>
              </w:rPr>
            </w:pPr>
          </w:p>
        </w:tc>
      </w:tr>
      <w:tr w:rsidR="00F427A3" w14:paraId="54E915E8" w14:textId="77777777">
        <w:trPr>
          <w:tblCellSpacing w:w="0" w:type="dxa"/>
        </w:trPr>
        <w:tc>
          <w:tcPr>
            <w:tcW w:w="0" w:type="auto"/>
            <w:shd w:val="clear" w:color="auto" w:fill="auto"/>
          </w:tcPr>
          <w:p w14:paraId="54E915E6"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E7"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reductions of advertising by marketers due to our efforts to implement or enforce advertising policies that protect the security and integrity of our platform;</w:t>
            </w:r>
          </w:p>
        </w:tc>
      </w:tr>
    </w:tbl>
    <w:p w14:paraId="54E915E9"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EC" w14:textId="77777777">
        <w:trPr>
          <w:tblCellSpacing w:w="0" w:type="dxa"/>
        </w:trPr>
        <w:tc>
          <w:tcPr>
            <w:tcW w:w="1440" w:type="dxa"/>
            <w:shd w:val="clear" w:color="auto" w:fill="auto"/>
            <w:vAlign w:val="center"/>
          </w:tcPr>
          <w:p w14:paraId="54E915EA" w14:textId="77777777" w:rsidR="00F427A3" w:rsidRDefault="00F427A3">
            <w:pPr>
              <w:rPr>
                <w:rFonts w:ascii="Times New Roman" w:hAnsi="Times New Roman"/>
                <w:sz w:val="20"/>
                <w:szCs w:val="20"/>
              </w:rPr>
            </w:pPr>
          </w:p>
        </w:tc>
        <w:tc>
          <w:tcPr>
            <w:tcW w:w="0" w:type="auto"/>
            <w:shd w:val="clear" w:color="auto" w:fill="auto"/>
            <w:vAlign w:val="center"/>
          </w:tcPr>
          <w:p w14:paraId="54E915EB" w14:textId="77777777" w:rsidR="00F427A3" w:rsidRDefault="00F427A3">
            <w:pPr>
              <w:rPr>
                <w:rFonts w:ascii="Times New Roman" w:hAnsi="Times New Roman"/>
                <w:sz w:val="20"/>
                <w:szCs w:val="20"/>
              </w:rPr>
            </w:pPr>
          </w:p>
        </w:tc>
      </w:tr>
      <w:tr w:rsidR="00F427A3" w14:paraId="54E915EF" w14:textId="77777777">
        <w:trPr>
          <w:tblCellSpacing w:w="0" w:type="dxa"/>
        </w:trPr>
        <w:tc>
          <w:tcPr>
            <w:tcW w:w="0" w:type="auto"/>
            <w:shd w:val="clear" w:color="auto" w:fill="auto"/>
          </w:tcPr>
          <w:p w14:paraId="54E915ED"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EE"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changes to third-party policies that limit our ability to deliver, target, or measure the effectiveness of advertising, including changes by mobile operating system and browser providers such as Apple and Google;</w:t>
            </w:r>
          </w:p>
        </w:tc>
      </w:tr>
    </w:tbl>
    <w:p w14:paraId="54E915F0"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F3" w14:textId="77777777">
        <w:trPr>
          <w:tblCellSpacing w:w="0" w:type="dxa"/>
        </w:trPr>
        <w:tc>
          <w:tcPr>
            <w:tcW w:w="1440" w:type="dxa"/>
            <w:shd w:val="clear" w:color="auto" w:fill="auto"/>
            <w:vAlign w:val="center"/>
          </w:tcPr>
          <w:p w14:paraId="54E915F1" w14:textId="77777777" w:rsidR="00F427A3" w:rsidRDefault="00F427A3">
            <w:pPr>
              <w:rPr>
                <w:rFonts w:ascii="Times New Roman" w:hAnsi="Times New Roman"/>
                <w:sz w:val="20"/>
                <w:szCs w:val="20"/>
              </w:rPr>
            </w:pPr>
          </w:p>
        </w:tc>
        <w:tc>
          <w:tcPr>
            <w:tcW w:w="0" w:type="auto"/>
            <w:shd w:val="clear" w:color="auto" w:fill="auto"/>
            <w:vAlign w:val="center"/>
          </w:tcPr>
          <w:p w14:paraId="54E915F2" w14:textId="77777777" w:rsidR="00F427A3" w:rsidRDefault="00F427A3">
            <w:pPr>
              <w:rPr>
                <w:rFonts w:ascii="Times New Roman" w:hAnsi="Times New Roman"/>
                <w:sz w:val="20"/>
                <w:szCs w:val="20"/>
              </w:rPr>
            </w:pPr>
          </w:p>
        </w:tc>
      </w:tr>
      <w:tr w:rsidR="00F427A3" w14:paraId="54E915F6" w14:textId="77777777">
        <w:trPr>
          <w:tblCellSpacing w:w="0" w:type="dxa"/>
        </w:trPr>
        <w:tc>
          <w:tcPr>
            <w:tcW w:w="0" w:type="auto"/>
            <w:shd w:val="clear" w:color="auto" w:fill="auto"/>
          </w:tcPr>
          <w:p w14:paraId="54E915F4"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F5"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availability, </w:t>
            </w:r>
            <w:r>
              <w:rPr>
                <w:rFonts w:ascii="Times New Roman" w:eastAsia="宋体" w:hAnsi="Times New Roman"/>
                <w:sz w:val="20"/>
                <w:szCs w:val="20"/>
              </w:rPr>
              <w:t>accuracy, utility, and security of analytics and measurement solutions offered by us or third parties that demonstrate the value of our ads to marketers, or our ability to further improve such tools;</w:t>
            </w:r>
          </w:p>
        </w:tc>
      </w:tr>
    </w:tbl>
    <w:p w14:paraId="54E915F7"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5FA" w14:textId="77777777">
        <w:trPr>
          <w:tblCellSpacing w:w="0" w:type="dxa"/>
        </w:trPr>
        <w:tc>
          <w:tcPr>
            <w:tcW w:w="1440" w:type="dxa"/>
            <w:shd w:val="clear" w:color="auto" w:fill="auto"/>
            <w:vAlign w:val="center"/>
          </w:tcPr>
          <w:p w14:paraId="54E915F8" w14:textId="77777777" w:rsidR="00F427A3" w:rsidRDefault="00F427A3">
            <w:pPr>
              <w:rPr>
                <w:rFonts w:ascii="Times New Roman" w:hAnsi="Times New Roman"/>
                <w:sz w:val="20"/>
                <w:szCs w:val="20"/>
              </w:rPr>
            </w:pPr>
          </w:p>
        </w:tc>
        <w:tc>
          <w:tcPr>
            <w:tcW w:w="0" w:type="auto"/>
            <w:shd w:val="clear" w:color="auto" w:fill="auto"/>
            <w:vAlign w:val="center"/>
          </w:tcPr>
          <w:p w14:paraId="54E915F9" w14:textId="77777777" w:rsidR="00F427A3" w:rsidRDefault="00F427A3">
            <w:pPr>
              <w:rPr>
                <w:rFonts w:ascii="Times New Roman" w:hAnsi="Times New Roman"/>
                <w:sz w:val="20"/>
                <w:szCs w:val="20"/>
              </w:rPr>
            </w:pPr>
          </w:p>
        </w:tc>
      </w:tr>
      <w:tr w:rsidR="00F427A3" w14:paraId="54E915FD" w14:textId="77777777">
        <w:trPr>
          <w:tblCellSpacing w:w="0" w:type="dxa"/>
        </w:trPr>
        <w:tc>
          <w:tcPr>
            <w:tcW w:w="0" w:type="auto"/>
            <w:shd w:val="clear" w:color="auto" w:fill="auto"/>
          </w:tcPr>
          <w:p w14:paraId="54E915FB"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5FC"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loss of advertising market share to our competitors, including if prices to purchase our ads increase or if competitors offer lower priced, more integrated or otherwise more effective products; </w:t>
            </w:r>
          </w:p>
        </w:tc>
      </w:tr>
    </w:tbl>
    <w:p w14:paraId="54E915FE"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601" w14:textId="77777777">
        <w:trPr>
          <w:tblCellSpacing w:w="0" w:type="dxa"/>
        </w:trPr>
        <w:tc>
          <w:tcPr>
            <w:tcW w:w="1440" w:type="dxa"/>
            <w:shd w:val="clear" w:color="auto" w:fill="auto"/>
            <w:vAlign w:val="center"/>
          </w:tcPr>
          <w:p w14:paraId="54E915FF" w14:textId="77777777" w:rsidR="00F427A3" w:rsidRDefault="00F427A3">
            <w:pPr>
              <w:rPr>
                <w:rFonts w:ascii="Times New Roman" w:hAnsi="Times New Roman"/>
                <w:sz w:val="20"/>
                <w:szCs w:val="20"/>
              </w:rPr>
            </w:pPr>
          </w:p>
        </w:tc>
        <w:tc>
          <w:tcPr>
            <w:tcW w:w="0" w:type="auto"/>
            <w:shd w:val="clear" w:color="auto" w:fill="auto"/>
            <w:vAlign w:val="center"/>
          </w:tcPr>
          <w:p w14:paraId="54E91600" w14:textId="77777777" w:rsidR="00F427A3" w:rsidRDefault="00F427A3">
            <w:pPr>
              <w:rPr>
                <w:rFonts w:ascii="Times New Roman" w:hAnsi="Times New Roman"/>
                <w:sz w:val="20"/>
                <w:szCs w:val="20"/>
              </w:rPr>
            </w:pPr>
          </w:p>
        </w:tc>
      </w:tr>
      <w:tr w:rsidR="00F427A3" w14:paraId="54E91604" w14:textId="77777777">
        <w:trPr>
          <w:tblCellSpacing w:w="0" w:type="dxa"/>
        </w:trPr>
        <w:tc>
          <w:tcPr>
            <w:tcW w:w="0" w:type="auto"/>
            <w:shd w:val="clear" w:color="auto" w:fill="auto"/>
          </w:tcPr>
          <w:p w14:paraId="54E91602"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03"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adverse government actions or legislative, regulatory,</w:t>
            </w:r>
            <w:r>
              <w:rPr>
                <w:rFonts w:ascii="Times New Roman" w:eastAsia="宋体" w:hAnsi="Times New Roman"/>
                <w:sz w:val="20"/>
                <w:szCs w:val="20"/>
              </w:rPr>
              <w:t xml:space="preserve"> or other legal developments relating to advertising, including developments that may impact our ability to deliver, target, or measure the effectiveness of advertising;</w:t>
            </w:r>
          </w:p>
        </w:tc>
      </w:tr>
    </w:tbl>
    <w:p w14:paraId="54E91605"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608" w14:textId="77777777">
        <w:trPr>
          <w:tblCellSpacing w:w="0" w:type="dxa"/>
        </w:trPr>
        <w:tc>
          <w:tcPr>
            <w:tcW w:w="1440" w:type="dxa"/>
            <w:shd w:val="clear" w:color="auto" w:fill="auto"/>
            <w:vAlign w:val="center"/>
          </w:tcPr>
          <w:p w14:paraId="54E91606" w14:textId="77777777" w:rsidR="00F427A3" w:rsidRDefault="00F427A3">
            <w:pPr>
              <w:rPr>
                <w:rFonts w:ascii="Times New Roman" w:hAnsi="Times New Roman"/>
                <w:sz w:val="20"/>
                <w:szCs w:val="20"/>
              </w:rPr>
            </w:pPr>
          </w:p>
        </w:tc>
        <w:tc>
          <w:tcPr>
            <w:tcW w:w="0" w:type="auto"/>
            <w:shd w:val="clear" w:color="auto" w:fill="auto"/>
            <w:vAlign w:val="center"/>
          </w:tcPr>
          <w:p w14:paraId="54E91607" w14:textId="77777777" w:rsidR="00F427A3" w:rsidRDefault="00F427A3">
            <w:pPr>
              <w:rPr>
                <w:rFonts w:ascii="Times New Roman" w:hAnsi="Times New Roman"/>
                <w:sz w:val="20"/>
                <w:szCs w:val="20"/>
              </w:rPr>
            </w:pPr>
          </w:p>
        </w:tc>
      </w:tr>
      <w:tr w:rsidR="00F427A3" w14:paraId="54E9160B" w14:textId="77777777">
        <w:trPr>
          <w:tblCellSpacing w:w="0" w:type="dxa"/>
        </w:trPr>
        <w:tc>
          <w:tcPr>
            <w:tcW w:w="0" w:type="auto"/>
            <w:shd w:val="clear" w:color="auto" w:fill="auto"/>
          </w:tcPr>
          <w:p w14:paraId="54E91609"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0A"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limitations on our ability to operate material portions of our business in </w:t>
            </w:r>
            <w:r>
              <w:rPr>
                <w:rFonts w:ascii="Times New Roman" w:eastAsia="宋体" w:hAnsi="Times New Roman"/>
                <w:sz w:val="20"/>
                <w:szCs w:val="20"/>
              </w:rPr>
              <w:t>Europe as a result of European regulators, courts, or legislative bodies determining that our reliance on SCCs or other legal bases we rely upon to transfer user data from the European Union to the United States is invalid;</w:t>
            </w:r>
          </w:p>
        </w:tc>
      </w:tr>
    </w:tbl>
    <w:p w14:paraId="54E9160C"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60F" w14:textId="77777777">
        <w:trPr>
          <w:tblCellSpacing w:w="0" w:type="dxa"/>
        </w:trPr>
        <w:tc>
          <w:tcPr>
            <w:tcW w:w="1440" w:type="dxa"/>
            <w:shd w:val="clear" w:color="auto" w:fill="auto"/>
            <w:vAlign w:val="center"/>
          </w:tcPr>
          <w:p w14:paraId="54E9160D" w14:textId="77777777" w:rsidR="00F427A3" w:rsidRDefault="00F427A3">
            <w:pPr>
              <w:rPr>
                <w:rFonts w:ascii="Times New Roman" w:hAnsi="Times New Roman"/>
                <w:sz w:val="20"/>
                <w:szCs w:val="20"/>
              </w:rPr>
            </w:pPr>
          </w:p>
        </w:tc>
        <w:tc>
          <w:tcPr>
            <w:tcW w:w="0" w:type="auto"/>
            <w:shd w:val="clear" w:color="auto" w:fill="auto"/>
            <w:vAlign w:val="center"/>
          </w:tcPr>
          <w:p w14:paraId="54E9160E" w14:textId="77777777" w:rsidR="00F427A3" w:rsidRDefault="00F427A3">
            <w:pPr>
              <w:rPr>
                <w:rFonts w:ascii="Times New Roman" w:hAnsi="Times New Roman"/>
                <w:sz w:val="20"/>
                <w:szCs w:val="20"/>
              </w:rPr>
            </w:pPr>
          </w:p>
        </w:tc>
      </w:tr>
      <w:tr w:rsidR="00F427A3" w14:paraId="54E91612" w14:textId="77777777">
        <w:trPr>
          <w:tblCellSpacing w:w="0" w:type="dxa"/>
        </w:trPr>
        <w:tc>
          <w:tcPr>
            <w:tcW w:w="0" w:type="auto"/>
            <w:shd w:val="clear" w:color="auto" w:fill="auto"/>
          </w:tcPr>
          <w:p w14:paraId="54E91610"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11"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changes in our </w:t>
            </w:r>
            <w:r>
              <w:rPr>
                <w:rFonts w:ascii="Times New Roman" w:eastAsia="宋体" w:hAnsi="Times New Roman"/>
                <w:sz w:val="20"/>
                <w:szCs w:val="20"/>
              </w:rPr>
              <w:t>marketing and sales or other operations that we are required to or elect to make as a result of risks related to complying with foreign laws or regulatory requirements or other government actions;</w:t>
            </w:r>
          </w:p>
        </w:tc>
      </w:tr>
    </w:tbl>
    <w:p w14:paraId="54E91613"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616" w14:textId="77777777">
        <w:trPr>
          <w:tblCellSpacing w:w="0" w:type="dxa"/>
        </w:trPr>
        <w:tc>
          <w:tcPr>
            <w:tcW w:w="1440" w:type="dxa"/>
            <w:shd w:val="clear" w:color="auto" w:fill="auto"/>
            <w:vAlign w:val="center"/>
          </w:tcPr>
          <w:p w14:paraId="54E91614" w14:textId="77777777" w:rsidR="00F427A3" w:rsidRDefault="00F427A3">
            <w:pPr>
              <w:rPr>
                <w:rFonts w:ascii="Times New Roman" w:hAnsi="Times New Roman"/>
                <w:sz w:val="20"/>
                <w:szCs w:val="20"/>
              </w:rPr>
            </w:pPr>
          </w:p>
        </w:tc>
        <w:tc>
          <w:tcPr>
            <w:tcW w:w="0" w:type="auto"/>
            <w:shd w:val="clear" w:color="auto" w:fill="auto"/>
            <w:vAlign w:val="center"/>
          </w:tcPr>
          <w:p w14:paraId="54E91615" w14:textId="77777777" w:rsidR="00F427A3" w:rsidRDefault="00F427A3">
            <w:pPr>
              <w:rPr>
                <w:rFonts w:ascii="Times New Roman" w:hAnsi="Times New Roman"/>
                <w:sz w:val="20"/>
                <w:szCs w:val="20"/>
              </w:rPr>
            </w:pPr>
          </w:p>
        </w:tc>
      </w:tr>
      <w:tr w:rsidR="00F427A3" w14:paraId="54E91619" w14:textId="77777777">
        <w:trPr>
          <w:tblCellSpacing w:w="0" w:type="dxa"/>
        </w:trPr>
        <w:tc>
          <w:tcPr>
            <w:tcW w:w="0" w:type="auto"/>
            <w:shd w:val="clear" w:color="auto" w:fill="auto"/>
          </w:tcPr>
          <w:p w14:paraId="54E91617"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18"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decisions by marketers to reduce their advertising a</w:t>
            </w:r>
            <w:r>
              <w:rPr>
                <w:rFonts w:ascii="Times New Roman" w:eastAsia="宋体" w:hAnsi="Times New Roman"/>
                <w:sz w:val="20"/>
                <w:szCs w:val="20"/>
              </w:rPr>
              <w:t>s a result of adverse media reports or other negative publicity involving us, our user data practices, our advertising metrics or tools, content on our products, developers with mobile and web applications that are integrated with our products, or other co</w:t>
            </w:r>
            <w:r>
              <w:rPr>
                <w:rFonts w:ascii="Times New Roman" w:eastAsia="宋体" w:hAnsi="Times New Roman"/>
                <w:sz w:val="20"/>
                <w:szCs w:val="20"/>
              </w:rPr>
              <w:t>mpanies in our industry;</w:t>
            </w:r>
          </w:p>
        </w:tc>
      </w:tr>
    </w:tbl>
    <w:p w14:paraId="54E9161A" w14:textId="77777777" w:rsidR="00F427A3" w:rsidRDefault="00F427A3">
      <w:pPr>
        <w:rPr>
          <w:rFonts w:ascii="Times New Roman" w:hAnsi="Times New Roman"/>
          <w:sz w:val="20"/>
          <w:szCs w:val="20"/>
        </w:rPr>
      </w:pPr>
    </w:p>
    <w:p w14:paraId="54E9161B"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56</w:t>
      </w:r>
    </w:p>
    <w:p w14:paraId="54E9161C" w14:textId="77777777" w:rsidR="00F427A3" w:rsidRDefault="0044221F">
      <w:r>
        <w:rPr>
          <w:rFonts w:ascii="Times New Roman" w:hAnsi="Times New Roman"/>
          <w:sz w:val="20"/>
          <w:szCs w:val="20"/>
        </w:rPr>
        <w:pict w14:anchorId="54E91C68">
          <v:rect id="_x0000_i1080" style="width:415.3pt;height:1.5pt" o:hralign="center" o:hrstd="t" o:hr="t" fillcolor="#a0a0a0" stroked="f"/>
        </w:pict>
      </w:r>
    </w:p>
    <w:p w14:paraId="54E9161D" w14:textId="77777777" w:rsidR="00F427A3" w:rsidRDefault="0044221F">
      <w:pPr>
        <w:spacing w:line="288" w:lineRule="auto"/>
        <w:rPr>
          <w:rFonts w:ascii="Times New Roman" w:hAnsi="Times New Roman"/>
          <w:sz w:val="20"/>
          <w:szCs w:val="20"/>
        </w:rPr>
      </w:pPr>
      <w:hyperlink r:id="rId97" w:anchor="s348EA962CF6D59B599D9921AFA89C381" w:history="1">
        <w:r>
          <w:rPr>
            <w:rStyle w:val="a5"/>
            <w:rFonts w:ascii="Times New Roman" w:eastAsia="宋体" w:hAnsi="Times New Roman"/>
            <w:sz w:val="20"/>
            <w:szCs w:val="20"/>
          </w:rPr>
          <w:t>Table of Contents</w:t>
        </w:r>
      </w:hyperlink>
    </w:p>
    <w:p w14:paraId="54E9161E" w14:textId="77777777" w:rsidR="00F427A3" w:rsidRDefault="00F427A3">
      <w:pPr>
        <w:rPr>
          <w:rFonts w:ascii="Times New Roman" w:hAnsi="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621" w14:textId="77777777">
        <w:trPr>
          <w:tblCellSpacing w:w="0" w:type="dxa"/>
        </w:trPr>
        <w:tc>
          <w:tcPr>
            <w:tcW w:w="1440" w:type="dxa"/>
            <w:shd w:val="clear" w:color="auto" w:fill="auto"/>
            <w:vAlign w:val="center"/>
          </w:tcPr>
          <w:p w14:paraId="54E9161F" w14:textId="77777777" w:rsidR="00F427A3" w:rsidRDefault="00F427A3">
            <w:pPr>
              <w:rPr>
                <w:rFonts w:ascii="Times New Roman" w:hAnsi="Times New Roman"/>
                <w:sz w:val="20"/>
                <w:szCs w:val="20"/>
              </w:rPr>
            </w:pPr>
          </w:p>
        </w:tc>
        <w:tc>
          <w:tcPr>
            <w:tcW w:w="0" w:type="auto"/>
            <w:shd w:val="clear" w:color="auto" w:fill="auto"/>
            <w:vAlign w:val="center"/>
          </w:tcPr>
          <w:p w14:paraId="54E91620" w14:textId="77777777" w:rsidR="00F427A3" w:rsidRDefault="00F427A3">
            <w:pPr>
              <w:rPr>
                <w:rFonts w:ascii="Times New Roman" w:hAnsi="Times New Roman"/>
                <w:sz w:val="20"/>
                <w:szCs w:val="20"/>
              </w:rPr>
            </w:pPr>
          </w:p>
        </w:tc>
      </w:tr>
      <w:tr w:rsidR="00F427A3" w14:paraId="54E91624" w14:textId="77777777">
        <w:trPr>
          <w:tblCellSpacing w:w="0" w:type="dxa"/>
        </w:trPr>
        <w:tc>
          <w:tcPr>
            <w:tcW w:w="0" w:type="auto"/>
            <w:shd w:val="clear" w:color="auto" w:fill="auto"/>
          </w:tcPr>
          <w:p w14:paraId="54E91622"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23"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reductions of advertising by marketers due to objectionable content published o</w:t>
            </w:r>
            <w:r>
              <w:rPr>
                <w:rFonts w:ascii="Times New Roman" w:eastAsia="宋体" w:hAnsi="Times New Roman"/>
                <w:sz w:val="20"/>
                <w:szCs w:val="20"/>
              </w:rPr>
              <w:t xml:space="preserve">n our products by third parties, questions about our user data practices, concerns about brand safety or potential legal liability, or uncertainty regarding their own legal and compliance obligations (for example, a number of marketers announced that they </w:t>
            </w:r>
            <w:r>
              <w:rPr>
                <w:rFonts w:ascii="Times New Roman" w:eastAsia="宋体" w:hAnsi="Times New Roman"/>
                <w:sz w:val="20"/>
                <w:szCs w:val="20"/>
              </w:rPr>
              <w:t>paused advertising with us in July 2020 due to concerns about content published on our products);</w:t>
            </w:r>
          </w:p>
        </w:tc>
      </w:tr>
    </w:tbl>
    <w:p w14:paraId="54E91625"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628" w14:textId="77777777">
        <w:trPr>
          <w:tblCellSpacing w:w="0" w:type="dxa"/>
        </w:trPr>
        <w:tc>
          <w:tcPr>
            <w:tcW w:w="1440" w:type="dxa"/>
            <w:shd w:val="clear" w:color="auto" w:fill="auto"/>
            <w:vAlign w:val="center"/>
          </w:tcPr>
          <w:p w14:paraId="54E91626" w14:textId="77777777" w:rsidR="00F427A3" w:rsidRDefault="00F427A3">
            <w:pPr>
              <w:rPr>
                <w:rFonts w:ascii="Times New Roman" w:hAnsi="Times New Roman"/>
                <w:sz w:val="20"/>
                <w:szCs w:val="20"/>
              </w:rPr>
            </w:pPr>
          </w:p>
        </w:tc>
        <w:tc>
          <w:tcPr>
            <w:tcW w:w="0" w:type="auto"/>
            <w:shd w:val="clear" w:color="auto" w:fill="auto"/>
            <w:vAlign w:val="center"/>
          </w:tcPr>
          <w:p w14:paraId="54E91627" w14:textId="77777777" w:rsidR="00F427A3" w:rsidRDefault="00F427A3">
            <w:pPr>
              <w:rPr>
                <w:rFonts w:ascii="Times New Roman" w:hAnsi="Times New Roman"/>
                <w:sz w:val="20"/>
                <w:szCs w:val="20"/>
              </w:rPr>
            </w:pPr>
          </w:p>
        </w:tc>
      </w:tr>
      <w:tr w:rsidR="00F427A3" w14:paraId="54E9162B" w14:textId="77777777">
        <w:trPr>
          <w:tblCellSpacing w:w="0" w:type="dxa"/>
        </w:trPr>
        <w:tc>
          <w:tcPr>
            <w:tcW w:w="0" w:type="auto"/>
            <w:shd w:val="clear" w:color="auto" w:fill="auto"/>
          </w:tcPr>
          <w:p w14:paraId="54E91629"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2A"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effectiveness of our ad targeting or degree to which users opt out of certain types of ad targeting, including as a result of product </w:t>
            </w:r>
            <w:r>
              <w:rPr>
                <w:rFonts w:ascii="Times New Roman" w:eastAsia="宋体" w:hAnsi="Times New Roman"/>
                <w:sz w:val="20"/>
                <w:szCs w:val="20"/>
              </w:rPr>
              <w:t xml:space="preserve">changes and controls that we have implemented or may implement in the future in connection with the GDPR, the European Union's ePrivacy Directive, California Consumer Privacy Act (CCPA), other regulations, regulatory actions, or otherwise, that impact our </w:t>
            </w:r>
            <w:r>
              <w:rPr>
                <w:rFonts w:ascii="Times New Roman" w:eastAsia="宋体" w:hAnsi="Times New Roman"/>
                <w:sz w:val="20"/>
                <w:szCs w:val="20"/>
              </w:rPr>
              <w:t>ability to target ads;</w:t>
            </w:r>
          </w:p>
        </w:tc>
      </w:tr>
    </w:tbl>
    <w:p w14:paraId="54E9162C"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62F" w14:textId="77777777">
        <w:trPr>
          <w:tblCellSpacing w:w="0" w:type="dxa"/>
        </w:trPr>
        <w:tc>
          <w:tcPr>
            <w:tcW w:w="1440" w:type="dxa"/>
            <w:shd w:val="clear" w:color="auto" w:fill="auto"/>
            <w:vAlign w:val="center"/>
          </w:tcPr>
          <w:p w14:paraId="54E9162D" w14:textId="77777777" w:rsidR="00F427A3" w:rsidRDefault="00F427A3">
            <w:pPr>
              <w:rPr>
                <w:rFonts w:ascii="Times New Roman" w:hAnsi="Times New Roman"/>
                <w:sz w:val="20"/>
                <w:szCs w:val="20"/>
              </w:rPr>
            </w:pPr>
          </w:p>
        </w:tc>
        <w:tc>
          <w:tcPr>
            <w:tcW w:w="0" w:type="auto"/>
            <w:shd w:val="clear" w:color="auto" w:fill="auto"/>
            <w:vAlign w:val="center"/>
          </w:tcPr>
          <w:p w14:paraId="54E9162E" w14:textId="77777777" w:rsidR="00F427A3" w:rsidRDefault="00F427A3">
            <w:pPr>
              <w:rPr>
                <w:rFonts w:ascii="Times New Roman" w:hAnsi="Times New Roman"/>
                <w:sz w:val="20"/>
                <w:szCs w:val="20"/>
              </w:rPr>
            </w:pPr>
          </w:p>
        </w:tc>
      </w:tr>
      <w:tr w:rsidR="00F427A3" w14:paraId="54E91632" w14:textId="77777777">
        <w:trPr>
          <w:tblCellSpacing w:w="0" w:type="dxa"/>
        </w:trPr>
        <w:tc>
          <w:tcPr>
            <w:tcW w:w="0" w:type="auto"/>
            <w:shd w:val="clear" w:color="auto" w:fill="auto"/>
          </w:tcPr>
          <w:p w14:paraId="54E91630"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31"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the degree to which users cease or reduce the number of times they engage with our ads;</w:t>
            </w:r>
          </w:p>
        </w:tc>
      </w:tr>
    </w:tbl>
    <w:p w14:paraId="54E91633"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636" w14:textId="77777777">
        <w:trPr>
          <w:tblCellSpacing w:w="0" w:type="dxa"/>
        </w:trPr>
        <w:tc>
          <w:tcPr>
            <w:tcW w:w="1440" w:type="dxa"/>
            <w:shd w:val="clear" w:color="auto" w:fill="auto"/>
            <w:vAlign w:val="center"/>
          </w:tcPr>
          <w:p w14:paraId="54E91634" w14:textId="77777777" w:rsidR="00F427A3" w:rsidRDefault="00F427A3">
            <w:pPr>
              <w:rPr>
                <w:rFonts w:ascii="Times New Roman" w:hAnsi="Times New Roman"/>
                <w:sz w:val="20"/>
                <w:szCs w:val="20"/>
              </w:rPr>
            </w:pPr>
          </w:p>
        </w:tc>
        <w:tc>
          <w:tcPr>
            <w:tcW w:w="0" w:type="auto"/>
            <w:shd w:val="clear" w:color="auto" w:fill="auto"/>
            <w:vAlign w:val="center"/>
          </w:tcPr>
          <w:p w14:paraId="54E91635" w14:textId="77777777" w:rsidR="00F427A3" w:rsidRDefault="00F427A3">
            <w:pPr>
              <w:rPr>
                <w:rFonts w:ascii="Times New Roman" w:hAnsi="Times New Roman"/>
                <w:sz w:val="20"/>
                <w:szCs w:val="20"/>
              </w:rPr>
            </w:pPr>
          </w:p>
        </w:tc>
      </w:tr>
      <w:tr w:rsidR="00F427A3" w14:paraId="54E91639" w14:textId="77777777">
        <w:trPr>
          <w:tblCellSpacing w:w="0" w:type="dxa"/>
        </w:trPr>
        <w:tc>
          <w:tcPr>
            <w:tcW w:w="0" w:type="auto"/>
            <w:shd w:val="clear" w:color="auto" w:fill="auto"/>
          </w:tcPr>
          <w:p w14:paraId="54E91637"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38"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changes in the way advertising on mobile devices or on personal computers is measured or priced;</w:t>
            </w:r>
          </w:p>
        </w:tc>
      </w:tr>
    </w:tbl>
    <w:p w14:paraId="54E9163A"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63D" w14:textId="77777777">
        <w:trPr>
          <w:tblCellSpacing w:w="0" w:type="dxa"/>
        </w:trPr>
        <w:tc>
          <w:tcPr>
            <w:tcW w:w="1440" w:type="dxa"/>
            <w:shd w:val="clear" w:color="auto" w:fill="auto"/>
            <w:vAlign w:val="center"/>
          </w:tcPr>
          <w:p w14:paraId="54E9163B" w14:textId="77777777" w:rsidR="00F427A3" w:rsidRDefault="00F427A3">
            <w:pPr>
              <w:rPr>
                <w:rFonts w:ascii="Times New Roman" w:hAnsi="Times New Roman"/>
                <w:sz w:val="20"/>
                <w:szCs w:val="20"/>
              </w:rPr>
            </w:pPr>
          </w:p>
        </w:tc>
        <w:tc>
          <w:tcPr>
            <w:tcW w:w="0" w:type="auto"/>
            <w:shd w:val="clear" w:color="auto" w:fill="auto"/>
            <w:vAlign w:val="center"/>
          </w:tcPr>
          <w:p w14:paraId="54E9163C" w14:textId="77777777" w:rsidR="00F427A3" w:rsidRDefault="00F427A3">
            <w:pPr>
              <w:rPr>
                <w:rFonts w:ascii="Times New Roman" w:hAnsi="Times New Roman"/>
                <w:sz w:val="20"/>
                <w:szCs w:val="20"/>
              </w:rPr>
            </w:pPr>
          </w:p>
        </w:tc>
      </w:tr>
      <w:tr w:rsidR="00F427A3" w14:paraId="54E91640" w14:textId="77777777">
        <w:trPr>
          <w:tblCellSpacing w:w="0" w:type="dxa"/>
        </w:trPr>
        <w:tc>
          <w:tcPr>
            <w:tcW w:w="0" w:type="auto"/>
            <w:shd w:val="clear" w:color="auto" w:fill="auto"/>
          </w:tcPr>
          <w:p w14:paraId="54E9163E"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3F"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changes in the </w:t>
            </w:r>
            <w:r>
              <w:rPr>
                <w:rFonts w:ascii="Times New Roman" w:eastAsia="宋体" w:hAnsi="Times New Roman"/>
                <w:sz w:val="20"/>
                <w:szCs w:val="20"/>
              </w:rPr>
              <w:t>composition of our marketer base or our inability to maintain or grow our marketer base; and</w:t>
            </w:r>
          </w:p>
        </w:tc>
      </w:tr>
    </w:tbl>
    <w:p w14:paraId="54E91641"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644" w14:textId="77777777">
        <w:trPr>
          <w:tblCellSpacing w:w="0" w:type="dxa"/>
        </w:trPr>
        <w:tc>
          <w:tcPr>
            <w:tcW w:w="1440" w:type="dxa"/>
            <w:shd w:val="clear" w:color="auto" w:fill="auto"/>
            <w:vAlign w:val="center"/>
          </w:tcPr>
          <w:p w14:paraId="54E91642" w14:textId="77777777" w:rsidR="00F427A3" w:rsidRDefault="00F427A3">
            <w:pPr>
              <w:rPr>
                <w:rFonts w:ascii="Times New Roman" w:hAnsi="Times New Roman"/>
                <w:sz w:val="20"/>
                <w:szCs w:val="20"/>
              </w:rPr>
            </w:pPr>
          </w:p>
        </w:tc>
        <w:tc>
          <w:tcPr>
            <w:tcW w:w="0" w:type="auto"/>
            <w:shd w:val="clear" w:color="auto" w:fill="auto"/>
            <w:vAlign w:val="center"/>
          </w:tcPr>
          <w:p w14:paraId="54E91643" w14:textId="77777777" w:rsidR="00F427A3" w:rsidRDefault="00F427A3">
            <w:pPr>
              <w:rPr>
                <w:rFonts w:ascii="Times New Roman" w:hAnsi="Times New Roman"/>
                <w:sz w:val="20"/>
                <w:szCs w:val="20"/>
              </w:rPr>
            </w:pPr>
          </w:p>
        </w:tc>
      </w:tr>
      <w:tr w:rsidR="00F427A3" w14:paraId="54E91647" w14:textId="77777777">
        <w:trPr>
          <w:tblCellSpacing w:w="0" w:type="dxa"/>
        </w:trPr>
        <w:tc>
          <w:tcPr>
            <w:tcW w:w="0" w:type="auto"/>
            <w:shd w:val="clear" w:color="auto" w:fill="auto"/>
          </w:tcPr>
          <w:p w14:paraId="54E91645"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46"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impact of macroeconomic conditions, whether in the advertising industry in general, or among specific types of marketers or within particular </w:t>
            </w:r>
            <w:r>
              <w:rPr>
                <w:rFonts w:ascii="Times New Roman" w:eastAsia="宋体" w:hAnsi="Times New Roman"/>
                <w:sz w:val="20"/>
                <w:szCs w:val="20"/>
              </w:rPr>
              <w:t>geographies.</w:t>
            </w:r>
          </w:p>
        </w:tc>
      </w:tr>
    </w:tbl>
    <w:p w14:paraId="54E91648" w14:textId="77777777" w:rsidR="00F427A3" w:rsidRDefault="00F427A3">
      <w:pPr>
        <w:spacing w:line="288" w:lineRule="auto"/>
        <w:ind w:firstLine="720"/>
        <w:jc w:val="both"/>
        <w:rPr>
          <w:rFonts w:ascii="Times New Roman" w:hAnsi="Times New Roman"/>
          <w:sz w:val="20"/>
          <w:szCs w:val="20"/>
        </w:rPr>
      </w:pPr>
    </w:p>
    <w:p w14:paraId="54E91649"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From time to time, certain of these factors have adversely affected our advertising revenue to varying degrees. The occurrence of any of these or other factors in the future could result in a reduction in demand for our ads, which may reduce</w:t>
      </w:r>
      <w:r>
        <w:rPr>
          <w:rFonts w:ascii="Times New Roman" w:eastAsia="宋体" w:hAnsi="Times New Roman"/>
          <w:sz w:val="20"/>
          <w:szCs w:val="20"/>
        </w:rPr>
        <w:t xml:space="preserve"> the prices we receive for our ads, or cause marketers to stop advertising with us altogether, either of which would negatively affect our revenue and financial results. For example, macroeconomic conditions have affected, and we expect will continue to af</w:t>
      </w:r>
      <w:r>
        <w:rPr>
          <w:rFonts w:ascii="Times New Roman" w:eastAsia="宋体" w:hAnsi="Times New Roman"/>
          <w:sz w:val="20"/>
          <w:szCs w:val="20"/>
        </w:rPr>
        <w:t>fect, marketers' ability or willingness to spend with us, as we have seen with the regional and worldwide economic disruption related to the COVID-19 pandemic and associated declines in advertising activity on our products. The effects of the pandemic prev</w:t>
      </w:r>
      <w:r>
        <w:rPr>
          <w:rFonts w:ascii="Times New Roman" w:eastAsia="宋体" w:hAnsi="Times New Roman"/>
          <w:sz w:val="20"/>
          <w:szCs w:val="20"/>
        </w:rPr>
        <w:t xml:space="preserve">iously resulted in reduced demand for our ads, a related decline in pricing of our ads, and additional demands on our technical infrastructure as a result of increased usage of our services, and any similar occurrences in the future may impair our ability </w:t>
      </w:r>
      <w:r>
        <w:rPr>
          <w:rFonts w:ascii="Times New Roman" w:eastAsia="宋体" w:hAnsi="Times New Roman"/>
          <w:sz w:val="20"/>
          <w:szCs w:val="20"/>
        </w:rPr>
        <w:t>to maintain or increase the quantity or quality of ads shown to users and adversely affect our revenue and financial results.</w:t>
      </w:r>
    </w:p>
    <w:p w14:paraId="54E9164A" w14:textId="77777777" w:rsidR="00F427A3" w:rsidRDefault="00F427A3">
      <w:pPr>
        <w:spacing w:line="288" w:lineRule="auto"/>
        <w:jc w:val="both"/>
        <w:rPr>
          <w:rFonts w:ascii="Times New Roman" w:hAnsi="Times New Roman"/>
          <w:sz w:val="20"/>
          <w:szCs w:val="20"/>
        </w:rPr>
      </w:pPr>
    </w:p>
    <w:p w14:paraId="54E9164B"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Our advertising revenue is dependent on targeting and measurement tools that incorporate data signals from user activity on </w:t>
      </w:r>
      <w:r>
        <w:rPr>
          <w:rFonts w:ascii="Times New Roman" w:eastAsia="宋体" w:hAnsi="Times New Roman"/>
          <w:b/>
          <w:bCs/>
          <w:i/>
          <w:iCs/>
          <w:sz w:val="20"/>
          <w:szCs w:val="20"/>
        </w:rPr>
        <w:t>websites and services that we do not control, and changes to the regulatory environment, third-party mobile operating systems and browsers, and our own products have impacted, and we expect will continue to impact, the availability of such signals, which w</w:t>
      </w:r>
      <w:r>
        <w:rPr>
          <w:rFonts w:ascii="Times New Roman" w:eastAsia="宋体" w:hAnsi="Times New Roman"/>
          <w:b/>
          <w:bCs/>
          <w:i/>
          <w:iCs/>
          <w:sz w:val="20"/>
          <w:szCs w:val="20"/>
        </w:rPr>
        <w:t>ill adversely affect our advertising revenue.</w:t>
      </w:r>
    </w:p>
    <w:p w14:paraId="54E9164C" w14:textId="77777777" w:rsidR="00F427A3" w:rsidRDefault="00F427A3">
      <w:pPr>
        <w:spacing w:line="288" w:lineRule="auto"/>
        <w:jc w:val="both"/>
        <w:rPr>
          <w:rFonts w:ascii="Times New Roman" w:hAnsi="Times New Roman"/>
          <w:sz w:val="20"/>
          <w:szCs w:val="20"/>
        </w:rPr>
      </w:pPr>
    </w:p>
    <w:p w14:paraId="54E9164D"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rely on data signals from user activity on websites and services that we do not control in order to deliver relevant and effective ads to our users. Our advertising revenue is dependent on targeting and mea</w:t>
      </w:r>
      <w:r>
        <w:rPr>
          <w:rFonts w:ascii="Times New Roman" w:eastAsia="宋体" w:hAnsi="Times New Roman"/>
          <w:sz w:val="20"/>
          <w:szCs w:val="20"/>
        </w:rPr>
        <w:t>surement tools that incorporate these signals, and any changes in our ability to use such signals will adversely affect our business. For example, legislative and regulatory developments, such as the GDPR, ePrivacy Directive, and CCPA, have impacted, and w</w:t>
      </w:r>
      <w:r>
        <w:rPr>
          <w:rFonts w:ascii="Times New Roman" w:eastAsia="宋体" w:hAnsi="Times New Roman"/>
          <w:sz w:val="20"/>
          <w:szCs w:val="20"/>
        </w:rPr>
        <w:t>e expect will continue to impact, our ability to use such signals in our ad products. In particular, we have seen an increasing number of users opt out of certain types of ad targeting in Europe following adoption of the GDPR, and we have introduced produc</w:t>
      </w:r>
      <w:r>
        <w:rPr>
          <w:rFonts w:ascii="Times New Roman" w:eastAsia="宋体" w:hAnsi="Times New Roman"/>
          <w:sz w:val="20"/>
          <w:szCs w:val="20"/>
        </w:rPr>
        <w:t xml:space="preserve">t changes to limit data signal use for certain users in California following adoption of the CCPA. Regulatory guidance and new legislation may require us to make additional changes to our products in the future that further reduce our ability to use these </w:t>
      </w:r>
      <w:r>
        <w:rPr>
          <w:rFonts w:ascii="Times New Roman" w:eastAsia="宋体" w:hAnsi="Times New Roman"/>
          <w:sz w:val="20"/>
          <w:szCs w:val="20"/>
        </w:rPr>
        <w:t>signals. In addition, mobile operating system and browser providers, such as Apple and Google, have announced product changes as well as future plans to limit the ability of application developers to use these signals to target and measure advertising. For</w:t>
      </w:r>
      <w:r>
        <w:rPr>
          <w:rFonts w:ascii="Times New Roman" w:eastAsia="宋体" w:hAnsi="Times New Roman"/>
          <w:sz w:val="20"/>
          <w:szCs w:val="20"/>
        </w:rPr>
        <w:t xml:space="preserve"> example, in June 2020, Apple announced that it plans to make certain changes to its products and data use policies in connection with the release of its iOS 14 operating system that will reduce our and other iOS developers' ability to target and measure a</w:t>
      </w:r>
      <w:r>
        <w:rPr>
          <w:rFonts w:ascii="Times New Roman" w:eastAsia="宋体" w:hAnsi="Times New Roman"/>
          <w:sz w:val="20"/>
          <w:szCs w:val="20"/>
        </w:rPr>
        <w:t>dvertising, which we expect will in turn reduce the budgets marketers are willing to commit to us and other advertising platforms. In addition, we have implemented, and may continue to implement, product changes that give users the ability to limit our use</w:t>
      </w:r>
      <w:r>
        <w:rPr>
          <w:rFonts w:ascii="Times New Roman" w:eastAsia="宋体" w:hAnsi="Times New Roman"/>
          <w:sz w:val="20"/>
          <w:szCs w:val="20"/>
        </w:rPr>
        <w:t xml:space="preserve"> of such data signals to improve ads and other experiences on our products and services, including our Off-Facebook Activity tool and our worldwide offering of certain product changes we implemented in connection with the GDPR. These developments have limi</w:t>
      </w:r>
      <w:r>
        <w:rPr>
          <w:rFonts w:ascii="Times New Roman" w:eastAsia="宋体" w:hAnsi="Times New Roman"/>
          <w:sz w:val="20"/>
          <w:szCs w:val="20"/>
        </w:rPr>
        <w:t>ted our ability to target and measure the effectiveness of ads on our platform and negatively impacted our advertising revenue, and if we are unable to mitigate these developments as they take further effect in the future, our targeting and measurement cap</w:t>
      </w:r>
      <w:r>
        <w:rPr>
          <w:rFonts w:ascii="Times New Roman" w:eastAsia="宋体" w:hAnsi="Times New Roman"/>
          <w:sz w:val="20"/>
          <w:szCs w:val="20"/>
        </w:rPr>
        <w:t>abilities will be materially and adversely affected, which would in turn significantly impact our future advertising revenue growth.</w:t>
      </w:r>
    </w:p>
    <w:p w14:paraId="54E9164E" w14:textId="77777777" w:rsidR="00F427A3" w:rsidRDefault="00F427A3">
      <w:pPr>
        <w:spacing w:line="288" w:lineRule="auto"/>
        <w:ind w:firstLine="720"/>
        <w:jc w:val="both"/>
        <w:rPr>
          <w:rFonts w:ascii="Times New Roman" w:hAnsi="Times New Roman"/>
          <w:sz w:val="20"/>
          <w:szCs w:val="20"/>
        </w:rPr>
      </w:pPr>
    </w:p>
    <w:p w14:paraId="54E9164F" w14:textId="77777777" w:rsidR="00F427A3" w:rsidRDefault="00F427A3">
      <w:pPr>
        <w:rPr>
          <w:rFonts w:ascii="Times New Roman" w:hAnsi="Times New Roman"/>
          <w:sz w:val="20"/>
          <w:szCs w:val="20"/>
        </w:rPr>
      </w:pPr>
    </w:p>
    <w:p w14:paraId="54E91650"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57</w:t>
      </w:r>
    </w:p>
    <w:p w14:paraId="54E91651" w14:textId="77777777" w:rsidR="00F427A3" w:rsidRDefault="0044221F">
      <w:r>
        <w:rPr>
          <w:rFonts w:ascii="Times New Roman" w:hAnsi="Times New Roman"/>
          <w:sz w:val="20"/>
          <w:szCs w:val="20"/>
        </w:rPr>
        <w:pict w14:anchorId="54E91C69">
          <v:rect id="_x0000_i1081" style="width:415.3pt;height:1.5pt" o:hralign="center" o:hrstd="t" o:hr="t" fillcolor="#a0a0a0" stroked="f"/>
        </w:pict>
      </w:r>
    </w:p>
    <w:p w14:paraId="54E91652" w14:textId="77777777" w:rsidR="00F427A3" w:rsidRDefault="0044221F">
      <w:pPr>
        <w:spacing w:line="288" w:lineRule="auto"/>
        <w:rPr>
          <w:rFonts w:ascii="Times New Roman" w:hAnsi="Times New Roman"/>
          <w:sz w:val="20"/>
          <w:szCs w:val="20"/>
        </w:rPr>
      </w:pPr>
      <w:hyperlink r:id="rId98" w:anchor="s348EA962CF6D59B599D9921AFA89C381" w:history="1">
        <w:r>
          <w:rPr>
            <w:rStyle w:val="a5"/>
            <w:rFonts w:ascii="Times New Roman" w:eastAsia="宋体" w:hAnsi="Times New Roman"/>
            <w:sz w:val="20"/>
            <w:szCs w:val="20"/>
          </w:rPr>
          <w:t>Table of Contents</w:t>
        </w:r>
      </w:hyperlink>
    </w:p>
    <w:p w14:paraId="54E91653" w14:textId="77777777" w:rsidR="00F427A3" w:rsidRDefault="00F427A3">
      <w:pPr>
        <w:rPr>
          <w:rFonts w:ascii="Times New Roman" w:hAnsi="Times New Roman"/>
          <w:sz w:val="20"/>
          <w:szCs w:val="20"/>
        </w:rPr>
      </w:pPr>
    </w:p>
    <w:p w14:paraId="54E91654"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Our user growth, engagement, and monetization on mobile devices depend upon effective operation with mobile operating systems, networks, technologies, products, and standards that we do not control.</w:t>
      </w:r>
    </w:p>
    <w:p w14:paraId="54E91655"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w:t>
      </w:r>
      <w:r>
        <w:rPr>
          <w:rFonts w:ascii="Times New Roman" w:eastAsia="宋体" w:hAnsi="Times New Roman"/>
          <w:sz w:val="20"/>
          <w:szCs w:val="20"/>
        </w:rPr>
        <w:t>he substantial majority of our revenue is generated from advertising on mobile devices. There is no guarantee that popular mobile devices will continue to feature Facebook or our other products, or that mobile device users will continue to use our products</w:t>
      </w:r>
      <w:r>
        <w:rPr>
          <w:rFonts w:ascii="Times New Roman" w:eastAsia="宋体" w:hAnsi="Times New Roman"/>
          <w:sz w:val="20"/>
          <w:szCs w:val="20"/>
        </w:rPr>
        <w:t xml:space="preserve"> rather than competing products. We are dependent on the interoperability of Facebook and our other products with popular mobile operating systems, networks, technologies, products, and standards that we do not control, such as the Android and iOS operatin</w:t>
      </w:r>
      <w:r>
        <w:rPr>
          <w:rFonts w:ascii="Times New Roman" w:eastAsia="宋体" w:hAnsi="Times New Roman"/>
          <w:sz w:val="20"/>
          <w:szCs w:val="20"/>
        </w:rPr>
        <w:t>g systems and mobile browsers. Any changes, bugs, or technical issues in such systems, or changes in our relationships with mobile operating system partners, handset manufacturers, browser developers, or mobile carriers, or in their terms of service or pol</w:t>
      </w:r>
      <w:r>
        <w:rPr>
          <w:rFonts w:ascii="Times New Roman" w:eastAsia="宋体" w:hAnsi="Times New Roman"/>
          <w:sz w:val="20"/>
          <w:szCs w:val="20"/>
        </w:rPr>
        <w:t xml:space="preserve">icies that degrade our products' functionality, reduce or eliminate our ability to update or distribute our products, give preferential treatment to competitive products, limit our ability to deliver, target, or measure the effectiveness of ads, or charge </w:t>
      </w:r>
      <w:r>
        <w:rPr>
          <w:rFonts w:ascii="Times New Roman" w:eastAsia="宋体" w:hAnsi="Times New Roman"/>
          <w:sz w:val="20"/>
          <w:szCs w:val="20"/>
        </w:rPr>
        <w:t>fees related to the distribution of our products or our delivery of ads could adversely affect the usage of Facebook or our other products and monetization on mobile devices. For example, Apple previously released an update to its Safari browser that limit</w:t>
      </w:r>
      <w:r>
        <w:rPr>
          <w:rFonts w:ascii="Times New Roman" w:eastAsia="宋体" w:hAnsi="Times New Roman"/>
          <w:sz w:val="20"/>
          <w:szCs w:val="20"/>
        </w:rPr>
        <w:t>s the use of third-party cookies, which reduces our ability to provide the most relevant ads to our users and impacts monetization, and more recently announced changes to iOS 14 that will limit our ability to target and measure ads effectively. We expect t</w:t>
      </w:r>
      <w:r>
        <w:rPr>
          <w:rFonts w:ascii="Times New Roman" w:eastAsia="宋体" w:hAnsi="Times New Roman"/>
          <w:sz w:val="20"/>
          <w:szCs w:val="20"/>
        </w:rPr>
        <w:t>hat any similar changes to its, Google's, or other browser or mobile platforms will further limit our ability to target and measure the effectiveness of ads and impact monetization. Additionally, in order to deliver high quality mobile products, it is impo</w:t>
      </w:r>
      <w:r>
        <w:rPr>
          <w:rFonts w:ascii="Times New Roman" w:eastAsia="宋体" w:hAnsi="Times New Roman"/>
          <w:sz w:val="20"/>
          <w:szCs w:val="20"/>
        </w:rPr>
        <w:t xml:space="preserve">rtant that our products work well with a range of mobile technologies, products, systems, networks, and standards that we do not control, and that we have good relationships with handset manufacturers, mobile carriers and browser developers. We may not be </w:t>
      </w:r>
      <w:r>
        <w:rPr>
          <w:rFonts w:ascii="Times New Roman" w:eastAsia="宋体" w:hAnsi="Times New Roman"/>
          <w:sz w:val="20"/>
          <w:szCs w:val="20"/>
        </w:rPr>
        <w:t>successful in maintaining or developing relationships with key participants in the mobile ecosystem or in developing products that operate effectively with these technologies, products, systems, networks, or standards. In the event that it is more difficul</w:t>
      </w:r>
      <w:r>
        <w:rPr>
          <w:rFonts w:ascii="Times New Roman" w:eastAsia="宋体" w:hAnsi="Times New Roman"/>
          <w:sz w:val="20"/>
          <w:szCs w:val="20"/>
        </w:rPr>
        <w:t xml:space="preserve">t for our users to access and use Facebook or our other products on their mobile devices, or if our users choose not to access or use Facebook or our other products on their mobile devices or use mobile products that do not offer access to Facebook or our </w:t>
      </w:r>
      <w:r>
        <w:rPr>
          <w:rFonts w:ascii="Times New Roman" w:eastAsia="宋体" w:hAnsi="Times New Roman"/>
          <w:sz w:val="20"/>
          <w:szCs w:val="20"/>
        </w:rPr>
        <w:t>other products, our user growth and user engagement could be harmed. From time to time, we may also take actions regarding the distribution of our products or the operation of our business based on what we believe to be in our long-term best interests. Suc</w:t>
      </w:r>
      <w:r>
        <w:rPr>
          <w:rFonts w:ascii="Times New Roman" w:eastAsia="宋体" w:hAnsi="Times New Roman"/>
          <w:sz w:val="20"/>
          <w:szCs w:val="20"/>
        </w:rPr>
        <w:t>h actions may adversely affect our users and our relationships with the operators of mobile operating systems, handset manufacturers, mobile carriers, browser developers, other business partners, or advertisers, and there is no assurance that these actions</w:t>
      </w:r>
      <w:r>
        <w:rPr>
          <w:rFonts w:ascii="Times New Roman" w:eastAsia="宋体" w:hAnsi="Times New Roman"/>
          <w:sz w:val="20"/>
          <w:szCs w:val="20"/>
        </w:rPr>
        <w:t xml:space="preserve"> will result in the anticipated long-term benefits. In the event that our users are adversely affected by these actions or if our relationships with such third parties deteriorate, our user growth, engagement, and monetization could be adversely affected a</w:t>
      </w:r>
      <w:r>
        <w:rPr>
          <w:rFonts w:ascii="Times New Roman" w:eastAsia="宋体" w:hAnsi="Times New Roman"/>
          <w:sz w:val="20"/>
          <w:szCs w:val="20"/>
        </w:rPr>
        <w:t>nd our business could be harmed. We have in the past experienced challenges in operating with mobile operating systems, networks, technologies, products, and standards that we do not control, and any such occurrences in the future may negatively impact our</w:t>
      </w:r>
      <w:r>
        <w:rPr>
          <w:rFonts w:ascii="Times New Roman" w:eastAsia="宋体" w:hAnsi="Times New Roman"/>
          <w:sz w:val="20"/>
          <w:szCs w:val="20"/>
        </w:rPr>
        <w:t xml:space="preserve"> user growth, engagement, and monetization on mobile devices, which may in turn materially and adversely affect our business and financial results.</w:t>
      </w:r>
    </w:p>
    <w:p w14:paraId="54E91656"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Our business is highly competitive. Competition presents an ongoing threat to the success of our business.</w:t>
      </w:r>
    </w:p>
    <w:p w14:paraId="54E91657"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w:t>
      </w:r>
      <w:r>
        <w:rPr>
          <w:rFonts w:ascii="Times New Roman" w:eastAsia="宋体" w:hAnsi="Times New Roman"/>
          <w:sz w:val="20"/>
          <w:szCs w:val="20"/>
        </w:rPr>
        <w:t>e compete with companies that sell advertising, as well as with companies that provide social, media, and communication products and services that are designed to engage users on mobile devices and online. We face significant competition in every aspect of</w:t>
      </w:r>
      <w:r>
        <w:rPr>
          <w:rFonts w:ascii="Times New Roman" w:eastAsia="宋体" w:hAnsi="Times New Roman"/>
          <w:sz w:val="20"/>
          <w:szCs w:val="20"/>
        </w:rPr>
        <w:t xml:space="preserve"> our business, including from companies that facilitate communication and the sharing of content and information, companies that enable marketers to display advertising, companies that distribute video and other forms of media content, and companies that p</w:t>
      </w:r>
      <w:r>
        <w:rPr>
          <w:rFonts w:ascii="Times New Roman" w:eastAsia="宋体" w:hAnsi="Times New Roman"/>
          <w:sz w:val="20"/>
          <w:szCs w:val="20"/>
        </w:rPr>
        <w:t>rovide development platforms for applications developers. We compete with companies that offer products across broad platforms that replicate capabilities we provide. For example, among other areas, we compete with Apple in messaging, Google and YouTube in</w:t>
      </w:r>
      <w:r>
        <w:rPr>
          <w:rFonts w:ascii="Times New Roman" w:eastAsia="宋体" w:hAnsi="Times New Roman"/>
          <w:sz w:val="20"/>
          <w:szCs w:val="20"/>
        </w:rPr>
        <w:t xml:space="preserve"> advertising and video, Tencent and Snap in messaging and social media, ByteDance and Twitter in social media, and Amazon in advertising. We also compete with companies that provide regional social networks and messaging products, many of which have strong</w:t>
      </w:r>
      <w:r>
        <w:rPr>
          <w:rFonts w:ascii="Times New Roman" w:eastAsia="宋体" w:hAnsi="Times New Roman"/>
          <w:sz w:val="20"/>
          <w:szCs w:val="20"/>
        </w:rPr>
        <w:t xml:space="preserve"> positions in particular countries. Some of our competitors may be domiciled in different countries and subject to political, legal, and regulatory regimes that enable them to compete more effectively than us. In addition, we face competition from traditio</w:t>
      </w:r>
      <w:r>
        <w:rPr>
          <w:rFonts w:ascii="Times New Roman" w:eastAsia="宋体" w:hAnsi="Times New Roman"/>
          <w:sz w:val="20"/>
          <w:szCs w:val="20"/>
        </w:rPr>
        <w:t>nal, online, and mobile businesses that provide media for marketers to reach their audiences and/or develop tools and systems for managing and optimizing advertising campaigns. We also compete with companies that develop and deliver consumer hardware and v</w:t>
      </w:r>
      <w:r>
        <w:rPr>
          <w:rFonts w:ascii="Times New Roman" w:eastAsia="宋体" w:hAnsi="Times New Roman"/>
          <w:sz w:val="20"/>
          <w:szCs w:val="20"/>
        </w:rPr>
        <w:t>irtual reality products and services.</w:t>
      </w:r>
    </w:p>
    <w:p w14:paraId="54E91658"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Some of our current and potential competitors may have greater resources or stronger competitive positions in certain product segments, geographic regions, or user demographics than we do. These factors may allow our c</w:t>
      </w:r>
      <w:r>
        <w:rPr>
          <w:rFonts w:ascii="Times New Roman" w:eastAsia="宋体" w:hAnsi="Times New Roman"/>
          <w:sz w:val="20"/>
          <w:szCs w:val="20"/>
        </w:rPr>
        <w:t>ompetitors to respond more effectively than us to new or emerging technologies and changes in market conditions. We believe that some users, particularly younger users, are aware of and actively engaging with other products and services similar to, or as a</w:t>
      </w:r>
      <w:r>
        <w:rPr>
          <w:rFonts w:ascii="Times New Roman" w:eastAsia="宋体" w:hAnsi="Times New Roman"/>
          <w:sz w:val="20"/>
          <w:szCs w:val="20"/>
        </w:rPr>
        <w:t xml:space="preserve"> substitute for, our products and services, and we believe that some users have reduced their use of and engagement with our products and services in favor of these other products and services. In the event that users increasingly engage with other product</w:t>
      </w:r>
      <w:r>
        <w:rPr>
          <w:rFonts w:ascii="Times New Roman" w:eastAsia="宋体" w:hAnsi="Times New Roman"/>
          <w:sz w:val="20"/>
          <w:szCs w:val="20"/>
        </w:rPr>
        <w:t xml:space="preserve">s and services, </w:t>
      </w:r>
    </w:p>
    <w:p w14:paraId="54E91659" w14:textId="77777777" w:rsidR="00F427A3" w:rsidRDefault="00F427A3">
      <w:pPr>
        <w:rPr>
          <w:rFonts w:ascii="Times New Roman" w:hAnsi="Times New Roman"/>
          <w:sz w:val="20"/>
          <w:szCs w:val="20"/>
        </w:rPr>
      </w:pPr>
    </w:p>
    <w:p w14:paraId="54E9165A"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58</w:t>
      </w:r>
    </w:p>
    <w:p w14:paraId="54E9165B" w14:textId="77777777" w:rsidR="00F427A3" w:rsidRDefault="0044221F">
      <w:r>
        <w:rPr>
          <w:rFonts w:ascii="Times New Roman" w:hAnsi="Times New Roman"/>
          <w:sz w:val="20"/>
          <w:szCs w:val="20"/>
        </w:rPr>
        <w:pict w14:anchorId="54E91C6A">
          <v:rect id="_x0000_i1082" style="width:415.3pt;height:1.5pt" o:hralign="center" o:hrstd="t" o:hr="t" fillcolor="#a0a0a0" stroked="f"/>
        </w:pict>
      </w:r>
    </w:p>
    <w:p w14:paraId="54E9165C" w14:textId="77777777" w:rsidR="00F427A3" w:rsidRDefault="0044221F">
      <w:pPr>
        <w:spacing w:line="288" w:lineRule="auto"/>
        <w:rPr>
          <w:rFonts w:ascii="Times New Roman" w:hAnsi="Times New Roman"/>
          <w:sz w:val="20"/>
          <w:szCs w:val="20"/>
        </w:rPr>
      </w:pPr>
      <w:hyperlink r:id="rId99" w:anchor="s348EA962CF6D59B599D9921AFA89C381" w:history="1">
        <w:r>
          <w:rPr>
            <w:rStyle w:val="a5"/>
            <w:rFonts w:ascii="Times New Roman" w:eastAsia="宋体" w:hAnsi="Times New Roman"/>
            <w:sz w:val="20"/>
            <w:szCs w:val="20"/>
          </w:rPr>
          <w:t>Table of Contents</w:t>
        </w:r>
      </w:hyperlink>
    </w:p>
    <w:p w14:paraId="54E9165D" w14:textId="77777777" w:rsidR="00F427A3" w:rsidRDefault="00F427A3">
      <w:pPr>
        <w:rPr>
          <w:rFonts w:ascii="Times New Roman" w:hAnsi="Times New Roman"/>
          <w:sz w:val="20"/>
          <w:szCs w:val="20"/>
        </w:rPr>
      </w:pPr>
    </w:p>
    <w:p w14:paraId="54E9165E" w14:textId="77777777" w:rsidR="00F427A3" w:rsidRDefault="0044221F">
      <w:pPr>
        <w:spacing w:line="288" w:lineRule="auto"/>
        <w:jc w:val="both"/>
        <w:rPr>
          <w:rFonts w:ascii="Times New Roman" w:hAnsi="Times New Roman"/>
          <w:sz w:val="20"/>
          <w:szCs w:val="20"/>
        </w:rPr>
      </w:pPr>
      <w:r>
        <w:rPr>
          <w:rFonts w:ascii="Times New Roman" w:eastAsia="宋体" w:hAnsi="Times New Roman"/>
          <w:sz w:val="20"/>
          <w:szCs w:val="20"/>
        </w:rPr>
        <w:t>we may experience a decline in use and engagement in key user</w:t>
      </w:r>
      <w:r>
        <w:rPr>
          <w:rFonts w:ascii="Times New Roman" w:eastAsia="宋体" w:hAnsi="Times New Roman"/>
          <w:sz w:val="20"/>
          <w:szCs w:val="20"/>
        </w:rPr>
        <w:t xml:space="preserve"> demographics or more broadly, in which case our business would likely be harmed.</w:t>
      </w:r>
    </w:p>
    <w:p w14:paraId="54E9165F"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Our competitors may develop products, features, or services that are similar to ours or that achieve greater acceptance, may undertake more far-reaching and successful produc</w:t>
      </w:r>
      <w:r>
        <w:rPr>
          <w:rFonts w:ascii="Times New Roman" w:eastAsia="宋体" w:hAnsi="Times New Roman"/>
          <w:sz w:val="20"/>
          <w:szCs w:val="20"/>
        </w:rPr>
        <w:t>t development efforts or marketing campaigns, or may adopt more aggressive pricing policies. In addition, developers whose mobile and web applications are integrated with Facebook or our other products may use information shared by our users through our pr</w:t>
      </w:r>
      <w:r>
        <w:rPr>
          <w:rFonts w:ascii="Times New Roman" w:eastAsia="宋体" w:hAnsi="Times New Roman"/>
          <w:sz w:val="20"/>
          <w:szCs w:val="20"/>
        </w:rPr>
        <w:t>oducts in order to develop products or features that compete with us. Some competitors may gain a competitive advantage against us in areas where we operate, including: by making acquisitions; by limiting our ability to deliver, target, or measure the effe</w:t>
      </w:r>
      <w:r>
        <w:rPr>
          <w:rFonts w:ascii="Times New Roman" w:eastAsia="宋体" w:hAnsi="Times New Roman"/>
          <w:sz w:val="20"/>
          <w:szCs w:val="20"/>
        </w:rPr>
        <w:t>ctiveness of ads; by imposing fees or other charges related to our delivery of ads; by making access to our products more difficult or impossible; by making it more difficult to communicate with our users; or by integrating competing platforms, application</w:t>
      </w:r>
      <w:r>
        <w:rPr>
          <w:rFonts w:ascii="Times New Roman" w:eastAsia="宋体" w:hAnsi="Times New Roman"/>
          <w:sz w:val="20"/>
          <w:szCs w:val="20"/>
        </w:rPr>
        <w:t>s, or features into products they control such as mobile device operating systems, search engines, browsers, or e-commerce platforms. For example, each of Apple and Google have integrated competitive products with iOS and Android, respectively. In addition</w:t>
      </w:r>
      <w:r>
        <w:rPr>
          <w:rFonts w:ascii="Times New Roman" w:eastAsia="宋体" w:hAnsi="Times New Roman"/>
          <w:sz w:val="20"/>
          <w:szCs w:val="20"/>
        </w:rPr>
        <w:t>, Apple has announced changes to iOS 14 that will limit our ability, and the ability of others in the digital advertising industry, to target and measure ads effectively. As a result, our competitors may, and in some cases will, acquire and engage users or</w:t>
      </w:r>
      <w:r>
        <w:rPr>
          <w:rFonts w:ascii="Times New Roman" w:eastAsia="宋体" w:hAnsi="Times New Roman"/>
          <w:sz w:val="20"/>
          <w:szCs w:val="20"/>
        </w:rPr>
        <w:t xml:space="preserve"> generate advertising or other revenue at the expense of our own efforts, which would negatively affect our business and financial results. In addition, from time to time, we may take actions in response to competitive threats, but we cannot assure you tha</w:t>
      </w:r>
      <w:r>
        <w:rPr>
          <w:rFonts w:ascii="Times New Roman" w:eastAsia="宋体" w:hAnsi="Times New Roman"/>
          <w:sz w:val="20"/>
          <w:szCs w:val="20"/>
        </w:rPr>
        <w:t>t these actions will be successful or that they will not negatively affect our business and financial results.</w:t>
      </w:r>
    </w:p>
    <w:p w14:paraId="54E91660"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believe that our ability to compete effectively depends upon many factors both within and beyond our control, including:</w:t>
      </w: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663" w14:textId="77777777">
        <w:trPr>
          <w:tblCellSpacing w:w="0" w:type="dxa"/>
        </w:trPr>
        <w:tc>
          <w:tcPr>
            <w:tcW w:w="1440" w:type="dxa"/>
            <w:shd w:val="clear" w:color="auto" w:fill="auto"/>
            <w:vAlign w:val="center"/>
          </w:tcPr>
          <w:p w14:paraId="54E91661" w14:textId="77777777" w:rsidR="00F427A3" w:rsidRDefault="00F427A3">
            <w:pPr>
              <w:rPr>
                <w:rFonts w:ascii="Times New Roman" w:hAnsi="Times New Roman"/>
                <w:sz w:val="20"/>
                <w:szCs w:val="20"/>
              </w:rPr>
            </w:pPr>
          </w:p>
        </w:tc>
        <w:tc>
          <w:tcPr>
            <w:tcW w:w="0" w:type="auto"/>
            <w:shd w:val="clear" w:color="auto" w:fill="auto"/>
            <w:vAlign w:val="center"/>
          </w:tcPr>
          <w:p w14:paraId="54E91662" w14:textId="77777777" w:rsidR="00F427A3" w:rsidRDefault="00F427A3">
            <w:pPr>
              <w:rPr>
                <w:rFonts w:ascii="Times New Roman" w:hAnsi="Times New Roman"/>
                <w:sz w:val="20"/>
                <w:szCs w:val="20"/>
              </w:rPr>
            </w:pPr>
          </w:p>
        </w:tc>
      </w:tr>
      <w:tr w:rsidR="00F427A3" w14:paraId="54E91666" w14:textId="77777777">
        <w:trPr>
          <w:tblCellSpacing w:w="0" w:type="dxa"/>
        </w:trPr>
        <w:tc>
          <w:tcPr>
            <w:tcW w:w="0" w:type="auto"/>
            <w:shd w:val="clear" w:color="auto" w:fill="auto"/>
          </w:tcPr>
          <w:p w14:paraId="54E91664"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65"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w:t>
            </w:r>
            <w:r>
              <w:rPr>
                <w:rFonts w:ascii="Times New Roman" w:eastAsia="宋体" w:hAnsi="Times New Roman"/>
                <w:sz w:val="20"/>
                <w:szCs w:val="20"/>
              </w:rPr>
              <w:t>popularity, usefulness, ease of use, performance, and reliability of our products compared to our competitors' products;</w:t>
            </w:r>
          </w:p>
        </w:tc>
      </w:tr>
    </w:tbl>
    <w:p w14:paraId="54E91667"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3361"/>
      </w:tblGrid>
      <w:tr w:rsidR="00F427A3" w14:paraId="54E9166A" w14:textId="77777777">
        <w:trPr>
          <w:tblCellSpacing w:w="0" w:type="dxa"/>
        </w:trPr>
        <w:tc>
          <w:tcPr>
            <w:tcW w:w="1440" w:type="dxa"/>
            <w:shd w:val="clear" w:color="auto" w:fill="auto"/>
            <w:vAlign w:val="center"/>
          </w:tcPr>
          <w:p w14:paraId="54E91668" w14:textId="77777777" w:rsidR="00F427A3" w:rsidRDefault="00F427A3">
            <w:pPr>
              <w:rPr>
                <w:rFonts w:ascii="Times New Roman" w:hAnsi="Times New Roman"/>
                <w:sz w:val="20"/>
                <w:szCs w:val="20"/>
              </w:rPr>
            </w:pPr>
          </w:p>
        </w:tc>
        <w:tc>
          <w:tcPr>
            <w:tcW w:w="0" w:type="auto"/>
            <w:shd w:val="clear" w:color="auto" w:fill="auto"/>
            <w:vAlign w:val="center"/>
          </w:tcPr>
          <w:p w14:paraId="54E91669" w14:textId="77777777" w:rsidR="00F427A3" w:rsidRDefault="00F427A3">
            <w:pPr>
              <w:rPr>
                <w:rFonts w:ascii="Times New Roman" w:hAnsi="Times New Roman"/>
                <w:sz w:val="20"/>
                <w:szCs w:val="20"/>
              </w:rPr>
            </w:pPr>
          </w:p>
        </w:tc>
      </w:tr>
      <w:tr w:rsidR="00F427A3" w14:paraId="54E9166D" w14:textId="77777777">
        <w:trPr>
          <w:tblCellSpacing w:w="0" w:type="dxa"/>
        </w:trPr>
        <w:tc>
          <w:tcPr>
            <w:tcW w:w="0" w:type="auto"/>
            <w:shd w:val="clear" w:color="auto" w:fill="auto"/>
          </w:tcPr>
          <w:p w14:paraId="54E9166B"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6C"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the size and composition of our user base;</w:t>
            </w:r>
          </w:p>
        </w:tc>
      </w:tr>
    </w:tbl>
    <w:p w14:paraId="54E9166E"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427"/>
      </w:tblGrid>
      <w:tr w:rsidR="00F427A3" w14:paraId="54E91671" w14:textId="77777777">
        <w:trPr>
          <w:tblCellSpacing w:w="0" w:type="dxa"/>
        </w:trPr>
        <w:tc>
          <w:tcPr>
            <w:tcW w:w="1440" w:type="dxa"/>
            <w:shd w:val="clear" w:color="auto" w:fill="auto"/>
            <w:vAlign w:val="center"/>
          </w:tcPr>
          <w:p w14:paraId="54E9166F" w14:textId="77777777" w:rsidR="00F427A3" w:rsidRDefault="00F427A3">
            <w:pPr>
              <w:rPr>
                <w:rFonts w:ascii="Times New Roman" w:hAnsi="Times New Roman"/>
                <w:sz w:val="20"/>
                <w:szCs w:val="20"/>
              </w:rPr>
            </w:pPr>
          </w:p>
        </w:tc>
        <w:tc>
          <w:tcPr>
            <w:tcW w:w="0" w:type="auto"/>
            <w:shd w:val="clear" w:color="auto" w:fill="auto"/>
            <w:vAlign w:val="center"/>
          </w:tcPr>
          <w:p w14:paraId="54E91670" w14:textId="77777777" w:rsidR="00F427A3" w:rsidRDefault="00F427A3">
            <w:pPr>
              <w:rPr>
                <w:rFonts w:ascii="Times New Roman" w:hAnsi="Times New Roman"/>
                <w:sz w:val="20"/>
                <w:szCs w:val="20"/>
              </w:rPr>
            </w:pPr>
          </w:p>
        </w:tc>
      </w:tr>
      <w:tr w:rsidR="00F427A3" w14:paraId="54E91674" w14:textId="77777777">
        <w:trPr>
          <w:tblCellSpacing w:w="0" w:type="dxa"/>
        </w:trPr>
        <w:tc>
          <w:tcPr>
            <w:tcW w:w="0" w:type="auto"/>
            <w:shd w:val="clear" w:color="auto" w:fill="auto"/>
          </w:tcPr>
          <w:p w14:paraId="54E91672"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73"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the engagement of users with our products and competing products;</w:t>
            </w:r>
          </w:p>
        </w:tc>
      </w:tr>
    </w:tbl>
    <w:p w14:paraId="54E91675"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678" w14:textId="77777777">
        <w:trPr>
          <w:tblCellSpacing w:w="0" w:type="dxa"/>
        </w:trPr>
        <w:tc>
          <w:tcPr>
            <w:tcW w:w="1440" w:type="dxa"/>
            <w:shd w:val="clear" w:color="auto" w:fill="auto"/>
            <w:vAlign w:val="center"/>
          </w:tcPr>
          <w:p w14:paraId="54E91676" w14:textId="77777777" w:rsidR="00F427A3" w:rsidRDefault="00F427A3">
            <w:pPr>
              <w:rPr>
                <w:rFonts w:ascii="Times New Roman" w:hAnsi="Times New Roman"/>
                <w:sz w:val="20"/>
                <w:szCs w:val="20"/>
              </w:rPr>
            </w:pPr>
          </w:p>
        </w:tc>
        <w:tc>
          <w:tcPr>
            <w:tcW w:w="0" w:type="auto"/>
            <w:shd w:val="clear" w:color="auto" w:fill="auto"/>
            <w:vAlign w:val="center"/>
          </w:tcPr>
          <w:p w14:paraId="54E91677" w14:textId="77777777" w:rsidR="00F427A3" w:rsidRDefault="00F427A3">
            <w:pPr>
              <w:rPr>
                <w:rFonts w:ascii="Times New Roman" w:hAnsi="Times New Roman"/>
                <w:sz w:val="20"/>
                <w:szCs w:val="20"/>
              </w:rPr>
            </w:pPr>
          </w:p>
        </w:tc>
      </w:tr>
      <w:tr w:rsidR="00F427A3" w14:paraId="54E9167B" w14:textId="77777777">
        <w:trPr>
          <w:tblCellSpacing w:w="0" w:type="dxa"/>
        </w:trPr>
        <w:tc>
          <w:tcPr>
            <w:tcW w:w="0" w:type="auto"/>
            <w:shd w:val="clear" w:color="auto" w:fill="auto"/>
          </w:tcPr>
          <w:p w14:paraId="54E91679"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7A"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the timing and market acceptance of products, including developments and enhancements to our or our competitors' products;</w:t>
            </w:r>
          </w:p>
        </w:tc>
      </w:tr>
    </w:tbl>
    <w:p w14:paraId="54E9167C"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67F" w14:textId="77777777">
        <w:trPr>
          <w:tblCellSpacing w:w="0" w:type="dxa"/>
        </w:trPr>
        <w:tc>
          <w:tcPr>
            <w:tcW w:w="1440" w:type="dxa"/>
            <w:shd w:val="clear" w:color="auto" w:fill="auto"/>
            <w:vAlign w:val="center"/>
          </w:tcPr>
          <w:p w14:paraId="54E9167D" w14:textId="77777777" w:rsidR="00F427A3" w:rsidRDefault="00F427A3">
            <w:pPr>
              <w:rPr>
                <w:rFonts w:ascii="Times New Roman" w:hAnsi="Times New Roman"/>
                <w:sz w:val="20"/>
                <w:szCs w:val="20"/>
              </w:rPr>
            </w:pPr>
          </w:p>
        </w:tc>
        <w:tc>
          <w:tcPr>
            <w:tcW w:w="0" w:type="auto"/>
            <w:shd w:val="clear" w:color="auto" w:fill="auto"/>
            <w:vAlign w:val="center"/>
          </w:tcPr>
          <w:p w14:paraId="54E9167E" w14:textId="77777777" w:rsidR="00F427A3" w:rsidRDefault="00F427A3">
            <w:pPr>
              <w:rPr>
                <w:rFonts w:ascii="Times New Roman" w:hAnsi="Times New Roman"/>
                <w:sz w:val="20"/>
                <w:szCs w:val="20"/>
              </w:rPr>
            </w:pPr>
          </w:p>
        </w:tc>
      </w:tr>
      <w:tr w:rsidR="00F427A3" w14:paraId="54E91682" w14:textId="77777777">
        <w:trPr>
          <w:tblCellSpacing w:w="0" w:type="dxa"/>
        </w:trPr>
        <w:tc>
          <w:tcPr>
            <w:tcW w:w="0" w:type="auto"/>
            <w:shd w:val="clear" w:color="auto" w:fill="auto"/>
          </w:tcPr>
          <w:p w14:paraId="54E91680"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81"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our safety and security efforts and our ability to protect user data and to provide users with control over their data;</w:t>
            </w:r>
          </w:p>
        </w:tc>
      </w:tr>
    </w:tbl>
    <w:p w14:paraId="54E91683"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022"/>
      </w:tblGrid>
      <w:tr w:rsidR="00F427A3" w14:paraId="54E91686" w14:textId="77777777">
        <w:trPr>
          <w:tblCellSpacing w:w="0" w:type="dxa"/>
        </w:trPr>
        <w:tc>
          <w:tcPr>
            <w:tcW w:w="1440" w:type="dxa"/>
            <w:shd w:val="clear" w:color="auto" w:fill="auto"/>
            <w:vAlign w:val="center"/>
          </w:tcPr>
          <w:p w14:paraId="54E91684" w14:textId="77777777" w:rsidR="00F427A3" w:rsidRDefault="00F427A3">
            <w:pPr>
              <w:rPr>
                <w:rFonts w:ascii="Times New Roman" w:hAnsi="Times New Roman"/>
                <w:sz w:val="20"/>
                <w:szCs w:val="20"/>
              </w:rPr>
            </w:pPr>
          </w:p>
        </w:tc>
        <w:tc>
          <w:tcPr>
            <w:tcW w:w="0" w:type="auto"/>
            <w:shd w:val="clear" w:color="auto" w:fill="auto"/>
            <w:vAlign w:val="center"/>
          </w:tcPr>
          <w:p w14:paraId="54E91685" w14:textId="77777777" w:rsidR="00F427A3" w:rsidRDefault="00F427A3">
            <w:pPr>
              <w:rPr>
                <w:rFonts w:ascii="Times New Roman" w:hAnsi="Times New Roman"/>
                <w:sz w:val="20"/>
                <w:szCs w:val="20"/>
              </w:rPr>
            </w:pPr>
          </w:p>
        </w:tc>
      </w:tr>
      <w:tr w:rsidR="00F427A3" w14:paraId="54E91689" w14:textId="77777777">
        <w:trPr>
          <w:tblCellSpacing w:w="0" w:type="dxa"/>
        </w:trPr>
        <w:tc>
          <w:tcPr>
            <w:tcW w:w="0" w:type="auto"/>
            <w:shd w:val="clear" w:color="auto" w:fill="auto"/>
          </w:tcPr>
          <w:p w14:paraId="54E91687"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88"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distribute our products to new and existing users;</w:t>
            </w:r>
          </w:p>
        </w:tc>
      </w:tr>
    </w:tbl>
    <w:p w14:paraId="54E9168A"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2928"/>
      </w:tblGrid>
      <w:tr w:rsidR="00F427A3" w14:paraId="54E9168D" w14:textId="77777777">
        <w:trPr>
          <w:tblCellSpacing w:w="0" w:type="dxa"/>
        </w:trPr>
        <w:tc>
          <w:tcPr>
            <w:tcW w:w="1440" w:type="dxa"/>
            <w:shd w:val="clear" w:color="auto" w:fill="auto"/>
            <w:vAlign w:val="center"/>
          </w:tcPr>
          <w:p w14:paraId="54E9168B" w14:textId="77777777" w:rsidR="00F427A3" w:rsidRDefault="00F427A3">
            <w:pPr>
              <w:rPr>
                <w:rFonts w:ascii="Times New Roman" w:hAnsi="Times New Roman"/>
                <w:sz w:val="20"/>
                <w:szCs w:val="20"/>
              </w:rPr>
            </w:pPr>
          </w:p>
        </w:tc>
        <w:tc>
          <w:tcPr>
            <w:tcW w:w="0" w:type="auto"/>
            <w:shd w:val="clear" w:color="auto" w:fill="auto"/>
            <w:vAlign w:val="center"/>
          </w:tcPr>
          <w:p w14:paraId="54E9168C" w14:textId="77777777" w:rsidR="00F427A3" w:rsidRDefault="00F427A3">
            <w:pPr>
              <w:rPr>
                <w:rFonts w:ascii="Times New Roman" w:hAnsi="Times New Roman"/>
                <w:sz w:val="20"/>
                <w:szCs w:val="20"/>
              </w:rPr>
            </w:pPr>
          </w:p>
        </w:tc>
      </w:tr>
      <w:tr w:rsidR="00F427A3" w14:paraId="54E91690" w14:textId="77777777">
        <w:trPr>
          <w:tblCellSpacing w:w="0" w:type="dxa"/>
        </w:trPr>
        <w:tc>
          <w:tcPr>
            <w:tcW w:w="0" w:type="auto"/>
            <w:shd w:val="clear" w:color="auto" w:fill="auto"/>
          </w:tcPr>
          <w:p w14:paraId="54E9168E"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8F"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monetize our products;</w:t>
            </w:r>
          </w:p>
        </w:tc>
      </w:tr>
    </w:tbl>
    <w:p w14:paraId="54E91691"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694" w14:textId="77777777">
        <w:trPr>
          <w:tblCellSpacing w:w="0" w:type="dxa"/>
        </w:trPr>
        <w:tc>
          <w:tcPr>
            <w:tcW w:w="1440" w:type="dxa"/>
            <w:shd w:val="clear" w:color="auto" w:fill="auto"/>
            <w:vAlign w:val="center"/>
          </w:tcPr>
          <w:p w14:paraId="54E91692" w14:textId="77777777" w:rsidR="00F427A3" w:rsidRDefault="00F427A3">
            <w:pPr>
              <w:rPr>
                <w:rFonts w:ascii="Times New Roman" w:hAnsi="Times New Roman"/>
                <w:sz w:val="20"/>
                <w:szCs w:val="20"/>
              </w:rPr>
            </w:pPr>
          </w:p>
        </w:tc>
        <w:tc>
          <w:tcPr>
            <w:tcW w:w="0" w:type="auto"/>
            <w:shd w:val="clear" w:color="auto" w:fill="auto"/>
            <w:vAlign w:val="center"/>
          </w:tcPr>
          <w:p w14:paraId="54E91693" w14:textId="77777777" w:rsidR="00F427A3" w:rsidRDefault="00F427A3">
            <w:pPr>
              <w:rPr>
                <w:rFonts w:ascii="Times New Roman" w:hAnsi="Times New Roman"/>
                <w:sz w:val="20"/>
                <w:szCs w:val="20"/>
              </w:rPr>
            </w:pPr>
          </w:p>
        </w:tc>
      </w:tr>
      <w:tr w:rsidR="00F427A3" w14:paraId="54E91697" w14:textId="77777777">
        <w:trPr>
          <w:tblCellSpacing w:w="0" w:type="dxa"/>
        </w:trPr>
        <w:tc>
          <w:tcPr>
            <w:tcW w:w="0" w:type="auto"/>
            <w:shd w:val="clear" w:color="auto" w:fill="auto"/>
          </w:tcPr>
          <w:p w14:paraId="54E91695"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96"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the frequency, size, format, quality, and relative prominence of the ads displayed by us or our competitors;</w:t>
            </w:r>
          </w:p>
        </w:tc>
      </w:tr>
    </w:tbl>
    <w:p w14:paraId="54E91698"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2966"/>
      </w:tblGrid>
      <w:tr w:rsidR="00F427A3" w14:paraId="54E9169B" w14:textId="77777777">
        <w:trPr>
          <w:tblCellSpacing w:w="0" w:type="dxa"/>
        </w:trPr>
        <w:tc>
          <w:tcPr>
            <w:tcW w:w="1440" w:type="dxa"/>
            <w:shd w:val="clear" w:color="auto" w:fill="auto"/>
            <w:vAlign w:val="center"/>
          </w:tcPr>
          <w:p w14:paraId="54E91699" w14:textId="77777777" w:rsidR="00F427A3" w:rsidRDefault="00F427A3">
            <w:pPr>
              <w:rPr>
                <w:rFonts w:ascii="Times New Roman" w:hAnsi="Times New Roman"/>
                <w:sz w:val="20"/>
                <w:szCs w:val="20"/>
              </w:rPr>
            </w:pPr>
          </w:p>
        </w:tc>
        <w:tc>
          <w:tcPr>
            <w:tcW w:w="0" w:type="auto"/>
            <w:shd w:val="clear" w:color="auto" w:fill="auto"/>
            <w:vAlign w:val="center"/>
          </w:tcPr>
          <w:p w14:paraId="54E9169A" w14:textId="77777777" w:rsidR="00F427A3" w:rsidRDefault="00F427A3">
            <w:pPr>
              <w:rPr>
                <w:rFonts w:ascii="Times New Roman" w:hAnsi="Times New Roman"/>
                <w:sz w:val="20"/>
                <w:szCs w:val="20"/>
              </w:rPr>
            </w:pPr>
          </w:p>
        </w:tc>
      </w:tr>
      <w:tr w:rsidR="00F427A3" w14:paraId="54E9169E" w14:textId="77777777">
        <w:trPr>
          <w:tblCellSpacing w:w="0" w:type="dxa"/>
        </w:trPr>
        <w:tc>
          <w:tcPr>
            <w:tcW w:w="0" w:type="auto"/>
            <w:shd w:val="clear" w:color="auto" w:fill="auto"/>
          </w:tcPr>
          <w:p w14:paraId="54E9169C"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9D"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customer </w:t>
            </w:r>
            <w:r>
              <w:rPr>
                <w:rFonts w:ascii="Times New Roman" w:eastAsia="宋体" w:hAnsi="Times New Roman"/>
                <w:sz w:val="20"/>
                <w:szCs w:val="20"/>
              </w:rPr>
              <w:t>service and support efforts;</w:t>
            </w:r>
          </w:p>
        </w:tc>
      </w:tr>
    </w:tbl>
    <w:p w14:paraId="54E9169F"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6A2" w14:textId="77777777">
        <w:trPr>
          <w:tblCellSpacing w:w="0" w:type="dxa"/>
        </w:trPr>
        <w:tc>
          <w:tcPr>
            <w:tcW w:w="1440" w:type="dxa"/>
            <w:shd w:val="clear" w:color="auto" w:fill="auto"/>
            <w:vAlign w:val="center"/>
          </w:tcPr>
          <w:p w14:paraId="54E916A0" w14:textId="77777777" w:rsidR="00F427A3" w:rsidRDefault="00F427A3">
            <w:pPr>
              <w:rPr>
                <w:rFonts w:ascii="Times New Roman" w:hAnsi="Times New Roman"/>
                <w:sz w:val="20"/>
                <w:szCs w:val="20"/>
              </w:rPr>
            </w:pPr>
          </w:p>
        </w:tc>
        <w:tc>
          <w:tcPr>
            <w:tcW w:w="0" w:type="auto"/>
            <w:shd w:val="clear" w:color="auto" w:fill="auto"/>
            <w:vAlign w:val="center"/>
          </w:tcPr>
          <w:p w14:paraId="54E916A1" w14:textId="77777777" w:rsidR="00F427A3" w:rsidRDefault="00F427A3">
            <w:pPr>
              <w:rPr>
                <w:rFonts w:ascii="Times New Roman" w:hAnsi="Times New Roman"/>
                <w:sz w:val="20"/>
                <w:szCs w:val="20"/>
              </w:rPr>
            </w:pPr>
          </w:p>
        </w:tc>
      </w:tr>
      <w:tr w:rsidR="00F427A3" w14:paraId="54E916A5" w14:textId="77777777">
        <w:trPr>
          <w:tblCellSpacing w:w="0" w:type="dxa"/>
        </w:trPr>
        <w:tc>
          <w:tcPr>
            <w:tcW w:w="0" w:type="auto"/>
            <w:shd w:val="clear" w:color="auto" w:fill="auto"/>
          </w:tcPr>
          <w:p w14:paraId="54E916A3"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A4"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marketing and selling efforts, including our ability to measure the effectiveness of our ads and to provide marketers with a compelling return on their investments;</w:t>
            </w:r>
          </w:p>
        </w:tc>
      </w:tr>
    </w:tbl>
    <w:p w14:paraId="54E916A6"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6A9" w14:textId="77777777">
        <w:trPr>
          <w:tblCellSpacing w:w="0" w:type="dxa"/>
        </w:trPr>
        <w:tc>
          <w:tcPr>
            <w:tcW w:w="1440" w:type="dxa"/>
            <w:shd w:val="clear" w:color="auto" w:fill="auto"/>
            <w:vAlign w:val="center"/>
          </w:tcPr>
          <w:p w14:paraId="54E916A7" w14:textId="77777777" w:rsidR="00F427A3" w:rsidRDefault="00F427A3">
            <w:pPr>
              <w:rPr>
                <w:rFonts w:ascii="Times New Roman" w:hAnsi="Times New Roman"/>
                <w:sz w:val="20"/>
                <w:szCs w:val="20"/>
              </w:rPr>
            </w:pPr>
          </w:p>
        </w:tc>
        <w:tc>
          <w:tcPr>
            <w:tcW w:w="0" w:type="auto"/>
            <w:shd w:val="clear" w:color="auto" w:fill="auto"/>
            <w:vAlign w:val="center"/>
          </w:tcPr>
          <w:p w14:paraId="54E916A8" w14:textId="77777777" w:rsidR="00F427A3" w:rsidRDefault="00F427A3">
            <w:pPr>
              <w:rPr>
                <w:rFonts w:ascii="Times New Roman" w:hAnsi="Times New Roman"/>
                <w:sz w:val="20"/>
                <w:szCs w:val="20"/>
              </w:rPr>
            </w:pPr>
          </w:p>
        </w:tc>
      </w:tr>
      <w:tr w:rsidR="00F427A3" w14:paraId="54E916AC" w14:textId="77777777">
        <w:trPr>
          <w:tblCellSpacing w:w="0" w:type="dxa"/>
        </w:trPr>
        <w:tc>
          <w:tcPr>
            <w:tcW w:w="0" w:type="auto"/>
            <w:shd w:val="clear" w:color="auto" w:fill="auto"/>
          </w:tcPr>
          <w:p w14:paraId="54E916AA"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AB"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ability to establish and maintain </w:t>
            </w:r>
            <w:r>
              <w:rPr>
                <w:rFonts w:ascii="Times New Roman" w:eastAsia="宋体" w:hAnsi="Times New Roman"/>
                <w:sz w:val="20"/>
                <w:szCs w:val="20"/>
              </w:rPr>
              <w:t>developers' interest in building mobile and web applications that integrate with Facebook and our other products;</w:t>
            </w:r>
          </w:p>
        </w:tc>
      </w:tr>
    </w:tbl>
    <w:p w14:paraId="54E916AD"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6B0" w14:textId="77777777">
        <w:trPr>
          <w:tblCellSpacing w:w="0" w:type="dxa"/>
        </w:trPr>
        <w:tc>
          <w:tcPr>
            <w:tcW w:w="1440" w:type="dxa"/>
            <w:shd w:val="clear" w:color="auto" w:fill="auto"/>
            <w:vAlign w:val="center"/>
          </w:tcPr>
          <w:p w14:paraId="54E916AE" w14:textId="77777777" w:rsidR="00F427A3" w:rsidRDefault="00F427A3">
            <w:pPr>
              <w:rPr>
                <w:rFonts w:ascii="Times New Roman" w:hAnsi="Times New Roman"/>
                <w:sz w:val="20"/>
                <w:szCs w:val="20"/>
              </w:rPr>
            </w:pPr>
          </w:p>
        </w:tc>
        <w:tc>
          <w:tcPr>
            <w:tcW w:w="0" w:type="auto"/>
            <w:shd w:val="clear" w:color="auto" w:fill="auto"/>
            <w:vAlign w:val="center"/>
          </w:tcPr>
          <w:p w14:paraId="54E916AF" w14:textId="77777777" w:rsidR="00F427A3" w:rsidRDefault="00F427A3">
            <w:pPr>
              <w:rPr>
                <w:rFonts w:ascii="Times New Roman" w:hAnsi="Times New Roman"/>
                <w:sz w:val="20"/>
                <w:szCs w:val="20"/>
              </w:rPr>
            </w:pPr>
          </w:p>
        </w:tc>
      </w:tr>
      <w:tr w:rsidR="00F427A3" w14:paraId="54E916B3" w14:textId="77777777">
        <w:trPr>
          <w:tblCellSpacing w:w="0" w:type="dxa"/>
        </w:trPr>
        <w:tc>
          <w:tcPr>
            <w:tcW w:w="0" w:type="auto"/>
            <w:shd w:val="clear" w:color="auto" w:fill="auto"/>
          </w:tcPr>
          <w:p w14:paraId="54E916B1"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B2"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establish and maintain publisher interest in integrating their content with Facebook and our other products;</w:t>
            </w:r>
          </w:p>
        </w:tc>
      </w:tr>
    </w:tbl>
    <w:p w14:paraId="54E916B4"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6B7" w14:textId="77777777">
        <w:trPr>
          <w:tblCellSpacing w:w="0" w:type="dxa"/>
        </w:trPr>
        <w:tc>
          <w:tcPr>
            <w:tcW w:w="1440" w:type="dxa"/>
            <w:shd w:val="clear" w:color="auto" w:fill="auto"/>
            <w:vAlign w:val="center"/>
          </w:tcPr>
          <w:p w14:paraId="54E916B5" w14:textId="77777777" w:rsidR="00F427A3" w:rsidRDefault="00F427A3">
            <w:pPr>
              <w:rPr>
                <w:rFonts w:ascii="Times New Roman" w:hAnsi="Times New Roman"/>
                <w:sz w:val="20"/>
                <w:szCs w:val="20"/>
              </w:rPr>
            </w:pPr>
          </w:p>
        </w:tc>
        <w:tc>
          <w:tcPr>
            <w:tcW w:w="0" w:type="auto"/>
            <w:shd w:val="clear" w:color="auto" w:fill="auto"/>
            <w:vAlign w:val="center"/>
          </w:tcPr>
          <w:p w14:paraId="54E916B6" w14:textId="77777777" w:rsidR="00F427A3" w:rsidRDefault="00F427A3">
            <w:pPr>
              <w:rPr>
                <w:rFonts w:ascii="Times New Roman" w:hAnsi="Times New Roman"/>
                <w:sz w:val="20"/>
                <w:szCs w:val="20"/>
              </w:rPr>
            </w:pPr>
          </w:p>
        </w:tc>
      </w:tr>
      <w:tr w:rsidR="00F427A3" w14:paraId="54E916BA" w14:textId="77777777">
        <w:trPr>
          <w:tblCellSpacing w:w="0" w:type="dxa"/>
        </w:trPr>
        <w:tc>
          <w:tcPr>
            <w:tcW w:w="0" w:type="auto"/>
            <w:shd w:val="clear" w:color="auto" w:fill="auto"/>
          </w:tcPr>
          <w:p w14:paraId="54E916B8"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B9"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changes mandated by legislation, regulatory authorities, or litigation, some of which may have a disproportionate effect on us;</w:t>
            </w:r>
          </w:p>
        </w:tc>
      </w:tr>
    </w:tbl>
    <w:p w14:paraId="54E916BB"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6BE" w14:textId="77777777">
        <w:trPr>
          <w:tblCellSpacing w:w="0" w:type="dxa"/>
        </w:trPr>
        <w:tc>
          <w:tcPr>
            <w:tcW w:w="1440" w:type="dxa"/>
            <w:shd w:val="clear" w:color="auto" w:fill="auto"/>
            <w:vAlign w:val="center"/>
          </w:tcPr>
          <w:p w14:paraId="54E916BC" w14:textId="77777777" w:rsidR="00F427A3" w:rsidRDefault="00F427A3">
            <w:pPr>
              <w:rPr>
                <w:rFonts w:ascii="Times New Roman" w:hAnsi="Times New Roman"/>
                <w:sz w:val="20"/>
                <w:szCs w:val="20"/>
              </w:rPr>
            </w:pPr>
          </w:p>
        </w:tc>
        <w:tc>
          <w:tcPr>
            <w:tcW w:w="0" w:type="auto"/>
            <w:shd w:val="clear" w:color="auto" w:fill="auto"/>
            <w:vAlign w:val="center"/>
          </w:tcPr>
          <w:p w14:paraId="54E916BD" w14:textId="77777777" w:rsidR="00F427A3" w:rsidRDefault="00F427A3">
            <w:pPr>
              <w:rPr>
                <w:rFonts w:ascii="Times New Roman" w:hAnsi="Times New Roman"/>
                <w:sz w:val="20"/>
                <w:szCs w:val="20"/>
              </w:rPr>
            </w:pPr>
          </w:p>
        </w:tc>
      </w:tr>
      <w:tr w:rsidR="00F427A3" w14:paraId="54E916C1" w14:textId="77777777">
        <w:trPr>
          <w:tblCellSpacing w:w="0" w:type="dxa"/>
        </w:trPr>
        <w:tc>
          <w:tcPr>
            <w:tcW w:w="0" w:type="auto"/>
            <w:shd w:val="clear" w:color="auto" w:fill="auto"/>
          </w:tcPr>
          <w:p w14:paraId="54E916BF"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C0"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acquisitions or consolidation within our industry, which may result in more formidable competitors;</w:t>
            </w:r>
          </w:p>
        </w:tc>
      </w:tr>
    </w:tbl>
    <w:p w14:paraId="54E916C2"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6C5" w14:textId="77777777">
        <w:trPr>
          <w:tblCellSpacing w:w="0" w:type="dxa"/>
        </w:trPr>
        <w:tc>
          <w:tcPr>
            <w:tcW w:w="1440" w:type="dxa"/>
            <w:shd w:val="clear" w:color="auto" w:fill="auto"/>
            <w:vAlign w:val="center"/>
          </w:tcPr>
          <w:p w14:paraId="54E916C3" w14:textId="77777777" w:rsidR="00F427A3" w:rsidRDefault="00F427A3">
            <w:pPr>
              <w:rPr>
                <w:rFonts w:ascii="Times New Roman" w:hAnsi="Times New Roman"/>
                <w:sz w:val="20"/>
                <w:szCs w:val="20"/>
              </w:rPr>
            </w:pPr>
          </w:p>
        </w:tc>
        <w:tc>
          <w:tcPr>
            <w:tcW w:w="0" w:type="auto"/>
            <w:shd w:val="clear" w:color="auto" w:fill="auto"/>
            <w:vAlign w:val="center"/>
          </w:tcPr>
          <w:p w14:paraId="54E916C4" w14:textId="77777777" w:rsidR="00F427A3" w:rsidRDefault="00F427A3">
            <w:pPr>
              <w:rPr>
                <w:rFonts w:ascii="Times New Roman" w:hAnsi="Times New Roman"/>
                <w:sz w:val="20"/>
                <w:szCs w:val="20"/>
              </w:rPr>
            </w:pPr>
          </w:p>
        </w:tc>
      </w:tr>
      <w:tr w:rsidR="00F427A3" w14:paraId="54E916C8" w14:textId="77777777">
        <w:trPr>
          <w:tblCellSpacing w:w="0" w:type="dxa"/>
        </w:trPr>
        <w:tc>
          <w:tcPr>
            <w:tcW w:w="0" w:type="auto"/>
            <w:shd w:val="clear" w:color="auto" w:fill="auto"/>
          </w:tcPr>
          <w:p w14:paraId="54E916C6"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C7"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w:t>
            </w:r>
            <w:r>
              <w:rPr>
                <w:rFonts w:ascii="Times New Roman" w:eastAsia="宋体" w:hAnsi="Times New Roman"/>
                <w:sz w:val="20"/>
                <w:szCs w:val="20"/>
              </w:rPr>
              <w:t>ability to attract, retain, and motivate talented employees, particularly software engineers, designers, and product managers;</w:t>
            </w:r>
          </w:p>
        </w:tc>
      </w:tr>
    </w:tbl>
    <w:p w14:paraId="54E916C9"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393"/>
      </w:tblGrid>
      <w:tr w:rsidR="00F427A3" w14:paraId="54E916CC" w14:textId="77777777">
        <w:trPr>
          <w:tblCellSpacing w:w="0" w:type="dxa"/>
        </w:trPr>
        <w:tc>
          <w:tcPr>
            <w:tcW w:w="1440" w:type="dxa"/>
            <w:shd w:val="clear" w:color="auto" w:fill="auto"/>
            <w:vAlign w:val="center"/>
          </w:tcPr>
          <w:p w14:paraId="54E916CA" w14:textId="77777777" w:rsidR="00F427A3" w:rsidRDefault="00F427A3">
            <w:pPr>
              <w:rPr>
                <w:rFonts w:ascii="Times New Roman" w:hAnsi="Times New Roman"/>
                <w:sz w:val="20"/>
                <w:szCs w:val="20"/>
              </w:rPr>
            </w:pPr>
          </w:p>
        </w:tc>
        <w:tc>
          <w:tcPr>
            <w:tcW w:w="0" w:type="auto"/>
            <w:shd w:val="clear" w:color="auto" w:fill="auto"/>
            <w:vAlign w:val="center"/>
          </w:tcPr>
          <w:p w14:paraId="54E916CB" w14:textId="77777777" w:rsidR="00F427A3" w:rsidRDefault="00F427A3">
            <w:pPr>
              <w:rPr>
                <w:rFonts w:ascii="Times New Roman" w:hAnsi="Times New Roman"/>
                <w:sz w:val="20"/>
                <w:szCs w:val="20"/>
              </w:rPr>
            </w:pPr>
          </w:p>
        </w:tc>
      </w:tr>
      <w:tr w:rsidR="00F427A3" w14:paraId="54E916CF" w14:textId="77777777">
        <w:trPr>
          <w:tblCellSpacing w:w="0" w:type="dxa"/>
        </w:trPr>
        <w:tc>
          <w:tcPr>
            <w:tcW w:w="0" w:type="auto"/>
            <w:shd w:val="clear" w:color="auto" w:fill="auto"/>
          </w:tcPr>
          <w:p w14:paraId="54E916CD"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CE"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cost-effectively manage and grow our operations; and</w:t>
            </w:r>
          </w:p>
        </w:tc>
      </w:tr>
    </w:tbl>
    <w:p w14:paraId="54E916D0" w14:textId="77777777" w:rsidR="00F427A3" w:rsidRDefault="00F427A3">
      <w:pPr>
        <w:rPr>
          <w:rFonts w:ascii="Times New Roman" w:hAnsi="Times New Roman"/>
          <w:sz w:val="20"/>
          <w:szCs w:val="20"/>
        </w:rPr>
      </w:pPr>
    </w:p>
    <w:p w14:paraId="54E916D1"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59</w:t>
      </w:r>
    </w:p>
    <w:p w14:paraId="54E916D2" w14:textId="77777777" w:rsidR="00F427A3" w:rsidRDefault="0044221F">
      <w:r>
        <w:rPr>
          <w:rFonts w:ascii="Times New Roman" w:hAnsi="Times New Roman"/>
          <w:sz w:val="20"/>
          <w:szCs w:val="20"/>
        </w:rPr>
        <w:pict w14:anchorId="54E91C6B">
          <v:rect id="_x0000_i1083" style="width:415.3pt;height:1.5pt" o:hralign="center" o:hrstd="t" o:hr="t" fillcolor="#a0a0a0" stroked="f"/>
        </w:pict>
      </w:r>
    </w:p>
    <w:p w14:paraId="54E916D3" w14:textId="77777777" w:rsidR="00F427A3" w:rsidRDefault="0044221F">
      <w:pPr>
        <w:spacing w:line="288" w:lineRule="auto"/>
        <w:rPr>
          <w:rFonts w:ascii="Times New Roman" w:hAnsi="Times New Roman"/>
          <w:sz w:val="20"/>
          <w:szCs w:val="20"/>
        </w:rPr>
      </w:pPr>
      <w:hyperlink r:id="rId100" w:anchor="s348EA962CF6D59B599D9921AFA89C381" w:history="1">
        <w:r>
          <w:rPr>
            <w:rStyle w:val="a5"/>
            <w:rFonts w:ascii="Times New Roman" w:eastAsia="宋体" w:hAnsi="Times New Roman"/>
            <w:sz w:val="20"/>
            <w:szCs w:val="20"/>
          </w:rPr>
          <w:t>Table of Contents</w:t>
        </w:r>
      </w:hyperlink>
    </w:p>
    <w:p w14:paraId="54E916D4" w14:textId="77777777" w:rsidR="00F427A3" w:rsidRDefault="00F427A3">
      <w:pPr>
        <w:rPr>
          <w:rFonts w:ascii="Times New Roman" w:hAnsi="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571"/>
      </w:tblGrid>
      <w:tr w:rsidR="00F427A3" w14:paraId="54E916D7" w14:textId="77777777">
        <w:trPr>
          <w:tblCellSpacing w:w="0" w:type="dxa"/>
        </w:trPr>
        <w:tc>
          <w:tcPr>
            <w:tcW w:w="1440" w:type="dxa"/>
            <w:shd w:val="clear" w:color="auto" w:fill="auto"/>
            <w:vAlign w:val="center"/>
          </w:tcPr>
          <w:p w14:paraId="54E916D5" w14:textId="77777777" w:rsidR="00F427A3" w:rsidRDefault="00F427A3">
            <w:pPr>
              <w:rPr>
                <w:rFonts w:ascii="Times New Roman" w:hAnsi="Times New Roman"/>
                <w:sz w:val="20"/>
                <w:szCs w:val="20"/>
              </w:rPr>
            </w:pPr>
          </w:p>
        </w:tc>
        <w:tc>
          <w:tcPr>
            <w:tcW w:w="0" w:type="auto"/>
            <w:shd w:val="clear" w:color="auto" w:fill="auto"/>
            <w:vAlign w:val="center"/>
          </w:tcPr>
          <w:p w14:paraId="54E916D6" w14:textId="77777777" w:rsidR="00F427A3" w:rsidRDefault="00F427A3">
            <w:pPr>
              <w:rPr>
                <w:rFonts w:ascii="Times New Roman" w:hAnsi="Times New Roman"/>
                <w:sz w:val="20"/>
                <w:szCs w:val="20"/>
              </w:rPr>
            </w:pPr>
          </w:p>
        </w:tc>
      </w:tr>
      <w:tr w:rsidR="00F427A3" w14:paraId="54E916DA" w14:textId="77777777">
        <w:trPr>
          <w:tblCellSpacing w:w="0" w:type="dxa"/>
        </w:trPr>
        <w:tc>
          <w:tcPr>
            <w:tcW w:w="0" w:type="auto"/>
            <w:shd w:val="clear" w:color="auto" w:fill="auto"/>
          </w:tcPr>
          <w:p w14:paraId="54E916D8"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6D9"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reputation and brand strength relative to those of our </w:t>
            </w:r>
            <w:r>
              <w:rPr>
                <w:rFonts w:ascii="Times New Roman" w:eastAsia="宋体" w:hAnsi="Times New Roman"/>
                <w:sz w:val="20"/>
                <w:szCs w:val="20"/>
              </w:rPr>
              <w:t>competitors.</w:t>
            </w:r>
          </w:p>
        </w:tc>
      </w:tr>
    </w:tbl>
    <w:p w14:paraId="54E916DB"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If we are not able to compete effectively, our user base and level of user engagement may decrease, we may become less attractive to developers and marketers, and our revenue and results of operations may be materially and adversely affected.</w:t>
      </w:r>
    </w:p>
    <w:p w14:paraId="54E916DC"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Actions by governments that restrict access to Facebook or our other products in their countries, or that otherwise impair our ability to sell advertising in their countries, could substantially harm our business and financial results.</w:t>
      </w:r>
    </w:p>
    <w:p w14:paraId="54E916DD"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Governments from time to time seek to censor content available on Facebook or our other products in their country, restrict access to our products from their country entirely, or impose other restrictions that may affect the accessibility of our products i</w:t>
      </w:r>
      <w:r>
        <w:rPr>
          <w:rFonts w:ascii="Times New Roman" w:eastAsia="宋体" w:hAnsi="Times New Roman"/>
          <w:sz w:val="20"/>
          <w:szCs w:val="20"/>
        </w:rPr>
        <w:t>n their country for an extended period of time or indefinitely. For example, user access to Facebook and certain of our other products has been or is currently restricted in whole or in part in China, Iran, and North Korea. In addition, government authorit</w:t>
      </w:r>
      <w:r>
        <w:rPr>
          <w:rFonts w:ascii="Times New Roman" w:eastAsia="宋体" w:hAnsi="Times New Roman"/>
          <w:sz w:val="20"/>
          <w:szCs w:val="20"/>
        </w:rPr>
        <w:t>ies in other countries may seek to restrict user access to our products if they consider us to be in violation of their laws or a threat to public safety or for other reasons, and certain of our products have been restricted by governments in other countri</w:t>
      </w:r>
      <w:r>
        <w:rPr>
          <w:rFonts w:ascii="Times New Roman" w:eastAsia="宋体" w:hAnsi="Times New Roman"/>
          <w:sz w:val="20"/>
          <w:szCs w:val="20"/>
        </w:rPr>
        <w:t>es from time to time. For example, in June 2020, Hong Kong adopted a National Security Law that provides authorities with the ability to obtain information, remove and block access to content, and suspend user services, and if we are found to be in violati</w:t>
      </w:r>
      <w:r>
        <w:rPr>
          <w:rFonts w:ascii="Times New Roman" w:eastAsia="宋体" w:hAnsi="Times New Roman"/>
          <w:sz w:val="20"/>
          <w:szCs w:val="20"/>
        </w:rPr>
        <w:t>on of this law then the use of our products may be restricted. In addition, if we are required to or elect to make changes to our marketing and sales or other operations in Hong Kong as a result of the National Security Law, our revenue and business in the</w:t>
      </w:r>
      <w:r>
        <w:rPr>
          <w:rFonts w:ascii="Times New Roman" w:eastAsia="宋体" w:hAnsi="Times New Roman"/>
          <w:sz w:val="20"/>
          <w:szCs w:val="20"/>
        </w:rPr>
        <w:t xml:space="preserve"> region will be adversely affected. It is also possible that government authorities could take action that impairs our ability to sell advertising, including in countries where access to our consumer-facing products may be blocked or restricted. For exampl</w:t>
      </w:r>
      <w:r>
        <w:rPr>
          <w:rFonts w:ascii="Times New Roman" w:eastAsia="宋体" w:hAnsi="Times New Roman"/>
          <w:sz w:val="20"/>
          <w:szCs w:val="20"/>
        </w:rPr>
        <w:t>e, we generate meaningful revenue from a limited number of resellers representing advertisers based in China, and it is possible that the Chinese government could take action that reduces or eliminates our China-based advertising revenue, whether as a resu</w:t>
      </w:r>
      <w:r>
        <w:rPr>
          <w:rFonts w:ascii="Times New Roman" w:eastAsia="宋体" w:hAnsi="Times New Roman"/>
          <w:sz w:val="20"/>
          <w:szCs w:val="20"/>
        </w:rPr>
        <w:t xml:space="preserve">lt of the trade dispute with the United States, in response to content issues or information requests in Hong Kong or elsewhere, or for other reasons, or take other action against us, such as imposing taxes or other penalties, which could adversely affect </w:t>
      </w:r>
      <w:r>
        <w:rPr>
          <w:rFonts w:ascii="Times New Roman" w:eastAsia="宋体" w:hAnsi="Times New Roman"/>
          <w:sz w:val="20"/>
          <w:szCs w:val="20"/>
        </w:rPr>
        <w:t>our financial results. In the event that content shown on Facebook or our other products is subject to censorship, access to our products is restricted, in whole or in part, in one or more countries, we are required to or elect to make changes to our opera</w:t>
      </w:r>
      <w:r>
        <w:rPr>
          <w:rFonts w:ascii="Times New Roman" w:eastAsia="宋体" w:hAnsi="Times New Roman"/>
          <w:sz w:val="20"/>
          <w:szCs w:val="20"/>
        </w:rPr>
        <w:t xml:space="preserve">tions, or other restrictions are imposed on our products, or our competitors are able to successfully penetrate new geographic markets or capture a greater share of existing geographic markets that we cannot access or where we face other restrictions, our </w:t>
      </w:r>
      <w:r>
        <w:rPr>
          <w:rFonts w:ascii="Times New Roman" w:eastAsia="宋体" w:hAnsi="Times New Roman"/>
          <w:sz w:val="20"/>
          <w:szCs w:val="20"/>
        </w:rPr>
        <w:t>ability to retain or increase our user base, user engagement, or the level of advertising by marketers may be adversely affected, we may not be able to maintain or grow our revenue as anticipated, and our financial results could be adversely affected.</w:t>
      </w:r>
    </w:p>
    <w:p w14:paraId="54E916DE"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Our </w:t>
      </w:r>
      <w:r>
        <w:rPr>
          <w:rFonts w:ascii="Times New Roman" w:eastAsia="宋体" w:hAnsi="Times New Roman"/>
          <w:b/>
          <w:bCs/>
          <w:i/>
          <w:iCs/>
          <w:sz w:val="20"/>
          <w:szCs w:val="20"/>
        </w:rPr>
        <w:t>new products and changes to existing products could fail to attract or retain users or generate revenue and profits.</w:t>
      </w:r>
    </w:p>
    <w:p w14:paraId="54E916DF"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ability to retain, increase, and engage our user base and to increase our revenue depends heavily on our ability to continue to evolve </w:t>
      </w:r>
      <w:r>
        <w:rPr>
          <w:rFonts w:ascii="Times New Roman" w:eastAsia="宋体" w:hAnsi="Times New Roman"/>
          <w:sz w:val="20"/>
          <w:szCs w:val="20"/>
        </w:rPr>
        <w:t>our existing products and to create successful new products, both independently and in conjunction with developers or other third parties. We may introduce significant changes to our existing products or acquire or introduce new and unproven products, incl</w:t>
      </w:r>
      <w:r>
        <w:rPr>
          <w:rFonts w:ascii="Times New Roman" w:eastAsia="宋体" w:hAnsi="Times New Roman"/>
          <w:sz w:val="20"/>
          <w:szCs w:val="20"/>
        </w:rPr>
        <w:t>uding using technologies with which we have little or no prior development or operating experience. For example, we do not have significant experience with consumer hardware products or virtual or augmented reality technology, which may adversely affect ou</w:t>
      </w:r>
      <w:r>
        <w:rPr>
          <w:rFonts w:ascii="Times New Roman" w:eastAsia="宋体" w:hAnsi="Times New Roman"/>
          <w:sz w:val="20"/>
          <w:szCs w:val="20"/>
        </w:rPr>
        <w:t>r ability to successfully develop and market these products and technologies. We continue to incur substantial costs, and we may not be successful in generating profits, in connection with these efforts. In addition, the introduction of new products, or ch</w:t>
      </w:r>
      <w:r>
        <w:rPr>
          <w:rFonts w:ascii="Times New Roman" w:eastAsia="宋体" w:hAnsi="Times New Roman"/>
          <w:sz w:val="20"/>
          <w:szCs w:val="20"/>
        </w:rPr>
        <w:t>anges to existing products, may result in new or enhanced governmental or regulatory scrutiny or other complications that could adversely affect our business and financial results. We have also invested, and expect to continue to invest, significant resour</w:t>
      </w:r>
      <w:r>
        <w:rPr>
          <w:rFonts w:ascii="Times New Roman" w:eastAsia="宋体" w:hAnsi="Times New Roman"/>
          <w:sz w:val="20"/>
          <w:szCs w:val="20"/>
        </w:rPr>
        <w:t xml:space="preserve">ces in growing our WhatsApp and Messenger products to support increasing usage of such products. We have historically monetized messaging in only a limited fashion, and we may not be successful in our efforts to generate meaningful revenue or profits from </w:t>
      </w:r>
      <w:r>
        <w:rPr>
          <w:rFonts w:ascii="Times New Roman" w:eastAsia="宋体" w:hAnsi="Times New Roman"/>
          <w:sz w:val="20"/>
          <w:szCs w:val="20"/>
        </w:rPr>
        <w:t>messaging over the long term. In addition, we are moving forward with plans to implement end-to-end encryption across our messaging services, as well as facilitate interoperability between these platforms, which plans have drawn governmental and regulatory</w:t>
      </w:r>
      <w:r>
        <w:rPr>
          <w:rFonts w:ascii="Times New Roman" w:eastAsia="宋体" w:hAnsi="Times New Roman"/>
          <w:sz w:val="20"/>
          <w:szCs w:val="20"/>
        </w:rPr>
        <w:t xml:space="preserve"> scrutiny in multiple jurisdictions. If our new or enhanced products fail to engage users, marketers, or developers, or if our business plans are unsuccessful, we may fail to attract or retain users or to generate sufficient revenue, operating margin, or o</w:t>
      </w:r>
      <w:r>
        <w:rPr>
          <w:rFonts w:ascii="Times New Roman" w:eastAsia="宋体" w:hAnsi="Times New Roman"/>
          <w:sz w:val="20"/>
          <w:szCs w:val="20"/>
        </w:rPr>
        <w:t>ther value to justify our investments, and our business may be adversely affected.</w:t>
      </w:r>
    </w:p>
    <w:p w14:paraId="54E916E0"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We make product and investment decisions that may not prioritize short-term financial results and may not produce the long-term benefits that we expect.</w:t>
      </w:r>
    </w:p>
    <w:p w14:paraId="54E916E1"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frequently make p</w:t>
      </w:r>
      <w:r>
        <w:rPr>
          <w:rFonts w:ascii="Times New Roman" w:eastAsia="宋体" w:hAnsi="Times New Roman"/>
          <w:sz w:val="20"/>
          <w:szCs w:val="20"/>
        </w:rPr>
        <w:t>roduct and investment decisions that may not prioritize short-term financial results if we believe that the decisions are consistent with our mission and benefit the aggregate user experience and will thereby improve our financial performance over the long</w:t>
      </w:r>
      <w:r>
        <w:rPr>
          <w:rFonts w:ascii="Times New Roman" w:eastAsia="宋体" w:hAnsi="Times New Roman"/>
          <w:sz w:val="20"/>
          <w:szCs w:val="20"/>
        </w:rPr>
        <w:t xml:space="preserve"> term. For example, we have recently implemented, and we will continue to implement, changes to our user data practices. Some of these changes reduce our ability to effectively target ads, which has to some extent adversely </w:t>
      </w:r>
    </w:p>
    <w:p w14:paraId="54E916E2" w14:textId="77777777" w:rsidR="00F427A3" w:rsidRDefault="00F427A3">
      <w:pPr>
        <w:rPr>
          <w:rFonts w:ascii="Times New Roman" w:hAnsi="Times New Roman"/>
          <w:sz w:val="20"/>
          <w:szCs w:val="20"/>
        </w:rPr>
      </w:pPr>
    </w:p>
    <w:p w14:paraId="54E916E3"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60</w:t>
      </w:r>
    </w:p>
    <w:p w14:paraId="54E916E4" w14:textId="77777777" w:rsidR="00F427A3" w:rsidRDefault="0044221F">
      <w:r>
        <w:rPr>
          <w:rFonts w:ascii="Times New Roman" w:hAnsi="Times New Roman"/>
          <w:sz w:val="20"/>
          <w:szCs w:val="20"/>
        </w:rPr>
        <w:pict w14:anchorId="54E91C6C">
          <v:rect id="_x0000_i1084" style="width:415.3pt;height:1.5pt" o:hralign="center" o:hrstd="t" o:hr="t" fillcolor="#a0a0a0" stroked="f"/>
        </w:pict>
      </w:r>
    </w:p>
    <w:p w14:paraId="54E916E5" w14:textId="77777777" w:rsidR="00F427A3" w:rsidRDefault="0044221F">
      <w:pPr>
        <w:spacing w:line="288" w:lineRule="auto"/>
        <w:rPr>
          <w:rFonts w:ascii="Times New Roman" w:hAnsi="Times New Roman"/>
          <w:sz w:val="20"/>
          <w:szCs w:val="20"/>
        </w:rPr>
      </w:pPr>
      <w:hyperlink r:id="rId101" w:anchor="s348EA962CF6D59B599D9921AFA89C381" w:history="1">
        <w:r>
          <w:rPr>
            <w:rStyle w:val="a5"/>
            <w:rFonts w:ascii="Times New Roman" w:eastAsia="宋体" w:hAnsi="Times New Roman"/>
            <w:sz w:val="20"/>
            <w:szCs w:val="20"/>
          </w:rPr>
          <w:t>Table of Contents</w:t>
        </w:r>
      </w:hyperlink>
    </w:p>
    <w:p w14:paraId="54E916E6" w14:textId="77777777" w:rsidR="00F427A3" w:rsidRDefault="00F427A3">
      <w:pPr>
        <w:rPr>
          <w:rFonts w:ascii="Times New Roman" w:hAnsi="Times New Roman"/>
          <w:sz w:val="20"/>
          <w:szCs w:val="20"/>
        </w:rPr>
      </w:pPr>
    </w:p>
    <w:p w14:paraId="54E916E7" w14:textId="77777777" w:rsidR="00F427A3" w:rsidRDefault="0044221F">
      <w:pPr>
        <w:spacing w:line="288" w:lineRule="auto"/>
        <w:jc w:val="both"/>
        <w:rPr>
          <w:rFonts w:ascii="Times New Roman" w:hAnsi="Times New Roman"/>
          <w:sz w:val="20"/>
          <w:szCs w:val="20"/>
        </w:rPr>
      </w:pPr>
      <w:r>
        <w:rPr>
          <w:rFonts w:ascii="Times New Roman" w:eastAsia="宋体" w:hAnsi="Times New Roman"/>
          <w:sz w:val="20"/>
          <w:szCs w:val="20"/>
        </w:rPr>
        <w:t>affected, and will continue to adversely affect, our advertising business. For example, our Off-Facebook Acti</w:t>
      </w:r>
      <w:r>
        <w:rPr>
          <w:rFonts w:ascii="Times New Roman" w:eastAsia="宋体" w:hAnsi="Times New Roman"/>
          <w:sz w:val="20"/>
          <w:szCs w:val="20"/>
        </w:rPr>
        <w:t>vity tool enables users to place limits on our storage and use of information about their interactions with advertisers' apps and websites, which will reduce our ability to deliver the most relevant and effective ads to our users. Similarly, from time to t</w:t>
      </w:r>
      <w:r>
        <w:rPr>
          <w:rFonts w:ascii="Times New Roman" w:eastAsia="宋体" w:hAnsi="Times New Roman"/>
          <w:sz w:val="20"/>
          <w:szCs w:val="20"/>
        </w:rPr>
        <w:t>ime we update our News Feed ranking algorithm to optimize the user experience, and these changes have had, and may in the future have, the effect of reducing time spent and some measures of user engagement with Facebook, which could adversely affect our fi</w:t>
      </w:r>
      <w:r>
        <w:rPr>
          <w:rFonts w:ascii="Times New Roman" w:eastAsia="宋体" w:hAnsi="Times New Roman"/>
          <w:sz w:val="20"/>
          <w:szCs w:val="20"/>
        </w:rPr>
        <w:t>nancial results. From time to time, we may also change the size, frequency, or relative prominence of ads in order to improve ad quality and overall user experience. In addition, we have made, and we expect to continue to make, other changes to our product</w:t>
      </w:r>
      <w:r>
        <w:rPr>
          <w:rFonts w:ascii="Times New Roman" w:eastAsia="宋体" w:hAnsi="Times New Roman"/>
          <w:sz w:val="20"/>
          <w:szCs w:val="20"/>
        </w:rPr>
        <w:t>s which may adversely affect the distribution of content of publishers, marketers, and developers, and could reduce their incentive to invest in their efforts on Facebook. We also may introduce new features or other changes to existing products, or introdu</w:t>
      </w:r>
      <w:r>
        <w:rPr>
          <w:rFonts w:ascii="Times New Roman" w:eastAsia="宋体" w:hAnsi="Times New Roman"/>
          <w:sz w:val="20"/>
          <w:szCs w:val="20"/>
        </w:rPr>
        <w:t>ce new stand-alone products, that attract users away from properties, formats, or use cases where we have more proven means of monetization. For example, we plan to continue to promote the Stories format, but we do not currently monetize Stories at the sam</w:t>
      </w:r>
      <w:r>
        <w:rPr>
          <w:rFonts w:ascii="Times New Roman" w:eastAsia="宋体" w:hAnsi="Times New Roman"/>
          <w:sz w:val="20"/>
          <w:szCs w:val="20"/>
        </w:rPr>
        <w:t>e rate as News Feed. In addition, as we focus on growing users and engagement across our family of products, from time to time these efforts have reduced, and may in the future reduce, engagement with one or more products and services in favor of other pro</w:t>
      </w:r>
      <w:r>
        <w:rPr>
          <w:rFonts w:ascii="Times New Roman" w:eastAsia="宋体" w:hAnsi="Times New Roman"/>
          <w:sz w:val="20"/>
          <w:szCs w:val="20"/>
        </w:rPr>
        <w:t>ducts or services that we monetize less successfully or that are not growing as quickly. These decisions may adversely affect our business and results of operations and may not produce the long-term benefits that we expect.</w:t>
      </w:r>
    </w:p>
    <w:p w14:paraId="54E916E8"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If we are not able to maintain a</w:t>
      </w:r>
      <w:r>
        <w:rPr>
          <w:rFonts w:ascii="Times New Roman" w:eastAsia="宋体" w:hAnsi="Times New Roman"/>
          <w:b/>
          <w:bCs/>
          <w:i/>
          <w:iCs/>
          <w:sz w:val="20"/>
          <w:szCs w:val="20"/>
        </w:rPr>
        <w:t>nd enhance our brands, our ability to expand our base of users, marketers, and developers may be impaired, and our business and financial results may be harmed.</w:t>
      </w:r>
    </w:p>
    <w:p w14:paraId="54E916E9"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believe that our brands have significantly contributed to the success of our business. We al</w:t>
      </w:r>
      <w:r>
        <w:rPr>
          <w:rFonts w:ascii="Times New Roman" w:eastAsia="宋体" w:hAnsi="Times New Roman"/>
          <w:sz w:val="20"/>
          <w:szCs w:val="20"/>
        </w:rPr>
        <w:t>so believe that maintaining and enhancing our brands is critical to expanding our base of users, marketers, and developers. Many of our new users are referred by existing users. Maintaining and enhancing our brands will depend largely on our ability to con</w:t>
      </w:r>
      <w:r>
        <w:rPr>
          <w:rFonts w:ascii="Times New Roman" w:eastAsia="宋体" w:hAnsi="Times New Roman"/>
          <w:sz w:val="20"/>
          <w:szCs w:val="20"/>
        </w:rPr>
        <w:t>tinue to provide useful, reliable, trustworthy, and innovative products, which we may not do successfully. We may introduce new products or terms of service or policies that users do not like, which may negatively affect our brands. Additionally, the actio</w:t>
      </w:r>
      <w:r>
        <w:rPr>
          <w:rFonts w:ascii="Times New Roman" w:eastAsia="宋体" w:hAnsi="Times New Roman"/>
          <w:sz w:val="20"/>
          <w:szCs w:val="20"/>
        </w:rPr>
        <w:t>ns of our developers or advertisers may affect our brands if users do not have a positive experience using third-party mobile and web applications integrated with our products or interacting with parties that advertise through our products. We will also co</w:t>
      </w:r>
      <w:r>
        <w:rPr>
          <w:rFonts w:ascii="Times New Roman" w:eastAsia="宋体" w:hAnsi="Times New Roman"/>
          <w:sz w:val="20"/>
          <w:szCs w:val="20"/>
        </w:rPr>
        <w:t>ntinue to experience media, legislative, or regulatory scrutiny of our actions or decisions regarding user privacy, encryption, content, advertising, and other issues, including actions or decisions in connection with elections or the COVID-19 pandemic, wh</w:t>
      </w:r>
      <w:r>
        <w:rPr>
          <w:rFonts w:ascii="Times New Roman" w:eastAsia="宋体" w:hAnsi="Times New Roman"/>
          <w:sz w:val="20"/>
          <w:szCs w:val="20"/>
        </w:rPr>
        <w:t>ich has in the past adversely affected, and may in the future adversely affect, our reputation and brands. For example, in March 2018, we announced developments regarding the misuse of certain data by a developer that shared such data with third parties in</w:t>
      </w:r>
      <w:r>
        <w:rPr>
          <w:rFonts w:ascii="Times New Roman" w:eastAsia="宋体" w:hAnsi="Times New Roman"/>
          <w:sz w:val="20"/>
          <w:szCs w:val="20"/>
        </w:rPr>
        <w:t xml:space="preserve"> violation of our terms and policies. We also may fail to respond expeditiously or appropriately to the sharing of objectionable content on our services or objectionable practices by advertisers or developers, or to otherwise address user concerns, which h</w:t>
      </w:r>
      <w:r>
        <w:rPr>
          <w:rFonts w:ascii="Times New Roman" w:eastAsia="宋体" w:hAnsi="Times New Roman"/>
          <w:sz w:val="20"/>
          <w:szCs w:val="20"/>
        </w:rPr>
        <w:t>as occurred in the past and which could erode confidence in our brands. Our brands may also be negatively affected by the actions of users that are deemed to be hostile or inappropriate to other users, by the actions of users acting under false or inauthen</w:t>
      </w:r>
      <w:r>
        <w:rPr>
          <w:rFonts w:ascii="Times New Roman" w:eastAsia="宋体" w:hAnsi="Times New Roman"/>
          <w:sz w:val="20"/>
          <w:szCs w:val="20"/>
        </w:rPr>
        <w:t xml:space="preserve">tic identities, by the use of our products or services to disseminate information that is deemed to be misleading (or intended to manipulate opinions), by perceived or actual efforts by governments to obtain access to user information for security-related </w:t>
      </w:r>
      <w:r>
        <w:rPr>
          <w:rFonts w:ascii="Times New Roman" w:eastAsia="宋体" w:hAnsi="Times New Roman"/>
          <w:sz w:val="20"/>
          <w:szCs w:val="20"/>
        </w:rPr>
        <w:t xml:space="preserve">purposes or to censor certain content on our platform, by the use of our products or services for illicit or objectionable ends, including, for example, any such actions around the pandemic, the 2020 U.S. elections, or other elections around the world, or </w:t>
      </w:r>
      <w:r>
        <w:rPr>
          <w:rFonts w:ascii="Times New Roman" w:eastAsia="宋体" w:hAnsi="Times New Roman"/>
          <w:sz w:val="20"/>
          <w:szCs w:val="20"/>
        </w:rPr>
        <w:t xml:space="preserve">by decisions regarding content on our platform from the recently established independent Oversight Board. Maintaining and enhancing our brands will require us to make substantial investments and these investments may not be successful. Certain of our past </w:t>
      </w:r>
      <w:r>
        <w:rPr>
          <w:rFonts w:ascii="Times New Roman" w:eastAsia="宋体" w:hAnsi="Times New Roman"/>
          <w:sz w:val="20"/>
          <w:szCs w:val="20"/>
        </w:rPr>
        <w:t>actions, such as the foregoing matter regarding developer misuse of data and concerns around our handling of political speech, hate speech, and other content, have eroded confidence in our brands, and if we fail to successfully promote and maintain our bra</w:t>
      </w:r>
      <w:r>
        <w:rPr>
          <w:rFonts w:ascii="Times New Roman" w:eastAsia="宋体" w:hAnsi="Times New Roman"/>
          <w:sz w:val="20"/>
          <w:szCs w:val="20"/>
        </w:rPr>
        <w:t>nds or if we incur excessive expenses in this effort, our business and financial results may be adversely affected.</w:t>
      </w:r>
    </w:p>
    <w:p w14:paraId="54E916EA" w14:textId="77777777" w:rsidR="00F427A3" w:rsidRDefault="00F427A3">
      <w:pPr>
        <w:spacing w:line="288" w:lineRule="auto"/>
        <w:jc w:val="both"/>
        <w:rPr>
          <w:rFonts w:ascii="Times New Roman" w:hAnsi="Times New Roman"/>
          <w:sz w:val="20"/>
          <w:szCs w:val="20"/>
        </w:rPr>
      </w:pPr>
    </w:p>
    <w:p w14:paraId="54E916EB"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Security breaches, improper access to or disclosure of our data or user data, other hacking and phishing attacks on our systems, or other c</w:t>
      </w:r>
      <w:r>
        <w:rPr>
          <w:rFonts w:ascii="Times New Roman" w:eastAsia="宋体" w:hAnsi="Times New Roman"/>
          <w:b/>
          <w:bCs/>
          <w:i/>
          <w:iCs/>
          <w:sz w:val="20"/>
          <w:szCs w:val="20"/>
        </w:rPr>
        <w:t>yber incidents could harm our reputation and adversely affect our business.</w:t>
      </w:r>
    </w:p>
    <w:p w14:paraId="54E916EC" w14:textId="77777777" w:rsidR="00F427A3" w:rsidRDefault="00F427A3">
      <w:pPr>
        <w:spacing w:line="288" w:lineRule="auto"/>
        <w:ind w:firstLine="720"/>
        <w:jc w:val="both"/>
        <w:rPr>
          <w:rFonts w:ascii="Times New Roman" w:hAnsi="Times New Roman"/>
          <w:sz w:val="20"/>
          <w:szCs w:val="20"/>
        </w:rPr>
      </w:pPr>
    </w:p>
    <w:p w14:paraId="54E916ED"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Our industry is prone to cyber-attacks by third parties seeking unauthorized access to our data or users' data or to disrupt our ability to provide service. Our products and servi</w:t>
      </w:r>
      <w:r>
        <w:rPr>
          <w:rFonts w:ascii="Times New Roman" w:eastAsia="宋体" w:hAnsi="Times New Roman"/>
          <w:sz w:val="20"/>
          <w:szCs w:val="20"/>
        </w:rPr>
        <w:t>ces involve the collection, storage, processing, and transmission of a large amount of data. Any failure to prevent or mitigate security breaches and improper access to or disclosure of our data or user data, including personal information, content, or pay</w:t>
      </w:r>
      <w:r>
        <w:rPr>
          <w:rFonts w:ascii="Times New Roman" w:eastAsia="宋体" w:hAnsi="Times New Roman"/>
          <w:sz w:val="20"/>
          <w:szCs w:val="20"/>
        </w:rPr>
        <w:t>ment information from users, or information from marketers, could result in the loss, modification, disclosure, destruction, or other misuse of such data, which could harm our business and reputation and diminish our competitive position. In addition, comp</w:t>
      </w:r>
      <w:r>
        <w:rPr>
          <w:rFonts w:ascii="Times New Roman" w:eastAsia="宋体" w:hAnsi="Times New Roman"/>
          <w:sz w:val="20"/>
          <w:szCs w:val="20"/>
        </w:rPr>
        <w:t>uter malware, viruses, social engineering (predominantly spear phishing attacks), and general hacking have become more prevalent in our industry, have occurred on our systems in the past, and will occur on our systems in the future. We also regularly encou</w:t>
      </w:r>
      <w:r>
        <w:rPr>
          <w:rFonts w:ascii="Times New Roman" w:eastAsia="宋体" w:hAnsi="Times New Roman"/>
          <w:sz w:val="20"/>
          <w:szCs w:val="20"/>
        </w:rPr>
        <w:t xml:space="preserve">nter attempts to create false or undesirable user accounts, purchase ads, or take other actions on our platform for purposes such as spamming, spreading misinformation, or other objectionable </w:t>
      </w:r>
    </w:p>
    <w:p w14:paraId="54E916EE" w14:textId="77777777" w:rsidR="00F427A3" w:rsidRDefault="00F427A3">
      <w:pPr>
        <w:rPr>
          <w:rFonts w:ascii="Times New Roman" w:hAnsi="Times New Roman"/>
          <w:sz w:val="20"/>
          <w:szCs w:val="20"/>
        </w:rPr>
      </w:pPr>
    </w:p>
    <w:p w14:paraId="54E916EF"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61</w:t>
      </w:r>
    </w:p>
    <w:p w14:paraId="54E916F0" w14:textId="77777777" w:rsidR="00F427A3" w:rsidRDefault="0044221F">
      <w:r>
        <w:rPr>
          <w:rFonts w:ascii="Times New Roman" w:hAnsi="Times New Roman"/>
          <w:sz w:val="20"/>
          <w:szCs w:val="20"/>
        </w:rPr>
        <w:pict w14:anchorId="54E91C6D">
          <v:rect id="_x0000_i1085" style="width:415.3pt;height:1.5pt" o:hralign="center" o:hrstd="t" o:hr="t" fillcolor="#a0a0a0" stroked="f"/>
        </w:pict>
      </w:r>
    </w:p>
    <w:p w14:paraId="54E916F1" w14:textId="77777777" w:rsidR="00F427A3" w:rsidRDefault="0044221F">
      <w:pPr>
        <w:spacing w:line="288" w:lineRule="auto"/>
        <w:rPr>
          <w:rFonts w:ascii="Times New Roman" w:hAnsi="Times New Roman"/>
          <w:sz w:val="20"/>
          <w:szCs w:val="20"/>
        </w:rPr>
      </w:pPr>
      <w:hyperlink r:id="rId102" w:anchor="s348EA962CF6D59B599D9921AFA89C381" w:history="1">
        <w:r>
          <w:rPr>
            <w:rStyle w:val="a5"/>
            <w:rFonts w:ascii="Times New Roman" w:eastAsia="宋体" w:hAnsi="Times New Roman"/>
            <w:sz w:val="20"/>
            <w:szCs w:val="20"/>
          </w:rPr>
          <w:t>Table of Contents</w:t>
        </w:r>
      </w:hyperlink>
    </w:p>
    <w:p w14:paraId="54E916F2" w14:textId="77777777" w:rsidR="00F427A3" w:rsidRDefault="00F427A3">
      <w:pPr>
        <w:rPr>
          <w:rFonts w:ascii="Times New Roman" w:hAnsi="Times New Roman"/>
          <w:sz w:val="20"/>
          <w:szCs w:val="20"/>
        </w:rPr>
      </w:pPr>
    </w:p>
    <w:p w14:paraId="54E916F3" w14:textId="77777777" w:rsidR="00F427A3" w:rsidRDefault="0044221F">
      <w:pPr>
        <w:spacing w:line="288" w:lineRule="auto"/>
        <w:jc w:val="both"/>
        <w:rPr>
          <w:rFonts w:ascii="Times New Roman" w:hAnsi="Times New Roman"/>
          <w:sz w:val="20"/>
          <w:szCs w:val="20"/>
        </w:rPr>
      </w:pPr>
      <w:r>
        <w:rPr>
          <w:rFonts w:ascii="Times New Roman" w:eastAsia="宋体" w:hAnsi="Times New Roman"/>
          <w:sz w:val="20"/>
          <w:szCs w:val="20"/>
        </w:rPr>
        <w:t>ends. As a result of our prominence, the size of our user base, the types and volume of personal data on our systems, and the evolving nature</w:t>
      </w:r>
      <w:r>
        <w:rPr>
          <w:rFonts w:ascii="Times New Roman" w:eastAsia="宋体" w:hAnsi="Times New Roman"/>
          <w:sz w:val="20"/>
          <w:szCs w:val="20"/>
        </w:rPr>
        <w:t xml:space="preserve"> of our products and services (including our efforts involving new and emerging technologies), we believe that we are a particularly attractive target for such breaches and attacks, including from highly sophisticated, state-sponsored, or otherwise well-fu</w:t>
      </w:r>
      <w:r>
        <w:rPr>
          <w:rFonts w:ascii="Times New Roman" w:eastAsia="宋体" w:hAnsi="Times New Roman"/>
          <w:sz w:val="20"/>
          <w:szCs w:val="20"/>
        </w:rPr>
        <w:t>nded actors. Our efforts to address undesirable activity on our platform also increase the risk of retaliatory attacks. Such breaches and attacks may cause interruptions to the services we provide, degrade the user experience, cause users or marketers to l</w:t>
      </w:r>
      <w:r>
        <w:rPr>
          <w:rFonts w:ascii="Times New Roman" w:eastAsia="宋体" w:hAnsi="Times New Roman"/>
          <w:sz w:val="20"/>
          <w:szCs w:val="20"/>
        </w:rPr>
        <w:t>ose confidence and trust in our products, impair our internal systems, or result in financial harm to us. Our efforts to protect our company data or the information we receive, and to disable undesirable activities on our platform, may also be unsuccessful</w:t>
      </w:r>
      <w:r>
        <w:rPr>
          <w:rFonts w:ascii="Times New Roman" w:eastAsia="宋体" w:hAnsi="Times New Roman"/>
          <w:sz w:val="20"/>
          <w:szCs w:val="20"/>
        </w:rPr>
        <w:t xml:space="preserve"> due to software bugs or other technical malfunctions; employee, contractor, or vendor error or malfeasance, including defects or vulnerabilities in our vendors' information technology systems or offerings; government surveillance; breaches of physical sec</w:t>
      </w:r>
      <w:r>
        <w:rPr>
          <w:rFonts w:ascii="Times New Roman" w:eastAsia="宋体" w:hAnsi="Times New Roman"/>
          <w:sz w:val="20"/>
          <w:szCs w:val="20"/>
        </w:rPr>
        <w:t>urity of our facilities or technical infrastructure; or other threats that evolve. In addition, third parties may attempt to fraudulently induce employees or users to disclose information in order to gain access to our data or our users' data. Cyber-attack</w:t>
      </w:r>
      <w:r>
        <w:rPr>
          <w:rFonts w:ascii="Times New Roman" w:eastAsia="宋体" w:hAnsi="Times New Roman"/>
          <w:sz w:val="20"/>
          <w:szCs w:val="20"/>
        </w:rPr>
        <w:t>s continue to evolve in sophistication and volume, and inherently may be difficult to detect for long periods of time. Although we have developed systems and processes that are designed to protect our data and user data, to prevent data loss, to disable un</w:t>
      </w:r>
      <w:r>
        <w:rPr>
          <w:rFonts w:ascii="Times New Roman" w:eastAsia="宋体" w:hAnsi="Times New Roman"/>
          <w:sz w:val="20"/>
          <w:szCs w:val="20"/>
        </w:rPr>
        <w:t>desirable accounts and activities on our platform, and to prevent or detect security breaches, we cannot assure you that such measures will provide absolute security, that we will be able to react in a timely manner, or that our remediation efforts will be</w:t>
      </w:r>
      <w:r>
        <w:rPr>
          <w:rFonts w:ascii="Times New Roman" w:eastAsia="宋体" w:hAnsi="Times New Roman"/>
          <w:sz w:val="20"/>
          <w:szCs w:val="20"/>
        </w:rPr>
        <w:t xml:space="preserve"> successful. </w:t>
      </w:r>
    </w:p>
    <w:p w14:paraId="54E916F4" w14:textId="77777777" w:rsidR="00F427A3" w:rsidRDefault="00F427A3">
      <w:pPr>
        <w:spacing w:line="288" w:lineRule="auto"/>
        <w:ind w:firstLine="720"/>
        <w:jc w:val="both"/>
        <w:rPr>
          <w:rFonts w:ascii="Times New Roman" w:hAnsi="Times New Roman"/>
          <w:sz w:val="20"/>
          <w:szCs w:val="20"/>
        </w:rPr>
      </w:pPr>
    </w:p>
    <w:p w14:paraId="54E916F5"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addition, some of our developers or other partners, such as those that help us measure the effectiveness of ads, may receive or store information provided by us or by our users through mobile or web applications integrated with Facebook. </w:t>
      </w:r>
      <w:r>
        <w:rPr>
          <w:rFonts w:ascii="Times New Roman" w:eastAsia="宋体" w:hAnsi="Times New Roman"/>
          <w:sz w:val="20"/>
          <w:szCs w:val="20"/>
        </w:rPr>
        <w:t>We provide limited information to such third parties based on the scope of services provided to us. However, if these third parties or developers fail to adopt or adhere to adequate data security practices, or in the event of a breach of their networks, ou</w:t>
      </w:r>
      <w:r>
        <w:rPr>
          <w:rFonts w:ascii="Times New Roman" w:eastAsia="宋体" w:hAnsi="Times New Roman"/>
          <w:sz w:val="20"/>
          <w:szCs w:val="20"/>
        </w:rPr>
        <w:t xml:space="preserve">r data or our users' data may be improperly accessed, used, or disclosed. </w:t>
      </w:r>
    </w:p>
    <w:p w14:paraId="54E916F6"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experience such cyber-attacks and other security incidents of varying degrees from time to time, and we incur significant costs in protecting against or remediating such </w:t>
      </w:r>
      <w:r>
        <w:rPr>
          <w:rFonts w:ascii="Times New Roman" w:eastAsia="宋体" w:hAnsi="Times New Roman"/>
          <w:sz w:val="20"/>
          <w:szCs w:val="20"/>
        </w:rPr>
        <w:t>incidents. In addition, we are subject to a variety of laws and regulations in the United States and abroad relating to cybersecurity and data protection, as well as obligations under our modified consent order with the U.S. Federal Trade Commission (FTC).</w:t>
      </w:r>
      <w:r>
        <w:rPr>
          <w:rFonts w:ascii="Times New Roman" w:eastAsia="宋体" w:hAnsi="Times New Roman"/>
          <w:sz w:val="20"/>
          <w:szCs w:val="20"/>
        </w:rPr>
        <w:t xml:space="preserve"> As a result, affected users or government authorities could initiate legal or regulatory actions against us in connection with any actual or perceived security breaches or improper access to or disclosure of data, which has occurred in the past and which </w:t>
      </w:r>
      <w:r>
        <w:rPr>
          <w:rFonts w:ascii="Times New Roman" w:eastAsia="宋体" w:hAnsi="Times New Roman"/>
          <w:sz w:val="20"/>
          <w:szCs w:val="20"/>
        </w:rPr>
        <w:t xml:space="preserve">could cause us to incur significant expense and liability or result in orders or consent decrees forcing us to modify our business practices. Such incidents or our efforts to remediate such incidents may also result in a decline in our active user base or </w:t>
      </w:r>
      <w:r>
        <w:rPr>
          <w:rFonts w:ascii="Times New Roman" w:eastAsia="宋体" w:hAnsi="Times New Roman"/>
          <w:sz w:val="20"/>
          <w:szCs w:val="20"/>
        </w:rPr>
        <w:t>engagement levels. Any of these events could have a material and adverse effect on our business, reputation, or financial results.</w:t>
      </w:r>
    </w:p>
    <w:p w14:paraId="54E916F7"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For example, in September 2018, we announced our discovery of a third-party cyber-attack that exploited a vulnerability in Fa</w:t>
      </w:r>
      <w:r>
        <w:rPr>
          <w:rFonts w:ascii="Times New Roman" w:eastAsia="宋体" w:hAnsi="Times New Roman"/>
          <w:sz w:val="20"/>
          <w:szCs w:val="20"/>
        </w:rPr>
        <w:t>cebook's code to steal user access tokens, which were then used to access certain profile information from approximately 29 million user accounts on Facebook. The events surrounding this cyber-attack became the subject of Irish Data Protection Commission a</w:t>
      </w:r>
      <w:r>
        <w:rPr>
          <w:rFonts w:ascii="Times New Roman" w:eastAsia="宋体" w:hAnsi="Times New Roman"/>
          <w:sz w:val="20"/>
          <w:szCs w:val="20"/>
        </w:rPr>
        <w:t>nd other government inquiries. Any such inquiries could subject us to substantial fines and costs, require us to change our business practices, divert resources and the attention of management from our business, or adversely affect our business.</w:t>
      </w:r>
    </w:p>
    <w:p w14:paraId="54E916F8"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In additio</w:t>
      </w:r>
      <w:r>
        <w:rPr>
          <w:rFonts w:ascii="Times New Roman" w:eastAsia="宋体" w:hAnsi="Times New Roman"/>
          <w:sz w:val="20"/>
          <w:szCs w:val="20"/>
        </w:rPr>
        <w:t xml:space="preserve">n, the changes in our work environment as a result of the COVID-19 pandemic could impact the security of our systems, as well as our ability to protect against attacks and detect and respond to them quickly. The rapid adoption of some third-party services </w:t>
      </w:r>
      <w:r>
        <w:rPr>
          <w:rFonts w:ascii="Times New Roman" w:eastAsia="宋体" w:hAnsi="Times New Roman"/>
          <w:sz w:val="20"/>
          <w:szCs w:val="20"/>
        </w:rPr>
        <w:t xml:space="preserve">designed to enable the transition to a remote workforce also may introduce security risk that is not fully mitigated prior to the use of these services. We may also be subject to increased cyber-attacks, such as phishing attacks by threat actors using the </w:t>
      </w:r>
      <w:r>
        <w:rPr>
          <w:rFonts w:ascii="Times New Roman" w:eastAsia="宋体" w:hAnsi="Times New Roman"/>
          <w:sz w:val="20"/>
          <w:szCs w:val="20"/>
        </w:rPr>
        <w:t>attention placed on the pandemic as a method for targeting our personnel.</w:t>
      </w:r>
    </w:p>
    <w:p w14:paraId="54E916F9" w14:textId="77777777" w:rsidR="00F427A3" w:rsidRDefault="00F427A3">
      <w:pPr>
        <w:rPr>
          <w:rFonts w:ascii="Times New Roman" w:hAnsi="Times New Roman"/>
          <w:sz w:val="20"/>
          <w:szCs w:val="20"/>
        </w:rPr>
      </w:pPr>
    </w:p>
    <w:p w14:paraId="54E916FA"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62</w:t>
      </w:r>
    </w:p>
    <w:p w14:paraId="54E916FB" w14:textId="77777777" w:rsidR="00F427A3" w:rsidRDefault="0044221F">
      <w:r>
        <w:rPr>
          <w:rFonts w:ascii="Times New Roman" w:hAnsi="Times New Roman"/>
          <w:sz w:val="20"/>
          <w:szCs w:val="20"/>
        </w:rPr>
        <w:pict w14:anchorId="54E91C6E">
          <v:rect id="_x0000_i1086" style="width:415.3pt;height:1.5pt" o:hralign="center" o:hrstd="t" o:hr="t" fillcolor="#a0a0a0" stroked="f"/>
        </w:pict>
      </w:r>
    </w:p>
    <w:p w14:paraId="54E916FC" w14:textId="77777777" w:rsidR="00F427A3" w:rsidRDefault="0044221F">
      <w:pPr>
        <w:spacing w:line="288" w:lineRule="auto"/>
        <w:rPr>
          <w:rFonts w:ascii="Times New Roman" w:hAnsi="Times New Roman"/>
          <w:sz w:val="20"/>
          <w:szCs w:val="20"/>
        </w:rPr>
      </w:pPr>
      <w:hyperlink r:id="rId103" w:anchor="s348EA962CF6D59B599D9921AFA89C381" w:history="1">
        <w:r>
          <w:rPr>
            <w:rStyle w:val="a5"/>
            <w:rFonts w:ascii="Times New Roman" w:eastAsia="宋体" w:hAnsi="Times New Roman"/>
            <w:sz w:val="20"/>
            <w:szCs w:val="20"/>
          </w:rPr>
          <w:t>Table of Contents</w:t>
        </w:r>
      </w:hyperlink>
    </w:p>
    <w:p w14:paraId="54E916FD" w14:textId="77777777" w:rsidR="00F427A3" w:rsidRDefault="00F427A3">
      <w:pPr>
        <w:rPr>
          <w:rFonts w:ascii="Times New Roman" w:hAnsi="Times New Roman"/>
          <w:sz w:val="20"/>
          <w:szCs w:val="20"/>
        </w:rPr>
      </w:pPr>
    </w:p>
    <w:p w14:paraId="54E916FE"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We a</w:t>
      </w:r>
      <w:r>
        <w:rPr>
          <w:rFonts w:ascii="Times New Roman" w:eastAsia="宋体" w:hAnsi="Times New Roman"/>
          <w:b/>
          <w:bCs/>
          <w:i/>
          <w:iCs/>
          <w:sz w:val="20"/>
          <w:szCs w:val="20"/>
        </w:rPr>
        <w:t>nticipate that our ongoing efforts related to privacy, safety, security, and content review will identify additional instances of misuse of user data or other undesirable activity by third parties on our platform.</w:t>
      </w:r>
    </w:p>
    <w:p w14:paraId="54E916FF"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to our efforts to mitigate cyb</w:t>
      </w:r>
      <w:r>
        <w:rPr>
          <w:rFonts w:ascii="Times New Roman" w:eastAsia="宋体" w:hAnsi="Times New Roman"/>
          <w:sz w:val="20"/>
          <w:szCs w:val="20"/>
        </w:rPr>
        <w:t>ersecurity risks, we are making significant investments in privacy, safety, security, and content review efforts to combat misuse of our services and user data by third parties, including investigations and audits of platform applications that previously a</w:t>
      </w:r>
      <w:r>
        <w:rPr>
          <w:rFonts w:ascii="Times New Roman" w:eastAsia="宋体" w:hAnsi="Times New Roman"/>
          <w:sz w:val="20"/>
          <w:szCs w:val="20"/>
        </w:rPr>
        <w:t>ccessed information of a large number of users of our services. As a result of these efforts we have discovered and announced, and anticipate that we will continue to discover and announce, additional incidents of misuse of user data or other undesirable a</w:t>
      </w:r>
      <w:r>
        <w:rPr>
          <w:rFonts w:ascii="Times New Roman" w:eastAsia="宋体" w:hAnsi="Times New Roman"/>
          <w:sz w:val="20"/>
          <w:szCs w:val="20"/>
        </w:rPr>
        <w:t>ctivity by third parties. We may not discover all such incidents or activity, whether as a result of our data limitations, including our lack of visibility over our encrypted services, the scale of activity on our platform, challenges related to our person</w:t>
      </w:r>
      <w:r>
        <w:rPr>
          <w:rFonts w:ascii="Times New Roman" w:eastAsia="宋体" w:hAnsi="Times New Roman"/>
          <w:sz w:val="20"/>
          <w:szCs w:val="20"/>
        </w:rPr>
        <w:t>nel working remotely during the COVID-19 pandemic, the re-allocation of resources to other projects, or other factors, and we may be notified of such incidents or activity by the independent privacy assessor required under our modified consent order with t</w:t>
      </w:r>
      <w:r>
        <w:rPr>
          <w:rFonts w:ascii="Times New Roman" w:eastAsia="宋体" w:hAnsi="Times New Roman"/>
          <w:sz w:val="20"/>
          <w:szCs w:val="20"/>
        </w:rPr>
        <w:t>he FTC, the media, or other third parties. Such incidents and activities have in the past, and may in the future, include the use of user data or our systems in a manner inconsistent with our terms, contracts or policies, the existence of false or undesira</w:t>
      </w:r>
      <w:r>
        <w:rPr>
          <w:rFonts w:ascii="Times New Roman" w:eastAsia="宋体" w:hAnsi="Times New Roman"/>
          <w:sz w:val="20"/>
          <w:szCs w:val="20"/>
        </w:rPr>
        <w:t>ble user accounts, election interference, improper advertising practices, activities that threaten people's safety on- or offline, or instances of spamming, scraping, data harvesting, unsecured datasets, or spreading misinformation. We may also be unsucces</w:t>
      </w:r>
      <w:r>
        <w:rPr>
          <w:rFonts w:ascii="Times New Roman" w:eastAsia="宋体" w:hAnsi="Times New Roman"/>
          <w:sz w:val="20"/>
          <w:szCs w:val="20"/>
        </w:rPr>
        <w:t>sful in our efforts to enforce our policies or otherwise remediate any such incidents. Any of the foregoing developments may negatively affect user trust and engagement, harm our reputation and brands, require us to change our business practices in a manne</w:t>
      </w:r>
      <w:r>
        <w:rPr>
          <w:rFonts w:ascii="Times New Roman" w:eastAsia="宋体" w:hAnsi="Times New Roman"/>
          <w:sz w:val="20"/>
          <w:szCs w:val="20"/>
        </w:rPr>
        <w:t>r adverse to our business, and adversely affect our business and financial results. Any such developments may also subject us to additional litigation and regulatory inquiries, which could subject us to monetary penalties and damages, divert management's t</w:t>
      </w:r>
      <w:r>
        <w:rPr>
          <w:rFonts w:ascii="Times New Roman" w:eastAsia="宋体" w:hAnsi="Times New Roman"/>
          <w:sz w:val="20"/>
          <w:szCs w:val="20"/>
        </w:rPr>
        <w:t>ime and attention, and lead to enhanced regulatory oversight.</w:t>
      </w:r>
    </w:p>
    <w:p w14:paraId="54E91700"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Unfavorable media coverage could negatively affect our business.</w:t>
      </w:r>
    </w:p>
    <w:p w14:paraId="54E91701"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receive a high degree of media coverage around the world. Unfavorable publicity regarding, for example, our privacy practices,</w:t>
      </w:r>
      <w:r>
        <w:rPr>
          <w:rFonts w:ascii="Times New Roman" w:eastAsia="宋体" w:hAnsi="Times New Roman"/>
          <w:sz w:val="20"/>
          <w:szCs w:val="20"/>
        </w:rPr>
        <w:t xml:space="preserve"> terms of service, advertising policies, product changes, product quality, litigation or regulatory activity, government surveillance, the actions of our advertisers, the actions of our developers whose products are integrated with our products, the use of</w:t>
      </w:r>
      <w:r>
        <w:rPr>
          <w:rFonts w:ascii="Times New Roman" w:eastAsia="宋体" w:hAnsi="Times New Roman"/>
          <w:sz w:val="20"/>
          <w:szCs w:val="20"/>
        </w:rPr>
        <w:t xml:space="preserve"> our products or services for illicit or objectionable ends, the substance or enforcement of our community standards, the actions of our users, the quality and integrity of content shared on our platform, or the actions of other companies that provide simi</w:t>
      </w:r>
      <w:r>
        <w:rPr>
          <w:rFonts w:ascii="Times New Roman" w:eastAsia="宋体" w:hAnsi="Times New Roman"/>
          <w:sz w:val="20"/>
          <w:szCs w:val="20"/>
        </w:rPr>
        <w:t>lar services to ours, has in the past, and could in the future, adversely affect our reputation. For example, beginning in May 2020, we became the subject of significant media coverage involving concerns around our handling of political speech, hate speech</w:t>
      </w:r>
      <w:r>
        <w:rPr>
          <w:rFonts w:ascii="Times New Roman" w:eastAsia="宋体" w:hAnsi="Times New Roman"/>
          <w:sz w:val="20"/>
          <w:szCs w:val="20"/>
        </w:rPr>
        <w:t>, and other content, and we have continued to receive negative publicity. In addition, we have been, and may in the future be, subject to negative publicity in connection with our handling of misinformation and other illicit or objectionable use of our pro</w:t>
      </w:r>
      <w:r>
        <w:rPr>
          <w:rFonts w:ascii="Times New Roman" w:eastAsia="宋体" w:hAnsi="Times New Roman"/>
          <w:sz w:val="20"/>
          <w:szCs w:val="20"/>
        </w:rPr>
        <w:t>ducts or services in connection with the COVID-19 pandemic, the 2020 U.S. elections, and other elections around the world. Any such negative publicity could have an adverse effect on the size, engagement, and loyalty of our user base and marketer demand fo</w:t>
      </w:r>
      <w:r>
        <w:rPr>
          <w:rFonts w:ascii="Times New Roman" w:eastAsia="宋体" w:hAnsi="Times New Roman"/>
          <w:sz w:val="20"/>
          <w:szCs w:val="20"/>
        </w:rPr>
        <w:t>r advertising on our products, which could result in decreased revenue and adversely affect our business and financial results.</w:t>
      </w:r>
    </w:p>
    <w:p w14:paraId="54E91702"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Our financial results will fluctuate from quarter to quarter and are difficult to predict.</w:t>
      </w:r>
    </w:p>
    <w:p w14:paraId="54E91703"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quarterly financial </w:t>
      </w:r>
      <w:r>
        <w:rPr>
          <w:rFonts w:ascii="Times New Roman" w:eastAsia="宋体" w:hAnsi="Times New Roman"/>
          <w:sz w:val="20"/>
          <w:szCs w:val="20"/>
        </w:rPr>
        <w:t>results have fluctuated in the past and will fluctuate in the future. Additionally, we have a limited operating history with the current scale of our business, which makes it difficult to forecast our future results. As a result, you should not rely upon o</w:t>
      </w:r>
      <w:r>
        <w:rPr>
          <w:rFonts w:ascii="Times New Roman" w:eastAsia="宋体" w:hAnsi="Times New Roman"/>
          <w:sz w:val="20"/>
          <w:szCs w:val="20"/>
        </w:rPr>
        <w:t xml:space="preserve">ur past quarterly financial results as indicators of future performance. You should take into account the risks and uncertainties frequently encountered by companies in rapidly evolving markets. Our financial results in any given quarter can be influenced </w:t>
      </w:r>
      <w:r>
        <w:rPr>
          <w:rFonts w:ascii="Times New Roman" w:eastAsia="宋体" w:hAnsi="Times New Roman"/>
          <w:sz w:val="20"/>
          <w:szCs w:val="20"/>
        </w:rPr>
        <w:t>by numerous factors, many of which we are unable to predict or are outside of our control, including:</w:t>
      </w:r>
    </w:p>
    <w:tbl>
      <w:tblPr>
        <w:tblW w:w="0" w:type="auto"/>
        <w:tblCellSpacing w:w="0" w:type="dxa"/>
        <w:tblCellMar>
          <w:top w:w="240" w:type="dxa"/>
          <w:left w:w="0" w:type="dxa"/>
          <w:right w:w="0" w:type="dxa"/>
        </w:tblCellMar>
        <w:tblLook w:val="04A0" w:firstRow="1" w:lastRow="0" w:firstColumn="1" w:lastColumn="0" w:noHBand="0" w:noVBand="1"/>
      </w:tblPr>
      <w:tblGrid>
        <w:gridCol w:w="1440"/>
        <w:gridCol w:w="5482"/>
      </w:tblGrid>
      <w:tr w:rsidR="00F427A3" w14:paraId="54E91706" w14:textId="77777777">
        <w:trPr>
          <w:tblCellSpacing w:w="0" w:type="dxa"/>
        </w:trPr>
        <w:tc>
          <w:tcPr>
            <w:tcW w:w="1440" w:type="dxa"/>
            <w:shd w:val="clear" w:color="auto" w:fill="auto"/>
            <w:vAlign w:val="center"/>
          </w:tcPr>
          <w:p w14:paraId="54E91704" w14:textId="77777777" w:rsidR="00F427A3" w:rsidRDefault="00F427A3">
            <w:pPr>
              <w:rPr>
                <w:rFonts w:ascii="Times New Roman" w:hAnsi="Times New Roman"/>
                <w:sz w:val="20"/>
                <w:szCs w:val="20"/>
              </w:rPr>
            </w:pPr>
          </w:p>
        </w:tc>
        <w:tc>
          <w:tcPr>
            <w:tcW w:w="0" w:type="auto"/>
            <w:shd w:val="clear" w:color="auto" w:fill="auto"/>
            <w:vAlign w:val="center"/>
          </w:tcPr>
          <w:p w14:paraId="54E91705" w14:textId="77777777" w:rsidR="00F427A3" w:rsidRDefault="00F427A3">
            <w:pPr>
              <w:rPr>
                <w:rFonts w:ascii="Times New Roman" w:hAnsi="Times New Roman"/>
                <w:sz w:val="20"/>
                <w:szCs w:val="20"/>
              </w:rPr>
            </w:pPr>
          </w:p>
        </w:tc>
      </w:tr>
      <w:tr w:rsidR="00F427A3" w14:paraId="54E91709" w14:textId="77777777">
        <w:trPr>
          <w:tblCellSpacing w:w="0" w:type="dxa"/>
        </w:trPr>
        <w:tc>
          <w:tcPr>
            <w:tcW w:w="0" w:type="auto"/>
            <w:shd w:val="clear" w:color="auto" w:fill="auto"/>
          </w:tcPr>
          <w:p w14:paraId="54E91707"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08"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maintain and grow our user base and user engagement;</w:t>
            </w:r>
          </w:p>
        </w:tc>
      </w:tr>
    </w:tbl>
    <w:p w14:paraId="54E9170A"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043"/>
      </w:tblGrid>
      <w:tr w:rsidR="00F427A3" w14:paraId="54E9170D" w14:textId="77777777">
        <w:trPr>
          <w:tblCellSpacing w:w="0" w:type="dxa"/>
        </w:trPr>
        <w:tc>
          <w:tcPr>
            <w:tcW w:w="1440" w:type="dxa"/>
            <w:shd w:val="clear" w:color="auto" w:fill="auto"/>
            <w:vAlign w:val="center"/>
          </w:tcPr>
          <w:p w14:paraId="54E9170B" w14:textId="77777777" w:rsidR="00F427A3" w:rsidRDefault="00F427A3">
            <w:pPr>
              <w:rPr>
                <w:rFonts w:ascii="Times New Roman" w:hAnsi="Times New Roman"/>
                <w:sz w:val="20"/>
                <w:szCs w:val="20"/>
              </w:rPr>
            </w:pPr>
          </w:p>
        </w:tc>
        <w:tc>
          <w:tcPr>
            <w:tcW w:w="0" w:type="auto"/>
            <w:shd w:val="clear" w:color="auto" w:fill="auto"/>
            <w:vAlign w:val="center"/>
          </w:tcPr>
          <w:p w14:paraId="54E9170C" w14:textId="77777777" w:rsidR="00F427A3" w:rsidRDefault="00F427A3">
            <w:pPr>
              <w:rPr>
                <w:rFonts w:ascii="Times New Roman" w:hAnsi="Times New Roman"/>
                <w:sz w:val="20"/>
                <w:szCs w:val="20"/>
              </w:rPr>
            </w:pPr>
          </w:p>
        </w:tc>
      </w:tr>
      <w:tr w:rsidR="00F427A3" w14:paraId="54E91710" w14:textId="77777777">
        <w:trPr>
          <w:tblCellSpacing w:w="0" w:type="dxa"/>
        </w:trPr>
        <w:tc>
          <w:tcPr>
            <w:tcW w:w="0" w:type="auto"/>
            <w:shd w:val="clear" w:color="auto" w:fill="auto"/>
          </w:tcPr>
          <w:p w14:paraId="54E9170E"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0F"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attract and retain marketers in a particular period;</w:t>
            </w:r>
          </w:p>
        </w:tc>
      </w:tr>
    </w:tbl>
    <w:p w14:paraId="54E91711"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714" w14:textId="77777777">
        <w:trPr>
          <w:tblCellSpacing w:w="0" w:type="dxa"/>
        </w:trPr>
        <w:tc>
          <w:tcPr>
            <w:tcW w:w="1440" w:type="dxa"/>
            <w:shd w:val="clear" w:color="auto" w:fill="auto"/>
            <w:vAlign w:val="center"/>
          </w:tcPr>
          <w:p w14:paraId="54E91712" w14:textId="77777777" w:rsidR="00F427A3" w:rsidRDefault="00F427A3">
            <w:pPr>
              <w:rPr>
                <w:rFonts w:ascii="Times New Roman" w:hAnsi="Times New Roman"/>
                <w:sz w:val="20"/>
                <w:szCs w:val="20"/>
              </w:rPr>
            </w:pPr>
          </w:p>
        </w:tc>
        <w:tc>
          <w:tcPr>
            <w:tcW w:w="0" w:type="auto"/>
            <w:shd w:val="clear" w:color="auto" w:fill="auto"/>
            <w:vAlign w:val="center"/>
          </w:tcPr>
          <w:p w14:paraId="54E91713" w14:textId="77777777" w:rsidR="00F427A3" w:rsidRDefault="00F427A3">
            <w:pPr>
              <w:rPr>
                <w:rFonts w:ascii="Times New Roman" w:hAnsi="Times New Roman"/>
                <w:sz w:val="20"/>
                <w:szCs w:val="20"/>
              </w:rPr>
            </w:pPr>
          </w:p>
        </w:tc>
      </w:tr>
      <w:tr w:rsidR="00F427A3" w14:paraId="54E91717" w14:textId="77777777">
        <w:trPr>
          <w:tblCellSpacing w:w="0" w:type="dxa"/>
        </w:trPr>
        <w:tc>
          <w:tcPr>
            <w:tcW w:w="0" w:type="auto"/>
            <w:shd w:val="clear" w:color="auto" w:fill="auto"/>
          </w:tcPr>
          <w:p w14:paraId="54E91715"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16"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recognize revenue or collect payments from marketers in a particular period, including as a result of the effects of the COVID-19 pandemic;</w:t>
            </w:r>
          </w:p>
        </w:tc>
      </w:tr>
    </w:tbl>
    <w:p w14:paraId="54E91718"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71B" w14:textId="77777777">
        <w:trPr>
          <w:tblCellSpacing w:w="0" w:type="dxa"/>
        </w:trPr>
        <w:tc>
          <w:tcPr>
            <w:tcW w:w="1440" w:type="dxa"/>
            <w:shd w:val="clear" w:color="auto" w:fill="auto"/>
            <w:vAlign w:val="center"/>
          </w:tcPr>
          <w:p w14:paraId="54E91719" w14:textId="77777777" w:rsidR="00F427A3" w:rsidRDefault="00F427A3">
            <w:pPr>
              <w:rPr>
                <w:rFonts w:ascii="Times New Roman" w:hAnsi="Times New Roman"/>
                <w:sz w:val="20"/>
                <w:szCs w:val="20"/>
              </w:rPr>
            </w:pPr>
          </w:p>
        </w:tc>
        <w:tc>
          <w:tcPr>
            <w:tcW w:w="0" w:type="auto"/>
            <w:shd w:val="clear" w:color="auto" w:fill="auto"/>
            <w:vAlign w:val="center"/>
          </w:tcPr>
          <w:p w14:paraId="54E9171A" w14:textId="77777777" w:rsidR="00F427A3" w:rsidRDefault="00F427A3">
            <w:pPr>
              <w:rPr>
                <w:rFonts w:ascii="Times New Roman" w:hAnsi="Times New Roman"/>
                <w:sz w:val="20"/>
                <w:szCs w:val="20"/>
              </w:rPr>
            </w:pPr>
          </w:p>
        </w:tc>
      </w:tr>
      <w:tr w:rsidR="00F427A3" w14:paraId="54E9171E" w14:textId="77777777">
        <w:trPr>
          <w:tblCellSpacing w:w="0" w:type="dxa"/>
        </w:trPr>
        <w:tc>
          <w:tcPr>
            <w:tcW w:w="0" w:type="auto"/>
            <w:shd w:val="clear" w:color="auto" w:fill="auto"/>
          </w:tcPr>
          <w:p w14:paraId="54E9171C"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1D"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fluctuations in spending by our marketers due to seasonality, such as </w:t>
            </w:r>
            <w:r>
              <w:rPr>
                <w:rFonts w:ascii="Times New Roman" w:eastAsia="宋体" w:hAnsi="Times New Roman"/>
                <w:sz w:val="20"/>
                <w:szCs w:val="20"/>
              </w:rPr>
              <w:t>historically strong spending in the fourth quarter of each year, episodic regional or global events, including the COVID-19 pandemic, or other factors;</w:t>
            </w:r>
          </w:p>
        </w:tc>
      </w:tr>
    </w:tbl>
    <w:p w14:paraId="54E9171F"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004"/>
      </w:tblGrid>
      <w:tr w:rsidR="00F427A3" w14:paraId="54E91722" w14:textId="77777777">
        <w:trPr>
          <w:tblCellSpacing w:w="0" w:type="dxa"/>
        </w:trPr>
        <w:tc>
          <w:tcPr>
            <w:tcW w:w="1440" w:type="dxa"/>
            <w:shd w:val="clear" w:color="auto" w:fill="auto"/>
            <w:vAlign w:val="center"/>
          </w:tcPr>
          <w:p w14:paraId="54E91720" w14:textId="77777777" w:rsidR="00F427A3" w:rsidRDefault="00F427A3">
            <w:pPr>
              <w:rPr>
                <w:rFonts w:ascii="Times New Roman" w:hAnsi="Times New Roman"/>
                <w:sz w:val="20"/>
                <w:szCs w:val="20"/>
              </w:rPr>
            </w:pPr>
          </w:p>
        </w:tc>
        <w:tc>
          <w:tcPr>
            <w:tcW w:w="0" w:type="auto"/>
            <w:shd w:val="clear" w:color="auto" w:fill="auto"/>
            <w:vAlign w:val="center"/>
          </w:tcPr>
          <w:p w14:paraId="54E91721" w14:textId="77777777" w:rsidR="00F427A3" w:rsidRDefault="00F427A3">
            <w:pPr>
              <w:rPr>
                <w:rFonts w:ascii="Times New Roman" w:hAnsi="Times New Roman"/>
                <w:sz w:val="20"/>
                <w:szCs w:val="20"/>
              </w:rPr>
            </w:pPr>
          </w:p>
        </w:tc>
      </w:tr>
      <w:tr w:rsidR="00F427A3" w14:paraId="54E91725" w14:textId="77777777">
        <w:trPr>
          <w:tblCellSpacing w:w="0" w:type="dxa"/>
        </w:trPr>
        <w:tc>
          <w:tcPr>
            <w:tcW w:w="0" w:type="auto"/>
            <w:shd w:val="clear" w:color="auto" w:fill="auto"/>
          </w:tcPr>
          <w:p w14:paraId="54E91723"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24"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the frequency, prominence, size, format, and quality of ads shown to users;</w:t>
            </w:r>
          </w:p>
        </w:tc>
      </w:tr>
    </w:tbl>
    <w:p w14:paraId="54E91726"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144"/>
      </w:tblGrid>
      <w:tr w:rsidR="00F427A3" w14:paraId="54E91729" w14:textId="77777777">
        <w:trPr>
          <w:tblCellSpacing w:w="0" w:type="dxa"/>
        </w:trPr>
        <w:tc>
          <w:tcPr>
            <w:tcW w:w="1440" w:type="dxa"/>
            <w:shd w:val="clear" w:color="auto" w:fill="auto"/>
            <w:vAlign w:val="center"/>
          </w:tcPr>
          <w:p w14:paraId="54E91727" w14:textId="77777777" w:rsidR="00F427A3" w:rsidRDefault="00F427A3">
            <w:pPr>
              <w:rPr>
                <w:rFonts w:ascii="Times New Roman" w:hAnsi="Times New Roman"/>
                <w:sz w:val="20"/>
                <w:szCs w:val="20"/>
              </w:rPr>
            </w:pPr>
          </w:p>
        </w:tc>
        <w:tc>
          <w:tcPr>
            <w:tcW w:w="0" w:type="auto"/>
            <w:shd w:val="clear" w:color="auto" w:fill="auto"/>
            <w:vAlign w:val="center"/>
          </w:tcPr>
          <w:p w14:paraId="54E91728" w14:textId="77777777" w:rsidR="00F427A3" w:rsidRDefault="00F427A3">
            <w:pPr>
              <w:rPr>
                <w:rFonts w:ascii="Times New Roman" w:hAnsi="Times New Roman"/>
                <w:sz w:val="20"/>
                <w:szCs w:val="20"/>
              </w:rPr>
            </w:pPr>
          </w:p>
        </w:tc>
      </w:tr>
      <w:tr w:rsidR="00F427A3" w14:paraId="54E9172C" w14:textId="77777777">
        <w:trPr>
          <w:tblCellSpacing w:w="0" w:type="dxa"/>
        </w:trPr>
        <w:tc>
          <w:tcPr>
            <w:tcW w:w="0" w:type="auto"/>
            <w:shd w:val="clear" w:color="auto" w:fill="auto"/>
          </w:tcPr>
          <w:p w14:paraId="54E9172A"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2B"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w:t>
            </w:r>
            <w:r>
              <w:rPr>
                <w:rFonts w:ascii="Times New Roman" w:eastAsia="宋体" w:hAnsi="Times New Roman"/>
                <w:sz w:val="20"/>
                <w:szCs w:val="20"/>
              </w:rPr>
              <w:t>success of technologies designed to block the display of ads;</w:t>
            </w:r>
          </w:p>
        </w:tc>
      </w:tr>
    </w:tbl>
    <w:p w14:paraId="54E9172D" w14:textId="77777777" w:rsidR="00F427A3" w:rsidRDefault="00F427A3">
      <w:pPr>
        <w:rPr>
          <w:rFonts w:ascii="Times New Roman" w:hAnsi="Times New Roman"/>
          <w:sz w:val="20"/>
          <w:szCs w:val="20"/>
        </w:rPr>
      </w:pPr>
    </w:p>
    <w:p w14:paraId="54E9172E"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63</w:t>
      </w:r>
    </w:p>
    <w:p w14:paraId="54E9172F" w14:textId="77777777" w:rsidR="00F427A3" w:rsidRDefault="0044221F">
      <w:r>
        <w:rPr>
          <w:rFonts w:ascii="Times New Roman" w:hAnsi="Times New Roman"/>
          <w:sz w:val="20"/>
          <w:szCs w:val="20"/>
        </w:rPr>
        <w:pict w14:anchorId="54E91C6F">
          <v:rect id="_x0000_i1087" style="width:415.3pt;height:1.5pt" o:hralign="center" o:hrstd="t" o:hr="t" fillcolor="#a0a0a0" stroked="f"/>
        </w:pict>
      </w:r>
    </w:p>
    <w:p w14:paraId="54E91730" w14:textId="77777777" w:rsidR="00F427A3" w:rsidRDefault="0044221F">
      <w:pPr>
        <w:spacing w:line="288" w:lineRule="auto"/>
        <w:rPr>
          <w:rFonts w:ascii="Times New Roman" w:hAnsi="Times New Roman"/>
          <w:sz w:val="20"/>
          <w:szCs w:val="20"/>
        </w:rPr>
      </w:pPr>
      <w:hyperlink r:id="rId104" w:anchor="s348EA962CF6D59B599D9921AFA89C381" w:history="1">
        <w:r>
          <w:rPr>
            <w:rStyle w:val="a5"/>
            <w:rFonts w:ascii="Times New Roman" w:eastAsia="宋体" w:hAnsi="Times New Roman"/>
            <w:sz w:val="20"/>
            <w:szCs w:val="20"/>
          </w:rPr>
          <w:t>Table of Contents</w:t>
        </w:r>
      </w:hyperlink>
    </w:p>
    <w:p w14:paraId="54E91731" w14:textId="77777777" w:rsidR="00F427A3" w:rsidRDefault="00F427A3">
      <w:pPr>
        <w:rPr>
          <w:rFonts w:ascii="Times New Roman" w:hAnsi="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734" w14:textId="77777777">
        <w:trPr>
          <w:tblCellSpacing w:w="0" w:type="dxa"/>
        </w:trPr>
        <w:tc>
          <w:tcPr>
            <w:tcW w:w="1440" w:type="dxa"/>
            <w:shd w:val="clear" w:color="auto" w:fill="auto"/>
            <w:vAlign w:val="center"/>
          </w:tcPr>
          <w:p w14:paraId="54E91732" w14:textId="77777777" w:rsidR="00F427A3" w:rsidRDefault="00F427A3">
            <w:pPr>
              <w:rPr>
                <w:rFonts w:ascii="Times New Roman" w:hAnsi="Times New Roman"/>
                <w:sz w:val="20"/>
                <w:szCs w:val="20"/>
              </w:rPr>
            </w:pPr>
          </w:p>
        </w:tc>
        <w:tc>
          <w:tcPr>
            <w:tcW w:w="0" w:type="auto"/>
            <w:shd w:val="clear" w:color="auto" w:fill="auto"/>
            <w:vAlign w:val="center"/>
          </w:tcPr>
          <w:p w14:paraId="54E91733" w14:textId="77777777" w:rsidR="00F427A3" w:rsidRDefault="00F427A3">
            <w:pPr>
              <w:rPr>
                <w:rFonts w:ascii="Times New Roman" w:hAnsi="Times New Roman"/>
                <w:sz w:val="20"/>
                <w:szCs w:val="20"/>
              </w:rPr>
            </w:pPr>
          </w:p>
        </w:tc>
      </w:tr>
      <w:tr w:rsidR="00F427A3" w14:paraId="54E91737" w14:textId="77777777">
        <w:trPr>
          <w:tblCellSpacing w:w="0" w:type="dxa"/>
        </w:trPr>
        <w:tc>
          <w:tcPr>
            <w:tcW w:w="0" w:type="auto"/>
            <w:shd w:val="clear" w:color="auto" w:fill="auto"/>
          </w:tcPr>
          <w:p w14:paraId="54E91735"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36"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changes to third-party policies that limit our ability to deliver, target, or measure the effectiveness of advertising, including changes by mobile operating system and browser providers such as Apple and Google;</w:t>
            </w:r>
          </w:p>
        </w:tc>
      </w:tr>
    </w:tbl>
    <w:p w14:paraId="54E91738"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3305"/>
      </w:tblGrid>
      <w:tr w:rsidR="00F427A3" w14:paraId="54E9173B" w14:textId="77777777">
        <w:trPr>
          <w:tblCellSpacing w:w="0" w:type="dxa"/>
        </w:trPr>
        <w:tc>
          <w:tcPr>
            <w:tcW w:w="1440" w:type="dxa"/>
            <w:shd w:val="clear" w:color="auto" w:fill="auto"/>
            <w:vAlign w:val="center"/>
          </w:tcPr>
          <w:p w14:paraId="54E91739" w14:textId="77777777" w:rsidR="00F427A3" w:rsidRDefault="00F427A3">
            <w:pPr>
              <w:rPr>
                <w:rFonts w:ascii="Times New Roman" w:hAnsi="Times New Roman"/>
                <w:sz w:val="20"/>
                <w:szCs w:val="20"/>
              </w:rPr>
            </w:pPr>
          </w:p>
        </w:tc>
        <w:tc>
          <w:tcPr>
            <w:tcW w:w="0" w:type="auto"/>
            <w:shd w:val="clear" w:color="auto" w:fill="auto"/>
            <w:vAlign w:val="center"/>
          </w:tcPr>
          <w:p w14:paraId="54E9173A" w14:textId="77777777" w:rsidR="00F427A3" w:rsidRDefault="00F427A3">
            <w:pPr>
              <w:rPr>
                <w:rFonts w:ascii="Times New Roman" w:hAnsi="Times New Roman"/>
                <w:sz w:val="20"/>
                <w:szCs w:val="20"/>
              </w:rPr>
            </w:pPr>
          </w:p>
        </w:tc>
      </w:tr>
      <w:tr w:rsidR="00F427A3" w14:paraId="54E9173E" w14:textId="77777777">
        <w:trPr>
          <w:tblCellSpacing w:w="0" w:type="dxa"/>
        </w:trPr>
        <w:tc>
          <w:tcPr>
            <w:tcW w:w="0" w:type="auto"/>
            <w:shd w:val="clear" w:color="auto" w:fill="auto"/>
          </w:tcPr>
          <w:p w14:paraId="54E9173C"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3D"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pricing of our ads and </w:t>
            </w:r>
            <w:r>
              <w:rPr>
                <w:rFonts w:ascii="Times New Roman" w:eastAsia="宋体" w:hAnsi="Times New Roman"/>
                <w:sz w:val="20"/>
                <w:szCs w:val="20"/>
              </w:rPr>
              <w:t>other products;</w:t>
            </w:r>
          </w:p>
        </w:tc>
      </w:tr>
    </w:tbl>
    <w:p w14:paraId="54E9173F"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742" w14:textId="77777777">
        <w:trPr>
          <w:tblCellSpacing w:w="0" w:type="dxa"/>
        </w:trPr>
        <w:tc>
          <w:tcPr>
            <w:tcW w:w="1440" w:type="dxa"/>
            <w:shd w:val="clear" w:color="auto" w:fill="auto"/>
            <w:vAlign w:val="center"/>
          </w:tcPr>
          <w:p w14:paraId="54E91740" w14:textId="77777777" w:rsidR="00F427A3" w:rsidRDefault="00F427A3">
            <w:pPr>
              <w:rPr>
                <w:rFonts w:ascii="Times New Roman" w:hAnsi="Times New Roman"/>
                <w:sz w:val="20"/>
                <w:szCs w:val="20"/>
              </w:rPr>
            </w:pPr>
          </w:p>
        </w:tc>
        <w:tc>
          <w:tcPr>
            <w:tcW w:w="0" w:type="auto"/>
            <w:shd w:val="clear" w:color="auto" w:fill="auto"/>
            <w:vAlign w:val="center"/>
          </w:tcPr>
          <w:p w14:paraId="54E91741" w14:textId="77777777" w:rsidR="00F427A3" w:rsidRDefault="00F427A3">
            <w:pPr>
              <w:rPr>
                <w:rFonts w:ascii="Times New Roman" w:hAnsi="Times New Roman"/>
                <w:sz w:val="20"/>
                <w:szCs w:val="20"/>
              </w:rPr>
            </w:pPr>
          </w:p>
        </w:tc>
      </w:tr>
      <w:tr w:rsidR="00F427A3" w14:paraId="54E91745" w14:textId="77777777">
        <w:trPr>
          <w:tblCellSpacing w:w="0" w:type="dxa"/>
        </w:trPr>
        <w:tc>
          <w:tcPr>
            <w:tcW w:w="0" w:type="auto"/>
            <w:shd w:val="clear" w:color="auto" w:fill="auto"/>
          </w:tcPr>
          <w:p w14:paraId="54E91743"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44"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the diversification and growth of revenue sources beyond advertising on Facebook and Instagram;</w:t>
            </w:r>
          </w:p>
        </w:tc>
      </w:tr>
    </w:tbl>
    <w:p w14:paraId="54E91746"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749" w14:textId="77777777">
        <w:trPr>
          <w:tblCellSpacing w:w="0" w:type="dxa"/>
        </w:trPr>
        <w:tc>
          <w:tcPr>
            <w:tcW w:w="1440" w:type="dxa"/>
            <w:shd w:val="clear" w:color="auto" w:fill="auto"/>
            <w:vAlign w:val="center"/>
          </w:tcPr>
          <w:p w14:paraId="54E91747" w14:textId="77777777" w:rsidR="00F427A3" w:rsidRDefault="00F427A3">
            <w:pPr>
              <w:rPr>
                <w:rFonts w:ascii="Times New Roman" w:hAnsi="Times New Roman"/>
                <w:sz w:val="20"/>
                <w:szCs w:val="20"/>
              </w:rPr>
            </w:pPr>
          </w:p>
        </w:tc>
        <w:tc>
          <w:tcPr>
            <w:tcW w:w="0" w:type="auto"/>
            <w:shd w:val="clear" w:color="auto" w:fill="auto"/>
            <w:vAlign w:val="center"/>
          </w:tcPr>
          <w:p w14:paraId="54E91748" w14:textId="77777777" w:rsidR="00F427A3" w:rsidRDefault="00F427A3">
            <w:pPr>
              <w:rPr>
                <w:rFonts w:ascii="Times New Roman" w:hAnsi="Times New Roman"/>
                <w:sz w:val="20"/>
                <w:szCs w:val="20"/>
              </w:rPr>
            </w:pPr>
          </w:p>
        </w:tc>
      </w:tr>
      <w:tr w:rsidR="00F427A3" w14:paraId="54E9174C" w14:textId="77777777">
        <w:trPr>
          <w:tblCellSpacing w:w="0" w:type="dxa"/>
        </w:trPr>
        <w:tc>
          <w:tcPr>
            <w:tcW w:w="0" w:type="auto"/>
            <w:shd w:val="clear" w:color="auto" w:fill="auto"/>
          </w:tcPr>
          <w:p w14:paraId="54E9174A"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4B"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ability to generate revenue from Payments, or the sale of our consumer hardware products or other products we may </w:t>
            </w:r>
            <w:r>
              <w:rPr>
                <w:rFonts w:ascii="Times New Roman" w:eastAsia="宋体" w:hAnsi="Times New Roman"/>
                <w:sz w:val="20"/>
                <w:szCs w:val="20"/>
              </w:rPr>
              <w:t>introduce in the future;</w:t>
            </w:r>
          </w:p>
        </w:tc>
      </w:tr>
    </w:tbl>
    <w:p w14:paraId="54E9174D"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750" w14:textId="77777777">
        <w:trPr>
          <w:tblCellSpacing w:w="0" w:type="dxa"/>
        </w:trPr>
        <w:tc>
          <w:tcPr>
            <w:tcW w:w="1440" w:type="dxa"/>
            <w:shd w:val="clear" w:color="auto" w:fill="auto"/>
            <w:vAlign w:val="center"/>
          </w:tcPr>
          <w:p w14:paraId="54E9174E" w14:textId="77777777" w:rsidR="00F427A3" w:rsidRDefault="00F427A3">
            <w:pPr>
              <w:rPr>
                <w:rFonts w:ascii="Times New Roman" w:hAnsi="Times New Roman"/>
                <w:sz w:val="20"/>
                <w:szCs w:val="20"/>
              </w:rPr>
            </w:pPr>
          </w:p>
        </w:tc>
        <w:tc>
          <w:tcPr>
            <w:tcW w:w="0" w:type="auto"/>
            <w:shd w:val="clear" w:color="auto" w:fill="auto"/>
            <w:vAlign w:val="center"/>
          </w:tcPr>
          <w:p w14:paraId="54E9174F" w14:textId="77777777" w:rsidR="00F427A3" w:rsidRDefault="00F427A3">
            <w:pPr>
              <w:rPr>
                <w:rFonts w:ascii="Times New Roman" w:hAnsi="Times New Roman"/>
                <w:sz w:val="20"/>
                <w:szCs w:val="20"/>
              </w:rPr>
            </w:pPr>
          </w:p>
        </w:tc>
      </w:tr>
      <w:tr w:rsidR="00F427A3" w14:paraId="54E91753" w14:textId="77777777">
        <w:trPr>
          <w:tblCellSpacing w:w="0" w:type="dxa"/>
        </w:trPr>
        <w:tc>
          <w:tcPr>
            <w:tcW w:w="0" w:type="auto"/>
            <w:shd w:val="clear" w:color="auto" w:fill="auto"/>
          </w:tcPr>
          <w:p w14:paraId="54E91751"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52"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changes to existing products or services or the development and introduction of new products or services by us or our competitors;</w:t>
            </w:r>
          </w:p>
        </w:tc>
      </w:tr>
    </w:tbl>
    <w:p w14:paraId="54E91754"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757" w14:textId="77777777">
        <w:trPr>
          <w:tblCellSpacing w:w="0" w:type="dxa"/>
        </w:trPr>
        <w:tc>
          <w:tcPr>
            <w:tcW w:w="1440" w:type="dxa"/>
            <w:shd w:val="clear" w:color="auto" w:fill="auto"/>
            <w:vAlign w:val="center"/>
          </w:tcPr>
          <w:p w14:paraId="54E91755" w14:textId="77777777" w:rsidR="00F427A3" w:rsidRDefault="00F427A3">
            <w:pPr>
              <w:rPr>
                <w:rFonts w:ascii="Times New Roman" w:hAnsi="Times New Roman"/>
                <w:sz w:val="20"/>
                <w:szCs w:val="20"/>
              </w:rPr>
            </w:pPr>
          </w:p>
        </w:tc>
        <w:tc>
          <w:tcPr>
            <w:tcW w:w="0" w:type="auto"/>
            <w:shd w:val="clear" w:color="auto" w:fill="auto"/>
            <w:vAlign w:val="center"/>
          </w:tcPr>
          <w:p w14:paraId="54E91756" w14:textId="77777777" w:rsidR="00F427A3" w:rsidRDefault="00F427A3">
            <w:pPr>
              <w:rPr>
                <w:rFonts w:ascii="Times New Roman" w:hAnsi="Times New Roman"/>
                <w:sz w:val="20"/>
                <w:szCs w:val="20"/>
              </w:rPr>
            </w:pPr>
          </w:p>
        </w:tc>
      </w:tr>
      <w:tr w:rsidR="00F427A3" w14:paraId="54E9175A" w14:textId="77777777">
        <w:trPr>
          <w:tblCellSpacing w:w="0" w:type="dxa"/>
        </w:trPr>
        <w:tc>
          <w:tcPr>
            <w:tcW w:w="0" w:type="auto"/>
            <w:shd w:val="clear" w:color="auto" w:fill="auto"/>
          </w:tcPr>
          <w:p w14:paraId="54E91758"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59"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user behavior or product changes that may reduce traffic to features or </w:t>
            </w:r>
            <w:r>
              <w:rPr>
                <w:rFonts w:ascii="Times New Roman" w:eastAsia="宋体" w:hAnsi="Times New Roman"/>
                <w:sz w:val="20"/>
                <w:szCs w:val="20"/>
              </w:rPr>
              <w:t>products that we successfully monetize;</w:t>
            </w:r>
          </w:p>
        </w:tc>
      </w:tr>
    </w:tbl>
    <w:p w14:paraId="54E9175B"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75E" w14:textId="77777777">
        <w:trPr>
          <w:tblCellSpacing w:w="0" w:type="dxa"/>
        </w:trPr>
        <w:tc>
          <w:tcPr>
            <w:tcW w:w="1440" w:type="dxa"/>
            <w:shd w:val="clear" w:color="auto" w:fill="auto"/>
            <w:vAlign w:val="center"/>
          </w:tcPr>
          <w:p w14:paraId="54E9175C" w14:textId="77777777" w:rsidR="00F427A3" w:rsidRDefault="00F427A3">
            <w:pPr>
              <w:rPr>
                <w:rFonts w:ascii="Times New Roman" w:hAnsi="Times New Roman"/>
                <w:sz w:val="20"/>
                <w:szCs w:val="20"/>
              </w:rPr>
            </w:pPr>
          </w:p>
        </w:tc>
        <w:tc>
          <w:tcPr>
            <w:tcW w:w="0" w:type="auto"/>
            <w:shd w:val="clear" w:color="auto" w:fill="auto"/>
            <w:vAlign w:val="center"/>
          </w:tcPr>
          <w:p w14:paraId="54E9175D" w14:textId="77777777" w:rsidR="00F427A3" w:rsidRDefault="00F427A3">
            <w:pPr>
              <w:rPr>
                <w:rFonts w:ascii="Times New Roman" w:hAnsi="Times New Roman"/>
                <w:sz w:val="20"/>
                <w:szCs w:val="20"/>
              </w:rPr>
            </w:pPr>
          </w:p>
        </w:tc>
      </w:tr>
      <w:tr w:rsidR="00F427A3" w14:paraId="54E91761" w14:textId="77777777">
        <w:trPr>
          <w:tblCellSpacing w:w="0" w:type="dxa"/>
        </w:trPr>
        <w:tc>
          <w:tcPr>
            <w:tcW w:w="0" w:type="auto"/>
            <w:shd w:val="clear" w:color="auto" w:fill="auto"/>
          </w:tcPr>
          <w:p w14:paraId="54E9175F"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60"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increases in marketing, sales, and other operating expenses that we will incur to grow and expand our operations and to remain competitive, including costs related to our data centers and technical </w:t>
            </w:r>
            <w:r>
              <w:rPr>
                <w:rFonts w:ascii="Times New Roman" w:eastAsia="宋体" w:hAnsi="Times New Roman"/>
                <w:sz w:val="20"/>
                <w:szCs w:val="20"/>
              </w:rPr>
              <w:t>infrastructure;</w:t>
            </w:r>
          </w:p>
        </w:tc>
      </w:tr>
    </w:tbl>
    <w:p w14:paraId="54E91762"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726"/>
      </w:tblGrid>
      <w:tr w:rsidR="00F427A3" w14:paraId="54E91765" w14:textId="77777777">
        <w:trPr>
          <w:tblCellSpacing w:w="0" w:type="dxa"/>
        </w:trPr>
        <w:tc>
          <w:tcPr>
            <w:tcW w:w="1440" w:type="dxa"/>
            <w:shd w:val="clear" w:color="auto" w:fill="auto"/>
            <w:vAlign w:val="center"/>
          </w:tcPr>
          <w:p w14:paraId="54E91763" w14:textId="77777777" w:rsidR="00F427A3" w:rsidRDefault="00F427A3">
            <w:pPr>
              <w:rPr>
                <w:rFonts w:ascii="Times New Roman" w:hAnsi="Times New Roman"/>
                <w:sz w:val="20"/>
                <w:szCs w:val="20"/>
              </w:rPr>
            </w:pPr>
          </w:p>
        </w:tc>
        <w:tc>
          <w:tcPr>
            <w:tcW w:w="0" w:type="auto"/>
            <w:shd w:val="clear" w:color="auto" w:fill="auto"/>
            <w:vAlign w:val="center"/>
          </w:tcPr>
          <w:p w14:paraId="54E91764" w14:textId="77777777" w:rsidR="00F427A3" w:rsidRDefault="00F427A3">
            <w:pPr>
              <w:rPr>
                <w:rFonts w:ascii="Times New Roman" w:hAnsi="Times New Roman"/>
                <w:sz w:val="20"/>
                <w:szCs w:val="20"/>
              </w:rPr>
            </w:pPr>
          </w:p>
        </w:tc>
      </w:tr>
      <w:tr w:rsidR="00F427A3" w14:paraId="54E91768" w14:textId="77777777">
        <w:trPr>
          <w:tblCellSpacing w:w="0" w:type="dxa"/>
        </w:trPr>
        <w:tc>
          <w:tcPr>
            <w:tcW w:w="0" w:type="auto"/>
            <w:shd w:val="clear" w:color="auto" w:fill="auto"/>
          </w:tcPr>
          <w:p w14:paraId="54E91766"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67"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costs related to our privacy, safety, security, and content review efforts;</w:t>
            </w:r>
          </w:p>
        </w:tc>
      </w:tr>
    </w:tbl>
    <w:p w14:paraId="54E91769"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76C" w14:textId="77777777">
        <w:trPr>
          <w:tblCellSpacing w:w="0" w:type="dxa"/>
        </w:trPr>
        <w:tc>
          <w:tcPr>
            <w:tcW w:w="1440" w:type="dxa"/>
            <w:shd w:val="clear" w:color="auto" w:fill="auto"/>
            <w:vAlign w:val="center"/>
          </w:tcPr>
          <w:p w14:paraId="54E9176A" w14:textId="77777777" w:rsidR="00F427A3" w:rsidRDefault="00F427A3">
            <w:pPr>
              <w:rPr>
                <w:rFonts w:ascii="Times New Roman" w:hAnsi="Times New Roman"/>
                <w:sz w:val="20"/>
                <w:szCs w:val="20"/>
              </w:rPr>
            </w:pPr>
          </w:p>
        </w:tc>
        <w:tc>
          <w:tcPr>
            <w:tcW w:w="0" w:type="auto"/>
            <w:shd w:val="clear" w:color="auto" w:fill="auto"/>
            <w:vAlign w:val="center"/>
          </w:tcPr>
          <w:p w14:paraId="54E9176B" w14:textId="77777777" w:rsidR="00F427A3" w:rsidRDefault="00F427A3">
            <w:pPr>
              <w:rPr>
                <w:rFonts w:ascii="Times New Roman" w:hAnsi="Times New Roman"/>
                <w:sz w:val="20"/>
                <w:szCs w:val="20"/>
              </w:rPr>
            </w:pPr>
          </w:p>
        </w:tc>
      </w:tr>
      <w:tr w:rsidR="00F427A3" w14:paraId="54E9176F" w14:textId="77777777">
        <w:trPr>
          <w:tblCellSpacing w:w="0" w:type="dxa"/>
        </w:trPr>
        <w:tc>
          <w:tcPr>
            <w:tcW w:w="0" w:type="auto"/>
            <w:shd w:val="clear" w:color="auto" w:fill="auto"/>
          </w:tcPr>
          <w:p w14:paraId="54E9176D"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6E"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costs and expenses related to the development and delivery of our consumer hardware products;</w:t>
            </w:r>
          </w:p>
        </w:tc>
      </w:tr>
    </w:tbl>
    <w:p w14:paraId="54E91770"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4844"/>
      </w:tblGrid>
      <w:tr w:rsidR="00F427A3" w14:paraId="54E91773" w14:textId="77777777">
        <w:trPr>
          <w:tblCellSpacing w:w="0" w:type="dxa"/>
        </w:trPr>
        <w:tc>
          <w:tcPr>
            <w:tcW w:w="1440" w:type="dxa"/>
            <w:shd w:val="clear" w:color="auto" w:fill="auto"/>
            <w:vAlign w:val="center"/>
          </w:tcPr>
          <w:p w14:paraId="54E91771" w14:textId="77777777" w:rsidR="00F427A3" w:rsidRDefault="00F427A3">
            <w:pPr>
              <w:rPr>
                <w:rFonts w:ascii="Times New Roman" w:hAnsi="Times New Roman"/>
                <w:sz w:val="20"/>
                <w:szCs w:val="20"/>
              </w:rPr>
            </w:pPr>
          </w:p>
        </w:tc>
        <w:tc>
          <w:tcPr>
            <w:tcW w:w="0" w:type="auto"/>
            <w:shd w:val="clear" w:color="auto" w:fill="auto"/>
            <w:vAlign w:val="center"/>
          </w:tcPr>
          <w:p w14:paraId="54E91772" w14:textId="77777777" w:rsidR="00F427A3" w:rsidRDefault="00F427A3">
            <w:pPr>
              <w:rPr>
                <w:rFonts w:ascii="Times New Roman" w:hAnsi="Times New Roman"/>
                <w:sz w:val="20"/>
                <w:szCs w:val="20"/>
              </w:rPr>
            </w:pPr>
          </w:p>
        </w:tc>
      </w:tr>
      <w:tr w:rsidR="00F427A3" w14:paraId="54E91776" w14:textId="77777777">
        <w:trPr>
          <w:tblCellSpacing w:w="0" w:type="dxa"/>
        </w:trPr>
        <w:tc>
          <w:tcPr>
            <w:tcW w:w="0" w:type="auto"/>
            <w:shd w:val="clear" w:color="auto" w:fill="auto"/>
          </w:tcPr>
          <w:p w14:paraId="54E91774"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75"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ability to maintain gross margins and </w:t>
            </w:r>
            <w:r>
              <w:rPr>
                <w:rFonts w:ascii="Times New Roman" w:eastAsia="宋体" w:hAnsi="Times New Roman"/>
                <w:sz w:val="20"/>
                <w:szCs w:val="20"/>
              </w:rPr>
              <w:t>operating margins;</w:t>
            </w:r>
          </w:p>
        </w:tc>
      </w:tr>
    </w:tbl>
    <w:p w14:paraId="54E91777"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77A" w14:textId="77777777">
        <w:trPr>
          <w:tblCellSpacing w:w="0" w:type="dxa"/>
        </w:trPr>
        <w:tc>
          <w:tcPr>
            <w:tcW w:w="1440" w:type="dxa"/>
            <w:shd w:val="clear" w:color="auto" w:fill="auto"/>
            <w:vAlign w:val="center"/>
          </w:tcPr>
          <w:p w14:paraId="54E91778" w14:textId="77777777" w:rsidR="00F427A3" w:rsidRDefault="00F427A3">
            <w:pPr>
              <w:rPr>
                <w:rFonts w:ascii="Times New Roman" w:hAnsi="Times New Roman"/>
                <w:sz w:val="20"/>
                <w:szCs w:val="20"/>
              </w:rPr>
            </w:pPr>
          </w:p>
        </w:tc>
        <w:tc>
          <w:tcPr>
            <w:tcW w:w="0" w:type="auto"/>
            <w:shd w:val="clear" w:color="auto" w:fill="auto"/>
            <w:vAlign w:val="center"/>
          </w:tcPr>
          <w:p w14:paraId="54E91779" w14:textId="77777777" w:rsidR="00F427A3" w:rsidRDefault="00F427A3">
            <w:pPr>
              <w:rPr>
                <w:rFonts w:ascii="Times New Roman" w:hAnsi="Times New Roman"/>
                <w:sz w:val="20"/>
                <w:szCs w:val="20"/>
              </w:rPr>
            </w:pPr>
          </w:p>
        </w:tc>
      </w:tr>
      <w:tr w:rsidR="00F427A3" w14:paraId="54E9177D" w14:textId="77777777">
        <w:trPr>
          <w:tblCellSpacing w:w="0" w:type="dxa"/>
        </w:trPr>
        <w:tc>
          <w:tcPr>
            <w:tcW w:w="0" w:type="auto"/>
            <w:shd w:val="clear" w:color="auto" w:fill="auto"/>
          </w:tcPr>
          <w:p w14:paraId="54E9177B"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7C"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costs related to acquisitions, including costs associated with amortization and additional investments to develop the acquired technologies;</w:t>
            </w:r>
          </w:p>
        </w:tc>
      </w:tr>
    </w:tbl>
    <w:p w14:paraId="54E9177E"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676"/>
      </w:tblGrid>
      <w:tr w:rsidR="00F427A3" w14:paraId="54E91781" w14:textId="77777777">
        <w:trPr>
          <w:tblCellSpacing w:w="0" w:type="dxa"/>
        </w:trPr>
        <w:tc>
          <w:tcPr>
            <w:tcW w:w="1440" w:type="dxa"/>
            <w:shd w:val="clear" w:color="auto" w:fill="auto"/>
            <w:vAlign w:val="center"/>
          </w:tcPr>
          <w:p w14:paraId="54E9177F" w14:textId="77777777" w:rsidR="00F427A3" w:rsidRDefault="00F427A3">
            <w:pPr>
              <w:rPr>
                <w:rFonts w:ascii="Times New Roman" w:hAnsi="Times New Roman"/>
                <w:sz w:val="20"/>
                <w:szCs w:val="20"/>
              </w:rPr>
            </w:pPr>
          </w:p>
        </w:tc>
        <w:tc>
          <w:tcPr>
            <w:tcW w:w="0" w:type="auto"/>
            <w:shd w:val="clear" w:color="auto" w:fill="auto"/>
            <w:vAlign w:val="center"/>
          </w:tcPr>
          <w:p w14:paraId="54E91780" w14:textId="77777777" w:rsidR="00F427A3" w:rsidRDefault="00F427A3">
            <w:pPr>
              <w:rPr>
                <w:rFonts w:ascii="Times New Roman" w:hAnsi="Times New Roman"/>
                <w:sz w:val="20"/>
                <w:szCs w:val="20"/>
              </w:rPr>
            </w:pPr>
          </w:p>
        </w:tc>
      </w:tr>
      <w:tr w:rsidR="00F427A3" w14:paraId="54E91784" w14:textId="77777777">
        <w:trPr>
          <w:tblCellSpacing w:w="0" w:type="dxa"/>
        </w:trPr>
        <w:tc>
          <w:tcPr>
            <w:tcW w:w="0" w:type="auto"/>
            <w:shd w:val="clear" w:color="auto" w:fill="auto"/>
          </w:tcPr>
          <w:p w14:paraId="54E91782"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83"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charges associated with impairment of any assets on our balance sheet;</w:t>
            </w:r>
          </w:p>
        </w:tc>
      </w:tr>
    </w:tbl>
    <w:p w14:paraId="54E91785"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788" w14:textId="77777777">
        <w:trPr>
          <w:tblCellSpacing w:w="0" w:type="dxa"/>
        </w:trPr>
        <w:tc>
          <w:tcPr>
            <w:tcW w:w="1440" w:type="dxa"/>
            <w:shd w:val="clear" w:color="auto" w:fill="auto"/>
            <w:vAlign w:val="center"/>
          </w:tcPr>
          <w:p w14:paraId="54E91786" w14:textId="77777777" w:rsidR="00F427A3" w:rsidRDefault="00F427A3">
            <w:pPr>
              <w:rPr>
                <w:rFonts w:ascii="Times New Roman" w:hAnsi="Times New Roman"/>
                <w:sz w:val="20"/>
                <w:szCs w:val="20"/>
              </w:rPr>
            </w:pPr>
          </w:p>
        </w:tc>
        <w:tc>
          <w:tcPr>
            <w:tcW w:w="0" w:type="auto"/>
            <w:shd w:val="clear" w:color="auto" w:fill="auto"/>
            <w:vAlign w:val="center"/>
          </w:tcPr>
          <w:p w14:paraId="54E91787" w14:textId="77777777" w:rsidR="00F427A3" w:rsidRDefault="00F427A3">
            <w:pPr>
              <w:rPr>
                <w:rFonts w:ascii="Times New Roman" w:hAnsi="Times New Roman"/>
                <w:sz w:val="20"/>
                <w:szCs w:val="20"/>
              </w:rPr>
            </w:pPr>
          </w:p>
        </w:tc>
      </w:tr>
      <w:tr w:rsidR="00F427A3" w14:paraId="54E9178B" w14:textId="77777777">
        <w:trPr>
          <w:tblCellSpacing w:w="0" w:type="dxa"/>
        </w:trPr>
        <w:tc>
          <w:tcPr>
            <w:tcW w:w="0" w:type="auto"/>
            <w:shd w:val="clear" w:color="auto" w:fill="auto"/>
          </w:tcPr>
          <w:p w14:paraId="54E91789"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8A"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our ability to obtain equipment, components, and labor for our data centers and other technical infrastructure in a timely and cost-effective manner;</w:t>
            </w:r>
          </w:p>
        </w:tc>
      </w:tr>
    </w:tbl>
    <w:p w14:paraId="54E9178C"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78F" w14:textId="77777777">
        <w:trPr>
          <w:tblCellSpacing w:w="0" w:type="dxa"/>
        </w:trPr>
        <w:tc>
          <w:tcPr>
            <w:tcW w:w="1440" w:type="dxa"/>
            <w:shd w:val="clear" w:color="auto" w:fill="auto"/>
            <w:vAlign w:val="center"/>
          </w:tcPr>
          <w:p w14:paraId="54E9178D" w14:textId="77777777" w:rsidR="00F427A3" w:rsidRDefault="00F427A3">
            <w:pPr>
              <w:rPr>
                <w:rFonts w:ascii="Times New Roman" w:hAnsi="Times New Roman"/>
                <w:sz w:val="20"/>
                <w:szCs w:val="20"/>
              </w:rPr>
            </w:pPr>
          </w:p>
        </w:tc>
        <w:tc>
          <w:tcPr>
            <w:tcW w:w="0" w:type="auto"/>
            <w:shd w:val="clear" w:color="auto" w:fill="auto"/>
            <w:vAlign w:val="center"/>
          </w:tcPr>
          <w:p w14:paraId="54E9178E" w14:textId="77777777" w:rsidR="00F427A3" w:rsidRDefault="00F427A3">
            <w:pPr>
              <w:rPr>
                <w:rFonts w:ascii="Times New Roman" w:hAnsi="Times New Roman"/>
                <w:sz w:val="20"/>
                <w:szCs w:val="20"/>
              </w:rPr>
            </w:pPr>
          </w:p>
        </w:tc>
      </w:tr>
      <w:tr w:rsidR="00F427A3" w14:paraId="54E91792" w14:textId="77777777">
        <w:trPr>
          <w:tblCellSpacing w:w="0" w:type="dxa"/>
        </w:trPr>
        <w:tc>
          <w:tcPr>
            <w:tcW w:w="0" w:type="auto"/>
            <w:shd w:val="clear" w:color="auto" w:fill="auto"/>
          </w:tcPr>
          <w:p w14:paraId="54E91790"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91"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system failures or outages or government blocking, which could prevent us from serving ads for </w:t>
            </w:r>
            <w:r>
              <w:rPr>
                <w:rFonts w:ascii="Times New Roman" w:eastAsia="宋体" w:hAnsi="Times New Roman"/>
                <w:sz w:val="20"/>
                <w:szCs w:val="20"/>
              </w:rPr>
              <w:t>any period of time;</w:t>
            </w:r>
          </w:p>
        </w:tc>
      </w:tr>
    </w:tbl>
    <w:p w14:paraId="54E91793"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796" w14:textId="77777777">
        <w:trPr>
          <w:tblCellSpacing w:w="0" w:type="dxa"/>
        </w:trPr>
        <w:tc>
          <w:tcPr>
            <w:tcW w:w="1440" w:type="dxa"/>
            <w:shd w:val="clear" w:color="auto" w:fill="auto"/>
            <w:vAlign w:val="center"/>
          </w:tcPr>
          <w:p w14:paraId="54E91794" w14:textId="77777777" w:rsidR="00F427A3" w:rsidRDefault="00F427A3">
            <w:pPr>
              <w:rPr>
                <w:rFonts w:ascii="Times New Roman" w:hAnsi="Times New Roman"/>
                <w:sz w:val="20"/>
                <w:szCs w:val="20"/>
              </w:rPr>
            </w:pPr>
          </w:p>
        </w:tc>
        <w:tc>
          <w:tcPr>
            <w:tcW w:w="0" w:type="auto"/>
            <w:shd w:val="clear" w:color="auto" w:fill="auto"/>
            <w:vAlign w:val="center"/>
          </w:tcPr>
          <w:p w14:paraId="54E91795" w14:textId="77777777" w:rsidR="00F427A3" w:rsidRDefault="00F427A3">
            <w:pPr>
              <w:rPr>
                <w:rFonts w:ascii="Times New Roman" w:hAnsi="Times New Roman"/>
                <w:sz w:val="20"/>
                <w:szCs w:val="20"/>
              </w:rPr>
            </w:pPr>
          </w:p>
        </w:tc>
      </w:tr>
      <w:tr w:rsidR="00F427A3" w14:paraId="54E91799" w14:textId="77777777">
        <w:trPr>
          <w:tblCellSpacing w:w="0" w:type="dxa"/>
        </w:trPr>
        <w:tc>
          <w:tcPr>
            <w:tcW w:w="0" w:type="auto"/>
            <w:shd w:val="clear" w:color="auto" w:fill="auto"/>
          </w:tcPr>
          <w:p w14:paraId="54E91797"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98"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breaches of security or privacy, and the costs associated with any such breaches and remediation;</w:t>
            </w:r>
          </w:p>
        </w:tc>
      </w:tr>
    </w:tbl>
    <w:p w14:paraId="54E9179A"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79D" w14:textId="77777777">
        <w:trPr>
          <w:tblCellSpacing w:w="0" w:type="dxa"/>
        </w:trPr>
        <w:tc>
          <w:tcPr>
            <w:tcW w:w="1440" w:type="dxa"/>
            <w:shd w:val="clear" w:color="auto" w:fill="auto"/>
            <w:vAlign w:val="center"/>
          </w:tcPr>
          <w:p w14:paraId="54E9179B" w14:textId="77777777" w:rsidR="00F427A3" w:rsidRDefault="00F427A3">
            <w:pPr>
              <w:rPr>
                <w:rFonts w:ascii="Times New Roman" w:hAnsi="Times New Roman"/>
                <w:sz w:val="20"/>
                <w:szCs w:val="20"/>
              </w:rPr>
            </w:pPr>
          </w:p>
        </w:tc>
        <w:tc>
          <w:tcPr>
            <w:tcW w:w="0" w:type="auto"/>
            <w:shd w:val="clear" w:color="auto" w:fill="auto"/>
            <w:vAlign w:val="center"/>
          </w:tcPr>
          <w:p w14:paraId="54E9179C" w14:textId="77777777" w:rsidR="00F427A3" w:rsidRDefault="00F427A3">
            <w:pPr>
              <w:rPr>
                <w:rFonts w:ascii="Times New Roman" w:hAnsi="Times New Roman"/>
                <w:sz w:val="20"/>
                <w:szCs w:val="20"/>
              </w:rPr>
            </w:pPr>
          </w:p>
        </w:tc>
      </w:tr>
      <w:tr w:rsidR="00F427A3" w14:paraId="54E917A0" w14:textId="77777777">
        <w:trPr>
          <w:tblCellSpacing w:w="0" w:type="dxa"/>
        </w:trPr>
        <w:tc>
          <w:tcPr>
            <w:tcW w:w="0" w:type="auto"/>
            <w:shd w:val="clear" w:color="auto" w:fill="auto"/>
          </w:tcPr>
          <w:p w14:paraId="54E9179E"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9F"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changes in the manner in which we distribute our products or inaccessibility of our products due to third-party </w:t>
            </w:r>
            <w:r>
              <w:rPr>
                <w:rFonts w:ascii="Times New Roman" w:eastAsia="宋体" w:hAnsi="Times New Roman"/>
                <w:sz w:val="20"/>
                <w:szCs w:val="20"/>
              </w:rPr>
              <w:t>actions;</w:t>
            </w:r>
          </w:p>
        </w:tc>
      </w:tr>
    </w:tbl>
    <w:p w14:paraId="54E917A1"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666"/>
      </w:tblGrid>
      <w:tr w:rsidR="00F427A3" w14:paraId="54E917A4" w14:textId="77777777">
        <w:trPr>
          <w:tblCellSpacing w:w="0" w:type="dxa"/>
        </w:trPr>
        <w:tc>
          <w:tcPr>
            <w:tcW w:w="1440" w:type="dxa"/>
            <w:shd w:val="clear" w:color="auto" w:fill="auto"/>
            <w:vAlign w:val="center"/>
          </w:tcPr>
          <w:p w14:paraId="54E917A2" w14:textId="77777777" w:rsidR="00F427A3" w:rsidRDefault="00F427A3">
            <w:pPr>
              <w:rPr>
                <w:rFonts w:ascii="Times New Roman" w:hAnsi="Times New Roman"/>
                <w:sz w:val="20"/>
                <w:szCs w:val="20"/>
              </w:rPr>
            </w:pPr>
          </w:p>
        </w:tc>
        <w:tc>
          <w:tcPr>
            <w:tcW w:w="0" w:type="auto"/>
            <w:shd w:val="clear" w:color="auto" w:fill="auto"/>
            <w:vAlign w:val="center"/>
          </w:tcPr>
          <w:p w14:paraId="54E917A3" w14:textId="77777777" w:rsidR="00F427A3" w:rsidRDefault="00F427A3">
            <w:pPr>
              <w:rPr>
                <w:rFonts w:ascii="Times New Roman" w:hAnsi="Times New Roman"/>
                <w:sz w:val="20"/>
                <w:szCs w:val="20"/>
              </w:rPr>
            </w:pPr>
          </w:p>
        </w:tc>
      </w:tr>
      <w:tr w:rsidR="00F427A3" w14:paraId="54E917A7" w14:textId="77777777">
        <w:trPr>
          <w:tblCellSpacing w:w="0" w:type="dxa"/>
        </w:trPr>
        <w:tc>
          <w:tcPr>
            <w:tcW w:w="0" w:type="auto"/>
            <w:shd w:val="clear" w:color="auto" w:fill="auto"/>
          </w:tcPr>
          <w:p w14:paraId="54E917A5"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A6"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fees paid to third parties for content or the distribution of our products;</w:t>
            </w:r>
          </w:p>
        </w:tc>
      </w:tr>
    </w:tbl>
    <w:p w14:paraId="54E917A8"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4222"/>
      </w:tblGrid>
      <w:tr w:rsidR="00F427A3" w14:paraId="54E917AB" w14:textId="77777777">
        <w:trPr>
          <w:tblCellSpacing w:w="0" w:type="dxa"/>
        </w:trPr>
        <w:tc>
          <w:tcPr>
            <w:tcW w:w="1440" w:type="dxa"/>
            <w:shd w:val="clear" w:color="auto" w:fill="auto"/>
            <w:vAlign w:val="center"/>
          </w:tcPr>
          <w:p w14:paraId="54E917A9" w14:textId="77777777" w:rsidR="00F427A3" w:rsidRDefault="00F427A3">
            <w:pPr>
              <w:rPr>
                <w:rFonts w:ascii="Times New Roman" w:hAnsi="Times New Roman"/>
                <w:sz w:val="20"/>
                <w:szCs w:val="20"/>
              </w:rPr>
            </w:pPr>
          </w:p>
        </w:tc>
        <w:tc>
          <w:tcPr>
            <w:tcW w:w="0" w:type="auto"/>
            <w:shd w:val="clear" w:color="auto" w:fill="auto"/>
            <w:vAlign w:val="center"/>
          </w:tcPr>
          <w:p w14:paraId="54E917AA" w14:textId="77777777" w:rsidR="00F427A3" w:rsidRDefault="00F427A3">
            <w:pPr>
              <w:rPr>
                <w:rFonts w:ascii="Times New Roman" w:hAnsi="Times New Roman"/>
                <w:sz w:val="20"/>
                <w:szCs w:val="20"/>
              </w:rPr>
            </w:pPr>
          </w:p>
        </w:tc>
      </w:tr>
      <w:tr w:rsidR="00F427A3" w14:paraId="54E917AE" w14:textId="77777777">
        <w:trPr>
          <w:tblCellSpacing w:w="0" w:type="dxa"/>
        </w:trPr>
        <w:tc>
          <w:tcPr>
            <w:tcW w:w="0" w:type="auto"/>
            <w:shd w:val="clear" w:color="auto" w:fill="auto"/>
          </w:tcPr>
          <w:p w14:paraId="54E917AC"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AD"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refunds or other concessions provided to advertisers;</w:t>
            </w:r>
          </w:p>
        </w:tc>
      </w:tr>
    </w:tbl>
    <w:p w14:paraId="54E917AF"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943"/>
      </w:tblGrid>
      <w:tr w:rsidR="00F427A3" w14:paraId="54E917B2" w14:textId="77777777">
        <w:trPr>
          <w:tblCellSpacing w:w="0" w:type="dxa"/>
        </w:trPr>
        <w:tc>
          <w:tcPr>
            <w:tcW w:w="1440" w:type="dxa"/>
            <w:shd w:val="clear" w:color="auto" w:fill="auto"/>
            <w:vAlign w:val="center"/>
          </w:tcPr>
          <w:p w14:paraId="54E917B0" w14:textId="77777777" w:rsidR="00F427A3" w:rsidRDefault="00F427A3">
            <w:pPr>
              <w:rPr>
                <w:rFonts w:ascii="Times New Roman" w:hAnsi="Times New Roman"/>
                <w:sz w:val="20"/>
                <w:szCs w:val="20"/>
              </w:rPr>
            </w:pPr>
          </w:p>
        </w:tc>
        <w:tc>
          <w:tcPr>
            <w:tcW w:w="0" w:type="auto"/>
            <w:shd w:val="clear" w:color="auto" w:fill="auto"/>
            <w:vAlign w:val="center"/>
          </w:tcPr>
          <w:p w14:paraId="54E917B1" w14:textId="77777777" w:rsidR="00F427A3" w:rsidRDefault="00F427A3">
            <w:pPr>
              <w:rPr>
                <w:rFonts w:ascii="Times New Roman" w:hAnsi="Times New Roman"/>
                <w:sz w:val="20"/>
                <w:szCs w:val="20"/>
              </w:rPr>
            </w:pPr>
          </w:p>
        </w:tc>
      </w:tr>
      <w:tr w:rsidR="00F427A3" w14:paraId="54E917B5" w14:textId="77777777">
        <w:trPr>
          <w:tblCellSpacing w:w="0" w:type="dxa"/>
        </w:trPr>
        <w:tc>
          <w:tcPr>
            <w:tcW w:w="0" w:type="auto"/>
            <w:shd w:val="clear" w:color="auto" w:fill="auto"/>
          </w:tcPr>
          <w:p w14:paraId="54E917B3"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B4"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share-based compensation expense, including acquisition-related expense;</w:t>
            </w:r>
          </w:p>
        </w:tc>
      </w:tr>
    </w:tbl>
    <w:p w14:paraId="54E917B6"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882"/>
      </w:tblGrid>
      <w:tr w:rsidR="00F427A3" w14:paraId="54E917B9" w14:textId="77777777">
        <w:trPr>
          <w:tblCellSpacing w:w="0" w:type="dxa"/>
        </w:trPr>
        <w:tc>
          <w:tcPr>
            <w:tcW w:w="1440" w:type="dxa"/>
            <w:shd w:val="clear" w:color="auto" w:fill="auto"/>
            <w:vAlign w:val="center"/>
          </w:tcPr>
          <w:p w14:paraId="54E917B7" w14:textId="77777777" w:rsidR="00F427A3" w:rsidRDefault="00F427A3">
            <w:pPr>
              <w:rPr>
                <w:rFonts w:ascii="Times New Roman" w:hAnsi="Times New Roman"/>
                <w:sz w:val="20"/>
                <w:szCs w:val="20"/>
              </w:rPr>
            </w:pPr>
          </w:p>
        </w:tc>
        <w:tc>
          <w:tcPr>
            <w:tcW w:w="0" w:type="auto"/>
            <w:shd w:val="clear" w:color="auto" w:fill="auto"/>
            <w:vAlign w:val="center"/>
          </w:tcPr>
          <w:p w14:paraId="54E917B8" w14:textId="77777777" w:rsidR="00F427A3" w:rsidRDefault="00F427A3">
            <w:pPr>
              <w:rPr>
                <w:rFonts w:ascii="Times New Roman" w:hAnsi="Times New Roman"/>
                <w:sz w:val="20"/>
                <w:szCs w:val="20"/>
              </w:rPr>
            </w:pPr>
          </w:p>
        </w:tc>
      </w:tr>
      <w:tr w:rsidR="00F427A3" w14:paraId="54E917BC" w14:textId="77777777">
        <w:trPr>
          <w:tblCellSpacing w:w="0" w:type="dxa"/>
        </w:trPr>
        <w:tc>
          <w:tcPr>
            <w:tcW w:w="0" w:type="auto"/>
            <w:shd w:val="clear" w:color="auto" w:fill="auto"/>
          </w:tcPr>
          <w:p w14:paraId="54E917BA"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BB"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adverse </w:t>
            </w:r>
            <w:r>
              <w:rPr>
                <w:rFonts w:ascii="Times New Roman" w:eastAsia="宋体" w:hAnsi="Times New Roman"/>
                <w:sz w:val="20"/>
                <w:szCs w:val="20"/>
              </w:rPr>
              <w:t>litigation judgments, settlements, or other litigation-related costs;</w:t>
            </w:r>
          </w:p>
        </w:tc>
      </w:tr>
    </w:tbl>
    <w:p w14:paraId="54E917BD"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7C0" w14:textId="77777777">
        <w:trPr>
          <w:tblCellSpacing w:w="0" w:type="dxa"/>
        </w:trPr>
        <w:tc>
          <w:tcPr>
            <w:tcW w:w="1440" w:type="dxa"/>
            <w:shd w:val="clear" w:color="auto" w:fill="auto"/>
            <w:vAlign w:val="center"/>
          </w:tcPr>
          <w:p w14:paraId="54E917BE" w14:textId="77777777" w:rsidR="00F427A3" w:rsidRDefault="00F427A3">
            <w:pPr>
              <w:rPr>
                <w:rFonts w:ascii="Times New Roman" w:hAnsi="Times New Roman"/>
                <w:sz w:val="20"/>
                <w:szCs w:val="20"/>
              </w:rPr>
            </w:pPr>
          </w:p>
        </w:tc>
        <w:tc>
          <w:tcPr>
            <w:tcW w:w="0" w:type="auto"/>
            <w:shd w:val="clear" w:color="auto" w:fill="auto"/>
            <w:vAlign w:val="center"/>
          </w:tcPr>
          <w:p w14:paraId="54E917BF" w14:textId="77777777" w:rsidR="00F427A3" w:rsidRDefault="00F427A3">
            <w:pPr>
              <w:rPr>
                <w:rFonts w:ascii="Times New Roman" w:hAnsi="Times New Roman"/>
                <w:sz w:val="20"/>
                <w:szCs w:val="20"/>
              </w:rPr>
            </w:pPr>
          </w:p>
        </w:tc>
      </w:tr>
      <w:tr w:rsidR="00F427A3" w14:paraId="54E917C3" w14:textId="77777777">
        <w:trPr>
          <w:tblCellSpacing w:w="0" w:type="dxa"/>
        </w:trPr>
        <w:tc>
          <w:tcPr>
            <w:tcW w:w="0" w:type="auto"/>
            <w:shd w:val="clear" w:color="auto" w:fill="auto"/>
          </w:tcPr>
          <w:p w14:paraId="54E917C1"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C2"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changes in the legislative or regulatory environment, including with respect to privacy and data protection, or actions by governments or regulators, including fines, </w:t>
            </w:r>
            <w:r>
              <w:rPr>
                <w:rFonts w:ascii="Times New Roman" w:eastAsia="宋体" w:hAnsi="Times New Roman"/>
                <w:sz w:val="20"/>
                <w:szCs w:val="20"/>
              </w:rPr>
              <w:t>orders, or consent decrees;</w:t>
            </w:r>
          </w:p>
        </w:tc>
      </w:tr>
    </w:tbl>
    <w:p w14:paraId="54E917C4"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7C7" w14:textId="77777777">
        <w:trPr>
          <w:tblCellSpacing w:w="0" w:type="dxa"/>
        </w:trPr>
        <w:tc>
          <w:tcPr>
            <w:tcW w:w="1440" w:type="dxa"/>
            <w:shd w:val="clear" w:color="auto" w:fill="auto"/>
            <w:vAlign w:val="center"/>
          </w:tcPr>
          <w:p w14:paraId="54E917C5" w14:textId="77777777" w:rsidR="00F427A3" w:rsidRDefault="00F427A3">
            <w:pPr>
              <w:rPr>
                <w:rFonts w:ascii="Times New Roman" w:hAnsi="Times New Roman"/>
                <w:sz w:val="20"/>
                <w:szCs w:val="20"/>
              </w:rPr>
            </w:pPr>
          </w:p>
        </w:tc>
        <w:tc>
          <w:tcPr>
            <w:tcW w:w="0" w:type="auto"/>
            <w:shd w:val="clear" w:color="auto" w:fill="auto"/>
            <w:vAlign w:val="center"/>
          </w:tcPr>
          <w:p w14:paraId="54E917C6" w14:textId="77777777" w:rsidR="00F427A3" w:rsidRDefault="00F427A3">
            <w:pPr>
              <w:rPr>
                <w:rFonts w:ascii="Times New Roman" w:hAnsi="Times New Roman"/>
                <w:sz w:val="20"/>
                <w:szCs w:val="20"/>
              </w:rPr>
            </w:pPr>
          </w:p>
        </w:tc>
      </w:tr>
      <w:tr w:rsidR="00F427A3" w14:paraId="54E917CA" w14:textId="77777777">
        <w:trPr>
          <w:tblCellSpacing w:w="0" w:type="dxa"/>
        </w:trPr>
        <w:tc>
          <w:tcPr>
            <w:tcW w:w="0" w:type="auto"/>
            <w:shd w:val="clear" w:color="auto" w:fill="auto"/>
          </w:tcPr>
          <w:p w14:paraId="54E917C8"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C9"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overall tax rate for our business, which is affected by the mix of income we earn in the U.S. and in jurisdictions with different tax rates, the effects of share-based compensation, the effects of </w:t>
            </w:r>
            <w:r>
              <w:rPr>
                <w:rFonts w:ascii="Times New Roman" w:eastAsia="宋体" w:hAnsi="Times New Roman"/>
                <w:sz w:val="20"/>
                <w:szCs w:val="20"/>
              </w:rPr>
              <w:t>integrating intellectual property from acquisitions, the effects of changes in our business or structure, and the effects of discrete items such as legal and tax settlements and tax elections;</w:t>
            </w:r>
          </w:p>
        </w:tc>
      </w:tr>
    </w:tbl>
    <w:p w14:paraId="54E917CB"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7CE" w14:textId="77777777">
        <w:trPr>
          <w:tblCellSpacing w:w="0" w:type="dxa"/>
        </w:trPr>
        <w:tc>
          <w:tcPr>
            <w:tcW w:w="1440" w:type="dxa"/>
            <w:shd w:val="clear" w:color="auto" w:fill="auto"/>
            <w:vAlign w:val="center"/>
          </w:tcPr>
          <w:p w14:paraId="54E917CC" w14:textId="77777777" w:rsidR="00F427A3" w:rsidRDefault="00F427A3">
            <w:pPr>
              <w:rPr>
                <w:rFonts w:ascii="Times New Roman" w:hAnsi="Times New Roman"/>
                <w:sz w:val="20"/>
                <w:szCs w:val="20"/>
              </w:rPr>
            </w:pPr>
          </w:p>
        </w:tc>
        <w:tc>
          <w:tcPr>
            <w:tcW w:w="0" w:type="auto"/>
            <w:shd w:val="clear" w:color="auto" w:fill="auto"/>
            <w:vAlign w:val="center"/>
          </w:tcPr>
          <w:p w14:paraId="54E917CD" w14:textId="77777777" w:rsidR="00F427A3" w:rsidRDefault="00F427A3">
            <w:pPr>
              <w:rPr>
                <w:rFonts w:ascii="Times New Roman" w:hAnsi="Times New Roman"/>
                <w:sz w:val="20"/>
                <w:szCs w:val="20"/>
              </w:rPr>
            </w:pPr>
          </w:p>
        </w:tc>
      </w:tr>
      <w:tr w:rsidR="00F427A3" w14:paraId="54E917D1" w14:textId="77777777">
        <w:trPr>
          <w:tblCellSpacing w:w="0" w:type="dxa"/>
        </w:trPr>
        <w:tc>
          <w:tcPr>
            <w:tcW w:w="0" w:type="auto"/>
            <w:shd w:val="clear" w:color="auto" w:fill="auto"/>
          </w:tcPr>
          <w:p w14:paraId="54E917CF"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D0"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impact of changes in tax laws or judicial or </w:t>
            </w:r>
            <w:r>
              <w:rPr>
                <w:rFonts w:ascii="Times New Roman" w:eastAsia="宋体" w:hAnsi="Times New Roman"/>
                <w:sz w:val="20"/>
                <w:szCs w:val="20"/>
              </w:rPr>
              <w:t>regulatory interpretations of tax laws, which are recorded in the period such laws are enacted or interpretations are issued, and may significantly affect the effective tax rate of that period;</w:t>
            </w:r>
          </w:p>
        </w:tc>
      </w:tr>
    </w:tbl>
    <w:p w14:paraId="54E917D2"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7D5" w14:textId="77777777">
        <w:trPr>
          <w:tblCellSpacing w:w="0" w:type="dxa"/>
        </w:trPr>
        <w:tc>
          <w:tcPr>
            <w:tcW w:w="1440" w:type="dxa"/>
            <w:shd w:val="clear" w:color="auto" w:fill="auto"/>
            <w:vAlign w:val="center"/>
          </w:tcPr>
          <w:p w14:paraId="54E917D3" w14:textId="77777777" w:rsidR="00F427A3" w:rsidRDefault="00F427A3">
            <w:pPr>
              <w:rPr>
                <w:rFonts w:ascii="Times New Roman" w:hAnsi="Times New Roman"/>
                <w:sz w:val="20"/>
                <w:szCs w:val="20"/>
              </w:rPr>
            </w:pPr>
          </w:p>
        </w:tc>
        <w:tc>
          <w:tcPr>
            <w:tcW w:w="0" w:type="auto"/>
            <w:shd w:val="clear" w:color="auto" w:fill="auto"/>
            <w:vAlign w:val="center"/>
          </w:tcPr>
          <w:p w14:paraId="54E917D4" w14:textId="77777777" w:rsidR="00F427A3" w:rsidRDefault="00F427A3">
            <w:pPr>
              <w:rPr>
                <w:rFonts w:ascii="Times New Roman" w:hAnsi="Times New Roman"/>
                <w:sz w:val="20"/>
                <w:szCs w:val="20"/>
              </w:rPr>
            </w:pPr>
          </w:p>
        </w:tc>
      </w:tr>
      <w:tr w:rsidR="00F427A3" w14:paraId="54E917D8" w14:textId="77777777">
        <w:trPr>
          <w:tblCellSpacing w:w="0" w:type="dxa"/>
        </w:trPr>
        <w:tc>
          <w:tcPr>
            <w:tcW w:w="0" w:type="auto"/>
            <w:shd w:val="clear" w:color="auto" w:fill="auto"/>
          </w:tcPr>
          <w:p w14:paraId="54E917D6"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D7"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tax obligations that may arise from resolutions of tax examinations, including the examination we are currently </w:t>
            </w:r>
          </w:p>
        </w:tc>
      </w:tr>
    </w:tbl>
    <w:p w14:paraId="54E917D9" w14:textId="77777777" w:rsidR="00F427A3" w:rsidRDefault="00F427A3">
      <w:pPr>
        <w:rPr>
          <w:rFonts w:ascii="Times New Roman" w:hAnsi="Times New Roman"/>
          <w:sz w:val="20"/>
          <w:szCs w:val="20"/>
        </w:rPr>
      </w:pPr>
    </w:p>
    <w:p w14:paraId="54E917DA"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64</w:t>
      </w:r>
    </w:p>
    <w:p w14:paraId="54E917DB" w14:textId="77777777" w:rsidR="00F427A3" w:rsidRDefault="0044221F">
      <w:r>
        <w:rPr>
          <w:rFonts w:ascii="Times New Roman" w:hAnsi="Times New Roman"/>
          <w:sz w:val="20"/>
          <w:szCs w:val="20"/>
        </w:rPr>
        <w:pict w14:anchorId="54E91C70">
          <v:rect id="_x0000_i1088" style="width:415.3pt;height:1.5pt" o:hralign="center" o:hrstd="t" o:hr="t" fillcolor="#a0a0a0" stroked="f"/>
        </w:pict>
      </w:r>
    </w:p>
    <w:p w14:paraId="54E917DC" w14:textId="77777777" w:rsidR="00F427A3" w:rsidRDefault="0044221F">
      <w:pPr>
        <w:spacing w:line="288" w:lineRule="auto"/>
        <w:rPr>
          <w:rFonts w:ascii="Times New Roman" w:hAnsi="Times New Roman"/>
          <w:sz w:val="20"/>
          <w:szCs w:val="20"/>
        </w:rPr>
      </w:pPr>
      <w:hyperlink r:id="rId105" w:anchor="s348EA962CF6D59B599D9921AFA89C381" w:history="1">
        <w:r>
          <w:rPr>
            <w:rStyle w:val="a5"/>
            <w:rFonts w:ascii="Times New Roman" w:eastAsia="宋体" w:hAnsi="Times New Roman"/>
            <w:sz w:val="20"/>
            <w:szCs w:val="20"/>
          </w:rPr>
          <w:t>Table of Contents</w:t>
        </w:r>
      </w:hyperlink>
    </w:p>
    <w:p w14:paraId="54E917DD" w14:textId="77777777" w:rsidR="00F427A3" w:rsidRDefault="00F427A3">
      <w:pPr>
        <w:rPr>
          <w:rFonts w:ascii="Times New Roman" w:hAnsi="Times New Roman"/>
          <w:sz w:val="20"/>
          <w:szCs w:val="20"/>
        </w:rPr>
      </w:pPr>
    </w:p>
    <w:p w14:paraId="54E917DE" w14:textId="77777777" w:rsidR="00F427A3" w:rsidRDefault="0044221F">
      <w:pPr>
        <w:spacing w:line="288" w:lineRule="auto"/>
        <w:jc w:val="both"/>
        <w:rPr>
          <w:rFonts w:ascii="Times New Roman" w:hAnsi="Times New Roman"/>
          <w:sz w:val="20"/>
          <w:szCs w:val="20"/>
        </w:rPr>
      </w:pPr>
      <w:r>
        <w:rPr>
          <w:rFonts w:ascii="Times New Roman" w:eastAsia="宋体" w:hAnsi="Times New Roman"/>
          <w:sz w:val="20"/>
          <w:szCs w:val="20"/>
        </w:rPr>
        <w:t>under by the Internal Revenue Service (IRS), that materially differ from the amounts we have anticipated;</w:t>
      </w: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7E1" w14:textId="77777777">
        <w:trPr>
          <w:tblCellSpacing w:w="0" w:type="dxa"/>
        </w:trPr>
        <w:tc>
          <w:tcPr>
            <w:tcW w:w="1440" w:type="dxa"/>
            <w:shd w:val="clear" w:color="auto" w:fill="auto"/>
            <w:vAlign w:val="center"/>
          </w:tcPr>
          <w:p w14:paraId="54E917DF" w14:textId="77777777" w:rsidR="00F427A3" w:rsidRDefault="00F427A3">
            <w:pPr>
              <w:rPr>
                <w:rFonts w:ascii="Times New Roman" w:hAnsi="Times New Roman"/>
                <w:sz w:val="20"/>
                <w:szCs w:val="20"/>
              </w:rPr>
            </w:pPr>
          </w:p>
        </w:tc>
        <w:tc>
          <w:tcPr>
            <w:tcW w:w="0" w:type="auto"/>
            <w:shd w:val="clear" w:color="auto" w:fill="auto"/>
            <w:vAlign w:val="center"/>
          </w:tcPr>
          <w:p w14:paraId="54E917E0" w14:textId="77777777" w:rsidR="00F427A3" w:rsidRDefault="00F427A3">
            <w:pPr>
              <w:rPr>
                <w:rFonts w:ascii="Times New Roman" w:hAnsi="Times New Roman"/>
                <w:sz w:val="20"/>
                <w:szCs w:val="20"/>
              </w:rPr>
            </w:pPr>
          </w:p>
        </w:tc>
      </w:tr>
      <w:tr w:rsidR="00F427A3" w14:paraId="54E917E4" w14:textId="77777777">
        <w:trPr>
          <w:tblCellSpacing w:w="0" w:type="dxa"/>
        </w:trPr>
        <w:tc>
          <w:tcPr>
            <w:tcW w:w="0" w:type="auto"/>
            <w:shd w:val="clear" w:color="auto" w:fill="auto"/>
          </w:tcPr>
          <w:p w14:paraId="54E917E2"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E3"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fluctuations in currency exchange rates and changes in the proportion of our revenue and expenses </w:t>
            </w:r>
            <w:r>
              <w:rPr>
                <w:rFonts w:ascii="Times New Roman" w:eastAsia="宋体" w:hAnsi="Times New Roman"/>
                <w:sz w:val="20"/>
                <w:szCs w:val="20"/>
              </w:rPr>
              <w:t>denominated in foreign currencies;</w:t>
            </w:r>
          </w:p>
        </w:tc>
      </w:tr>
    </w:tbl>
    <w:p w14:paraId="54E917E5"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3910"/>
      </w:tblGrid>
      <w:tr w:rsidR="00F427A3" w14:paraId="54E917E8" w14:textId="77777777">
        <w:trPr>
          <w:tblCellSpacing w:w="0" w:type="dxa"/>
        </w:trPr>
        <w:tc>
          <w:tcPr>
            <w:tcW w:w="1440" w:type="dxa"/>
            <w:shd w:val="clear" w:color="auto" w:fill="auto"/>
            <w:vAlign w:val="center"/>
          </w:tcPr>
          <w:p w14:paraId="54E917E6" w14:textId="77777777" w:rsidR="00F427A3" w:rsidRDefault="00F427A3">
            <w:pPr>
              <w:rPr>
                <w:rFonts w:ascii="Times New Roman" w:hAnsi="Times New Roman"/>
                <w:sz w:val="20"/>
                <w:szCs w:val="20"/>
              </w:rPr>
            </w:pPr>
          </w:p>
        </w:tc>
        <w:tc>
          <w:tcPr>
            <w:tcW w:w="0" w:type="auto"/>
            <w:shd w:val="clear" w:color="auto" w:fill="auto"/>
            <w:vAlign w:val="center"/>
          </w:tcPr>
          <w:p w14:paraId="54E917E7" w14:textId="77777777" w:rsidR="00F427A3" w:rsidRDefault="00F427A3">
            <w:pPr>
              <w:rPr>
                <w:rFonts w:ascii="Times New Roman" w:hAnsi="Times New Roman"/>
                <w:sz w:val="20"/>
                <w:szCs w:val="20"/>
              </w:rPr>
            </w:pPr>
          </w:p>
        </w:tc>
      </w:tr>
      <w:tr w:rsidR="00F427A3" w14:paraId="54E917EB" w14:textId="77777777">
        <w:trPr>
          <w:tblCellSpacing w:w="0" w:type="dxa"/>
        </w:trPr>
        <w:tc>
          <w:tcPr>
            <w:tcW w:w="0" w:type="auto"/>
            <w:shd w:val="clear" w:color="auto" w:fill="auto"/>
          </w:tcPr>
          <w:p w14:paraId="54E917E9"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EA"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trading activity in our share repurchase program;</w:t>
            </w:r>
          </w:p>
        </w:tc>
      </w:tr>
    </w:tbl>
    <w:p w14:paraId="54E917EC"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7EF" w14:textId="77777777">
        <w:trPr>
          <w:tblCellSpacing w:w="0" w:type="dxa"/>
        </w:trPr>
        <w:tc>
          <w:tcPr>
            <w:tcW w:w="1440" w:type="dxa"/>
            <w:shd w:val="clear" w:color="auto" w:fill="auto"/>
            <w:vAlign w:val="center"/>
          </w:tcPr>
          <w:p w14:paraId="54E917ED" w14:textId="77777777" w:rsidR="00F427A3" w:rsidRDefault="00F427A3">
            <w:pPr>
              <w:rPr>
                <w:rFonts w:ascii="Times New Roman" w:hAnsi="Times New Roman"/>
                <w:sz w:val="20"/>
                <w:szCs w:val="20"/>
              </w:rPr>
            </w:pPr>
          </w:p>
        </w:tc>
        <w:tc>
          <w:tcPr>
            <w:tcW w:w="0" w:type="auto"/>
            <w:shd w:val="clear" w:color="auto" w:fill="auto"/>
            <w:vAlign w:val="center"/>
          </w:tcPr>
          <w:p w14:paraId="54E917EE" w14:textId="77777777" w:rsidR="00F427A3" w:rsidRDefault="00F427A3">
            <w:pPr>
              <w:rPr>
                <w:rFonts w:ascii="Times New Roman" w:hAnsi="Times New Roman"/>
                <w:sz w:val="20"/>
                <w:szCs w:val="20"/>
              </w:rPr>
            </w:pPr>
          </w:p>
        </w:tc>
      </w:tr>
      <w:tr w:rsidR="00F427A3" w14:paraId="54E917F2" w14:textId="77777777">
        <w:trPr>
          <w:tblCellSpacing w:w="0" w:type="dxa"/>
        </w:trPr>
        <w:tc>
          <w:tcPr>
            <w:tcW w:w="0" w:type="auto"/>
            <w:shd w:val="clear" w:color="auto" w:fill="auto"/>
          </w:tcPr>
          <w:p w14:paraId="54E917F0"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F1"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fluctuations in the market values of our investments in marketable securities, in the valuation of our equity investments, and in interest rates;</w:t>
            </w:r>
          </w:p>
        </w:tc>
      </w:tr>
    </w:tbl>
    <w:p w14:paraId="54E917F3"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4960"/>
      </w:tblGrid>
      <w:tr w:rsidR="00F427A3" w14:paraId="54E917F6" w14:textId="77777777">
        <w:trPr>
          <w:tblCellSpacing w:w="0" w:type="dxa"/>
        </w:trPr>
        <w:tc>
          <w:tcPr>
            <w:tcW w:w="1440" w:type="dxa"/>
            <w:shd w:val="clear" w:color="auto" w:fill="auto"/>
            <w:vAlign w:val="center"/>
          </w:tcPr>
          <w:p w14:paraId="54E917F4" w14:textId="77777777" w:rsidR="00F427A3" w:rsidRDefault="00F427A3">
            <w:pPr>
              <w:rPr>
                <w:rFonts w:ascii="Times New Roman" w:hAnsi="Times New Roman"/>
                <w:sz w:val="20"/>
                <w:szCs w:val="20"/>
              </w:rPr>
            </w:pPr>
          </w:p>
        </w:tc>
        <w:tc>
          <w:tcPr>
            <w:tcW w:w="0" w:type="auto"/>
            <w:shd w:val="clear" w:color="auto" w:fill="auto"/>
            <w:vAlign w:val="center"/>
          </w:tcPr>
          <w:p w14:paraId="54E917F5" w14:textId="77777777" w:rsidR="00F427A3" w:rsidRDefault="00F427A3">
            <w:pPr>
              <w:rPr>
                <w:rFonts w:ascii="Times New Roman" w:hAnsi="Times New Roman"/>
                <w:sz w:val="20"/>
                <w:szCs w:val="20"/>
              </w:rPr>
            </w:pPr>
          </w:p>
        </w:tc>
      </w:tr>
      <w:tr w:rsidR="00F427A3" w14:paraId="54E917F9" w14:textId="77777777">
        <w:trPr>
          <w:tblCellSpacing w:w="0" w:type="dxa"/>
        </w:trPr>
        <w:tc>
          <w:tcPr>
            <w:tcW w:w="0" w:type="auto"/>
            <w:shd w:val="clear" w:color="auto" w:fill="auto"/>
          </w:tcPr>
          <w:p w14:paraId="54E917F7"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F8"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changes in U.S. generally accepted accounting principles; and</w:t>
            </w:r>
          </w:p>
        </w:tc>
      </w:tr>
    </w:tbl>
    <w:p w14:paraId="54E917FA"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7FD" w14:textId="77777777">
        <w:trPr>
          <w:tblCellSpacing w:w="0" w:type="dxa"/>
        </w:trPr>
        <w:tc>
          <w:tcPr>
            <w:tcW w:w="1440" w:type="dxa"/>
            <w:shd w:val="clear" w:color="auto" w:fill="auto"/>
            <w:vAlign w:val="center"/>
          </w:tcPr>
          <w:p w14:paraId="54E917FB" w14:textId="77777777" w:rsidR="00F427A3" w:rsidRDefault="00F427A3">
            <w:pPr>
              <w:rPr>
                <w:rFonts w:ascii="Times New Roman" w:hAnsi="Times New Roman"/>
                <w:sz w:val="20"/>
                <w:szCs w:val="20"/>
              </w:rPr>
            </w:pPr>
          </w:p>
        </w:tc>
        <w:tc>
          <w:tcPr>
            <w:tcW w:w="0" w:type="auto"/>
            <w:shd w:val="clear" w:color="auto" w:fill="auto"/>
            <w:vAlign w:val="center"/>
          </w:tcPr>
          <w:p w14:paraId="54E917FC" w14:textId="77777777" w:rsidR="00F427A3" w:rsidRDefault="00F427A3">
            <w:pPr>
              <w:rPr>
                <w:rFonts w:ascii="Times New Roman" w:hAnsi="Times New Roman"/>
                <w:sz w:val="20"/>
                <w:szCs w:val="20"/>
              </w:rPr>
            </w:pPr>
          </w:p>
        </w:tc>
      </w:tr>
      <w:tr w:rsidR="00F427A3" w14:paraId="54E91800" w14:textId="77777777">
        <w:trPr>
          <w:tblCellSpacing w:w="0" w:type="dxa"/>
        </w:trPr>
        <w:tc>
          <w:tcPr>
            <w:tcW w:w="0" w:type="auto"/>
            <w:shd w:val="clear" w:color="auto" w:fill="auto"/>
          </w:tcPr>
          <w:p w14:paraId="54E917FE"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7FF"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changes in regional or global business or macroeconomic conditions, including as a result of the COVID-19 pandemic, which may impact the other factors described above. </w:t>
            </w:r>
          </w:p>
        </w:tc>
      </w:tr>
    </w:tbl>
    <w:p w14:paraId="54E91801"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We expect our rates of growth to be volatile in the near term as a result of the COVID</w:t>
      </w:r>
      <w:r>
        <w:rPr>
          <w:rFonts w:ascii="Times New Roman" w:eastAsia="宋体" w:hAnsi="Times New Roman"/>
          <w:b/>
          <w:bCs/>
          <w:i/>
          <w:iCs/>
          <w:sz w:val="20"/>
          <w:szCs w:val="20"/>
        </w:rPr>
        <w:t>-19 pandemic and to decline over time in the future.</w:t>
      </w:r>
    </w:p>
    <w:p w14:paraId="54E91802" w14:textId="77777777" w:rsidR="00F427A3" w:rsidRDefault="00F427A3">
      <w:pPr>
        <w:spacing w:line="288" w:lineRule="auto"/>
        <w:ind w:firstLine="720"/>
        <w:jc w:val="both"/>
        <w:rPr>
          <w:rFonts w:ascii="Times New Roman" w:hAnsi="Times New Roman"/>
          <w:sz w:val="20"/>
          <w:szCs w:val="20"/>
        </w:rPr>
      </w:pPr>
    </w:p>
    <w:p w14:paraId="54E91803"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expect our user and revenue growth rates to be volatile in the near term as a result of the COVID-19 pandemic, although we are unable to predict the duration or degree of such volatility with any </w:t>
      </w:r>
      <w:r>
        <w:rPr>
          <w:rFonts w:ascii="Times New Roman" w:eastAsia="宋体" w:hAnsi="Times New Roman"/>
          <w:sz w:val="20"/>
          <w:szCs w:val="20"/>
        </w:rPr>
        <w:t>certainty. In the long term, we expect that our user growth rate will generally decline over time as the size of our active user base increases, and it is possible that the size of our active user base may fluctuate or decline in one or more markets, parti</w:t>
      </w:r>
      <w:r>
        <w:rPr>
          <w:rFonts w:ascii="Times New Roman" w:eastAsia="宋体" w:hAnsi="Times New Roman"/>
          <w:sz w:val="20"/>
          <w:szCs w:val="20"/>
        </w:rPr>
        <w:t>cularly as we achieve greater market penetration. We also expect our revenue growth rate will continue to decline over time as our revenue increases to higher levels. As our growth rates experience volatility or decline, investors' perceptions of our busin</w:t>
      </w:r>
      <w:r>
        <w:rPr>
          <w:rFonts w:ascii="Times New Roman" w:eastAsia="宋体" w:hAnsi="Times New Roman"/>
          <w:sz w:val="20"/>
          <w:szCs w:val="20"/>
        </w:rPr>
        <w:t>ess may be adversely affected and the trading price of our Class A common stock could decline.</w:t>
      </w:r>
    </w:p>
    <w:p w14:paraId="54E91804" w14:textId="77777777" w:rsidR="00F427A3" w:rsidRDefault="00F427A3">
      <w:pPr>
        <w:spacing w:line="288" w:lineRule="auto"/>
        <w:jc w:val="both"/>
        <w:rPr>
          <w:rFonts w:ascii="Times New Roman" w:hAnsi="Times New Roman"/>
          <w:sz w:val="20"/>
          <w:szCs w:val="20"/>
        </w:rPr>
      </w:pPr>
    </w:p>
    <w:p w14:paraId="54E91805"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Our costs are continuing to grow, and some of our investments, particularly our investments in virtual and augmented reality, have the effect of reducing our op</w:t>
      </w:r>
      <w:r>
        <w:rPr>
          <w:rFonts w:ascii="Times New Roman" w:eastAsia="宋体" w:hAnsi="Times New Roman"/>
          <w:b/>
          <w:bCs/>
          <w:i/>
          <w:iCs/>
          <w:sz w:val="20"/>
          <w:szCs w:val="20"/>
        </w:rPr>
        <w:t>erating margin and profitability. If our investments are not successful longer-term, our business and financial performance will be harmed.</w:t>
      </w:r>
    </w:p>
    <w:p w14:paraId="54E91806" w14:textId="77777777" w:rsidR="00F427A3" w:rsidRDefault="00F427A3">
      <w:pPr>
        <w:spacing w:line="288" w:lineRule="auto"/>
        <w:jc w:val="both"/>
        <w:rPr>
          <w:rFonts w:ascii="Times New Roman" w:hAnsi="Times New Roman"/>
          <w:sz w:val="20"/>
          <w:szCs w:val="20"/>
        </w:rPr>
      </w:pPr>
    </w:p>
    <w:p w14:paraId="54E91807"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Operating our business is costly, and we expect our expenses to continue to increase in the future as we </w:t>
      </w:r>
      <w:r>
        <w:rPr>
          <w:rFonts w:ascii="Times New Roman" w:eastAsia="宋体" w:hAnsi="Times New Roman"/>
          <w:sz w:val="20"/>
          <w:szCs w:val="20"/>
        </w:rPr>
        <w:t>broaden our user base, as users increase the amount and types of content they consume and the data they share with us, for example with respect to video, as we develop and implement new products, as we market new and existing products and promote our brand</w:t>
      </w:r>
      <w:r>
        <w:rPr>
          <w:rFonts w:ascii="Times New Roman" w:eastAsia="宋体" w:hAnsi="Times New Roman"/>
          <w:sz w:val="20"/>
          <w:szCs w:val="20"/>
        </w:rPr>
        <w:t>s, as we continue to expand our technical infrastructure, as we continue to invest in new and unproven technologies, and as we continue to hire additional employees and contractors to support our expanding operations, including our efforts to focus on priv</w:t>
      </w:r>
      <w:r>
        <w:rPr>
          <w:rFonts w:ascii="Times New Roman" w:eastAsia="宋体" w:hAnsi="Times New Roman"/>
          <w:sz w:val="20"/>
          <w:szCs w:val="20"/>
        </w:rPr>
        <w:t>acy, safety, security, and content review. In addition, from time to time we are subject to settlements, judgments, fines, or other monetary penalties in connection with legal and regulatory developments that may be material to our business. We are also co</w:t>
      </w:r>
      <w:r>
        <w:rPr>
          <w:rFonts w:ascii="Times New Roman" w:eastAsia="宋体" w:hAnsi="Times New Roman"/>
          <w:sz w:val="20"/>
          <w:szCs w:val="20"/>
        </w:rPr>
        <w:t>ntinuing to increase our investments in new platforms and technologies. Some of these investments, particularly our significant investments in virtual and augmented reality, have generated only limited revenue and reduced our operating margin and profitabi</w:t>
      </w:r>
      <w:r>
        <w:rPr>
          <w:rFonts w:ascii="Times New Roman" w:eastAsia="宋体" w:hAnsi="Times New Roman"/>
          <w:sz w:val="20"/>
          <w:szCs w:val="20"/>
        </w:rPr>
        <w:t>lity, and we expect the adverse financial impact of such investments to continue for some time. If our investments are not successful longer-term, our business and financial performance will be harmed.</w:t>
      </w:r>
    </w:p>
    <w:p w14:paraId="54E91808" w14:textId="77777777" w:rsidR="00F427A3" w:rsidRDefault="00F427A3">
      <w:pPr>
        <w:spacing w:line="288" w:lineRule="auto"/>
        <w:ind w:firstLine="720"/>
        <w:jc w:val="both"/>
        <w:rPr>
          <w:rFonts w:ascii="Times New Roman" w:hAnsi="Times New Roman"/>
          <w:sz w:val="20"/>
          <w:szCs w:val="20"/>
        </w:rPr>
      </w:pPr>
    </w:p>
    <w:p w14:paraId="54E91809"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Given our levels of share-based compensation, our tax</w:t>
      </w:r>
      <w:r>
        <w:rPr>
          <w:rFonts w:ascii="Times New Roman" w:eastAsia="宋体" w:hAnsi="Times New Roman"/>
          <w:b/>
          <w:bCs/>
          <w:i/>
          <w:iCs/>
          <w:sz w:val="20"/>
          <w:szCs w:val="20"/>
        </w:rPr>
        <w:t xml:space="preserve"> rate may vary significantly depending on our stock price.</w:t>
      </w:r>
    </w:p>
    <w:p w14:paraId="54E9180A" w14:textId="77777777" w:rsidR="00F427A3" w:rsidRDefault="00F427A3">
      <w:pPr>
        <w:spacing w:line="288" w:lineRule="auto"/>
        <w:ind w:firstLine="720"/>
        <w:jc w:val="both"/>
        <w:rPr>
          <w:rFonts w:ascii="Times New Roman" w:hAnsi="Times New Roman"/>
          <w:sz w:val="20"/>
          <w:szCs w:val="20"/>
        </w:rPr>
      </w:pPr>
    </w:p>
    <w:p w14:paraId="54E9180B"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tax effects of the accounting for share-based compensation may significantly impact our effective tax rate from period to period. In periods in which our stock price is higher than the grant p</w:t>
      </w:r>
      <w:r>
        <w:rPr>
          <w:rFonts w:ascii="Times New Roman" w:eastAsia="宋体" w:hAnsi="Times New Roman"/>
          <w:sz w:val="20"/>
          <w:szCs w:val="20"/>
        </w:rPr>
        <w:t>rice of the share-based compensation vesting in that period, we will recognize excess tax benefits that will decrease our effective tax rate. For example, in the nine months ended September 30, 2020, excess tax benefits recognized from share-based compensa</w:t>
      </w:r>
      <w:r>
        <w:rPr>
          <w:rFonts w:ascii="Times New Roman" w:eastAsia="宋体" w:hAnsi="Times New Roman"/>
          <w:sz w:val="20"/>
          <w:szCs w:val="20"/>
        </w:rPr>
        <w:t>tion decreased our provision for income taxes by $380 million and our effective tax rate by two percentage points as compared to the tax rate without such benefits. In future periods in which our stock price is lower than the grant price of the share-based</w:t>
      </w:r>
      <w:r>
        <w:rPr>
          <w:rFonts w:ascii="Times New Roman" w:eastAsia="宋体" w:hAnsi="Times New Roman"/>
          <w:sz w:val="20"/>
          <w:szCs w:val="20"/>
        </w:rPr>
        <w:t xml:space="preserve"> compensation vesting in that period, our effective tax rate may increase. The amount and value of share-based compensation issued relative to our earnings in a particular period will also affect the magnitude of the impact of share-based compensation on o</w:t>
      </w:r>
      <w:r>
        <w:rPr>
          <w:rFonts w:ascii="Times New Roman" w:eastAsia="宋体" w:hAnsi="Times New Roman"/>
          <w:sz w:val="20"/>
          <w:szCs w:val="20"/>
        </w:rPr>
        <w:t>ur effective tax rate. These tax effects are dependent on our stock price, which we do not control, and a decline in our stock price could significantly increase our effective tax rate and adversely affect our financial results.</w:t>
      </w:r>
    </w:p>
    <w:p w14:paraId="54E9180C" w14:textId="77777777" w:rsidR="00F427A3" w:rsidRDefault="00F427A3">
      <w:pPr>
        <w:rPr>
          <w:rFonts w:ascii="Times New Roman" w:hAnsi="Times New Roman"/>
          <w:sz w:val="20"/>
          <w:szCs w:val="20"/>
        </w:rPr>
      </w:pPr>
    </w:p>
    <w:p w14:paraId="54E9180D"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65</w:t>
      </w:r>
    </w:p>
    <w:p w14:paraId="54E9180E" w14:textId="77777777" w:rsidR="00F427A3" w:rsidRDefault="0044221F">
      <w:r>
        <w:rPr>
          <w:rFonts w:ascii="Times New Roman" w:hAnsi="Times New Roman"/>
          <w:sz w:val="20"/>
          <w:szCs w:val="20"/>
        </w:rPr>
        <w:pict w14:anchorId="54E91C71">
          <v:rect id="_x0000_i1089" style="width:415.3pt;height:1.5pt" o:hralign="center" o:hrstd="t" o:hr="t" fillcolor="#a0a0a0" stroked="f"/>
        </w:pict>
      </w:r>
    </w:p>
    <w:p w14:paraId="54E9180F" w14:textId="77777777" w:rsidR="00F427A3" w:rsidRDefault="0044221F">
      <w:pPr>
        <w:spacing w:line="288" w:lineRule="auto"/>
        <w:rPr>
          <w:rFonts w:ascii="Times New Roman" w:hAnsi="Times New Roman"/>
          <w:sz w:val="20"/>
          <w:szCs w:val="20"/>
        </w:rPr>
      </w:pPr>
      <w:hyperlink r:id="rId106" w:anchor="s348EA962CF6D59B599D9921AFA89C381" w:history="1">
        <w:r>
          <w:rPr>
            <w:rStyle w:val="a5"/>
            <w:rFonts w:ascii="Times New Roman" w:eastAsia="宋体" w:hAnsi="Times New Roman"/>
            <w:sz w:val="20"/>
            <w:szCs w:val="20"/>
          </w:rPr>
          <w:t>Table of Contents</w:t>
        </w:r>
      </w:hyperlink>
    </w:p>
    <w:p w14:paraId="54E91810" w14:textId="77777777" w:rsidR="00F427A3" w:rsidRDefault="00F427A3">
      <w:pPr>
        <w:rPr>
          <w:rFonts w:ascii="Times New Roman" w:hAnsi="Times New Roman"/>
          <w:sz w:val="20"/>
          <w:szCs w:val="20"/>
        </w:rPr>
      </w:pPr>
    </w:p>
    <w:p w14:paraId="54E91811"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Our business is subject to complex and evolving U.S. and foreign laws and regulations regarding privacy, </w:t>
      </w:r>
      <w:r>
        <w:rPr>
          <w:rFonts w:ascii="Times New Roman" w:eastAsia="宋体" w:hAnsi="Times New Roman"/>
          <w:b/>
          <w:bCs/>
          <w:i/>
          <w:iCs/>
          <w:sz w:val="20"/>
          <w:szCs w:val="20"/>
        </w:rPr>
        <w:t>data protection, content, competition, consumer protection, and other matters. Many of these laws and regulations are subject to change and uncertain interpretation, and could result in claims, changes to our business practices, monetary penalties, increas</w:t>
      </w:r>
      <w:r>
        <w:rPr>
          <w:rFonts w:ascii="Times New Roman" w:eastAsia="宋体" w:hAnsi="Times New Roman"/>
          <w:b/>
          <w:bCs/>
          <w:i/>
          <w:iCs/>
          <w:sz w:val="20"/>
          <w:szCs w:val="20"/>
        </w:rPr>
        <w:t>ed cost of operations, or declines in user growth or engagement, or otherwise harm our business.</w:t>
      </w:r>
    </w:p>
    <w:p w14:paraId="54E91812"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are subject to a variety of laws and regulations in the United States and abroad that involve matters central to our business, including privacy, data prote</w:t>
      </w:r>
      <w:r>
        <w:rPr>
          <w:rFonts w:ascii="Times New Roman" w:eastAsia="宋体" w:hAnsi="Times New Roman"/>
          <w:sz w:val="20"/>
          <w:szCs w:val="20"/>
        </w:rPr>
        <w:t>ction and personal information, rights of publicity, content, intellectual property, advertising, marketing, distribution, data security, data retention and deletion, data localization and storage, data disclosure, artificial intelligence, electronic contr</w:t>
      </w:r>
      <w:r>
        <w:rPr>
          <w:rFonts w:ascii="Times New Roman" w:eastAsia="宋体" w:hAnsi="Times New Roman"/>
          <w:sz w:val="20"/>
          <w:szCs w:val="20"/>
        </w:rPr>
        <w:t xml:space="preserve">acts and other communications, competition, protection of minors, consumer protection, telecommunications, product liability, e-commerce, taxation, economic or other trade prohibitions or sanctions, anti-corruption and political law compliance, securities </w:t>
      </w:r>
      <w:r>
        <w:rPr>
          <w:rFonts w:ascii="Times New Roman" w:eastAsia="宋体" w:hAnsi="Times New Roman"/>
          <w:sz w:val="20"/>
          <w:szCs w:val="20"/>
        </w:rPr>
        <w:t>law compliance, and online payment services. The introduction of new products, expansion of our activities in certain jurisdictions, or other actions that we may take may subject us to additional laws, regulations, or other government scrutiny. In addition</w:t>
      </w:r>
      <w:r>
        <w:rPr>
          <w:rFonts w:ascii="Times New Roman" w:eastAsia="宋体" w:hAnsi="Times New Roman"/>
          <w:sz w:val="20"/>
          <w:szCs w:val="20"/>
        </w:rPr>
        <w:t>, foreign data protection, privacy, content, competition, and other laws and regulations can impose different obligations or be more restrictive than those in the United States.</w:t>
      </w:r>
    </w:p>
    <w:p w14:paraId="54E91813"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These U.S. federal and state and foreign laws and regulations, which in some c</w:t>
      </w:r>
      <w:r>
        <w:rPr>
          <w:rFonts w:ascii="Times New Roman" w:eastAsia="宋体" w:hAnsi="Times New Roman"/>
          <w:sz w:val="20"/>
          <w:szCs w:val="20"/>
        </w:rPr>
        <w:t>ases can be enforced by private parties in addition to government entities, are constantly evolving and can be subject to significant change. As a result, the application, interpretation, and enforcement of these laws and regulations are often uncertain, p</w:t>
      </w:r>
      <w:r>
        <w:rPr>
          <w:rFonts w:ascii="Times New Roman" w:eastAsia="宋体" w:hAnsi="Times New Roman"/>
          <w:sz w:val="20"/>
          <w:szCs w:val="20"/>
        </w:rPr>
        <w:t>articularly in the new and rapidly evolving industry in which we operate, and may be interpreted and applied inconsistently from country to country and inconsistently with our current policies and practices. For example, regulatory or legislative actions a</w:t>
      </w:r>
      <w:r>
        <w:rPr>
          <w:rFonts w:ascii="Times New Roman" w:eastAsia="宋体" w:hAnsi="Times New Roman"/>
          <w:sz w:val="20"/>
          <w:szCs w:val="20"/>
        </w:rPr>
        <w:t>ffecting the manner in which we display content to our users or obtain consent to various practices could adversely affect user growth and engagement. Such actions could affect the manner in which we provide our services or adversely affect our financial r</w:t>
      </w:r>
      <w:r>
        <w:rPr>
          <w:rFonts w:ascii="Times New Roman" w:eastAsia="宋体" w:hAnsi="Times New Roman"/>
          <w:sz w:val="20"/>
          <w:szCs w:val="20"/>
        </w:rPr>
        <w:t>esults.</w:t>
      </w:r>
    </w:p>
    <w:p w14:paraId="54E91814"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are also subject to evolving laws and regulations that dictate whether, how, and under what circumstances we can transfer, process and/or receive certain data that is critical to our operations, including data shared between countries or regions</w:t>
      </w:r>
      <w:r>
        <w:rPr>
          <w:rFonts w:ascii="Times New Roman" w:eastAsia="宋体" w:hAnsi="Times New Roman"/>
          <w:sz w:val="20"/>
          <w:szCs w:val="20"/>
        </w:rPr>
        <w:t xml:space="preserve"> in which we operate and data shared among our products and services. For example, in 2016, the European Union and United States agreed to a transfer framework for data transferred from the European Union to the United States, called the Privacy Shield, bu</w:t>
      </w:r>
      <w:r>
        <w:rPr>
          <w:rFonts w:ascii="Times New Roman" w:eastAsia="宋体" w:hAnsi="Times New Roman"/>
          <w:sz w:val="20"/>
          <w:szCs w:val="20"/>
        </w:rPr>
        <w:t>t the Privacy Shield was invalidated in July 2020 by the Court of Justice of the European Union (CJEU). In addition, the other bases upon which Facebook relies to transfer such data, such as Standard Contractual Clauses (SCCs), have been subjected to regul</w:t>
      </w:r>
      <w:r>
        <w:rPr>
          <w:rFonts w:ascii="Times New Roman" w:eastAsia="宋体" w:hAnsi="Times New Roman"/>
          <w:sz w:val="20"/>
          <w:szCs w:val="20"/>
        </w:rPr>
        <w:t>atory and judicial scrutiny. For example, the CJEU considered the validity of SCCs as a basis to transfer user data from the European Union to the United States following a challenge brought by the Irish Data Protection Commission (IDPC). Although the CJEU</w:t>
      </w:r>
      <w:r>
        <w:rPr>
          <w:rFonts w:ascii="Times New Roman" w:eastAsia="宋体" w:hAnsi="Times New Roman"/>
          <w:sz w:val="20"/>
          <w:szCs w:val="20"/>
        </w:rPr>
        <w:t xml:space="preserve"> upheld the validity of SCCs in July 2020, our continued reliance on SCCs is contingent on SCCs being held to satisfy certain new conditions that are yet to be clearly defined and will be the subject of future regulatory guidance. In addition, in August 20</w:t>
      </w:r>
      <w:r>
        <w:rPr>
          <w:rFonts w:ascii="Times New Roman" w:eastAsia="宋体" w:hAnsi="Times New Roman"/>
          <w:sz w:val="20"/>
          <w:szCs w:val="20"/>
        </w:rPr>
        <w:t>20, we received a preliminary draft decision from the IDPC that preliminarily concluded that Facebook Ireland's reliance on SCCs in respect of European user data does not achieve compliance with the GDPR and preliminarily proposed that such transfers of us</w:t>
      </w:r>
      <w:r>
        <w:rPr>
          <w:rFonts w:ascii="Times New Roman" w:eastAsia="宋体" w:hAnsi="Times New Roman"/>
          <w:sz w:val="20"/>
          <w:szCs w:val="20"/>
        </w:rPr>
        <w:t>er data from the European Union to the United States should therefore be suspended. Facebook Ireland challenged procedural aspects of this IDPC inquiry in a judicial review commenced in the Irish High Court in September 2020, and the court ordered the IDPC</w:t>
      </w:r>
      <w:r>
        <w:rPr>
          <w:rFonts w:ascii="Times New Roman" w:eastAsia="宋体" w:hAnsi="Times New Roman"/>
          <w:sz w:val="20"/>
          <w:szCs w:val="20"/>
        </w:rPr>
        <w:t xml:space="preserve"> not to take further steps in respect of the inquiry until the judicial review proceedings conclude (subject to the IDPC's right to apply to vary or lift this order), which we expect to occur in early 2021. While we also rely upon alternative legal bases f</w:t>
      </w:r>
      <w:r>
        <w:rPr>
          <w:rFonts w:ascii="Times New Roman" w:eastAsia="宋体" w:hAnsi="Times New Roman"/>
          <w:sz w:val="20"/>
          <w:szCs w:val="20"/>
        </w:rPr>
        <w:t>or data transfers, if a new transatlantic data transfer framework is not adopted and we are unable to continue to rely on SCCs or validly rely upon other alternative means of data transfers from Europe to the United States, we may be unable to operate mate</w:t>
      </w:r>
      <w:r>
        <w:rPr>
          <w:rFonts w:ascii="Times New Roman" w:eastAsia="宋体" w:hAnsi="Times New Roman"/>
          <w:sz w:val="20"/>
          <w:szCs w:val="20"/>
        </w:rPr>
        <w:t>rial portions of our business in Europe as a result of the CJEU's invalidation of the Privacy Shield and any final decision of IDPC, which would materially and adversely affect our business, financial condition, and results of operations. We have also been</w:t>
      </w:r>
      <w:r>
        <w:rPr>
          <w:rFonts w:ascii="Times New Roman" w:eastAsia="宋体" w:hAnsi="Times New Roman"/>
          <w:sz w:val="20"/>
          <w:szCs w:val="20"/>
        </w:rPr>
        <w:t xml:space="preserve"> managing investigations and lawsuits in Europe, India, and other jurisdictions regarding the August 2016 update to WhatsApp's terms of service and privacy policy and its sharing of certain data with other Facebook products and services, including a lawsui</w:t>
      </w:r>
      <w:r>
        <w:rPr>
          <w:rFonts w:ascii="Times New Roman" w:eastAsia="宋体" w:hAnsi="Times New Roman"/>
          <w:sz w:val="20"/>
          <w:szCs w:val="20"/>
        </w:rPr>
        <w:t xml:space="preserve">t currently pending before the Supreme Court of India. If we are unable to transfer data between and among countries and regions in which we operate, or if we are restricted from sharing data among our products and services, it could affect our ability to </w:t>
      </w:r>
      <w:r>
        <w:rPr>
          <w:rFonts w:ascii="Times New Roman" w:eastAsia="宋体" w:hAnsi="Times New Roman"/>
          <w:sz w:val="20"/>
          <w:szCs w:val="20"/>
        </w:rPr>
        <w:t xml:space="preserve">provide our services, the manner in which we provide our services, or our ability to target ads, which could adversely affect our financial results. </w:t>
      </w:r>
    </w:p>
    <w:p w14:paraId="54E91815"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Proposed or new legislation and regulations could also significantly affect our business. For example, the</w:t>
      </w:r>
      <w:r>
        <w:rPr>
          <w:rFonts w:ascii="Times New Roman" w:eastAsia="宋体" w:hAnsi="Times New Roman"/>
          <w:sz w:val="20"/>
          <w:szCs w:val="20"/>
        </w:rPr>
        <w:t xml:space="preserve"> European General Data Protection Regulation (GDPR) took effect in May 2018 and applies to all of our products and services used by people in Europe. The GDPR includes operational requirements for companies that receive or process personal data of resident</w:t>
      </w:r>
      <w:r>
        <w:rPr>
          <w:rFonts w:ascii="Times New Roman" w:eastAsia="宋体" w:hAnsi="Times New Roman"/>
          <w:sz w:val="20"/>
          <w:szCs w:val="20"/>
        </w:rPr>
        <w:t>s of the European Union that are different from those previously in place in the European Union. As a result, we implemented measures to change our service for minors under the age of 16 for certain countries in Europe that maintain the minimum age of 16 u</w:t>
      </w:r>
      <w:r>
        <w:rPr>
          <w:rFonts w:ascii="Times New Roman" w:eastAsia="宋体" w:hAnsi="Times New Roman"/>
          <w:sz w:val="20"/>
          <w:szCs w:val="20"/>
        </w:rPr>
        <w:t xml:space="preserve">nder the GDPR. We also obtain consent and/or offer new controls to existing and new users in Europe before processing </w:t>
      </w:r>
    </w:p>
    <w:p w14:paraId="54E91816" w14:textId="77777777" w:rsidR="00F427A3" w:rsidRDefault="00F427A3">
      <w:pPr>
        <w:rPr>
          <w:rFonts w:ascii="Times New Roman" w:hAnsi="Times New Roman"/>
          <w:sz w:val="20"/>
          <w:szCs w:val="20"/>
        </w:rPr>
      </w:pPr>
    </w:p>
    <w:p w14:paraId="54E91817"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66</w:t>
      </w:r>
    </w:p>
    <w:p w14:paraId="54E91818" w14:textId="77777777" w:rsidR="00F427A3" w:rsidRDefault="0044221F">
      <w:r>
        <w:rPr>
          <w:rFonts w:ascii="Times New Roman" w:hAnsi="Times New Roman"/>
          <w:sz w:val="20"/>
          <w:szCs w:val="20"/>
        </w:rPr>
        <w:pict w14:anchorId="54E91C72">
          <v:rect id="_x0000_i1090" style="width:415.3pt;height:1.5pt" o:hralign="center" o:hrstd="t" o:hr="t" fillcolor="#a0a0a0" stroked="f"/>
        </w:pict>
      </w:r>
    </w:p>
    <w:p w14:paraId="54E91819" w14:textId="77777777" w:rsidR="00F427A3" w:rsidRDefault="0044221F">
      <w:pPr>
        <w:spacing w:line="288" w:lineRule="auto"/>
        <w:rPr>
          <w:rFonts w:ascii="Times New Roman" w:hAnsi="Times New Roman"/>
          <w:sz w:val="20"/>
          <w:szCs w:val="20"/>
        </w:rPr>
      </w:pPr>
      <w:hyperlink r:id="rId107" w:anchor="s348EA962CF6D59B599D9921AFA89C381" w:history="1">
        <w:r>
          <w:rPr>
            <w:rStyle w:val="a5"/>
            <w:rFonts w:ascii="Times New Roman" w:eastAsia="宋体" w:hAnsi="Times New Roman"/>
            <w:sz w:val="20"/>
            <w:szCs w:val="20"/>
          </w:rPr>
          <w:t>Table of Contents</w:t>
        </w:r>
      </w:hyperlink>
    </w:p>
    <w:p w14:paraId="54E9181A" w14:textId="77777777" w:rsidR="00F427A3" w:rsidRDefault="00F427A3">
      <w:pPr>
        <w:rPr>
          <w:rFonts w:ascii="Times New Roman" w:hAnsi="Times New Roman"/>
          <w:sz w:val="20"/>
          <w:szCs w:val="20"/>
        </w:rPr>
      </w:pPr>
    </w:p>
    <w:p w14:paraId="54E9181B" w14:textId="77777777" w:rsidR="00F427A3" w:rsidRDefault="0044221F">
      <w:pPr>
        <w:spacing w:line="288" w:lineRule="auto"/>
        <w:jc w:val="both"/>
        <w:rPr>
          <w:rFonts w:ascii="Times New Roman" w:hAnsi="Times New Roman"/>
          <w:sz w:val="20"/>
          <w:szCs w:val="20"/>
        </w:rPr>
      </w:pPr>
      <w:r>
        <w:rPr>
          <w:rFonts w:ascii="Times New Roman" w:eastAsia="宋体" w:hAnsi="Times New Roman"/>
          <w:sz w:val="20"/>
          <w:szCs w:val="20"/>
        </w:rPr>
        <w:t>data for certain aspects of our service. In addition, the GDPR requires submission of personal data breach notifications to our designated European privacy regulator, the IDPC, and includes significant penalties for</w:t>
      </w:r>
      <w:r>
        <w:rPr>
          <w:rFonts w:ascii="Times New Roman" w:eastAsia="宋体" w:hAnsi="Times New Roman"/>
          <w:sz w:val="20"/>
          <w:szCs w:val="20"/>
        </w:rPr>
        <w:t xml:space="preserve"> non-compliance with the notification obligation as well as other requirements of the regulation. Similarly, the Brazilian General Data Protection Law recently took effect and imposes data privacy-related requirements on products and services offered to us</w:t>
      </w:r>
      <w:r>
        <w:rPr>
          <w:rFonts w:ascii="Times New Roman" w:eastAsia="宋体" w:hAnsi="Times New Roman"/>
          <w:sz w:val="20"/>
          <w:szCs w:val="20"/>
        </w:rPr>
        <w:t>ers in Brazil. The California Consumer Privacy Act (CCPA), which took effect in January 2020, also establishes certain transparency rules and creates new data privacy rights for users, including more ability to control how their data is shared with third p</w:t>
      </w:r>
      <w:r>
        <w:rPr>
          <w:rFonts w:ascii="Times New Roman" w:eastAsia="宋体" w:hAnsi="Times New Roman"/>
          <w:sz w:val="20"/>
          <w:szCs w:val="20"/>
        </w:rPr>
        <w:t xml:space="preserve">arties. These laws and regulations are evolving and subject to interpretation, and resulting limitations on our advertising services, or reductions of advertising by marketers, have to some extent adversely affected, and will continue to adversely affect, </w:t>
      </w:r>
      <w:r>
        <w:rPr>
          <w:rFonts w:ascii="Times New Roman" w:eastAsia="宋体" w:hAnsi="Times New Roman"/>
          <w:sz w:val="20"/>
          <w:szCs w:val="20"/>
        </w:rPr>
        <w:t>our advertising business. For example, regulators have recently issued new guidance concerning the ePrivacy Directive's requirements regarding the use of cookies and similar technologies. In addition, beginning in December 2020, the ePrivacy Directive will</w:t>
      </w:r>
      <w:r>
        <w:rPr>
          <w:rFonts w:ascii="Times New Roman" w:eastAsia="宋体" w:hAnsi="Times New Roman"/>
          <w:sz w:val="20"/>
          <w:szCs w:val="20"/>
        </w:rPr>
        <w:t xml:space="preserve"> impose additional limitations on the use of data across messaging products and include significant penalties for non-compliance. Changes to our products or business practices as a result of these developments may adversely affect our advertising business.</w:t>
      </w:r>
      <w:r>
        <w:rPr>
          <w:rFonts w:ascii="Times New Roman" w:eastAsia="宋体" w:hAnsi="Times New Roman"/>
          <w:sz w:val="20"/>
          <w:szCs w:val="20"/>
        </w:rPr>
        <w:t xml:space="preserve"> Similarly, there are a number of legislative proposals in the European Union, the United States, at both the federal and state level, as well as other jurisdictions that could impose new obligations or limitations in areas affecting our business. In addit</w:t>
      </w:r>
      <w:r>
        <w:rPr>
          <w:rFonts w:ascii="Times New Roman" w:eastAsia="宋体" w:hAnsi="Times New Roman"/>
          <w:sz w:val="20"/>
          <w:szCs w:val="20"/>
        </w:rPr>
        <w:t>ion, some countries are considering or have passed legislation implementing data protection requirements or requiring local storage and processing of data or similar requirements that could increase the cost and complexity of delivering our services.</w:t>
      </w:r>
    </w:p>
    <w:p w14:paraId="54E9181C"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These</w:t>
      </w:r>
      <w:r>
        <w:rPr>
          <w:rFonts w:ascii="Times New Roman" w:eastAsia="宋体" w:hAnsi="Times New Roman"/>
          <w:sz w:val="20"/>
          <w:szCs w:val="20"/>
        </w:rPr>
        <w:t xml:space="preserve"> laws and regulations, as well as any associated claims, inquiries, or investigations or any other government actions, have in the past led to, and may in the future lead to, unfavorable outcomes including increased compliance costs, delays or impediments </w:t>
      </w:r>
      <w:r>
        <w:rPr>
          <w:rFonts w:ascii="Times New Roman" w:eastAsia="宋体" w:hAnsi="Times New Roman"/>
          <w:sz w:val="20"/>
          <w:szCs w:val="20"/>
        </w:rPr>
        <w:t xml:space="preserve">in the development of new products, negative publicity and reputational harm, increased operating costs, diversion of management time and attention, and remedies that harm our business, including fines or demands or orders that we modify or cease existing </w:t>
      </w:r>
      <w:r>
        <w:rPr>
          <w:rFonts w:ascii="Times New Roman" w:eastAsia="宋体" w:hAnsi="Times New Roman"/>
          <w:sz w:val="20"/>
          <w:szCs w:val="20"/>
        </w:rPr>
        <w:t>business practices.</w:t>
      </w:r>
    </w:p>
    <w:p w14:paraId="54E9181D"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We have been subject to regulatory and other government investigations, enforcement actions, and settlements, and we expect to continue to be subject to such proceedings and other inquiries in the future, which could cause us to incur s</w:t>
      </w:r>
      <w:r>
        <w:rPr>
          <w:rFonts w:ascii="Times New Roman" w:eastAsia="宋体" w:hAnsi="Times New Roman"/>
          <w:b/>
          <w:bCs/>
          <w:i/>
          <w:iCs/>
          <w:sz w:val="20"/>
          <w:szCs w:val="20"/>
        </w:rPr>
        <w:t xml:space="preserve">ubstantial costs or require us to change our business practices in a manner materially adverse to our business. </w:t>
      </w:r>
    </w:p>
    <w:p w14:paraId="54E9181E"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From time to time, we receive formal and informal inquiries from government authorities and regulators regarding our compliance with laws and r</w:t>
      </w:r>
      <w:r>
        <w:rPr>
          <w:rFonts w:ascii="Times New Roman" w:eastAsia="宋体" w:hAnsi="Times New Roman"/>
          <w:sz w:val="20"/>
          <w:szCs w:val="20"/>
        </w:rPr>
        <w:t>egulations, many of which are evolving and subject to interpretation. We are and expect to continue to be the subject of investigations, inquiries, data requests, requests for information, actions, and audits in the United States, Europe, and around the wo</w:t>
      </w:r>
      <w:r>
        <w:rPr>
          <w:rFonts w:ascii="Times New Roman" w:eastAsia="宋体" w:hAnsi="Times New Roman"/>
          <w:sz w:val="20"/>
          <w:szCs w:val="20"/>
        </w:rPr>
        <w:t>rld, particularly in the areas of privacy, data protection, law enforcement, consumer protection, and competition, as we continue to grow and expand our operations. In addition, we are currently, and may in the future be, subject to regulatory orders or co</w:t>
      </w:r>
      <w:r>
        <w:rPr>
          <w:rFonts w:ascii="Times New Roman" w:eastAsia="宋体" w:hAnsi="Times New Roman"/>
          <w:sz w:val="20"/>
          <w:szCs w:val="20"/>
        </w:rPr>
        <w:t>nsent decrees. For example, data protection, competition, and consumer protection authorities in the European Union have initiated actions, investigations, or administrative orders seeking to restrict the ways in which we collect and use information, or im</w:t>
      </w:r>
      <w:r>
        <w:rPr>
          <w:rFonts w:ascii="Times New Roman" w:eastAsia="宋体" w:hAnsi="Times New Roman"/>
          <w:sz w:val="20"/>
          <w:szCs w:val="20"/>
        </w:rPr>
        <w:t>pose sanctions, and other authorities may do the same. In addition, beginning in March 2018, we became subject to FTC, state attorneys general, and other government inquiries in the United States, Europe, and other jurisdictions in connection with our plat</w:t>
      </w:r>
      <w:r>
        <w:rPr>
          <w:rFonts w:ascii="Times New Roman" w:eastAsia="宋体" w:hAnsi="Times New Roman"/>
          <w:sz w:val="20"/>
          <w:szCs w:val="20"/>
        </w:rPr>
        <w:t>form and user data practices as well as the misuse of certain data by a developer that shared such data with third parties in violation of our terms and policies. In July 2019, we entered into a settlement and modified consent order to resolve the FTC inqu</w:t>
      </w:r>
      <w:r>
        <w:rPr>
          <w:rFonts w:ascii="Times New Roman" w:eastAsia="宋体" w:hAnsi="Times New Roman"/>
          <w:sz w:val="20"/>
          <w:szCs w:val="20"/>
        </w:rPr>
        <w:t>iry, which was approved by the federal court and took effect in April 2020. Among other matters, our settlement with the FTC required us to pay a penalty of $5.0 billion and to significantly enhance our practices and processes for privacy compliance and ov</w:t>
      </w:r>
      <w:r>
        <w:rPr>
          <w:rFonts w:ascii="Times New Roman" w:eastAsia="宋体" w:hAnsi="Times New Roman"/>
          <w:sz w:val="20"/>
          <w:szCs w:val="20"/>
        </w:rPr>
        <w:t>ersight. Beginning in September 2018, we also became subject to IDPC and other government inquiries in connection with a third-party cyber-attack that exploited a vulnerability in Facebook's code to steal user access tokens and access certain profile infor</w:t>
      </w:r>
      <w:r>
        <w:rPr>
          <w:rFonts w:ascii="Times New Roman" w:eastAsia="宋体" w:hAnsi="Times New Roman"/>
          <w:sz w:val="20"/>
          <w:szCs w:val="20"/>
        </w:rPr>
        <w:t>mation from user accounts on Facebook. From time to time we also notify the IDPC, our designated European privacy regulator under the GDPR, of certain other personal data breaches and privacy issues, and are subject to inquiries and investigations regardin</w:t>
      </w:r>
      <w:r>
        <w:rPr>
          <w:rFonts w:ascii="Times New Roman" w:eastAsia="宋体" w:hAnsi="Times New Roman"/>
          <w:sz w:val="20"/>
          <w:szCs w:val="20"/>
        </w:rPr>
        <w:t xml:space="preserve">g various aspects of our regulatory compliance. </w:t>
      </w:r>
    </w:p>
    <w:p w14:paraId="54E9181F"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addition, competition authorities in the United States, Europe, and other jurisdictions have initiated formal and informal inquiries and investigations into many aspects of our business, </w:t>
      </w:r>
      <w:r>
        <w:rPr>
          <w:rFonts w:ascii="Times New Roman" w:eastAsia="宋体" w:hAnsi="Times New Roman"/>
          <w:sz w:val="20"/>
          <w:szCs w:val="20"/>
        </w:rPr>
        <w:t>including with respect to users and advertisers, as well as our industry. For example, in June 2019 we were informed by the FTC that it had opened an antitrust investigation of our company. In addition, beginning in the third quarter of 2019, we became the</w:t>
      </w:r>
      <w:r>
        <w:rPr>
          <w:rFonts w:ascii="Times New Roman" w:eastAsia="宋体" w:hAnsi="Times New Roman"/>
          <w:sz w:val="20"/>
          <w:szCs w:val="20"/>
        </w:rPr>
        <w:t xml:space="preserve"> subject of antitrust inquiries and investigations by the U.S. Department of Justice, the U.S. House of Representatives, and state attorneys general. These inquiries and investigations concern, among other things, our business practices in the areas of soc</w:t>
      </w:r>
      <w:r>
        <w:rPr>
          <w:rFonts w:ascii="Times New Roman" w:eastAsia="宋体" w:hAnsi="Times New Roman"/>
          <w:sz w:val="20"/>
          <w:szCs w:val="20"/>
        </w:rPr>
        <w:t>ial networking or social media services, digital advertising, and/or mobile or online applications, as well as past acquisitions.</w:t>
      </w:r>
    </w:p>
    <w:p w14:paraId="54E91820" w14:textId="77777777" w:rsidR="00F427A3" w:rsidRDefault="00F427A3">
      <w:pPr>
        <w:spacing w:line="288" w:lineRule="auto"/>
        <w:ind w:firstLine="720"/>
        <w:jc w:val="both"/>
        <w:rPr>
          <w:rFonts w:ascii="Times New Roman" w:hAnsi="Times New Roman"/>
          <w:sz w:val="20"/>
          <w:szCs w:val="20"/>
        </w:rPr>
      </w:pPr>
    </w:p>
    <w:p w14:paraId="54E91821"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Orders issued by, or inquiries or enforcement actions initiated by, government or regulatory authorities could cause us to in</w:t>
      </w:r>
      <w:r>
        <w:rPr>
          <w:rFonts w:ascii="Times New Roman" w:eastAsia="宋体" w:hAnsi="Times New Roman"/>
          <w:sz w:val="20"/>
          <w:szCs w:val="20"/>
        </w:rPr>
        <w:t xml:space="preserve">cur substantial costs, expose us to unanticipated civil and criminal liability or penalties (including substantial monetary </w:t>
      </w:r>
    </w:p>
    <w:p w14:paraId="54E91822" w14:textId="77777777" w:rsidR="00F427A3" w:rsidRDefault="00F427A3">
      <w:pPr>
        <w:rPr>
          <w:rFonts w:ascii="Times New Roman" w:hAnsi="Times New Roman"/>
          <w:sz w:val="20"/>
          <w:szCs w:val="20"/>
        </w:rPr>
      </w:pPr>
    </w:p>
    <w:p w14:paraId="54E91823"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67</w:t>
      </w:r>
    </w:p>
    <w:p w14:paraId="54E91824" w14:textId="77777777" w:rsidR="00F427A3" w:rsidRDefault="0044221F">
      <w:r>
        <w:rPr>
          <w:rFonts w:ascii="Times New Roman" w:hAnsi="Times New Roman"/>
          <w:sz w:val="20"/>
          <w:szCs w:val="20"/>
        </w:rPr>
        <w:pict w14:anchorId="54E91C73">
          <v:rect id="_x0000_i1091" style="width:415.3pt;height:1.5pt" o:hralign="center" o:hrstd="t" o:hr="t" fillcolor="#a0a0a0" stroked="f"/>
        </w:pict>
      </w:r>
    </w:p>
    <w:p w14:paraId="54E91825" w14:textId="77777777" w:rsidR="00F427A3" w:rsidRDefault="0044221F">
      <w:pPr>
        <w:spacing w:line="288" w:lineRule="auto"/>
        <w:rPr>
          <w:rFonts w:ascii="Times New Roman" w:hAnsi="Times New Roman"/>
          <w:sz w:val="20"/>
          <w:szCs w:val="20"/>
        </w:rPr>
      </w:pPr>
      <w:hyperlink r:id="rId108" w:anchor="s348EA962CF6D59B599D9921AFA89C381" w:history="1">
        <w:r>
          <w:rPr>
            <w:rStyle w:val="a5"/>
            <w:rFonts w:ascii="Times New Roman" w:eastAsia="宋体" w:hAnsi="Times New Roman"/>
            <w:sz w:val="20"/>
            <w:szCs w:val="20"/>
          </w:rPr>
          <w:t>Table of Contents</w:t>
        </w:r>
      </w:hyperlink>
    </w:p>
    <w:p w14:paraId="54E91826" w14:textId="77777777" w:rsidR="00F427A3" w:rsidRDefault="00F427A3">
      <w:pPr>
        <w:rPr>
          <w:rFonts w:ascii="Times New Roman" w:hAnsi="Times New Roman"/>
          <w:sz w:val="20"/>
          <w:szCs w:val="20"/>
        </w:rPr>
      </w:pPr>
    </w:p>
    <w:p w14:paraId="54E91827" w14:textId="77777777" w:rsidR="00F427A3" w:rsidRDefault="0044221F">
      <w:pPr>
        <w:spacing w:line="288" w:lineRule="auto"/>
        <w:jc w:val="both"/>
        <w:rPr>
          <w:rFonts w:ascii="Times New Roman" w:hAnsi="Times New Roman"/>
          <w:sz w:val="20"/>
          <w:szCs w:val="20"/>
        </w:rPr>
      </w:pPr>
      <w:r>
        <w:rPr>
          <w:rFonts w:ascii="Times New Roman" w:eastAsia="宋体" w:hAnsi="Times New Roman"/>
          <w:sz w:val="20"/>
          <w:szCs w:val="20"/>
        </w:rPr>
        <w:t>remedies), interrupt or require us to change our business practices in a manner materially adverse to our business, result in negative publicity and reputational harm, divert resources and the attention of man</w:t>
      </w:r>
      <w:r>
        <w:rPr>
          <w:rFonts w:ascii="Times New Roman" w:eastAsia="宋体" w:hAnsi="Times New Roman"/>
          <w:sz w:val="20"/>
          <w:szCs w:val="20"/>
        </w:rPr>
        <w:t>agement from our business, or subject us to other structural or behavioral remedies that adversely affect our business.</w:t>
      </w:r>
    </w:p>
    <w:p w14:paraId="54E91828" w14:textId="77777777" w:rsidR="00F427A3" w:rsidRDefault="00F427A3">
      <w:pPr>
        <w:spacing w:line="288" w:lineRule="auto"/>
        <w:jc w:val="both"/>
        <w:rPr>
          <w:rFonts w:ascii="Times New Roman" w:hAnsi="Times New Roman"/>
          <w:sz w:val="20"/>
          <w:szCs w:val="20"/>
        </w:rPr>
      </w:pPr>
    </w:p>
    <w:p w14:paraId="54E91829"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Compliance with our FTC consent order, the GDPR, the CCPA, the ePrivacy Directive, and other regulatory and legislative privacy require</w:t>
      </w:r>
      <w:r>
        <w:rPr>
          <w:rFonts w:ascii="Times New Roman" w:eastAsia="宋体" w:hAnsi="Times New Roman"/>
          <w:b/>
          <w:bCs/>
          <w:i/>
          <w:iCs/>
          <w:sz w:val="20"/>
          <w:szCs w:val="20"/>
        </w:rPr>
        <w:t>ments require significant operational resources and modifications to our business practices, and any compliance failures may have a material adverse effect on our business, reputation, and financial results.</w:t>
      </w:r>
    </w:p>
    <w:p w14:paraId="54E9182A" w14:textId="77777777" w:rsidR="00F427A3" w:rsidRDefault="00F427A3">
      <w:pPr>
        <w:spacing w:line="288" w:lineRule="auto"/>
        <w:ind w:firstLine="720"/>
        <w:jc w:val="both"/>
        <w:rPr>
          <w:rFonts w:ascii="Times New Roman" w:hAnsi="Times New Roman"/>
          <w:sz w:val="20"/>
          <w:szCs w:val="20"/>
        </w:rPr>
      </w:pPr>
    </w:p>
    <w:p w14:paraId="54E9182B"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are engaged in ongoing privacy compliance an</w:t>
      </w:r>
      <w:r>
        <w:rPr>
          <w:rFonts w:ascii="Times New Roman" w:eastAsia="宋体" w:hAnsi="Times New Roman"/>
          <w:sz w:val="20"/>
          <w:szCs w:val="20"/>
        </w:rPr>
        <w:t>d oversight efforts, including in connection with our modified consent order with the FTC, requirements of the GDPR, and other regulatory and legislative requirements around the world, such as the CCPA and the ePrivacy Directive. In particular, we are impl</w:t>
      </w:r>
      <w:r>
        <w:rPr>
          <w:rFonts w:ascii="Times New Roman" w:eastAsia="宋体" w:hAnsi="Times New Roman"/>
          <w:sz w:val="20"/>
          <w:szCs w:val="20"/>
        </w:rPr>
        <w:t>ementing a comprehensive expansion of our privacy program in connection with the FTC consent order, including substantial management and board of directors oversight, stringent operational requirements and reporting obligations, prohibitions against making</w:t>
      </w:r>
      <w:r>
        <w:rPr>
          <w:rFonts w:ascii="Times New Roman" w:eastAsia="宋体" w:hAnsi="Times New Roman"/>
          <w:sz w:val="20"/>
          <w:szCs w:val="20"/>
        </w:rPr>
        <w:t xml:space="preserve"> misrepresentations relating to user data, a process to regularly certify our compliance with the privacy program to the FTC, and regular assessments of our privacy program by an independent third-party assessor, which has been and will continue to be chal</w:t>
      </w:r>
      <w:r>
        <w:rPr>
          <w:rFonts w:ascii="Times New Roman" w:eastAsia="宋体" w:hAnsi="Times New Roman"/>
          <w:sz w:val="20"/>
          <w:szCs w:val="20"/>
        </w:rPr>
        <w:t>lenging and costly to implement. These compliance and oversight efforts are increasing demand on our systems and resources, and require significant new and ongoing investments, including investments in compliance processes, personnel, and technical infrast</w:t>
      </w:r>
      <w:r>
        <w:rPr>
          <w:rFonts w:ascii="Times New Roman" w:eastAsia="宋体" w:hAnsi="Times New Roman"/>
          <w:sz w:val="20"/>
          <w:szCs w:val="20"/>
        </w:rPr>
        <w:t>ructure. We are reallocating resources internally to assist with these efforts, and this has had, and will continue to have, an adverse impact on our other business initiatives. In addition, these efforts require substantial modifications to our business p</w:t>
      </w:r>
      <w:r>
        <w:rPr>
          <w:rFonts w:ascii="Times New Roman" w:eastAsia="宋体" w:hAnsi="Times New Roman"/>
          <w:sz w:val="20"/>
          <w:szCs w:val="20"/>
        </w:rPr>
        <w:t>ractices and make some practices such as product and ads development more difficult, time-consuming, and costly. As a result, we believe our ability to develop and launch new features, products, and services in a timely manner has been and will continue to</w:t>
      </w:r>
      <w:r>
        <w:rPr>
          <w:rFonts w:ascii="Times New Roman" w:eastAsia="宋体" w:hAnsi="Times New Roman"/>
          <w:sz w:val="20"/>
          <w:szCs w:val="20"/>
        </w:rPr>
        <w:t xml:space="preserve"> be adversely affected. We also expect that our privacy compliance and oversight efforts will require significant time and attention from our management and board of directors. The requirements of the FTC consent order and other privacy-related laws and re</w:t>
      </w:r>
      <w:r>
        <w:rPr>
          <w:rFonts w:ascii="Times New Roman" w:eastAsia="宋体" w:hAnsi="Times New Roman"/>
          <w:sz w:val="20"/>
          <w:szCs w:val="20"/>
        </w:rPr>
        <w:t xml:space="preserve">gulations are complex and apply broadly to our business, and from time to time we notify relevant authorities of instances where we are not in full compliance with these requirements or otherwise discover privacy issues, and we expect to continue to do so </w:t>
      </w:r>
      <w:r>
        <w:rPr>
          <w:rFonts w:ascii="Times New Roman" w:eastAsia="宋体" w:hAnsi="Times New Roman"/>
          <w:sz w:val="20"/>
          <w:szCs w:val="20"/>
        </w:rPr>
        <w:t>as any such issues arise in the future. In addition, regulatory and legislative privacy requirements are constantly evolving and can be subject to significant change and uncertain interpretation. If we are unable to successfully implement and comply with t</w:t>
      </w:r>
      <w:r>
        <w:rPr>
          <w:rFonts w:ascii="Times New Roman" w:eastAsia="宋体" w:hAnsi="Times New Roman"/>
          <w:sz w:val="20"/>
          <w:szCs w:val="20"/>
        </w:rPr>
        <w:t>he mandates of the FTC consent order, GDPR, CCPA, ePrivacy Directive, or other regulatory or legislative requirements, or if we are found to be in violation of the consent order or other applicable requirements, we may be subject to regulatory or governmen</w:t>
      </w:r>
      <w:r>
        <w:rPr>
          <w:rFonts w:ascii="Times New Roman" w:eastAsia="宋体" w:hAnsi="Times New Roman"/>
          <w:sz w:val="20"/>
          <w:szCs w:val="20"/>
        </w:rPr>
        <w:t>tal investigations or lawsuits, which may result in significant monetary fines, judgments, or other penalties, and we may also be required to make additional changes to our business practices. Any of these events could have a material adverse effect on our</w:t>
      </w:r>
      <w:r>
        <w:rPr>
          <w:rFonts w:ascii="Times New Roman" w:eastAsia="宋体" w:hAnsi="Times New Roman"/>
          <w:sz w:val="20"/>
          <w:szCs w:val="20"/>
        </w:rPr>
        <w:t xml:space="preserve"> business, reputation, and financial results.</w:t>
      </w:r>
    </w:p>
    <w:p w14:paraId="54E9182C" w14:textId="77777777" w:rsidR="00F427A3" w:rsidRDefault="00F427A3">
      <w:pPr>
        <w:spacing w:line="288" w:lineRule="auto"/>
        <w:ind w:firstLine="720"/>
        <w:jc w:val="both"/>
        <w:rPr>
          <w:rFonts w:ascii="Times New Roman" w:hAnsi="Times New Roman"/>
          <w:sz w:val="20"/>
          <w:szCs w:val="20"/>
        </w:rPr>
      </w:pPr>
    </w:p>
    <w:p w14:paraId="54E9182D"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If we are unable to protect our intellectual property, the value of our brands and other intangible assets may be diminished, and our business may be adversely affected.</w:t>
      </w:r>
    </w:p>
    <w:p w14:paraId="54E9182E"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rely and expect to continue to </w:t>
      </w:r>
      <w:r>
        <w:rPr>
          <w:rFonts w:ascii="Times New Roman" w:eastAsia="宋体" w:hAnsi="Times New Roman"/>
          <w:sz w:val="20"/>
          <w:szCs w:val="20"/>
        </w:rPr>
        <w:t>rely on a combination of confidentiality, assignment, and license agreements with our employees, consultants, and third parties with whom we have relationships, as well as trademark, copyright, patent, trade secret, and domain name protection laws, to prot</w:t>
      </w:r>
      <w:r>
        <w:rPr>
          <w:rFonts w:ascii="Times New Roman" w:eastAsia="宋体" w:hAnsi="Times New Roman"/>
          <w:sz w:val="20"/>
          <w:szCs w:val="20"/>
        </w:rPr>
        <w:t xml:space="preserve">ect our proprietary rights. In the United States and internationally, we have filed various applications for protection of certain aspects of our intellectual property, and we currently hold a significant number of registered trademarks and issued patents </w:t>
      </w:r>
      <w:r>
        <w:rPr>
          <w:rFonts w:ascii="Times New Roman" w:eastAsia="宋体" w:hAnsi="Times New Roman"/>
          <w:sz w:val="20"/>
          <w:szCs w:val="20"/>
        </w:rPr>
        <w:t>in multiple jurisdictions and have acquired patents and patent applications from third parties. Third parties may knowingly or unknowingly infringe our proprietary rights, third parties may challenge proprietary rights held by us, and pending and future tr</w:t>
      </w:r>
      <w:r>
        <w:rPr>
          <w:rFonts w:ascii="Times New Roman" w:eastAsia="宋体" w:hAnsi="Times New Roman"/>
          <w:sz w:val="20"/>
          <w:szCs w:val="20"/>
        </w:rPr>
        <w:t>ademark and patent applications may not be approved. In addition, effective intellectual property protection may not be available in every country in which we operate or intend to operate our business. In any or all of these cases, we may be required to ex</w:t>
      </w:r>
      <w:r>
        <w:rPr>
          <w:rFonts w:ascii="Times New Roman" w:eastAsia="宋体" w:hAnsi="Times New Roman"/>
          <w:sz w:val="20"/>
          <w:szCs w:val="20"/>
        </w:rPr>
        <w:t>pend significant time and expense in order to prevent infringement or to enforce our rights. Although we have generally taken measures to protect our proprietary rights, there can be no assurance that others will not offer products or concepts that are sub</w:t>
      </w:r>
      <w:r>
        <w:rPr>
          <w:rFonts w:ascii="Times New Roman" w:eastAsia="宋体" w:hAnsi="Times New Roman"/>
          <w:sz w:val="20"/>
          <w:szCs w:val="20"/>
        </w:rPr>
        <w:t>stantially similar to ours and compete with our business. In addition, we regularly contribute software source code under open source licenses and have made other technology we developed available under other open licenses, and we include open source softw</w:t>
      </w:r>
      <w:r>
        <w:rPr>
          <w:rFonts w:ascii="Times New Roman" w:eastAsia="宋体" w:hAnsi="Times New Roman"/>
          <w:sz w:val="20"/>
          <w:szCs w:val="20"/>
        </w:rPr>
        <w:t>are in our products. For example, we have contributed certain specifications and designs related to our data center equipment to the Open Compute Project Foundation, a non-profit entity that shares and develops such information with the technology communit</w:t>
      </w:r>
      <w:r>
        <w:rPr>
          <w:rFonts w:ascii="Times New Roman" w:eastAsia="宋体" w:hAnsi="Times New Roman"/>
          <w:sz w:val="20"/>
          <w:szCs w:val="20"/>
        </w:rPr>
        <w:t>y, under the Open Web Foundation License. As a result of our open source contributions and the use of open source in our products, we may license or be required to license or disclose code and/or innovations that turn out to be material to our business and</w:t>
      </w:r>
      <w:r>
        <w:rPr>
          <w:rFonts w:ascii="Times New Roman" w:eastAsia="宋体" w:hAnsi="Times New Roman"/>
          <w:sz w:val="20"/>
          <w:szCs w:val="20"/>
        </w:rPr>
        <w:t xml:space="preserve"> may also be exposed to increased litigation risk. If the protection of our proprietary rights is inadequate to prevent unauthorized use or appropriation by third parties, the value of our brands and other intangible assets may be diminished and competitor</w:t>
      </w:r>
      <w:r>
        <w:rPr>
          <w:rFonts w:ascii="Times New Roman" w:eastAsia="宋体" w:hAnsi="Times New Roman"/>
          <w:sz w:val="20"/>
          <w:szCs w:val="20"/>
        </w:rPr>
        <w:t>s may be able to more effectively mimic our products, services, and methods of operations. Any of these events could have an adverse effect on our business and financial results.</w:t>
      </w:r>
    </w:p>
    <w:p w14:paraId="54E9182F" w14:textId="77777777" w:rsidR="00F427A3" w:rsidRDefault="00F427A3">
      <w:pPr>
        <w:rPr>
          <w:rFonts w:ascii="Times New Roman" w:hAnsi="Times New Roman"/>
          <w:sz w:val="20"/>
          <w:szCs w:val="20"/>
        </w:rPr>
      </w:pPr>
    </w:p>
    <w:p w14:paraId="54E91830"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68</w:t>
      </w:r>
    </w:p>
    <w:p w14:paraId="54E91831" w14:textId="77777777" w:rsidR="00F427A3" w:rsidRDefault="0044221F">
      <w:r>
        <w:rPr>
          <w:rFonts w:ascii="Times New Roman" w:hAnsi="Times New Roman"/>
          <w:sz w:val="20"/>
          <w:szCs w:val="20"/>
        </w:rPr>
        <w:pict w14:anchorId="54E91C74">
          <v:rect id="_x0000_i1092" style="width:415.3pt;height:1.5pt" o:hralign="center" o:hrstd="t" o:hr="t" fillcolor="#a0a0a0" stroked="f"/>
        </w:pict>
      </w:r>
    </w:p>
    <w:p w14:paraId="54E91832" w14:textId="77777777" w:rsidR="00F427A3" w:rsidRDefault="0044221F">
      <w:pPr>
        <w:spacing w:line="288" w:lineRule="auto"/>
        <w:rPr>
          <w:rFonts w:ascii="Times New Roman" w:hAnsi="Times New Roman"/>
          <w:sz w:val="20"/>
          <w:szCs w:val="20"/>
        </w:rPr>
      </w:pPr>
      <w:hyperlink r:id="rId109" w:anchor="s348EA962CF6D59B599D9921AFA89C381" w:history="1">
        <w:r>
          <w:rPr>
            <w:rStyle w:val="a5"/>
            <w:rFonts w:ascii="Times New Roman" w:eastAsia="宋体" w:hAnsi="Times New Roman"/>
            <w:sz w:val="20"/>
            <w:szCs w:val="20"/>
          </w:rPr>
          <w:t>Table of Contents</w:t>
        </w:r>
      </w:hyperlink>
    </w:p>
    <w:p w14:paraId="54E91833" w14:textId="77777777" w:rsidR="00F427A3" w:rsidRDefault="00F427A3">
      <w:pPr>
        <w:rPr>
          <w:rFonts w:ascii="Times New Roman" w:hAnsi="Times New Roman"/>
          <w:sz w:val="20"/>
          <w:szCs w:val="20"/>
        </w:rPr>
      </w:pPr>
    </w:p>
    <w:p w14:paraId="54E91834"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We are currently, and expect to be in the future, party to patent lawsuits and other intellectual property rights claims that are expensive and time consum</w:t>
      </w:r>
      <w:r>
        <w:rPr>
          <w:rFonts w:ascii="Times New Roman" w:eastAsia="宋体" w:hAnsi="Times New Roman"/>
          <w:b/>
          <w:bCs/>
          <w:i/>
          <w:iCs/>
          <w:sz w:val="20"/>
          <w:szCs w:val="20"/>
        </w:rPr>
        <w:t>ing and, if resolved adversely, could have a significant impact on our business, financial condition, or results of operations.</w:t>
      </w:r>
    </w:p>
    <w:p w14:paraId="54E91835"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Companies in the Internet, technology, and media industries own large numbers of patents, copyrights, trademarks, and trade secr</w:t>
      </w:r>
      <w:r>
        <w:rPr>
          <w:rFonts w:ascii="Times New Roman" w:eastAsia="宋体" w:hAnsi="Times New Roman"/>
          <w:sz w:val="20"/>
          <w:szCs w:val="20"/>
        </w:rPr>
        <w:t xml:space="preserve">ets, and frequently enter into litigation based on allegations of infringement, misappropriation, or other violations of intellectual property or other rights. In addition, various "non-practicing entities" that own patents and other intellectual property </w:t>
      </w:r>
      <w:r>
        <w:rPr>
          <w:rFonts w:ascii="Times New Roman" w:eastAsia="宋体" w:hAnsi="Times New Roman"/>
          <w:sz w:val="20"/>
          <w:szCs w:val="20"/>
        </w:rPr>
        <w:t>rights often attempt to aggressively assert their rights in order to extract value from technology companies. Furthermore, from time to time we may introduce or acquire new products, including in areas where we historically have not competed, which could i</w:t>
      </w:r>
      <w:r>
        <w:rPr>
          <w:rFonts w:ascii="Times New Roman" w:eastAsia="宋体" w:hAnsi="Times New Roman"/>
          <w:sz w:val="20"/>
          <w:szCs w:val="20"/>
        </w:rPr>
        <w:t>ncrease our exposure to patent and other intellectual property claims from competitors and non-practicing entities.</w:t>
      </w:r>
    </w:p>
    <w:p w14:paraId="54E91836"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From time to time, we receive notice from patent holders and other parties alleging that certain of our products and services, or user conte</w:t>
      </w:r>
      <w:r>
        <w:rPr>
          <w:rFonts w:ascii="Times New Roman" w:eastAsia="宋体" w:hAnsi="Times New Roman"/>
          <w:sz w:val="20"/>
          <w:szCs w:val="20"/>
        </w:rPr>
        <w:t>nt, infringe their intellectual property rights. We presently are involved in a number of intellectual property lawsuits, and as we face increasing competition and gain an increasingly high profile, we expect the number of patent and other intellectual pro</w:t>
      </w:r>
      <w:r>
        <w:rPr>
          <w:rFonts w:ascii="Times New Roman" w:eastAsia="宋体" w:hAnsi="Times New Roman"/>
          <w:sz w:val="20"/>
          <w:szCs w:val="20"/>
        </w:rPr>
        <w:t>perty claims against us to grow. Defending patent and other intellectual property litigation is costly and can impose a significant burden on management and employees, and there can be no assurances that favorable final outcomes will be obtained in all cas</w:t>
      </w:r>
      <w:r>
        <w:rPr>
          <w:rFonts w:ascii="Times New Roman" w:eastAsia="宋体" w:hAnsi="Times New Roman"/>
          <w:sz w:val="20"/>
          <w:szCs w:val="20"/>
        </w:rPr>
        <w:t>es. In addition, plaintiffs may seek, and we may become subject to, preliminary or provisional rulings in the course of any such litigation, including potential preliminary injunctions requiring us to cease some or all of our operations. We may decide to s</w:t>
      </w:r>
      <w:r>
        <w:rPr>
          <w:rFonts w:ascii="Times New Roman" w:eastAsia="宋体" w:hAnsi="Times New Roman"/>
          <w:sz w:val="20"/>
          <w:szCs w:val="20"/>
        </w:rPr>
        <w:t>ettle such lawsuits and disputes on terms that are unfavorable to us. Similarly, if any litigation to which we are a party is resolved adversely, we may be subject to an unfavorable judgment that may not be reversed upon appeal. The terms of such a settlem</w:t>
      </w:r>
      <w:r>
        <w:rPr>
          <w:rFonts w:ascii="Times New Roman" w:eastAsia="宋体" w:hAnsi="Times New Roman"/>
          <w:sz w:val="20"/>
          <w:szCs w:val="20"/>
        </w:rPr>
        <w:t>ent or judgment may require us to cease some or all of our operations or pay substantial amounts to the other party. In addition, we may have to seek a license to continue practices found to be in violation of a third party's rights, which may not be avail</w:t>
      </w:r>
      <w:r>
        <w:rPr>
          <w:rFonts w:ascii="Times New Roman" w:eastAsia="宋体" w:hAnsi="Times New Roman"/>
          <w:sz w:val="20"/>
          <w:szCs w:val="20"/>
        </w:rPr>
        <w:t>able on reasonable terms, or at all, and may significantly increase our operating costs and expenses. As a result, we may also be required to develop alternative non-infringing technology or practices or discontinue the practices. The development of altern</w:t>
      </w:r>
      <w:r>
        <w:rPr>
          <w:rFonts w:ascii="Times New Roman" w:eastAsia="宋体" w:hAnsi="Times New Roman"/>
          <w:sz w:val="20"/>
          <w:szCs w:val="20"/>
        </w:rPr>
        <w:t>ative non-infringing technology or practices could require significant effort and expense, could result in less effective technology or practices or otherwise negatively affect the user experience, or may not be feasible. We have experienced unfavorable ou</w:t>
      </w:r>
      <w:r>
        <w:rPr>
          <w:rFonts w:ascii="Times New Roman" w:eastAsia="宋体" w:hAnsi="Times New Roman"/>
          <w:sz w:val="20"/>
          <w:szCs w:val="20"/>
        </w:rPr>
        <w:t>tcomes in such disputes and litigation in the past, and our business, financial condition, and results of operations could be adversely affected as a result of an unfavorable resolution of the disputes and litigation referred to above.</w:t>
      </w:r>
    </w:p>
    <w:p w14:paraId="54E91837"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We are involved in n</w:t>
      </w:r>
      <w:r>
        <w:rPr>
          <w:rFonts w:ascii="Times New Roman" w:eastAsia="宋体" w:hAnsi="Times New Roman"/>
          <w:b/>
          <w:bCs/>
          <w:i/>
          <w:iCs/>
          <w:sz w:val="20"/>
          <w:szCs w:val="20"/>
        </w:rPr>
        <w:t>umerous class action lawsuits and other litigation matters that are expensive and time consuming, and, if resolved adversely, could harm our business, financial condition, or results of operations.</w:t>
      </w:r>
    </w:p>
    <w:p w14:paraId="54E91838"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addition to intellectual property claims, we are </w:t>
      </w:r>
      <w:r>
        <w:rPr>
          <w:rFonts w:ascii="Times New Roman" w:eastAsia="宋体" w:hAnsi="Times New Roman"/>
          <w:sz w:val="20"/>
          <w:szCs w:val="20"/>
        </w:rPr>
        <w:t>also involved in numerous other lawsuits, including stockholder derivative lawsuits and putative class action lawsuits, many of which claim statutory damages and/or seek significant changes to our business operations, and we anticipate that we will continu</w:t>
      </w:r>
      <w:r>
        <w:rPr>
          <w:rFonts w:ascii="Times New Roman" w:eastAsia="宋体" w:hAnsi="Times New Roman"/>
          <w:sz w:val="20"/>
          <w:szCs w:val="20"/>
        </w:rPr>
        <w:t>e to be a target for numerous lawsuits in the future. Because of the scale of our user base, the plaintiffs in class action cases filed against us typically claim enormous monetary damages even if the alleged per-user harm is small or non-existent. In addi</w:t>
      </w:r>
      <w:r>
        <w:rPr>
          <w:rFonts w:ascii="Times New Roman" w:eastAsia="宋体" w:hAnsi="Times New Roman"/>
          <w:sz w:val="20"/>
          <w:szCs w:val="20"/>
        </w:rPr>
        <w:t>tion, we have in the past, and may in the future, be subject to additional class action lawsuits based on claims related to advertising, antitrust, privacy, content, employment, or product performance or other claims related to the use of consumer hardware</w:t>
      </w:r>
      <w:r>
        <w:rPr>
          <w:rFonts w:ascii="Times New Roman" w:eastAsia="宋体" w:hAnsi="Times New Roman"/>
          <w:sz w:val="20"/>
          <w:szCs w:val="20"/>
        </w:rPr>
        <w:t xml:space="preserve"> and software, as well as virtual reality technology and products, which are new and unproven. For example, we are currently the subject of multiple putative class action suits in connection with our platform and user data practices and the misuse of certa</w:t>
      </w:r>
      <w:r>
        <w:rPr>
          <w:rFonts w:ascii="Times New Roman" w:eastAsia="宋体" w:hAnsi="Times New Roman"/>
          <w:sz w:val="20"/>
          <w:szCs w:val="20"/>
        </w:rPr>
        <w:t xml:space="preserve">in data by a developer that shared such data with third parties in violation of our terms and policies, as well as the disclosure of our earnings results for the second quarter of 2018. We also recently agreed to settle certain lawsuits in connection with </w:t>
      </w:r>
      <w:r>
        <w:rPr>
          <w:rFonts w:ascii="Times New Roman" w:eastAsia="宋体" w:hAnsi="Times New Roman"/>
          <w:sz w:val="20"/>
          <w:szCs w:val="20"/>
        </w:rPr>
        <w:t xml:space="preserve">the "tag suggestions" facial recognition feature on Facebook and a third-party cyber-attack that exploited a vulnerability in Facebook's code to steal user access tokens and access certain profile information from user accounts on Facebook. The results of </w:t>
      </w:r>
      <w:r>
        <w:rPr>
          <w:rFonts w:ascii="Times New Roman" w:eastAsia="宋体" w:hAnsi="Times New Roman"/>
          <w:sz w:val="20"/>
          <w:szCs w:val="20"/>
        </w:rPr>
        <w:t>any such lawsuits and claims cannot be predicted with certainty, and any negative outcome from any such lawsuits could result in payments of substantial monetary damages or fines, or undesirable changes to our products or business practices, and accordingl</w:t>
      </w:r>
      <w:r>
        <w:rPr>
          <w:rFonts w:ascii="Times New Roman" w:eastAsia="宋体" w:hAnsi="Times New Roman"/>
          <w:sz w:val="20"/>
          <w:szCs w:val="20"/>
        </w:rPr>
        <w:t>y our business, financial condition, or results of operations could be materially and adversely affected.</w:t>
      </w:r>
    </w:p>
    <w:p w14:paraId="54E91839"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There can be no assurances that a favorable final outcome will be obtained in all our cases, and defending any lawsuit is costly and can impose a sign</w:t>
      </w:r>
      <w:r>
        <w:rPr>
          <w:rFonts w:ascii="Times New Roman" w:eastAsia="宋体" w:hAnsi="Times New Roman"/>
          <w:sz w:val="20"/>
          <w:szCs w:val="20"/>
        </w:rPr>
        <w:t>ificant burden on management and employees. Any litigation to which we are a party may result in an onerous or unfavorable judgment that may not be reversed upon appeal or in payments of substantial monetary damages or fines, or we may decide to settle law</w:t>
      </w:r>
      <w:r>
        <w:rPr>
          <w:rFonts w:ascii="Times New Roman" w:eastAsia="宋体" w:hAnsi="Times New Roman"/>
          <w:sz w:val="20"/>
          <w:szCs w:val="20"/>
        </w:rPr>
        <w:t>suits on similarly unfavorable terms, which has occurred in the past and which could adversely affect our business, financial conditions, or results of operations.</w:t>
      </w:r>
    </w:p>
    <w:p w14:paraId="54E9183A" w14:textId="77777777" w:rsidR="00F427A3" w:rsidRDefault="00F427A3">
      <w:pPr>
        <w:rPr>
          <w:rFonts w:ascii="Times New Roman" w:hAnsi="Times New Roman"/>
          <w:sz w:val="20"/>
          <w:szCs w:val="20"/>
        </w:rPr>
      </w:pPr>
    </w:p>
    <w:p w14:paraId="54E9183B"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69</w:t>
      </w:r>
    </w:p>
    <w:p w14:paraId="54E9183C" w14:textId="77777777" w:rsidR="00F427A3" w:rsidRDefault="0044221F">
      <w:r>
        <w:rPr>
          <w:rFonts w:ascii="Times New Roman" w:hAnsi="Times New Roman"/>
          <w:sz w:val="20"/>
          <w:szCs w:val="20"/>
        </w:rPr>
        <w:pict w14:anchorId="54E91C75">
          <v:rect id="_x0000_i1093" style="width:415.3pt;height:1.5pt" o:hralign="center" o:hrstd="t" o:hr="t" fillcolor="#a0a0a0" stroked="f"/>
        </w:pict>
      </w:r>
    </w:p>
    <w:p w14:paraId="54E9183D" w14:textId="77777777" w:rsidR="00F427A3" w:rsidRDefault="0044221F">
      <w:pPr>
        <w:spacing w:line="288" w:lineRule="auto"/>
        <w:rPr>
          <w:rFonts w:ascii="Times New Roman" w:hAnsi="Times New Roman"/>
          <w:sz w:val="20"/>
          <w:szCs w:val="20"/>
        </w:rPr>
      </w:pPr>
      <w:hyperlink r:id="rId110" w:anchor="s348EA962CF6D59B599D9921AFA89C381" w:history="1">
        <w:r>
          <w:rPr>
            <w:rStyle w:val="a5"/>
            <w:rFonts w:ascii="Times New Roman" w:eastAsia="宋体" w:hAnsi="Times New Roman"/>
            <w:sz w:val="20"/>
            <w:szCs w:val="20"/>
          </w:rPr>
          <w:t>Table of Contents</w:t>
        </w:r>
      </w:hyperlink>
    </w:p>
    <w:p w14:paraId="54E9183E" w14:textId="77777777" w:rsidR="00F427A3" w:rsidRDefault="00F427A3">
      <w:pPr>
        <w:rPr>
          <w:rFonts w:ascii="Times New Roman" w:hAnsi="Times New Roman"/>
          <w:sz w:val="20"/>
          <w:szCs w:val="20"/>
        </w:rPr>
      </w:pPr>
    </w:p>
    <w:p w14:paraId="54E9183F"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We may incur liability as a result of information retrieved from or transmitted over the Internet or published using our products or as a result of claims related to our </w:t>
      </w:r>
      <w:r>
        <w:rPr>
          <w:rFonts w:ascii="Times New Roman" w:eastAsia="宋体" w:hAnsi="Times New Roman"/>
          <w:b/>
          <w:bCs/>
          <w:i/>
          <w:iCs/>
          <w:sz w:val="20"/>
          <w:szCs w:val="20"/>
        </w:rPr>
        <w:t>products, and legislation regulating content on our platform may require us to change our products or business practices and may adversely affect our business and financial results.</w:t>
      </w:r>
    </w:p>
    <w:p w14:paraId="54E91840"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have faced, currently face, and will continue to face claims relating t</w:t>
      </w:r>
      <w:r>
        <w:rPr>
          <w:rFonts w:ascii="Times New Roman" w:eastAsia="宋体" w:hAnsi="Times New Roman"/>
          <w:sz w:val="20"/>
          <w:szCs w:val="20"/>
        </w:rPr>
        <w:t xml:space="preserve">o information or content that is published or made available on our products, including our policies and enforcement actions with respect to such information or content. In particular, the nature of our business exposes us to claims related to defamation, </w:t>
      </w:r>
      <w:r>
        <w:rPr>
          <w:rFonts w:ascii="Times New Roman" w:eastAsia="宋体" w:hAnsi="Times New Roman"/>
          <w:sz w:val="20"/>
          <w:szCs w:val="20"/>
        </w:rPr>
        <w:t>dissemination of misinformation or news hoaxes, discrimination, harassment, intellectual property rights, rights of publicity and privacy, personal injury torts, laws regulating hate speech or other types of content, and breach of contract, among others. T</w:t>
      </w:r>
      <w:r>
        <w:rPr>
          <w:rFonts w:ascii="Times New Roman" w:eastAsia="宋体" w:hAnsi="Times New Roman"/>
          <w:sz w:val="20"/>
          <w:szCs w:val="20"/>
        </w:rPr>
        <w:t>his risk is enhanced in certain jurisdictions outside the United States where our protection from liability for third-party actions may be unclear or where we may be less protected under local laws than we are in the United States. For example, in April 20</w:t>
      </w:r>
      <w:r>
        <w:rPr>
          <w:rFonts w:ascii="Times New Roman" w:eastAsia="宋体" w:hAnsi="Times New Roman"/>
          <w:sz w:val="20"/>
          <w:szCs w:val="20"/>
        </w:rPr>
        <w:t>19, the European Union passed a directive expanding online platform liability for copyright infringement and regulating certain uses of news content online, which member states are required to implement by June 2021. In addition, the European Union revised</w:t>
      </w:r>
      <w:r>
        <w:rPr>
          <w:rFonts w:ascii="Times New Roman" w:eastAsia="宋体" w:hAnsi="Times New Roman"/>
          <w:sz w:val="20"/>
          <w:szCs w:val="20"/>
        </w:rPr>
        <w:t xml:space="preserve"> the European Audiovisual Media Service Directive to apply to online video-sharing platforms, which member states are expected to implement by 2021. In the United States, there have been various Congressional and executive efforts to remove or restrict the</w:t>
      </w:r>
      <w:r>
        <w:rPr>
          <w:rFonts w:ascii="Times New Roman" w:eastAsia="宋体" w:hAnsi="Times New Roman"/>
          <w:sz w:val="20"/>
          <w:szCs w:val="20"/>
        </w:rPr>
        <w:t xml:space="preserve"> scope of the protections available to online platforms under Section 230 of the Communications Decency Act, as well as to impose new obligations on online platforms with respect to commerce listings, counterfeit goods and copyright-infringing material, an</w:t>
      </w:r>
      <w:r>
        <w:rPr>
          <w:rFonts w:ascii="Times New Roman" w:eastAsia="宋体" w:hAnsi="Times New Roman"/>
          <w:sz w:val="20"/>
          <w:szCs w:val="20"/>
        </w:rPr>
        <w:t>d our current protections from liability for third-party content in the United States could decrease or change. We could incur significant costs investigating and defending such claims and, if we are found liable, significant damages. We could also face fi</w:t>
      </w:r>
      <w:r>
        <w:rPr>
          <w:rFonts w:ascii="Times New Roman" w:eastAsia="宋体" w:hAnsi="Times New Roman"/>
          <w:sz w:val="20"/>
          <w:szCs w:val="20"/>
        </w:rPr>
        <w:t>nes, orders restricting or blocking our services in particular geographies, or other government-imposed remedies as a result of content hosted on our services. For example, legislation in Germany has in the past, and may in the future, result in the imposi</w:t>
      </w:r>
      <w:r>
        <w:rPr>
          <w:rFonts w:ascii="Times New Roman" w:eastAsia="宋体" w:hAnsi="Times New Roman"/>
          <w:sz w:val="20"/>
          <w:szCs w:val="20"/>
        </w:rPr>
        <w:t xml:space="preserve">tion of fines for failure to comply with certain content removal, law enforcement cooperation, and disclosure obligations. Numerous other countries in Europe, Asia-Pacific, and Latin America are considering or have implemented similar legislation imposing </w:t>
      </w:r>
      <w:r>
        <w:rPr>
          <w:rFonts w:ascii="Times New Roman" w:eastAsia="宋体" w:hAnsi="Times New Roman"/>
          <w:sz w:val="20"/>
          <w:szCs w:val="20"/>
        </w:rPr>
        <w:t>penalties for failure to remove certain types of content or follow certain processes. In addition, Australia recently announced proposed legislation that would, among other matters, require us to pay publishers for certain news content that is shared on Fa</w:t>
      </w:r>
      <w:r>
        <w:rPr>
          <w:rFonts w:ascii="Times New Roman" w:eastAsia="宋体" w:hAnsi="Times New Roman"/>
          <w:sz w:val="20"/>
          <w:szCs w:val="20"/>
        </w:rPr>
        <w:t xml:space="preserve">cebook and Instagram. Content-related legislation also has required us in the past, and may require us in the future, to change our products or business practices, increase our compliance costs, or otherwise impact our operations or our ability to provide </w:t>
      </w:r>
      <w:r>
        <w:rPr>
          <w:rFonts w:ascii="Times New Roman" w:eastAsia="宋体" w:hAnsi="Times New Roman"/>
          <w:sz w:val="20"/>
          <w:szCs w:val="20"/>
        </w:rPr>
        <w:t>services in certain geographies. For example, the European Copyright Directive requires certain online services to obtain authorizations for copyrighted content or to implement measures to prevent the availability of that content, which may require us to m</w:t>
      </w:r>
      <w:r>
        <w:rPr>
          <w:rFonts w:ascii="Times New Roman" w:eastAsia="宋体" w:hAnsi="Times New Roman"/>
          <w:sz w:val="20"/>
          <w:szCs w:val="20"/>
        </w:rPr>
        <w:t>ake substantial investments in compliance processes. In addition, changes to Section 230 of the Communications Decency Act may increase our costs or require significant changes to our products, business practices, or operations, which could adversely affec</w:t>
      </w:r>
      <w:r>
        <w:rPr>
          <w:rFonts w:ascii="Times New Roman" w:eastAsia="宋体" w:hAnsi="Times New Roman"/>
          <w:sz w:val="20"/>
          <w:szCs w:val="20"/>
        </w:rPr>
        <w:t>t user growth and engagement. Any of the foregoing events could adversely affect our business and financial results.</w:t>
      </w:r>
    </w:p>
    <w:p w14:paraId="54E91841"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Our CEO has control over key decision making as a result of his control of a majority of the voting power of our outstanding capital stock.</w:t>
      </w:r>
    </w:p>
    <w:p w14:paraId="54E91842"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Mark Zuckerberg, our founder, Chairman, and CEO, is able to exercise voting rights with respect to a majority of the voting power of our outstanding capital stock and therefore has the ability to control the outcome of matters submitted to our stockholder</w:t>
      </w:r>
      <w:r>
        <w:rPr>
          <w:rFonts w:ascii="Times New Roman" w:eastAsia="宋体" w:hAnsi="Times New Roman"/>
          <w:sz w:val="20"/>
          <w:szCs w:val="20"/>
        </w:rPr>
        <w:t>s for approval, including the election of directors and any merger, consolidation, or sale of all or substantially all of our assets. This concentrated control could delay, defer, or prevent a change of control, merger, consolidation, or sale of all or sub</w:t>
      </w:r>
      <w:r>
        <w:rPr>
          <w:rFonts w:ascii="Times New Roman" w:eastAsia="宋体" w:hAnsi="Times New Roman"/>
          <w:sz w:val="20"/>
          <w:szCs w:val="20"/>
        </w:rPr>
        <w:t>stantially all of our assets that our other stockholders support, or conversely this concentrated control could result in the consummation of such a transaction that our other stockholders do not support. This concentrated control could also discourage a p</w:t>
      </w:r>
      <w:r>
        <w:rPr>
          <w:rFonts w:ascii="Times New Roman" w:eastAsia="宋体" w:hAnsi="Times New Roman"/>
          <w:sz w:val="20"/>
          <w:szCs w:val="20"/>
        </w:rPr>
        <w:t>otential investor from acquiring our Class A common stock, which has limited voting power relative to the Class B common stock, and might harm the trading price of our Class A common stock. In addition, Mr. Zuckerberg has the ability to control the managem</w:t>
      </w:r>
      <w:r>
        <w:rPr>
          <w:rFonts w:ascii="Times New Roman" w:eastAsia="宋体" w:hAnsi="Times New Roman"/>
          <w:sz w:val="20"/>
          <w:szCs w:val="20"/>
        </w:rPr>
        <w:t>ent and major strategic investments of our company as a result of his position as our CEO and his ability to control the election or, in some cases, the replacement of our directors. In the event of his death, the shares of our capital stock that Mr. Zucke</w:t>
      </w:r>
      <w:r>
        <w:rPr>
          <w:rFonts w:ascii="Times New Roman" w:eastAsia="宋体" w:hAnsi="Times New Roman"/>
          <w:sz w:val="20"/>
          <w:szCs w:val="20"/>
        </w:rPr>
        <w:t>rberg owns will be transferred to the persons or entities that he has designated. As a board member and officer, Mr. Zuckerberg owes a fiduciary duty to our stockholders and must act in good faith in a manner he reasonably believes to be in the best intere</w:t>
      </w:r>
      <w:r>
        <w:rPr>
          <w:rFonts w:ascii="Times New Roman" w:eastAsia="宋体" w:hAnsi="Times New Roman"/>
          <w:sz w:val="20"/>
          <w:szCs w:val="20"/>
        </w:rPr>
        <w:t>sts of our stockholders. As a stockholder, even a controlling stockholder, Mr. Zuckerberg is entitled to vote his shares, and shares over which he has voting control as governed by a voting agreement, in his own interests, which may not always be in the in</w:t>
      </w:r>
      <w:r>
        <w:rPr>
          <w:rFonts w:ascii="Times New Roman" w:eastAsia="宋体" w:hAnsi="Times New Roman"/>
          <w:sz w:val="20"/>
          <w:szCs w:val="20"/>
        </w:rPr>
        <w:t>terests of our stockholders generally.</w:t>
      </w:r>
    </w:p>
    <w:p w14:paraId="54E91843" w14:textId="77777777" w:rsidR="00F427A3" w:rsidRDefault="00F427A3">
      <w:pPr>
        <w:rPr>
          <w:rFonts w:ascii="Times New Roman" w:hAnsi="Times New Roman"/>
          <w:sz w:val="20"/>
          <w:szCs w:val="20"/>
        </w:rPr>
      </w:pPr>
    </w:p>
    <w:p w14:paraId="54E91844"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70</w:t>
      </w:r>
    </w:p>
    <w:p w14:paraId="54E91845" w14:textId="77777777" w:rsidR="00F427A3" w:rsidRDefault="0044221F">
      <w:r>
        <w:rPr>
          <w:rFonts w:ascii="Times New Roman" w:hAnsi="Times New Roman"/>
          <w:sz w:val="20"/>
          <w:szCs w:val="20"/>
        </w:rPr>
        <w:pict w14:anchorId="54E91C76">
          <v:rect id="_x0000_i1094" style="width:415.3pt;height:1.5pt" o:hralign="center" o:hrstd="t" o:hr="t" fillcolor="#a0a0a0" stroked="f"/>
        </w:pict>
      </w:r>
    </w:p>
    <w:p w14:paraId="54E91846" w14:textId="77777777" w:rsidR="00F427A3" w:rsidRDefault="0044221F">
      <w:pPr>
        <w:spacing w:line="288" w:lineRule="auto"/>
        <w:rPr>
          <w:rFonts w:ascii="Times New Roman" w:hAnsi="Times New Roman"/>
          <w:sz w:val="20"/>
          <w:szCs w:val="20"/>
        </w:rPr>
      </w:pPr>
      <w:hyperlink r:id="rId111" w:anchor="s348EA962CF6D59B599D9921AFA89C381" w:history="1">
        <w:r>
          <w:rPr>
            <w:rStyle w:val="a5"/>
            <w:rFonts w:ascii="Times New Roman" w:eastAsia="宋体" w:hAnsi="Times New Roman"/>
            <w:sz w:val="20"/>
            <w:szCs w:val="20"/>
          </w:rPr>
          <w:t>Table of Contents</w:t>
        </w:r>
      </w:hyperlink>
    </w:p>
    <w:p w14:paraId="54E91847" w14:textId="77777777" w:rsidR="00F427A3" w:rsidRDefault="00F427A3">
      <w:pPr>
        <w:rPr>
          <w:rFonts w:ascii="Times New Roman" w:hAnsi="Times New Roman"/>
          <w:sz w:val="20"/>
          <w:szCs w:val="20"/>
        </w:rPr>
      </w:pPr>
    </w:p>
    <w:p w14:paraId="54E91848"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We plan to continue to make acquisition</w:t>
      </w:r>
      <w:r>
        <w:rPr>
          <w:rFonts w:ascii="Times New Roman" w:eastAsia="宋体" w:hAnsi="Times New Roman"/>
          <w:b/>
          <w:bCs/>
          <w:i/>
          <w:iCs/>
          <w:sz w:val="20"/>
          <w:szCs w:val="20"/>
        </w:rPr>
        <w:t>s, which could harm our financial condition or results of operations and may adversely affect the price of our common stock.</w:t>
      </w:r>
    </w:p>
    <w:p w14:paraId="54E91849"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As part of our business strategy, we have made and intend to continue to make acquisitions to add specialized employees and complem</w:t>
      </w:r>
      <w:r>
        <w:rPr>
          <w:rFonts w:ascii="Times New Roman" w:eastAsia="宋体" w:hAnsi="Times New Roman"/>
          <w:sz w:val="20"/>
          <w:szCs w:val="20"/>
        </w:rPr>
        <w:t>entary companies, products, or technologies. We may not be able to find suitable acquisition candidates, and we may not be able to complete acquisitions on favorable terms, if at all, including as a result of regulatory challenges. In some cases, the costs</w:t>
      </w:r>
      <w:r>
        <w:rPr>
          <w:rFonts w:ascii="Times New Roman" w:eastAsia="宋体" w:hAnsi="Times New Roman"/>
          <w:sz w:val="20"/>
          <w:szCs w:val="20"/>
        </w:rPr>
        <w:t xml:space="preserve"> of such acquisitions may be substantial, and there is no assurance that we will receive a favorable return on investment for our acquisitions.</w:t>
      </w:r>
    </w:p>
    <w:p w14:paraId="54E9184A"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may pay substantial amounts of cash or incur debt to pay for acquisitions, which could adversely affect our l</w:t>
      </w:r>
      <w:r>
        <w:rPr>
          <w:rFonts w:ascii="Times New Roman" w:eastAsia="宋体" w:hAnsi="Times New Roman"/>
          <w:sz w:val="20"/>
          <w:szCs w:val="20"/>
        </w:rPr>
        <w:t>iquidity. The incurrence of indebtedness would also result in increased fixed obligations and increased interest expense, and could also include covenants or other restrictions that would impede our ability to manage our operations. We may also issue equit</w:t>
      </w:r>
      <w:r>
        <w:rPr>
          <w:rFonts w:ascii="Times New Roman" w:eastAsia="宋体" w:hAnsi="Times New Roman"/>
          <w:sz w:val="20"/>
          <w:szCs w:val="20"/>
        </w:rPr>
        <w:t>y securities to pay for acquisitions and we regularly grant RSUs to retain the employees of acquired companies, which could increase our expenses, adversely affect our financial results, and result in dilution to our stockholders. In addition, any acquisit</w:t>
      </w:r>
      <w:r>
        <w:rPr>
          <w:rFonts w:ascii="Times New Roman" w:eastAsia="宋体" w:hAnsi="Times New Roman"/>
          <w:sz w:val="20"/>
          <w:szCs w:val="20"/>
        </w:rPr>
        <w:t>ions we announce could be viewed negatively by users, marketers, developers, or investors, which may adversely affect our business or the price of our Class A common stock.</w:t>
      </w:r>
    </w:p>
    <w:p w14:paraId="54E9184B"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may also discover liabilities or deficiencies associated with the companies or a</w:t>
      </w:r>
      <w:r>
        <w:rPr>
          <w:rFonts w:ascii="Times New Roman" w:eastAsia="宋体" w:hAnsi="Times New Roman"/>
          <w:sz w:val="20"/>
          <w:szCs w:val="20"/>
        </w:rPr>
        <w:t>ssets we acquire that were not identified in advance, which may result in significant unanticipated costs. The effectiveness of our due diligence review and our ability to evaluate the results of such due diligence are dependent upon the accuracy and compl</w:t>
      </w:r>
      <w:r>
        <w:rPr>
          <w:rFonts w:ascii="Times New Roman" w:eastAsia="宋体" w:hAnsi="Times New Roman"/>
          <w:sz w:val="20"/>
          <w:szCs w:val="20"/>
        </w:rPr>
        <w:t>eteness of statements and disclosures made or actions taken by the companies we acquire or their representatives, as well as the limited amount of time in which acquisitions are executed. In addition, we may fail to accurately forecast the financial impact</w:t>
      </w:r>
      <w:r>
        <w:rPr>
          <w:rFonts w:ascii="Times New Roman" w:eastAsia="宋体" w:hAnsi="Times New Roman"/>
          <w:sz w:val="20"/>
          <w:szCs w:val="20"/>
        </w:rPr>
        <w:t xml:space="preserve"> of an acquisition transaction, including tax and accounting charges. Acquisitions may also result in our recording of significant additional expenses to our results of operations and recording of substantial finite-lived intangible assets on our balance s</w:t>
      </w:r>
      <w:r>
        <w:rPr>
          <w:rFonts w:ascii="Times New Roman" w:eastAsia="宋体" w:hAnsi="Times New Roman"/>
          <w:sz w:val="20"/>
          <w:szCs w:val="20"/>
        </w:rPr>
        <w:t>heet upon closing. Any of these factors may adversely affect our financial condition or results of operations.</w:t>
      </w:r>
    </w:p>
    <w:p w14:paraId="54E9184C"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We may not be able to successfully integrate our acquisitions, and we incur significant costs to integrate and support the companies we acquire.</w:t>
      </w:r>
    </w:p>
    <w:p w14:paraId="54E9184D"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integration of acquisitions requires significant time and resources, and we may not manage these processes successfully. Our ability to successfully integrate complex acquisitions is unproven, particularly with respect to companies that have significan</w:t>
      </w:r>
      <w:r>
        <w:rPr>
          <w:rFonts w:ascii="Times New Roman" w:eastAsia="宋体" w:hAnsi="Times New Roman"/>
          <w:sz w:val="20"/>
          <w:szCs w:val="20"/>
        </w:rPr>
        <w:t>t operations or that develop products where we do not have prior experience. We continue to make substantial investments of resources to support our acquisitions, which will result in significant ongoing operating expenses and may divert resources and mana</w:t>
      </w:r>
      <w:r>
        <w:rPr>
          <w:rFonts w:ascii="Times New Roman" w:eastAsia="宋体" w:hAnsi="Times New Roman"/>
          <w:sz w:val="20"/>
          <w:szCs w:val="20"/>
        </w:rPr>
        <w:t>gement attention from other areas of our business. We cannot assure you that these investments will be successful. If we fail to successfully integrate the companies we acquire, we may not realize the benefits expected from the transaction and our business</w:t>
      </w:r>
      <w:r>
        <w:rPr>
          <w:rFonts w:ascii="Times New Roman" w:eastAsia="宋体" w:hAnsi="Times New Roman"/>
          <w:sz w:val="20"/>
          <w:szCs w:val="20"/>
        </w:rPr>
        <w:t xml:space="preserve"> may be harmed.</w:t>
      </w:r>
    </w:p>
    <w:p w14:paraId="54E9184E"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If our goodwill or finite-lived intangible assets become impaired, we may be required to record a significant charge to earnings. </w:t>
      </w:r>
    </w:p>
    <w:p w14:paraId="54E9184F"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review our finite-lived intangible assets for impairment when events or changes in circumstances indicate </w:t>
      </w:r>
      <w:r>
        <w:rPr>
          <w:rFonts w:ascii="Times New Roman" w:eastAsia="宋体" w:hAnsi="Times New Roman"/>
          <w:sz w:val="20"/>
          <w:szCs w:val="20"/>
        </w:rPr>
        <w:t>the carrying value may not be recoverable, such as a decline in stock price and market capitalization. We test goodwill for impairment at least annually. If such goodwill or finite-lived intangible assets are deemed to be impaired, an impairment loss equal</w:t>
      </w:r>
      <w:r>
        <w:rPr>
          <w:rFonts w:ascii="Times New Roman" w:eastAsia="宋体" w:hAnsi="Times New Roman"/>
          <w:sz w:val="20"/>
          <w:szCs w:val="20"/>
        </w:rPr>
        <w:t xml:space="preserve"> to the amount by which the carrying amount exceeds the fair value of the assets would be recognized. We may be required to record a significant charge in our financial statements during the period in which any impairment of our goodwill or finite-lived in</w:t>
      </w:r>
      <w:r>
        <w:rPr>
          <w:rFonts w:ascii="Times New Roman" w:eastAsia="宋体" w:hAnsi="Times New Roman"/>
          <w:sz w:val="20"/>
          <w:szCs w:val="20"/>
        </w:rPr>
        <w:t>tangible assets is determined, which would negatively affect our results of operations.</w:t>
      </w:r>
    </w:p>
    <w:p w14:paraId="54E91850"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Our business is dependent on our ability to maintain and scale our technical infrastructure, and any significant disruption in our service, including as a result of the</w:t>
      </w:r>
      <w:r>
        <w:rPr>
          <w:rFonts w:ascii="Times New Roman" w:eastAsia="宋体" w:hAnsi="Times New Roman"/>
          <w:b/>
          <w:bCs/>
          <w:i/>
          <w:iCs/>
          <w:sz w:val="20"/>
          <w:szCs w:val="20"/>
        </w:rPr>
        <w:t xml:space="preserve"> COVID-19 pandemic, could damage our reputation, result in a potential loss of users and engagement, and adversely affect our financial results.</w:t>
      </w:r>
    </w:p>
    <w:p w14:paraId="54E91851"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Our reputation and ability to attract, retain, and serve our users is dependent upon the reliable performance of our products and our underlying technical infrastructure. We have in the past experienced, and may in the future experience, interruptions in t</w:t>
      </w:r>
      <w:r>
        <w:rPr>
          <w:rFonts w:ascii="Times New Roman" w:eastAsia="宋体" w:hAnsi="Times New Roman"/>
          <w:sz w:val="20"/>
          <w:szCs w:val="20"/>
        </w:rPr>
        <w:t>he availability or performance of our products from time to time. Our systems may not be adequately designed or may not operate with the reliability and redundancy necessary to avoid performance delays or outages that could be harmful to our business. If o</w:t>
      </w:r>
      <w:r>
        <w:rPr>
          <w:rFonts w:ascii="Times New Roman" w:eastAsia="宋体" w:hAnsi="Times New Roman"/>
          <w:sz w:val="20"/>
          <w:szCs w:val="20"/>
        </w:rPr>
        <w:t>ur products are unavailable when users attempt to access them, or if they do not load as quickly as expected, users may not use our products as often in the future, or at all, and our ability to serve ads may be disrupted, any of which could adversely affe</w:t>
      </w:r>
      <w:r>
        <w:rPr>
          <w:rFonts w:ascii="Times New Roman" w:eastAsia="宋体" w:hAnsi="Times New Roman"/>
          <w:sz w:val="20"/>
          <w:szCs w:val="20"/>
        </w:rPr>
        <w:t xml:space="preserve">ct our business and financial performance. As the amount and types of information shared on Facebook and our other products continue to grow and evolve, as the usage patterns of our global community continue to evolve, and as our internal </w:t>
      </w:r>
    </w:p>
    <w:p w14:paraId="54E91852" w14:textId="77777777" w:rsidR="00F427A3" w:rsidRDefault="00F427A3">
      <w:pPr>
        <w:rPr>
          <w:rFonts w:ascii="Times New Roman" w:hAnsi="Times New Roman"/>
          <w:sz w:val="20"/>
          <w:szCs w:val="20"/>
        </w:rPr>
      </w:pPr>
    </w:p>
    <w:p w14:paraId="54E91853"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71</w:t>
      </w:r>
    </w:p>
    <w:p w14:paraId="54E91854" w14:textId="77777777" w:rsidR="00F427A3" w:rsidRDefault="0044221F">
      <w:r>
        <w:rPr>
          <w:rFonts w:ascii="Times New Roman" w:hAnsi="Times New Roman"/>
          <w:sz w:val="20"/>
          <w:szCs w:val="20"/>
        </w:rPr>
        <w:pict w14:anchorId="54E91C77">
          <v:rect id="_x0000_i1095" style="width:415.3pt;height:1.5pt" o:hralign="center" o:hrstd="t" o:hr="t" fillcolor="#a0a0a0" stroked="f"/>
        </w:pict>
      </w:r>
    </w:p>
    <w:p w14:paraId="54E91855" w14:textId="77777777" w:rsidR="00F427A3" w:rsidRDefault="0044221F">
      <w:pPr>
        <w:spacing w:line="288" w:lineRule="auto"/>
        <w:rPr>
          <w:rFonts w:ascii="Times New Roman" w:hAnsi="Times New Roman"/>
          <w:sz w:val="20"/>
          <w:szCs w:val="20"/>
        </w:rPr>
      </w:pPr>
      <w:hyperlink r:id="rId112" w:anchor="s348EA962CF6D59B599D9921AFA89C381" w:history="1">
        <w:r>
          <w:rPr>
            <w:rStyle w:val="a5"/>
            <w:rFonts w:ascii="Times New Roman" w:eastAsia="宋体" w:hAnsi="Times New Roman"/>
            <w:sz w:val="20"/>
            <w:szCs w:val="20"/>
          </w:rPr>
          <w:t>Table of Contents</w:t>
        </w:r>
      </w:hyperlink>
    </w:p>
    <w:p w14:paraId="54E91856" w14:textId="77777777" w:rsidR="00F427A3" w:rsidRDefault="00F427A3">
      <w:pPr>
        <w:rPr>
          <w:rFonts w:ascii="Times New Roman" w:hAnsi="Times New Roman"/>
          <w:sz w:val="20"/>
          <w:szCs w:val="20"/>
        </w:rPr>
      </w:pPr>
    </w:p>
    <w:p w14:paraId="54E91857" w14:textId="77777777" w:rsidR="00F427A3" w:rsidRDefault="0044221F">
      <w:pPr>
        <w:spacing w:line="288" w:lineRule="auto"/>
        <w:jc w:val="both"/>
        <w:rPr>
          <w:rFonts w:ascii="Times New Roman" w:hAnsi="Times New Roman"/>
          <w:sz w:val="20"/>
          <w:szCs w:val="20"/>
        </w:rPr>
      </w:pPr>
      <w:r>
        <w:rPr>
          <w:rFonts w:ascii="Times New Roman" w:eastAsia="宋体" w:hAnsi="Times New Roman"/>
          <w:sz w:val="20"/>
          <w:szCs w:val="20"/>
        </w:rPr>
        <w:t>operational demands continue to grow, we will need an increasing amount of technical infrastru</w:t>
      </w:r>
      <w:r>
        <w:rPr>
          <w:rFonts w:ascii="Times New Roman" w:eastAsia="宋体" w:hAnsi="Times New Roman"/>
          <w:sz w:val="20"/>
          <w:szCs w:val="20"/>
        </w:rPr>
        <w:t>cture, including network capacity and computing power, to continue to satisfy our needs. It is possible that we may fail to continue to effectively scale and grow our technical infrastructure to accommodate these increased demands, which may adversely affe</w:t>
      </w:r>
      <w:r>
        <w:rPr>
          <w:rFonts w:ascii="Times New Roman" w:eastAsia="宋体" w:hAnsi="Times New Roman"/>
          <w:sz w:val="20"/>
          <w:szCs w:val="20"/>
        </w:rPr>
        <w:t>ct our user engagement and advertising revenue growth. In addition, our business may be subject to interruptions, delays, or failures resulting from earthquakes, adverse weather conditions, other natural disasters, power loss, terrorism, geopolitical confl</w:t>
      </w:r>
      <w:r>
        <w:rPr>
          <w:rFonts w:ascii="Times New Roman" w:eastAsia="宋体" w:hAnsi="Times New Roman"/>
          <w:sz w:val="20"/>
          <w:szCs w:val="20"/>
        </w:rPr>
        <w:t>ict, other physical security threats, cyber-attacks, or other catastrophic events. If such an event were to occur, users may be subject to service disruptions or outages and we may not be able to recover our technical infrastructure and user data in a time</w:t>
      </w:r>
      <w:r>
        <w:rPr>
          <w:rFonts w:ascii="Times New Roman" w:eastAsia="宋体" w:hAnsi="Times New Roman"/>
          <w:sz w:val="20"/>
          <w:szCs w:val="20"/>
        </w:rPr>
        <w:t>ly manner to restart or provide our services, which may adversely affect our financial results.</w:t>
      </w:r>
    </w:p>
    <w:p w14:paraId="54E91858"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For example, the increase in the use of our products as a result of the COVID-19 pandemic has increased demands on our technical infrastructure. Additional prod</w:t>
      </w:r>
      <w:r>
        <w:rPr>
          <w:rFonts w:ascii="Times New Roman" w:eastAsia="宋体" w:hAnsi="Times New Roman"/>
          <w:sz w:val="20"/>
          <w:szCs w:val="20"/>
        </w:rPr>
        <w:t>uct development efforts during this time have put additional pressure on our technical infrastructure. We may not be able to accommodate these demands, including as a result of our reduced data center operations and personnel working remotely during the pa</w:t>
      </w:r>
      <w:r>
        <w:rPr>
          <w:rFonts w:ascii="Times New Roman" w:eastAsia="宋体" w:hAnsi="Times New Roman"/>
          <w:sz w:val="20"/>
          <w:szCs w:val="20"/>
        </w:rPr>
        <w:t>ndemic.</w:t>
      </w:r>
    </w:p>
    <w:p w14:paraId="54E91859"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A substantial portion of our network infrastructure is provided by third parties. Any disruption or failure in the services we receive from these providers could harm our ability to handle existing or increased traffic and could significantly harm </w:t>
      </w:r>
      <w:r>
        <w:rPr>
          <w:rFonts w:ascii="Times New Roman" w:eastAsia="宋体" w:hAnsi="Times New Roman"/>
          <w:sz w:val="20"/>
          <w:szCs w:val="20"/>
        </w:rPr>
        <w:t xml:space="preserve">our business. Any financial or other difficulties these providers face may adversely affect our business, and we exercise little control over these providers, which increases our vulnerability to problems with the services they provide. The effects of the </w:t>
      </w:r>
      <w:r>
        <w:rPr>
          <w:rFonts w:ascii="Times New Roman" w:eastAsia="宋体" w:hAnsi="Times New Roman"/>
          <w:sz w:val="20"/>
          <w:szCs w:val="20"/>
        </w:rPr>
        <w:t xml:space="preserve">COVID-19 pandemic have increased the risk of supply shortages or other disruptions in logistics or the supply chain for our technical infrastructure. As a result, we may not be able to procure sufficient equipment or services from third parties to satisfy </w:t>
      </w:r>
      <w:r>
        <w:rPr>
          <w:rFonts w:ascii="Times New Roman" w:eastAsia="宋体" w:hAnsi="Times New Roman"/>
          <w:sz w:val="20"/>
          <w:szCs w:val="20"/>
        </w:rPr>
        <w:t xml:space="preserve">our needs, or we may be required to procure such services or equipment on unfavorable terms. </w:t>
      </w:r>
    </w:p>
    <w:p w14:paraId="54E9185A"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Any of these developments may result in interruptions in the availability or performance of our products, require unfavorable changes to existing products, delay </w:t>
      </w:r>
      <w:r>
        <w:rPr>
          <w:rFonts w:ascii="Times New Roman" w:eastAsia="宋体" w:hAnsi="Times New Roman"/>
          <w:sz w:val="20"/>
          <w:szCs w:val="20"/>
        </w:rPr>
        <w:t xml:space="preserve">the introduction of future products, or otherwise adversely affect our business and financial results. </w:t>
      </w:r>
    </w:p>
    <w:p w14:paraId="54E9185B"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We could experience unforeseen difficulties in building and operating key portions of our technical infrastructure.</w:t>
      </w:r>
    </w:p>
    <w:p w14:paraId="54E9185C"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have designed and built our own d</w:t>
      </w:r>
      <w:r>
        <w:rPr>
          <w:rFonts w:ascii="Times New Roman" w:eastAsia="宋体" w:hAnsi="Times New Roman"/>
          <w:sz w:val="20"/>
          <w:szCs w:val="20"/>
        </w:rPr>
        <w:t>ata centers and key portions of our technical infrastructure through which we serve our products, and we plan to continue to significantly expand the size of our infrastructure primarily through data centers and other projects. The infrastructure expansion</w:t>
      </w:r>
      <w:r>
        <w:rPr>
          <w:rFonts w:ascii="Times New Roman" w:eastAsia="宋体" w:hAnsi="Times New Roman"/>
          <w:sz w:val="20"/>
          <w:szCs w:val="20"/>
        </w:rPr>
        <w:t xml:space="preserve"> we are undertaking is complex and involves projects in multiple locations, and we have in the past suspended, and may in the future suspend, certain of these projects as a result of the COVID-19 pandemic. Additional unanticipated delays or disruptions in </w:t>
      </w:r>
      <w:r>
        <w:rPr>
          <w:rFonts w:ascii="Times New Roman" w:eastAsia="宋体" w:hAnsi="Times New Roman"/>
          <w:sz w:val="20"/>
          <w:szCs w:val="20"/>
        </w:rPr>
        <w:t>the completion of these projects, including due to any shortage of labor necessary in building portions of such projects, or availability of components, challenges in obtaining required government or regulatory approvals, or other geopolitical challenges o</w:t>
      </w:r>
      <w:r>
        <w:rPr>
          <w:rFonts w:ascii="Times New Roman" w:eastAsia="宋体" w:hAnsi="Times New Roman"/>
          <w:sz w:val="20"/>
          <w:szCs w:val="20"/>
        </w:rPr>
        <w:t>r actions by governments, whether as a result of the pandemic or otherwise, may lead to increased project costs, operational inefficiencies, interruptions in the delivery or degradation of the quality or reliability of our products, or impairment of assets</w:t>
      </w:r>
      <w:r>
        <w:rPr>
          <w:rFonts w:ascii="Times New Roman" w:eastAsia="宋体" w:hAnsi="Times New Roman"/>
          <w:sz w:val="20"/>
          <w:szCs w:val="20"/>
        </w:rPr>
        <w:t xml:space="preserve"> on our balance sheet. In addition, there may be issues related to this infrastructure that are not identified during the testing phases of design and implementation, which may only become evident after we have started to fully utilize the underlying equip</w:t>
      </w:r>
      <w:r>
        <w:rPr>
          <w:rFonts w:ascii="Times New Roman" w:eastAsia="宋体" w:hAnsi="Times New Roman"/>
          <w:sz w:val="20"/>
          <w:szCs w:val="20"/>
        </w:rPr>
        <w:t>ment, that could further degrade the user experience or increase our costs. Further, much of our technical infrastructure is located outside the United States, and it is possible that action by a foreign government, or our response to such government actio</w:t>
      </w:r>
      <w:r>
        <w:rPr>
          <w:rFonts w:ascii="Times New Roman" w:eastAsia="宋体" w:hAnsi="Times New Roman"/>
          <w:sz w:val="20"/>
          <w:szCs w:val="20"/>
        </w:rPr>
        <w:t>n, could result in the impairment of a portion of our technical infrastructure, which may interrupt the delivery or degrade the quality or reliability of our products and lead to a negative user experience or increase our costs. Any of these events could a</w:t>
      </w:r>
      <w:r>
        <w:rPr>
          <w:rFonts w:ascii="Times New Roman" w:eastAsia="宋体" w:hAnsi="Times New Roman"/>
          <w:sz w:val="20"/>
          <w:szCs w:val="20"/>
        </w:rPr>
        <w:t>dversely affect our business, reputation, or financial results.</w:t>
      </w:r>
    </w:p>
    <w:p w14:paraId="54E9185D" w14:textId="77777777" w:rsidR="00F427A3" w:rsidRDefault="00F427A3">
      <w:pPr>
        <w:rPr>
          <w:rFonts w:ascii="Times New Roman" w:hAnsi="Times New Roman"/>
          <w:sz w:val="20"/>
          <w:szCs w:val="20"/>
        </w:rPr>
      </w:pPr>
    </w:p>
    <w:p w14:paraId="54E9185E"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72</w:t>
      </w:r>
    </w:p>
    <w:p w14:paraId="54E9185F" w14:textId="77777777" w:rsidR="00F427A3" w:rsidRDefault="0044221F">
      <w:r>
        <w:rPr>
          <w:rFonts w:ascii="Times New Roman" w:hAnsi="Times New Roman"/>
          <w:sz w:val="20"/>
          <w:szCs w:val="20"/>
        </w:rPr>
        <w:pict w14:anchorId="54E91C78">
          <v:rect id="_x0000_i1096" style="width:415.3pt;height:1.5pt" o:hralign="center" o:hrstd="t" o:hr="t" fillcolor="#a0a0a0" stroked="f"/>
        </w:pict>
      </w:r>
    </w:p>
    <w:p w14:paraId="54E91860" w14:textId="77777777" w:rsidR="00F427A3" w:rsidRDefault="0044221F">
      <w:pPr>
        <w:spacing w:line="288" w:lineRule="auto"/>
        <w:rPr>
          <w:rFonts w:ascii="Times New Roman" w:hAnsi="Times New Roman"/>
          <w:sz w:val="20"/>
          <w:szCs w:val="20"/>
        </w:rPr>
      </w:pPr>
      <w:hyperlink r:id="rId113" w:anchor="s348EA962CF6D59B599D9921AFA89C381" w:history="1">
        <w:r>
          <w:rPr>
            <w:rStyle w:val="a5"/>
            <w:rFonts w:ascii="Times New Roman" w:eastAsia="宋体" w:hAnsi="Times New Roman"/>
            <w:sz w:val="20"/>
            <w:szCs w:val="20"/>
          </w:rPr>
          <w:t>Table of Contents</w:t>
        </w:r>
      </w:hyperlink>
    </w:p>
    <w:p w14:paraId="54E91861" w14:textId="77777777" w:rsidR="00F427A3" w:rsidRDefault="00F427A3">
      <w:pPr>
        <w:rPr>
          <w:rFonts w:ascii="Times New Roman" w:hAnsi="Times New Roman"/>
          <w:sz w:val="20"/>
          <w:szCs w:val="20"/>
        </w:rPr>
      </w:pPr>
    </w:p>
    <w:p w14:paraId="54E91862"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Our products a</w:t>
      </w:r>
      <w:r>
        <w:rPr>
          <w:rFonts w:ascii="Times New Roman" w:eastAsia="宋体" w:hAnsi="Times New Roman"/>
          <w:b/>
          <w:bCs/>
          <w:i/>
          <w:iCs/>
          <w:sz w:val="20"/>
          <w:szCs w:val="20"/>
        </w:rPr>
        <w:t>nd internal systems rely on software and hardware that is highly technical, and any errors, bugs, or vulnerabilities in these systems, or failures to address or mitigate technical limitations in our systems, could adversely affect our business.</w:t>
      </w:r>
    </w:p>
    <w:p w14:paraId="54E91863"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Our product</w:t>
      </w:r>
      <w:r>
        <w:rPr>
          <w:rFonts w:ascii="Times New Roman" w:eastAsia="宋体" w:hAnsi="Times New Roman"/>
          <w:sz w:val="20"/>
          <w:szCs w:val="20"/>
        </w:rPr>
        <w:t xml:space="preserve">s and internal systems rely on software and hardware, including software and hardware developed or maintained internally and/or by third parties, that is highly technical and complex. In addition, our products and internal systems depend on the ability of </w:t>
      </w:r>
      <w:r>
        <w:rPr>
          <w:rFonts w:ascii="Times New Roman" w:eastAsia="宋体" w:hAnsi="Times New Roman"/>
          <w:sz w:val="20"/>
          <w:szCs w:val="20"/>
        </w:rPr>
        <w:t>such software and hardware to store, retrieve, process, and manage immense amounts of data. The software and hardware on which we rely has contained, and will in the future contain, errors, bugs, or vulnerabilities, and our systems are subject to certain t</w:t>
      </w:r>
      <w:r>
        <w:rPr>
          <w:rFonts w:ascii="Times New Roman" w:eastAsia="宋体" w:hAnsi="Times New Roman"/>
          <w:sz w:val="20"/>
          <w:szCs w:val="20"/>
        </w:rPr>
        <w:t xml:space="preserve">echnical limitations that may compromise our ability to meet our objectives. Some errors, bugs, or vulnerabilities inherently may be difficult to detect and may only be discovered after the code has been released for external or internal use. For example, </w:t>
      </w:r>
      <w:r>
        <w:rPr>
          <w:rFonts w:ascii="Times New Roman" w:eastAsia="宋体" w:hAnsi="Times New Roman"/>
          <w:sz w:val="20"/>
          <w:szCs w:val="20"/>
        </w:rPr>
        <w:t xml:space="preserve">in September 2018, we announced our discovery of a third-party cyber-attack that exploited a vulnerability in Facebook's code to steal user access tokens and access certain profile information from user accounts on Facebook. Errors, bugs, vulnerabilities, </w:t>
      </w:r>
      <w:r>
        <w:rPr>
          <w:rFonts w:ascii="Times New Roman" w:eastAsia="宋体" w:hAnsi="Times New Roman"/>
          <w:sz w:val="20"/>
          <w:szCs w:val="20"/>
        </w:rPr>
        <w:t>design defects, or technical limitations within the software and hardware on which we rely have in the past led to, and may in the future lead to, outcomes including a negative experience for users and marketers who use our products, compromised ability of</w:t>
      </w:r>
      <w:r>
        <w:rPr>
          <w:rFonts w:ascii="Times New Roman" w:eastAsia="宋体" w:hAnsi="Times New Roman"/>
          <w:sz w:val="20"/>
          <w:szCs w:val="20"/>
        </w:rPr>
        <w:t xml:space="preserve"> our products to perform in a manner consistent with our terms, contracts, or policies, delayed product introductions or enhancements, targeting, measurement, or billing errors, compromised ability to protect the data of our users and/or our intellectual p</w:t>
      </w:r>
      <w:r>
        <w:rPr>
          <w:rFonts w:ascii="Times New Roman" w:eastAsia="宋体" w:hAnsi="Times New Roman"/>
          <w:sz w:val="20"/>
          <w:szCs w:val="20"/>
        </w:rPr>
        <w:t>roperty, or reductions in our ability to provide some or all of our services. For example, we make commitments to our users as to how their data will be used within and across our products, and our systems are subject to errors, bugs and technical limitati</w:t>
      </w:r>
      <w:r>
        <w:rPr>
          <w:rFonts w:ascii="Times New Roman" w:eastAsia="宋体" w:hAnsi="Times New Roman"/>
          <w:sz w:val="20"/>
          <w:szCs w:val="20"/>
        </w:rPr>
        <w:t xml:space="preserve">ons that may prevent us from fulfilling these commitments reliably. In addition, any errors, bugs, vulnerabilities, or defects in our systems or the software and hardware on which we rely, failures to properly address or mitigate the technical limitations </w:t>
      </w:r>
      <w:r>
        <w:rPr>
          <w:rFonts w:ascii="Times New Roman" w:eastAsia="宋体" w:hAnsi="Times New Roman"/>
          <w:sz w:val="20"/>
          <w:szCs w:val="20"/>
        </w:rPr>
        <w:t>in our systems, or associated degradations or interruptions of service or failures to fulfill our commitments to our users, have in the past led to, and may in the future lead to, outcomes including damage to our reputation, loss of users, loss of marketer</w:t>
      </w:r>
      <w:r>
        <w:rPr>
          <w:rFonts w:ascii="Times New Roman" w:eastAsia="宋体" w:hAnsi="Times New Roman"/>
          <w:sz w:val="20"/>
          <w:szCs w:val="20"/>
        </w:rPr>
        <w:t>s, loss of revenue, regulatory inquiries, litigation, or liability for fines, damages, or other remedies, any of which could adversely affect our business and financial results.</w:t>
      </w:r>
    </w:p>
    <w:p w14:paraId="54E91864"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Technologies have been developed that can block the display of our ads, which </w:t>
      </w:r>
      <w:r>
        <w:rPr>
          <w:rFonts w:ascii="Times New Roman" w:eastAsia="宋体" w:hAnsi="Times New Roman"/>
          <w:b/>
          <w:bCs/>
          <w:i/>
          <w:iCs/>
          <w:sz w:val="20"/>
          <w:szCs w:val="20"/>
        </w:rPr>
        <w:t>could adversely affect our financial results.</w:t>
      </w:r>
    </w:p>
    <w:p w14:paraId="54E91865" w14:textId="77777777" w:rsidR="00F427A3" w:rsidRDefault="00F427A3">
      <w:pPr>
        <w:spacing w:line="288" w:lineRule="auto"/>
        <w:ind w:firstLine="720"/>
        <w:jc w:val="both"/>
        <w:rPr>
          <w:rFonts w:ascii="Times New Roman" w:hAnsi="Times New Roman"/>
          <w:sz w:val="20"/>
          <w:szCs w:val="20"/>
        </w:rPr>
      </w:pPr>
    </w:p>
    <w:p w14:paraId="54E91866"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Technologies have been developed, and will likely continue to be developed, that can block the display of our ads or block our ad measurement tools, particularly for advertising displayed on personal computers</w:t>
      </w:r>
      <w:r>
        <w:rPr>
          <w:rFonts w:ascii="Times New Roman" w:eastAsia="宋体" w:hAnsi="Times New Roman"/>
          <w:sz w:val="20"/>
          <w:szCs w:val="20"/>
        </w:rPr>
        <w:t>. We generate substantially all of our revenue from advertising, including revenue resulting from the display of ads on personal computers. Revenue generated from the display of ads on personal computers has been impacted by these technologies from time to</w:t>
      </w:r>
      <w:r>
        <w:rPr>
          <w:rFonts w:ascii="Times New Roman" w:eastAsia="宋体" w:hAnsi="Times New Roman"/>
          <w:sz w:val="20"/>
          <w:szCs w:val="20"/>
        </w:rPr>
        <w:t xml:space="preserve"> time. As a result, these technologies have had an adverse effect on our financial results and, if such technologies continue to proliferate, in particular with respect to mobile platforms, our future financial results may be harmed.</w:t>
      </w:r>
    </w:p>
    <w:p w14:paraId="54E91867" w14:textId="77777777" w:rsidR="00F427A3" w:rsidRDefault="00F427A3">
      <w:pPr>
        <w:spacing w:line="288" w:lineRule="auto"/>
        <w:jc w:val="both"/>
        <w:rPr>
          <w:rFonts w:ascii="Times New Roman" w:hAnsi="Times New Roman"/>
          <w:sz w:val="20"/>
          <w:szCs w:val="20"/>
        </w:rPr>
      </w:pPr>
    </w:p>
    <w:p w14:paraId="54E91868"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Real or perceived ina</w:t>
      </w:r>
      <w:r>
        <w:rPr>
          <w:rFonts w:ascii="Times New Roman" w:eastAsia="宋体" w:hAnsi="Times New Roman"/>
          <w:b/>
          <w:bCs/>
          <w:i/>
          <w:iCs/>
          <w:sz w:val="20"/>
          <w:szCs w:val="20"/>
        </w:rPr>
        <w:t>ccuracies in our community and other metrics may harm our reputation and negatively affect our business.</w:t>
      </w:r>
    </w:p>
    <w:p w14:paraId="54E91869" w14:textId="77777777" w:rsidR="00F427A3" w:rsidRDefault="00F427A3">
      <w:pPr>
        <w:spacing w:line="288" w:lineRule="auto"/>
        <w:ind w:firstLine="720"/>
        <w:jc w:val="both"/>
        <w:rPr>
          <w:rFonts w:ascii="Times New Roman" w:hAnsi="Times New Roman"/>
          <w:sz w:val="20"/>
          <w:szCs w:val="20"/>
        </w:rPr>
      </w:pPr>
    </w:p>
    <w:p w14:paraId="54E9186A"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numbers for our key metrics, which include our Facebook metrics (DAUs, MAUs, and average revenue per user (ARPU)) and Family metrics (DAP, </w:t>
      </w:r>
      <w:r>
        <w:rPr>
          <w:rFonts w:ascii="Times New Roman" w:eastAsia="宋体" w:hAnsi="Times New Roman"/>
          <w:sz w:val="20"/>
          <w:szCs w:val="20"/>
        </w:rPr>
        <w:t>MAP, and average revenue per person (ARPP)), are calculated using internal company data based on the activity of user accounts. While these numbers are based on what we believe to be reasonable estimates of our user base for the applicable period of measur</w:t>
      </w:r>
      <w:r>
        <w:rPr>
          <w:rFonts w:ascii="Times New Roman" w:eastAsia="宋体" w:hAnsi="Times New Roman"/>
          <w:sz w:val="20"/>
          <w:szCs w:val="20"/>
        </w:rPr>
        <w:t>ement, there are inherent challenges in measuring usage of our products across large online and mobile populations around the world. The methodologies used to measure these metrics require significant judgment and are also susceptible to algorithm or other</w:t>
      </w:r>
      <w:r>
        <w:rPr>
          <w:rFonts w:ascii="Times New Roman" w:eastAsia="宋体" w:hAnsi="Times New Roman"/>
          <w:sz w:val="20"/>
          <w:szCs w:val="20"/>
        </w:rPr>
        <w:t xml:space="preserve"> technical errors. In addition, we are continually seeking to improve our estimates of our user base, and such estimates may change due to improvements or changes in our methodology. We regularly review our processes for calculating these metrics, and from</w:t>
      </w:r>
      <w:r>
        <w:rPr>
          <w:rFonts w:ascii="Times New Roman" w:eastAsia="宋体" w:hAnsi="Times New Roman"/>
          <w:sz w:val="20"/>
          <w:szCs w:val="20"/>
        </w:rPr>
        <w:t xml:space="preserve"> time to time we discover inaccuracies in our metrics or make adjustments to improve their accuracy, which can result in adjustments to our historical metrics. Our ability to recalculate our historical metrics may be impacted by data limitations or other f</w:t>
      </w:r>
      <w:r>
        <w:rPr>
          <w:rFonts w:ascii="Times New Roman" w:eastAsia="宋体" w:hAnsi="Times New Roman"/>
          <w:sz w:val="20"/>
          <w:szCs w:val="20"/>
        </w:rPr>
        <w:t>actors that require us to apply different methodologies for such adjustments. We generally do not intend to update previously disclosed Family metrics for any such inaccuracies or adjustments that are within the error margins disclosed below.</w:t>
      </w:r>
    </w:p>
    <w:p w14:paraId="54E9186B" w14:textId="77777777" w:rsidR="00F427A3" w:rsidRDefault="00F427A3">
      <w:pPr>
        <w:spacing w:line="288" w:lineRule="auto"/>
        <w:ind w:firstLine="720"/>
        <w:jc w:val="both"/>
        <w:rPr>
          <w:rFonts w:ascii="Times New Roman" w:hAnsi="Times New Roman"/>
          <w:sz w:val="20"/>
          <w:szCs w:val="20"/>
        </w:rPr>
      </w:pPr>
    </w:p>
    <w:p w14:paraId="54E9186C"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In addition,</w:t>
      </w:r>
      <w:r>
        <w:rPr>
          <w:rFonts w:ascii="Times New Roman" w:eastAsia="宋体" w:hAnsi="Times New Roman"/>
          <w:sz w:val="20"/>
          <w:szCs w:val="20"/>
        </w:rPr>
        <w:t xml:space="preserve"> our Facebook metrics and Family metrics estimates will differ from estimates published by third parties due to differences in methodology.</w:t>
      </w:r>
    </w:p>
    <w:p w14:paraId="54E9186D" w14:textId="77777777" w:rsidR="00F427A3" w:rsidRDefault="00F427A3">
      <w:pPr>
        <w:spacing w:line="288" w:lineRule="auto"/>
        <w:ind w:firstLine="720"/>
        <w:jc w:val="both"/>
        <w:rPr>
          <w:rFonts w:ascii="Times New Roman" w:hAnsi="Times New Roman"/>
          <w:sz w:val="20"/>
          <w:szCs w:val="20"/>
        </w:rPr>
      </w:pPr>
    </w:p>
    <w:p w14:paraId="54E9186E" w14:textId="77777777" w:rsidR="00F427A3" w:rsidRDefault="00F427A3">
      <w:pPr>
        <w:rPr>
          <w:rFonts w:ascii="Times New Roman" w:hAnsi="Times New Roman"/>
          <w:sz w:val="20"/>
          <w:szCs w:val="20"/>
        </w:rPr>
      </w:pPr>
    </w:p>
    <w:p w14:paraId="54E9186F"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73</w:t>
      </w:r>
    </w:p>
    <w:p w14:paraId="54E91870" w14:textId="77777777" w:rsidR="00F427A3" w:rsidRDefault="0044221F">
      <w:r>
        <w:rPr>
          <w:rFonts w:ascii="Times New Roman" w:hAnsi="Times New Roman"/>
          <w:sz w:val="20"/>
          <w:szCs w:val="20"/>
        </w:rPr>
        <w:pict w14:anchorId="54E91C79">
          <v:rect id="_x0000_i1097" style="width:415.3pt;height:1.5pt" o:hralign="center" o:hrstd="t" o:hr="t" fillcolor="#a0a0a0" stroked="f"/>
        </w:pict>
      </w:r>
    </w:p>
    <w:p w14:paraId="54E91871" w14:textId="77777777" w:rsidR="00F427A3" w:rsidRDefault="0044221F">
      <w:pPr>
        <w:spacing w:line="288" w:lineRule="auto"/>
        <w:rPr>
          <w:rFonts w:ascii="Times New Roman" w:hAnsi="Times New Roman"/>
          <w:sz w:val="20"/>
          <w:szCs w:val="20"/>
        </w:rPr>
      </w:pPr>
      <w:hyperlink r:id="rId114" w:anchor="s348EA962CF6D59B599D9921AFA89C381" w:history="1">
        <w:r>
          <w:rPr>
            <w:rStyle w:val="a5"/>
            <w:rFonts w:ascii="Times New Roman" w:eastAsia="宋体" w:hAnsi="Times New Roman"/>
            <w:sz w:val="20"/>
            <w:szCs w:val="20"/>
          </w:rPr>
          <w:t>Table of Contents</w:t>
        </w:r>
      </w:hyperlink>
    </w:p>
    <w:p w14:paraId="54E91872" w14:textId="77777777" w:rsidR="00F427A3" w:rsidRDefault="00F427A3">
      <w:pPr>
        <w:rPr>
          <w:rFonts w:ascii="Times New Roman" w:hAnsi="Times New Roman"/>
          <w:sz w:val="20"/>
          <w:szCs w:val="20"/>
        </w:rPr>
      </w:pPr>
    </w:p>
    <w:p w14:paraId="54E91873"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regularly evaluate our Facebook metrics to estimate the number of "duplicate" and "false" accounts among our MAUs. A duplicate account is one that a user maintains in addition to his or her </w:t>
      </w:r>
      <w:r>
        <w:rPr>
          <w:rFonts w:ascii="Times New Roman" w:eastAsia="宋体" w:hAnsi="Times New Roman"/>
          <w:sz w:val="20"/>
          <w:szCs w:val="20"/>
        </w:rPr>
        <w:t xml:space="preserve">principal account. We divide "false" accounts into two categories: (1) user-misclassified accounts, where users have created personal profiles for a business, organization, or non-human entity such as a pet (such entities are permitted on Facebook using a </w:t>
      </w:r>
      <w:r>
        <w:rPr>
          <w:rFonts w:ascii="Times New Roman" w:eastAsia="宋体" w:hAnsi="Times New Roman"/>
          <w:sz w:val="20"/>
          <w:szCs w:val="20"/>
        </w:rPr>
        <w:t>Page rather than a personal profile under our terms of service); and (2) violating accounts, which represent user profiles that we believe are intended to be used for purposes that violate our terms of service, such as bots and spam. The estimates of dupli</w:t>
      </w:r>
      <w:r>
        <w:rPr>
          <w:rFonts w:ascii="Times New Roman" w:eastAsia="宋体" w:hAnsi="Times New Roman"/>
          <w:sz w:val="20"/>
          <w:szCs w:val="20"/>
        </w:rPr>
        <w:t>cate and false accounts are based on an internal review of a limited sample of accounts, and we apply significant judgment in making this determination. For example, to identify duplicate accounts we use data signals such as identical IP addresses and simi</w:t>
      </w:r>
      <w:r>
        <w:rPr>
          <w:rFonts w:ascii="Times New Roman" w:eastAsia="宋体" w:hAnsi="Times New Roman"/>
          <w:sz w:val="20"/>
          <w:szCs w:val="20"/>
        </w:rPr>
        <w:t>lar user names, and to identify false accounts we look for names that appear to be fake or other behavior that appears inauthentic to the reviewers. Any loss of access to data signals we use in this process, whether as a result of our own product decisions</w:t>
      </w:r>
      <w:r>
        <w:rPr>
          <w:rFonts w:ascii="Times New Roman" w:eastAsia="宋体" w:hAnsi="Times New Roman"/>
          <w:sz w:val="20"/>
          <w:szCs w:val="20"/>
        </w:rPr>
        <w:t>, actions by third-party browser or mobile platforms, regulatory or legislative requirements, limitations while our personnel work remotely during the COVID-19 pandemic, or other factors, also may impact the stability or accuracy of our estimates of duplic</w:t>
      </w:r>
      <w:r>
        <w:rPr>
          <w:rFonts w:ascii="Times New Roman" w:eastAsia="宋体" w:hAnsi="Times New Roman"/>
          <w:sz w:val="20"/>
          <w:szCs w:val="20"/>
        </w:rPr>
        <w:t xml:space="preserve">ate and false accounts. Our estimates also may change as our methodologies evolve, including through the application of new data signals or technologies or product changes that may allow us to identify previously undetected duplicate or false accounts and </w:t>
      </w:r>
      <w:r>
        <w:rPr>
          <w:rFonts w:ascii="Times New Roman" w:eastAsia="宋体" w:hAnsi="Times New Roman"/>
          <w:sz w:val="20"/>
          <w:szCs w:val="20"/>
        </w:rPr>
        <w:t>may improve our ability to evaluate a broader population of our users. Duplicate and false accounts are very difficult to measure at our scale, and it is possible that the actual number of duplicate and false accounts may vary significantly from our estima</w:t>
      </w:r>
      <w:r>
        <w:rPr>
          <w:rFonts w:ascii="Times New Roman" w:eastAsia="宋体" w:hAnsi="Times New Roman"/>
          <w:sz w:val="20"/>
          <w:szCs w:val="20"/>
        </w:rPr>
        <w:t>tes.</w:t>
      </w:r>
    </w:p>
    <w:p w14:paraId="54E91874" w14:textId="77777777" w:rsidR="00F427A3" w:rsidRDefault="00F427A3">
      <w:pPr>
        <w:spacing w:line="288" w:lineRule="auto"/>
        <w:ind w:firstLine="720"/>
        <w:jc w:val="both"/>
        <w:rPr>
          <w:rFonts w:ascii="Times New Roman" w:hAnsi="Times New Roman"/>
          <w:sz w:val="20"/>
          <w:szCs w:val="20"/>
        </w:rPr>
      </w:pPr>
    </w:p>
    <w:p w14:paraId="54E91875"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In the fourth quarter of 2019, we estimated that duplicate accounts may have represented approximately 11% of our worldwide MAUs. We believe the percentage of duplicate accounts is meaningfully higher in developing markets such as the Philippines and</w:t>
      </w:r>
      <w:r>
        <w:rPr>
          <w:rFonts w:ascii="Times New Roman" w:eastAsia="宋体" w:hAnsi="Times New Roman"/>
          <w:sz w:val="20"/>
          <w:szCs w:val="20"/>
        </w:rPr>
        <w:t xml:space="preserve"> Vietnam, as compared to more developed markets. In the fourth quarter of 2019, we estimated that false accounts may have represented approximately 5% of our worldwide MAUs. Our estimation of false accounts can vary as a result of episodic spikes in the cr</w:t>
      </w:r>
      <w:r>
        <w:rPr>
          <w:rFonts w:ascii="Times New Roman" w:eastAsia="宋体" w:hAnsi="Times New Roman"/>
          <w:sz w:val="20"/>
          <w:szCs w:val="20"/>
        </w:rPr>
        <w:t>eation of such accounts, which we have seen originate more frequently in specific countries such as Indonesia and Vietnam. From time to time, we disable certain user accounts, make product changes, or take other actions to reduce the number of duplicate or</w:t>
      </w:r>
      <w:r>
        <w:rPr>
          <w:rFonts w:ascii="Times New Roman" w:eastAsia="宋体" w:hAnsi="Times New Roman"/>
          <w:sz w:val="20"/>
          <w:szCs w:val="20"/>
        </w:rPr>
        <w:t xml:space="preserve"> false accounts among our users, which may also reduce our DAU and MAU estimates in a particular period. We intend to disclose our estimates of the number of duplicate and false accounts among our MAUs on an annual basis.</w:t>
      </w:r>
    </w:p>
    <w:p w14:paraId="54E91876" w14:textId="77777777" w:rsidR="00F427A3" w:rsidRDefault="00F427A3">
      <w:pPr>
        <w:spacing w:line="288" w:lineRule="auto"/>
        <w:ind w:firstLine="720"/>
        <w:jc w:val="both"/>
        <w:rPr>
          <w:rFonts w:ascii="Times New Roman" w:hAnsi="Times New Roman"/>
          <w:sz w:val="20"/>
          <w:szCs w:val="20"/>
        </w:rPr>
      </w:pPr>
    </w:p>
    <w:p w14:paraId="54E91877"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Many people in our community have</w:t>
      </w:r>
      <w:r>
        <w:rPr>
          <w:rFonts w:ascii="Times New Roman" w:eastAsia="宋体" w:hAnsi="Times New Roman"/>
          <w:sz w:val="20"/>
          <w:szCs w:val="20"/>
        </w:rPr>
        <w:t xml:space="preserve"> user accounts on more than one of our products, and some people have multiple user accounts within an individual product. Accordingly, for our Family metrics, we do not seek to count the total number of user accounts across our products because we believe</w:t>
      </w:r>
      <w:r>
        <w:rPr>
          <w:rFonts w:ascii="Times New Roman" w:eastAsia="宋体" w:hAnsi="Times New Roman"/>
          <w:sz w:val="20"/>
          <w:szCs w:val="20"/>
        </w:rPr>
        <w:t xml:space="preserve"> that would not reflect the actual size of our community. Rather, our Family metrics represent our estimates of the number of unique people using at least one of Facebook, Instagram, Messenger, and WhatsApp. We do not require people to use a common identif</w:t>
      </w:r>
      <w:r>
        <w:rPr>
          <w:rFonts w:ascii="Times New Roman" w:eastAsia="宋体" w:hAnsi="Times New Roman"/>
          <w:sz w:val="20"/>
          <w:szCs w:val="20"/>
        </w:rPr>
        <w:t>ier or link their accounts to use multiple products in our Family, and therefore must seek to attribute multiple user accounts within and across products to individual people. To calculate these metrics, we rely upon complex techniques, algorithms and mach</w:t>
      </w:r>
      <w:r>
        <w:rPr>
          <w:rFonts w:ascii="Times New Roman" w:eastAsia="宋体" w:hAnsi="Times New Roman"/>
          <w:sz w:val="20"/>
          <w:szCs w:val="20"/>
        </w:rPr>
        <w:t>ine learning models that seek to count the individual people behind user accounts, including by matching multiple user accounts within an individual product and across multiple products when we believe they are attributable to a single person, and counting</w:t>
      </w:r>
      <w:r>
        <w:rPr>
          <w:rFonts w:ascii="Times New Roman" w:eastAsia="宋体" w:hAnsi="Times New Roman"/>
          <w:sz w:val="20"/>
          <w:szCs w:val="20"/>
        </w:rPr>
        <w:t xml:space="preserve"> such group of accounts as one person. These techniques and models require significant judgment, are subject to data and other limitations discussed below, and inherently are subject to statistical variances and uncertainties. We estimate the potential err</w:t>
      </w:r>
      <w:r>
        <w:rPr>
          <w:rFonts w:ascii="Times New Roman" w:eastAsia="宋体" w:hAnsi="Times New Roman"/>
          <w:sz w:val="20"/>
          <w:szCs w:val="20"/>
        </w:rPr>
        <w:t>or in our Family metrics primarily based on user survey data, which itself is subject to error as well. While we expect the error margin for our Family metrics to vary from period to period, we estimate that such margin generally will be approximately 4% o</w:t>
      </w:r>
      <w:r>
        <w:rPr>
          <w:rFonts w:ascii="Times New Roman" w:eastAsia="宋体" w:hAnsi="Times New Roman"/>
          <w:sz w:val="20"/>
          <w:szCs w:val="20"/>
        </w:rPr>
        <w:t>f our worldwide MAP. At our scale, it is very difficult to attribute multiple user accounts within and across products to individual people, and it is possible that the actual numbers of unique people using our products may vary significantly from our esti</w:t>
      </w:r>
      <w:r>
        <w:rPr>
          <w:rFonts w:ascii="Times New Roman" w:eastAsia="宋体" w:hAnsi="Times New Roman"/>
          <w:sz w:val="20"/>
          <w:szCs w:val="20"/>
        </w:rPr>
        <w:t>mates, potentially beyond our estimated error margins. As a result, it is also possible that our Family metrics may indicate changes or trends in user numbers that do not match actual changes or trends.</w:t>
      </w:r>
    </w:p>
    <w:p w14:paraId="54E91878" w14:textId="77777777" w:rsidR="00F427A3" w:rsidRDefault="00F427A3">
      <w:pPr>
        <w:spacing w:line="288" w:lineRule="auto"/>
        <w:ind w:firstLine="720"/>
        <w:jc w:val="both"/>
        <w:rPr>
          <w:rFonts w:ascii="Times New Roman" w:hAnsi="Times New Roman"/>
          <w:sz w:val="20"/>
          <w:szCs w:val="20"/>
        </w:rPr>
      </w:pPr>
    </w:p>
    <w:p w14:paraId="54E91879"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To calculate our estimates of Family DAP and MAP, we</w:t>
      </w:r>
      <w:r>
        <w:rPr>
          <w:rFonts w:ascii="Times New Roman" w:eastAsia="宋体" w:hAnsi="Times New Roman"/>
          <w:sz w:val="20"/>
          <w:szCs w:val="20"/>
        </w:rPr>
        <w:t xml:space="preserve"> currently use a series of machine learning models that are developed based on internal reviews of limited samples of user accounts and calibrated against user survey data. We apply significant judgment in designing these models and calculating these estim</w:t>
      </w:r>
      <w:r>
        <w:rPr>
          <w:rFonts w:ascii="Times New Roman" w:eastAsia="宋体" w:hAnsi="Times New Roman"/>
          <w:sz w:val="20"/>
          <w:szCs w:val="20"/>
        </w:rPr>
        <w:t>ates. For example, to match user accounts within individual products and across multiple products, we use data signals such as similar device information, IP addresses, and user names. We also calibrate our models against data from periodic user surveys of</w:t>
      </w:r>
      <w:r>
        <w:rPr>
          <w:rFonts w:ascii="Times New Roman" w:eastAsia="宋体" w:hAnsi="Times New Roman"/>
          <w:sz w:val="20"/>
          <w:szCs w:val="20"/>
        </w:rPr>
        <w:t xml:space="preserve"> varying sizes and frequency across our products, which are inherently subject to error. The timing and results of such user surveys have in the past contributed, and may in the future contribute, to changes in our reported Family metrics from period to pe</w:t>
      </w:r>
      <w:r>
        <w:rPr>
          <w:rFonts w:ascii="Times New Roman" w:eastAsia="宋体" w:hAnsi="Times New Roman"/>
          <w:sz w:val="20"/>
          <w:szCs w:val="20"/>
        </w:rPr>
        <w:t>riod. In addition, our data limitations may affect our understanding of certain details of our business and increase the risk of error for our Family metrics estimates. Our techniques and models rely on a variety of data signals from different products, an</w:t>
      </w:r>
      <w:r>
        <w:rPr>
          <w:rFonts w:ascii="Times New Roman" w:eastAsia="宋体" w:hAnsi="Times New Roman"/>
          <w:sz w:val="20"/>
          <w:szCs w:val="20"/>
        </w:rPr>
        <w:t xml:space="preserve">d we rely on more limited data signals for some products compared to others. For example, as a result of limited visibility into encrypted products, we have fewer data signals from </w:t>
      </w:r>
    </w:p>
    <w:p w14:paraId="54E9187A" w14:textId="77777777" w:rsidR="00F427A3" w:rsidRDefault="00F427A3">
      <w:pPr>
        <w:rPr>
          <w:rFonts w:ascii="Times New Roman" w:hAnsi="Times New Roman"/>
          <w:sz w:val="20"/>
          <w:szCs w:val="20"/>
        </w:rPr>
      </w:pPr>
    </w:p>
    <w:p w14:paraId="54E9187B"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74</w:t>
      </w:r>
    </w:p>
    <w:p w14:paraId="54E9187C" w14:textId="77777777" w:rsidR="00F427A3" w:rsidRDefault="0044221F">
      <w:r>
        <w:rPr>
          <w:rFonts w:ascii="Times New Roman" w:hAnsi="Times New Roman"/>
          <w:sz w:val="20"/>
          <w:szCs w:val="20"/>
        </w:rPr>
        <w:pict w14:anchorId="54E91C7A">
          <v:rect id="_x0000_i1098" style="width:415.3pt;height:1.5pt" o:hralign="center" o:hrstd="t" o:hr="t" fillcolor="#a0a0a0" stroked="f"/>
        </w:pict>
      </w:r>
    </w:p>
    <w:p w14:paraId="54E9187D" w14:textId="77777777" w:rsidR="00F427A3" w:rsidRDefault="0044221F">
      <w:pPr>
        <w:spacing w:line="288" w:lineRule="auto"/>
        <w:rPr>
          <w:rFonts w:ascii="Times New Roman" w:hAnsi="Times New Roman"/>
          <w:sz w:val="20"/>
          <w:szCs w:val="20"/>
        </w:rPr>
      </w:pPr>
      <w:hyperlink r:id="rId115" w:anchor="s348EA962CF6D59B599D9921AFA89C381" w:history="1">
        <w:r>
          <w:rPr>
            <w:rStyle w:val="a5"/>
            <w:rFonts w:ascii="Times New Roman" w:eastAsia="宋体" w:hAnsi="Times New Roman"/>
            <w:sz w:val="20"/>
            <w:szCs w:val="20"/>
          </w:rPr>
          <w:t>Table of Contents</w:t>
        </w:r>
      </w:hyperlink>
    </w:p>
    <w:p w14:paraId="54E9187E" w14:textId="77777777" w:rsidR="00F427A3" w:rsidRDefault="00F427A3">
      <w:pPr>
        <w:rPr>
          <w:rFonts w:ascii="Times New Roman" w:hAnsi="Times New Roman"/>
          <w:sz w:val="20"/>
          <w:szCs w:val="20"/>
        </w:rPr>
      </w:pPr>
    </w:p>
    <w:p w14:paraId="54E9187F" w14:textId="77777777" w:rsidR="00F427A3" w:rsidRDefault="0044221F">
      <w:pPr>
        <w:spacing w:line="288" w:lineRule="auto"/>
        <w:jc w:val="both"/>
        <w:rPr>
          <w:rFonts w:ascii="Times New Roman" w:hAnsi="Times New Roman"/>
          <w:sz w:val="20"/>
          <w:szCs w:val="20"/>
        </w:rPr>
      </w:pPr>
      <w:r>
        <w:rPr>
          <w:rFonts w:ascii="Times New Roman" w:eastAsia="宋体" w:hAnsi="Times New Roman"/>
          <w:sz w:val="20"/>
          <w:szCs w:val="20"/>
        </w:rPr>
        <w:t>WhatsApp user accounts and primarily rely on phone numbers and device information to</w:t>
      </w:r>
      <w:r>
        <w:rPr>
          <w:rFonts w:ascii="Times New Roman" w:eastAsia="宋体" w:hAnsi="Times New Roman"/>
          <w:sz w:val="20"/>
          <w:szCs w:val="20"/>
        </w:rPr>
        <w:t xml:space="preserve"> match WhatsApp user accounts with accounts on our other products. Similarly, although Messenger Kids users are included in our Family metrics, we do not seek to match their accounts with accounts on our other applications for purposes of calculating DAP a</w:t>
      </w:r>
      <w:r>
        <w:rPr>
          <w:rFonts w:ascii="Times New Roman" w:eastAsia="宋体" w:hAnsi="Times New Roman"/>
          <w:sz w:val="20"/>
          <w:szCs w:val="20"/>
        </w:rPr>
        <w:t>nd MAP. Any loss of access to data signals we use in our process for calculating Family metrics, whether as a result of our own product decisions, actions by third-party browser or mobile platforms, regulatory or legislative requirements, limitations while</w:t>
      </w:r>
      <w:r>
        <w:rPr>
          <w:rFonts w:ascii="Times New Roman" w:eastAsia="宋体" w:hAnsi="Times New Roman"/>
          <w:sz w:val="20"/>
          <w:szCs w:val="20"/>
        </w:rPr>
        <w:t xml:space="preserve"> our personnel work remotely during the COVID-19 pandemic, or other factors, also may impact the stability or accuracy of our reported Family metrics. Our estimates of Family metrics also may change as our methodologies evolve, including through the applic</w:t>
      </w:r>
      <w:r>
        <w:rPr>
          <w:rFonts w:ascii="Times New Roman" w:eastAsia="宋体" w:hAnsi="Times New Roman"/>
          <w:sz w:val="20"/>
          <w:szCs w:val="20"/>
        </w:rPr>
        <w:t xml:space="preserve">ation of new data signals or technologies, product changes, or other improvements in our user surveys, algorithms, or machine learning that may improve our ability to match accounts within and across our products or otherwise evaluate the broad population </w:t>
      </w:r>
      <w:r>
        <w:rPr>
          <w:rFonts w:ascii="Times New Roman" w:eastAsia="宋体" w:hAnsi="Times New Roman"/>
          <w:sz w:val="20"/>
          <w:szCs w:val="20"/>
        </w:rPr>
        <w:t>of our users. In addition, such evolution may allow us to identify previously undetected violating accounts (as defined below).</w:t>
      </w:r>
    </w:p>
    <w:p w14:paraId="54E91880" w14:textId="77777777" w:rsidR="00F427A3" w:rsidRDefault="00F427A3">
      <w:pPr>
        <w:spacing w:line="288" w:lineRule="auto"/>
        <w:ind w:firstLine="720"/>
        <w:jc w:val="both"/>
        <w:rPr>
          <w:rFonts w:ascii="Times New Roman" w:hAnsi="Times New Roman"/>
          <w:sz w:val="20"/>
          <w:szCs w:val="20"/>
        </w:rPr>
      </w:pPr>
    </w:p>
    <w:p w14:paraId="54E91881"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regularly evaluate our Family metrics to estimate the percentage of our MAP consisting solely of "violating" accounts. We de</w:t>
      </w:r>
      <w:r>
        <w:rPr>
          <w:rFonts w:ascii="Times New Roman" w:eastAsia="宋体" w:hAnsi="Times New Roman"/>
          <w:sz w:val="20"/>
          <w:szCs w:val="20"/>
        </w:rPr>
        <w:t xml:space="preserve">fine "violating" accounts as accounts which we believe are intended to be used for purposes that violate our terms of service, including bots and spam. In the fourth quarter of 2019, we estimated that approximately 3% of our worldwide MAP consisted solely </w:t>
      </w:r>
      <w:r>
        <w:rPr>
          <w:rFonts w:ascii="Times New Roman" w:eastAsia="宋体" w:hAnsi="Times New Roman"/>
          <w:sz w:val="20"/>
          <w:szCs w:val="20"/>
        </w:rPr>
        <w:t>of violating accounts. Such estimation is based on an internal review of a limited sample of accounts, and we apply significant judgment in making this determination. For example, we look for account information and behaviors associated with Facebook and I</w:t>
      </w:r>
      <w:r>
        <w:rPr>
          <w:rFonts w:ascii="Times New Roman" w:eastAsia="宋体" w:hAnsi="Times New Roman"/>
          <w:sz w:val="20"/>
          <w:szCs w:val="20"/>
        </w:rPr>
        <w:t>nstagram accounts that appear to be inauthentic to the reviewers, but we have limited visibility into WhatsApp user activity due to encryption. In addition, if we believe an individual person has one or more violating accounts, we do not include such perso</w:t>
      </w:r>
      <w:r>
        <w:rPr>
          <w:rFonts w:ascii="Times New Roman" w:eastAsia="宋体" w:hAnsi="Times New Roman"/>
          <w:sz w:val="20"/>
          <w:szCs w:val="20"/>
        </w:rPr>
        <w:t>n in our violating accounts estimation as long as we believe they have one account that does not constitute a violating account. From time to time, we disable certain user accounts, make product changes, or take other actions to reduce the number of violat</w:t>
      </w:r>
      <w:r>
        <w:rPr>
          <w:rFonts w:ascii="Times New Roman" w:eastAsia="宋体" w:hAnsi="Times New Roman"/>
          <w:sz w:val="20"/>
          <w:szCs w:val="20"/>
        </w:rPr>
        <w:t>ing accounts among our users, which may also reduce our DAP and MAP estimates in a particular period. We intend to disclose our estimates of the percentage of our MAP consisting solely of violating accounts on an annual basis. Violating accounts are very d</w:t>
      </w:r>
      <w:r>
        <w:rPr>
          <w:rFonts w:ascii="Times New Roman" w:eastAsia="宋体" w:hAnsi="Times New Roman"/>
          <w:sz w:val="20"/>
          <w:szCs w:val="20"/>
        </w:rPr>
        <w:t>ifficult to measure at our scale, and it is possible that the actual number of violating accounts may vary significantly from our estimates.</w:t>
      </w:r>
    </w:p>
    <w:p w14:paraId="54E91882" w14:textId="77777777" w:rsidR="00F427A3" w:rsidRDefault="00F427A3">
      <w:pPr>
        <w:spacing w:line="288" w:lineRule="auto"/>
        <w:ind w:firstLine="720"/>
        <w:jc w:val="both"/>
        <w:rPr>
          <w:rFonts w:ascii="Times New Roman" w:hAnsi="Times New Roman"/>
          <w:sz w:val="20"/>
          <w:szCs w:val="20"/>
        </w:rPr>
      </w:pPr>
    </w:p>
    <w:p w14:paraId="54E91883"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Other data limitations also may affect our understanding of certain details of our business. For example, </w:t>
      </w:r>
      <w:r>
        <w:rPr>
          <w:rFonts w:ascii="Times New Roman" w:eastAsia="宋体" w:hAnsi="Times New Roman"/>
          <w:sz w:val="20"/>
          <w:szCs w:val="20"/>
        </w:rPr>
        <w:t>while user-provided data indicates a decline in usage among younger users, this age data is unreliable because a disproportionate number of our younger users register with an inaccurate age. Accordingly, our understanding of usage by age group may not be c</w:t>
      </w:r>
      <w:r>
        <w:rPr>
          <w:rFonts w:ascii="Times New Roman" w:eastAsia="宋体" w:hAnsi="Times New Roman"/>
          <w:sz w:val="20"/>
          <w:szCs w:val="20"/>
        </w:rPr>
        <w:t>omplete.</w:t>
      </w:r>
    </w:p>
    <w:p w14:paraId="54E91884" w14:textId="77777777" w:rsidR="00F427A3" w:rsidRDefault="00F427A3">
      <w:pPr>
        <w:spacing w:line="288" w:lineRule="auto"/>
        <w:ind w:firstLine="720"/>
        <w:jc w:val="both"/>
        <w:rPr>
          <w:rFonts w:ascii="Times New Roman" w:hAnsi="Times New Roman"/>
          <w:sz w:val="20"/>
          <w:szCs w:val="20"/>
        </w:rPr>
      </w:pPr>
    </w:p>
    <w:p w14:paraId="54E91885"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our data regarding the geographic location of our users is estimated based on a number of factors, such as the user's IP address and self-disclosed location. These factors may not always accurately reflect the user's actual location.</w:t>
      </w:r>
      <w:r>
        <w:rPr>
          <w:rFonts w:ascii="Times New Roman" w:eastAsia="宋体" w:hAnsi="Times New Roman"/>
          <w:sz w:val="20"/>
          <w:szCs w:val="20"/>
        </w:rPr>
        <w:t xml:space="preserve"> For example, a user may appear to be accessing Facebook from the location of the proxy server that the user connects to rather than from the user's actual location. The methodologies used to measure our metrics are also susceptible to algorithm or other t</w:t>
      </w:r>
      <w:r>
        <w:rPr>
          <w:rFonts w:ascii="Times New Roman" w:eastAsia="宋体" w:hAnsi="Times New Roman"/>
          <w:sz w:val="20"/>
          <w:szCs w:val="20"/>
        </w:rPr>
        <w:t>echnical errors, and our estimates for revenue by user location and revenue by user device are also affected by these factors.</w:t>
      </w:r>
    </w:p>
    <w:p w14:paraId="54E91886" w14:textId="77777777" w:rsidR="00F427A3" w:rsidRDefault="00F427A3">
      <w:pPr>
        <w:spacing w:line="288" w:lineRule="auto"/>
        <w:ind w:firstLine="720"/>
        <w:jc w:val="both"/>
        <w:rPr>
          <w:rFonts w:ascii="Times New Roman" w:hAnsi="Times New Roman"/>
          <w:sz w:val="20"/>
          <w:szCs w:val="20"/>
        </w:rPr>
      </w:pPr>
    </w:p>
    <w:p w14:paraId="54E91887"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from time to time we provide, or rely on, certain other metrics and estimates, including those relating to the reac</w:t>
      </w:r>
      <w:r>
        <w:rPr>
          <w:rFonts w:ascii="Times New Roman" w:eastAsia="宋体" w:hAnsi="Times New Roman"/>
          <w:sz w:val="20"/>
          <w:szCs w:val="20"/>
        </w:rPr>
        <w:t xml:space="preserve">h and effectiveness of our ads. Many of our metrics involve the use of estimations and judgments, and our metrics and estimates are subject to software bugs, inconsistencies in our systems, and human error. Where marketers, developers, or investors do not </w:t>
      </w:r>
      <w:r>
        <w:rPr>
          <w:rFonts w:ascii="Times New Roman" w:eastAsia="宋体" w:hAnsi="Times New Roman"/>
          <w:sz w:val="20"/>
          <w:szCs w:val="20"/>
        </w:rPr>
        <w:t>perceive our metrics or estimates to be accurate, or where we discover material inaccuracies in our metrics or estimates, we may be subject to liability, our reputation may be harmed, and marketers and developers may be less willing to allocate their budge</w:t>
      </w:r>
      <w:r>
        <w:rPr>
          <w:rFonts w:ascii="Times New Roman" w:eastAsia="宋体" w:hAnsi="Times New Roman"/>
          <w:sz w:val="20"/>
          <w:szCs w:val="20"/>
        </w:rPr>
        <w:t>ts or resources to Facebook or our other products, which could negatively affect our business and financial results.</w:t>
      </w:r>
    </w:p>
    <w:p w14:paraId="54E91888" w14:textId="77777777" w:rsidR="00F427A3" w:rsidRDefault="00F427A3">
      <w:pPr>
        <w:spacing w:line="288" w:lineRule="auto"/>
        <w:ind w:firstLine="720"/>
        <w:jc w:val="both"/>
        <w:rPr>
          <w:rFonts w:ascii="Times New Roman" w:hAnsi="Times New Roman"/>
          <w:sz w:val="20"/>
          <w:szCs w:val="20"/>
        </w:rPr>
      </w:pPr>
    </w:p>
    <w:p w14:paraId="54E91889" w14:textId="77777777" w:rsidR="00F427A3" w:rsidRDefault="00F427A3">
      <w:pPr>
        <w:rPr>
          <w:rFonts w:ascii="Times New Roman" w:hAnsi="Times New Roman"/>
          <w:sz w:val="20"/>
          <w:szCs w:val="20"/>
        </w:rPr>
      </w:pPr>
    </w:p>
    <w:p w14:paraId="54E9188A"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75</w:t>
      </w:r>
    </w:p>
    <w:p w14:paraId="54E9188B" w14:textId="77777777" w:rsidR="00F427A3" w:rsidRDefault="0044221F">
      <w:r>
        <w:rPr>
          <w:rFonts w:ascii="Times New Roman" w:hAnsi="Times New Roman"/>
          <w:sz w:val="20"/>
          <w:szCs w:val="20"/>
        </w:rPr>
        <w:pict w14:anchorId="54E91C7B">
          <v:rect id="_x0000_i1099" style="width:415.3pt;height:1.5pt" o:hralign="center" o:hrstd="t" o:hr="t" fillcolor="#a0a0a0" stroked="f"/>
        </w:pict>
      </w:r>
    </w:p>
    <w:p w14:paraId="54E9188C" w14:textId="77777777" w:rsidR="00F427A3" w:rsidRDefault="0044221F">
      <w:pPr>
        <w:spacing w:line="288" w:lineRule="auto"/>
        <w:rPr>
          <w:rFonts w:ascii="Times New Roman" w:hAnsi="Times New Roman"/>
          <w:sz w:val="20"/>
          <w:szCs w:val="20"/>
        </w:rPr>
      </w:pPr>
      <w:hyperlink r:id="rId116" w:anchor="s348EA962CF6D59B599D9921AFA89C381" w:history="1">
        <w:r>
          <w:rPr>
            <w:rStyle w:val="a5"/>
            <w:rFonts w:ascii="Times New Roman" w:eastAsia="宋体" w:hAnsi="Times New Roman"/>
            <w:sz w:val="20"/>
            <w:szCs w:val="20"/>
          </w:rPr>
          <w:t>Table of Contents</w:t>
        </w:r>
      </w:hyperlink>
    </w:p>
    <w:p w14:paraId="54E9188D" w14:textId="77777777" w:rsidR="00F427A3" w:rsidRDefault="00F427A3">
      <w:pPr>
        <w:rPr>
          <w:rFonts w:ascii="Times New Roman" w:hAnsi="Times New Roman"/>
          <w:sz w:val="20"/>
          <w:szCs w:val="20"/>
        </w:rPr>
      </w:pPr>
    </w:p>
    <w:p w14:paraId="54E9188E"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We cannot assure you that we will effectively manage our growth.</w:t>
      </w:r>
    </w:p>
    <w:p w14:paraId="54E9188F"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employee headcount and the scope and complexity of our business have increased significantly, with the number of employees increasing to 56,653 as </w:t>
      </w:r>
      <w:r>
        <w:rPr>
          <w:rFonts w:ascii="Times New Roman" w:eastAsia="宋体" w:hAnsi="Times New Roman"/>
          <w:sz w:val="20"/>
          <w:szCs w:val="20"/>
        </w:rPr>
        <w:t>of September 30, 2020 from 43,030 as of September 30, 2019, and we expect headcount growth to continue for the foreseeable future. In addition, we plan to continue to hire a number of employees and contractors in order to address various privacy, safety, s</w:t>
      </w:r>
      <w:r>
        <w:rPr>
          <w:rFonts w:ascii="Times New Roman" w:eastAsia="宋体" w:hAnsi="Times New Roman"/>
          <w:sz w:val="20"/>
          <w:szCs w:val="20"/>
        </w:rPr>
        <w:t>ecurity, and content review initiatives. The growth and expansion of our business and products create significant challenges for our management, operational, and financial resources, including managing multiple relationships with users, marketers, develope</w:t>
      </w:r>
      <w:r>
        <w:rPr>
          <w:rFonts w:ascii="Times New Roman" w:eastAsia="宋体" w:hAnsi="Times New Roman"/>
          <w:sz w:val="20"/>
          <w:szCs w:val="20"/>
        </w:rPr>
        <w:t>rs, and other third parties. Additionally, the vast majority of our personnel are currently working remotely as a result of the COVID-19 pandemic, which limits their ability to perform certain job functions and may negatively impact productivity. As our op</w:t>
      </w:r>
      <w:r>
        <w:rPr>
          <w:rFonts w:ascii="Times New Roman" w:eastAsia="宋体" w:hAnsi="Times New Roman"/>
          <w:sz w:val="20"/>
          <w:szCs w:val="20"/>
        </w:rPr>
        <w:t>erations and the number of our third-party relationships continue to grow, our information technology systems or our internal controls and procedures may not be adequate to support such growth. In addition, some members of our management do not have signif</w:t>
      </w:r>
      <w:r>
        <w:rPr>
          <w:rFonts w:ascii="Times New Roman" w:eastAsia="宋体" w:hAnsi="Times New Roman"/>
          <w:sz w:val="20"/>
          <w:szCs w:val="20"/>
        </w:rPr>
        <w:t>icant experience managing a large global business operation, so our management may not be able to manage such growth effectively. To effectively manage our growth, we must adapt to a remote work environment and continue to improve our operational, financia</w:t>
      </w:r>
      <w:r>
        <w:rPr>
          <w:rFonts w:ascii="Times New Roman" w:eastAsia="宋体" w:hAnsi="Times New Roman"/>
          <w:sz w:val="20"/>
          <w:szCs w:val="20"/>
        </w:rPr>
        <w:t>l, and management processes and systems and to effectively expand, train, and manage our personnel. As our organization continues to grow, and we are required to implement more complex organizational management structures, we may find it increasingly diffi</w:t>
      </w:r>
      <w:r>
        <w:rPr>
          <w:rFonts w:ascii="Times New Roman" w:eastAsia="宋体" w:hAnsi="Times New Roman"/>
          <w:sz w:val="20"/>
          <w:szCs w:val="20"/>
        </w:rPr>
        <w:t>cult to maintain the benefits of our corporate culture, including our ability to quickly develop and launch new and innovative products. This could negatively affect our business performance.</w:t>
      </w:r>
    </w:p>
    <w:p w14:paraId="54E91890"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The loss of one or more of our key personnel, or our failure to </w:t>
      </w:r>
      <w:r>
        <w:rPr>
          <w:rFonts w:ascii="Times New Roman" w:eastAsia="宋体" w:hAnsi="Times New Roman"/>
          <w:b/>
          <w:bCs/>
          <w:i/>
          <w:iCs/>
          <w:sz w:val="20"/>
          <w:szCs w:val="20"/>
        </w:rPr>
        <w:t>attract and retain other highly qualified personnel in the future, could harm our business.</w:t>
      </w:r>
    </w:p>
    <w:p w14:paraId="54E91891"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currently depend on the continued services and performance of our key personnel, including Mark Zuckerberg and Sheryl K. Sandberg. Although we have entered into </w:t>
      </w:r>
      <w:r>
        <w:rPr>
          <w:rFonts w:ascii="Times New Roman" w:eastAsia="宋体" w:hAnsi="Times New Roman"/>
          <w:sz w:val="20"/>
          <w:szCs w:val="20"/>
        </w:rPr>
        <w:t>employment agreements with Mr. Zuckerberg and Ms. Sandberg, the agreements have no specific duration and constitute at-will employment. In addition, many of our key technologies and systems are custom-made for our business by our personnel. The loss of key</w:t>
      </w:r>
      <w:r>
        <w:rPr>
          <w:rFonts w:ascii="Times New Roman" w:eastAsia="宋体" w:hAnsi="Times New Roman"/>
          <w:sz w:val="20"/>
          <w:szCs w:val="20"/>
        </w:rPr>
        <w:t xml:space="preserve"> personnel, including members of management as well as key engineering, product development, marketing, and sales personnel, could disrupt our operations and have an adverse effect on our business.</w:t>
      </w:r>
    </w:p>
    <w:p w14:paraId="54E91892"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As we continue to grow, we cannot guarantee we will contin</w:t>
      </w:r>
      <w:r>
        <w:rPr>
          <w:rFonts w:ascii="Times New Roman" w:eastAsia="宋体" w:hAnsi="Times New Roman"/>
          <w:sz w:val="20"/>
          <w:szCs w:val="20"/>
        </w:rPr>
        <w:t>ue to attract and retain the personnel we need to maintain our competitive position. In particular, we intend to continue to hire a significant number of technical personnel in the foreseeable future, and we expect to continue to face significant challenge</w:t>
      </w:r>
      <w:r>
        <w:rPr>
          <w:rFonts w:ascii="Times New Roman" w:eastAsia="宋体" w:hAnsi="Times New Roman"/>
          <w:sz w:val="20"/>
          <w:szCs w:val="20"/>
        </w:rPr>
        <w:t>s in hiring such personnel, particularly in the San Francisco Bay Area, where our headquarters are located, whether as a result of competition with other companies, challenges due to the high cost of living, facilities and infrastructure constraints, or ot</w:t>
      </w:r>
      <w:r>
        <w:rPr>
          <w:rFonts w:ascii="Times New Roman" w:eastAsia="宋体" w:hAnsi="Times New Roman"/>
          <w:sz w:val="20"/>
          <w:szCs w:val="20"/>
        </w:rPr>
        <w:t>her factors. As we continue to mature, the incentives to attract, retain, and motivate employees provided by our equity awards or by future arrangements may not be as effective as in the past, and if we issue significant equity to attract additional employ</w:t>
      </w:r>
      <w:r>
        <w:rPr>
          <w:rFonts w:ascii="Times New Roman" w:eastAsia="宋体" w:hAnsi="Times New Roman"/>
          <w:sz w:val="20"/>
          <w:szCs w:val="20"/>
        </w:rPr>
        <w:t>ees or to retain our existing employees, we would incur substantial additional share-based compensation expense and the ownership of our existing stockholders would be further diluted. Our ability to attract, retain, and motivate employees may also be adve</w:t>
      </w:r>
      <w:r>
        <w:rPr>
          <w:rFonts w:ascii="Times New Roman" w:eastAsia="宋体" w:hAnsi="Times New Roman"/>
          <w:sz w:val="20"/>
          <w:szCs w:val="20"/>
        </w:rPr>
        <w:t>rsely affected by stock price volatility. As a result of these factors, it may be difficult for us to continue to retain and motivate our employees. If we do not succeed in attracting, hiring, and integrating excellent personnel, or retaining and motivatin</w:t>
      </w:r>
      <w:r>
        <w:rPr>
          <w:rFonts w:ascii="Times New Roman" w:eastAsia="宋体" w:hAnsi="Times New Roman"/>
          <w:sz w:val="20"/>
          <w:szCs w:val="20"/>
        </w:rPr>
        <w:t>g existing personnel, we may be unable to grow effectively.</w:t>
      </w:r>
    </w:p>
    <w:p w14:paraId="54E91893"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We may not be able to continue to successfully maintain or grow usage of and engagement with mobile and web applications that integrate with Facebook and our other products.</w:t>
      </w:r>
    </w:p>
    <w:p w14:paraId="54E91894"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have made and are c</w:t>
      </w:r>
      <w:r>
        <w:rPr>
          <w:rFonts w:ascii="Times New Roman" w:eastAsia="宋体" w:hAnsi="Times New Roman"/>
          <w:sz w:val="20"/>
          <w:szCs w:val="20"/>
        </w:rPr>
        <w:t>ontinuing to make investments to enable developers to build, grow, and monetize mobile and web applications that integrate with Facebook and our other products. Such existing and prospective developers may not be successful in building, growing, or monetiz</w:t>
      </w:r>
      <w:r>
        <w:rPr>
          <w:rFonts w:ascii="Times New Roman" w:eastAsia="宋体" w:hAnsi="Times New Roman"/>
          <w:sz w:val="20"/>
          <w:szCs w:val="20"/>
        </w:rPr>
        <w:t>ing mobile and/or web applications that create and maintain user engagement. Additionally, developers may choose to build on other platforms, including mobile platforms controlled by third parties, rather than building products that integrate with Facebook</w:t>
      </w:r>
      <w:r>
        <w:rPr>
          <w:rFonts w:ascii="Times New Roman" w:eastAsia="宋体" w:hAnsi="Times New Roman"/>
          <w:sz w:val="20"/>
          <w:szCs w:val="20"/>
        </w:rPr>
        <w:t xml:space="preserve"> and our other products. We are continuously seeking to balance the distribution objectives of our developers with our desire to provide an optimal user experience, and we may not be successful in achieving a balance that continues to attract and retain su</w:t>
      </w:r>
      <w:r>
        <w:rPr>
          <w:rFonts w:ascii="Times New Roman" w:eastAsia="宋体" w:hAnsi="Times New Roman"/>
          <w:sz w:val="20"/>
          <w:szCs w:val="20"/>
        </w:rPr>
        <w:t>ch developers. For example, from time to time, we have taken actions to reduce the volume of communications from these developers to users on Facebook and our other products with the objective of enhancing the user experience, and such actions have reduced</w:t>
      </w:r>
      <w:r>
        <w:rPr>
          <w:rFonts w:ascii="Times New Roman" w:eastAsia="宋体" w:hAnsi="Times New Roman"/>
          <w:sz w:val="20"/>
          <w:szCs w:val="20"/>
        </w:rPr>
        <w:t xml:space="preserve"> distribution from, user engagement with, and our monetization opportunities from, mobile and web applications integrated with our products. In addition, as part of our efforts related to privacy, safety, and security, we are conducting investigations and </w:t>
      </w:r>
      <w:r>
        <w:rPr>
          <w:rFonts w:ascii="Times New Roman" w:eastAsia="宋体" w:hAnsi="Times New Roman"/>
          <w:sz w:val="20"/>
          <w:szCs w:val="20"/>
        </w:rPr>
        <w:t>audits of a large number of platform applications, and we also have announced several product changes that restrict developer access to certain user data. In some instances, these actions, as well as other actions to enforce our policies applicable to deve</w:t>
      </w:r>
      <w:r>
        <w:rPr>
          <w:rFonts w:ascii="Times New Roman" w:eastAsia="宋体" w:hAnsi="Times New Roman"/>
          <w:sz w:val="20"/>
          <w:szCs w:val="20"/>
        </w:rPr>
        <w:t xml:space="preserve">lopers, have adversely affected, or will adversely affect, our relationships with </w:t>
      </w:r>
    </w:p>
    <w:p w14:paraId="54E91895" w14:textId="77777777" w:rsidR="00F427A3" w:rsidRDefault="00F427A3">
      <w:pPr>
        <w:rPr>
          <w:rFonts w:ascii="Times New Roman" w:hAnsi="Times New Roman"/>
          <w:sz w:val="20"/>
          <w:szCs w:val="20"/>
        </w:rPr>
      </w:pPr>
    </w:p>
    <w:p w14:paraId="54E91896"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76</w:t>
      </w:r>
    </w:p>
    <w:p w14:paraId="54E91897" w14:textId="77777777" w:rsidR="00F427A3" w:rsidRDefault="0044221F">
      <w:r>
        <w:rPr>
          <w:rFonts w:ascii="Times New Roman" w:hAnsi="Times New Roman"/>
          <w:sz w:val="20"/>
          <w:szCs w:val="20"/>
        </w:rPr>
        <w:pict w14:anchorId="54E91C7C">
          <v:rect id="_x0000_i1100" style="width:415.3pt;height:1.5pt" o:hralign="center" o:hrstd="t" o:hr="t" fillcolor="#a0a0a0" stroked="f"/>
        </w:pict>
      </w:r>
    </w:p>
    <w:p w14:paraId="54E91898" w14:textId="77777777" w:rsidR="00F427A3" w:rsidRDefault="0044221F">
      <w:pPr>
        <w:spacing w:line="288" w:lineRule="auto"/>
        <w:rPr>
          <w:rFonts w:ascii="Times New Roman" w:hAnsi="Times New Roman"/>
          <w:sz w:val="20"/>
          <w:szCs w:val="20"/>
        </w:rPr>
      </w:pPr>
      <w:hyperlink r:id="rId117" w:anchor="s348EA962CF6D59B599D9921AFA89C381" w:history="1">
        <w:r>
          <w:rPr>
            <w:rStyle w:val="a5"/>
            <w:rFonts w:ascii="Times New Roman" w:eastAsia="宋体" w:hAnsi="Times New Roman"/>
            <w:sz w:val="20"/>
            <w:szCs w:val="20"/>
          </w:rPr>
          <w:t>Table of Contents</w:t>
        </w:r>
      </w:hyperlink>
    </w:p>
    <w:p w14:paraId="54E91899" w14:textId="77777777" w:rsidR="00F427A3" w:rsidRDefault="00F427A3">
      <w:pPr>
        <w:rPr>
          <w:rFonts w:ascii="Times New Roman" w:hAnsi="Times New Roman"/>
          <w:sz w:val="20"/>
          <w:szCs w:val="20"/>
        </w:rPr>
      </w:pPr>
    </w:p>
    <w:p w14:paraId="54E9189A" w14:textId="77777777" w:rsidR="00F427A3" w:rsidRDefault="0044221F">
      <w:pPr>
        <w:spacing w:line="288" w:lineRule="auto"/>
        <w:jc w:val="both"/>
        <w:rPr>
          <w:rFonts w:ascii="Times New Roman" w:hAnsi="Times New Roman"/>
          <w:sz w:val="20"/>
          <w:szCs w:val="20"/>
        </w:rPr>
      </w:pPr>
      <w:r>
        <w:rPr>
          <w:rFonts w:ascii="Times New Roman" w:eastAsia="宋体" w:hAnsi="Times New Roman"/>
          <w:sz w:val="20"/>
          <w:szCs w:val="20"/>
        </w:rPr>
        <w:t>developers. If we are not successful in our efforts to maintain or grow the number of developers that choose to build products that integrate with Facebook and our other products or if we are unable to continue to build and maintain good relations wit</w:t>
      </w:r>
      <w:r>
        <w:rPr>
          <w:rFonts w:ascii="Times New Roman" w:eastAsia="宋体" w:hAnsi="Times New Roman"/>
          <w:sz w:val="20"/>
          <w:szCs w:val="20"/>
        </w:rPr>
        <w:t>h such developers, our user growth and user engagement and our financial results may be adversely affected.</w:t>
      </w:r>
    </w:p>
    <w:p w14:paraId="54E9189B"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Payment transactions may subject us to additional regulatory requirements and other risks that could be costly and difficult to comply with or that </w:t>
      </w:r>
      <w:r>
        <w:rPr>
          <w:rFonts w:ascii="Times New Roman" w:eastAsia="宋体" w:hAnsi="Times New Roman"/>
          <w:b/>
          <w:bCs/>
          <w:i/>
          <w:iCs/>
          <w:sz w:val="20"/>
          <w:szCs w:val="20"/>
        </w:rPr>
        <w:t>could harm our business.</w:t>
      </w:r>
    </w:p>
    <w:p w14:paraId="54E9189C"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Our users can purchase virtual and digital goods from developers that offer applications using our Payments infrastructure on the Facebook website. In addition, certain of our users can use our Payments </w:t>
      </w:r>
      <w:r>
        <w:rPr>
          <w:rFonts w:ascii="Times New Roman" w:eastAsia="宋体" w:hAnsi="Times New Roman"/>
          <w:sz w:val="20"/>
          <w:szCs w:val="20"/>
        </w:rPr>
        <w:t>infrastructure, including on Messenger, for other activities, such as sending money to other users and making donations to certain charitable organizations. We are subject to a variety of laws and regulations in the United States, Europe, and elsewhere, in</w:t>
      </w:r>
      <w:r>
        <w:rPr>
          <w:rFonts w:ascii="Times New Roman" w:eastAsia="宋体" w:hAnsi="Times New Roman"/>
          <w:sz w:val="20"/>
          <w:szCs w:val="20"/>
        </w:rPr>
        <w:t xml:space="preserve">cluding those governing anti-money laundering and counter-terrorist financing, money transmission, gift cards and other prepaid access instruments, electronic funds transfer, charitable fundraising, and import and export restrictions. Depending on how our </w:t>
      </w:r>
      <w:r>
        <w:rPr>
          <w:rFonts w:ascii="Times New Roman" w:eastAsia="宋体" w:hAnsi="Times New Roman"/>
          <w:sz w:val="20"/>
          <w:szCs w:val="20"/>
        </w:rPr>
        <w:t>Payments product evolves, we may also be subject to other laws and regulations including those governing gambling, banking, and lending. In some jurisdictions, the application or interpretation of these laws and regulations is not clear. To increase flexib</w:t>
      </w:r>
      <w:r>
        <w:rPr>
          <w:rFonts w:ascii="Times New Roman" w:eastAsia="宋体" w:hAnsi="Times New Roman"/>
          <w:sz w:val="20"/>
          <w:szCs w:val="20"/>
        </w:rPr>
        <w:t>ility in how our use of Payments may evolve and to mitigate regulatory uncertainty, we have received certain money transmitter licenses in the United States and an Electronic Money (E-Money) license that allows us to conduct certain regulated payment activ</w:t>
      </w:r>
      <w:r>
        <w:rPr>
          <w:rFonts w:ascii="Times New Roman" w:eastAsia="宋体" w:hAnsi="Times New Roman"/>
          <w:sz w:val="20"/>
          <w:szCs w:val="20"/>
        </w:rPr>
        <w:t>ities in the participating member countries of the European Economic Area, which will generally require us to demonstrate compliance with many domestic and foreign laws in these areas. Our efforts to comply with these laws and regulations could be costly a</w:t>
      </w:r>
      <w:r>
        <w:rPr>
          <w:rFonts w:ascii="Times New Roman" w:eastAsia="宋体" w:hAnsi="Times New Roman"/>
          <w:sz w:val="20"/>
          <w:szCs w:val="20"/>
        </w:rPr>
        <w:t>nd result in diversion of management time and effort and may still not guarantee compliance. In the event that we are found to be in violation of any such legal or regulatory requirements, we may be subject to monetary fines or other penalties such as a ce</w:t>
      </w:r>
      <w:r>
        <w:rPr>
          <w:rFonts w:ascii="Times New Roman" w:eastAsia="宋体" w:hAnsi="Times New Roman"/>
          <w:sz w:val="20"/>
          <w:szCs w:val="20"/>
        </w:rPr>
        <w:t>ase and desist order, or we may be required to make product changes, any of which could have an adverse effect on our business and financial results.</w:t>
      </w:r>
    </w:p>
    <w:p w14:paraId="54E9189D"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we may be subject to a variety of additional risks as a result of Payments transactions, incl</w:t>
      </w:r>
      <w:r>
        <w:rPr>
          <w:rFonts w:ascii="Times New Roman" w:eastAsia="宋体" w:hAnsi="Times New Roman"/>
          <w:sz w:val="20"/>
          <w:szCs w:val="20"/>
        </w:rPr>
        <w:t>uding: increased costs and diversion of management time and effort and other resources to deal with bad transactions or customer disputes; potential fraudulent or otherwise illegal activity by users, developers, employees, or third parties; restrictions on</w:t>
      </w:r>
      <w:r>
        <w:rPr>
          <w:rFonts w:ascii="Times New Roman" w:eastAsia="宋体" w:hAnsi="Times New Roman"/>
          <w:sz w:val="20"/>
          <w:szCs w:val="20"/>
        </w:rPr>
        <w:t xml:space="preserve"> the investment of consumer funds used to transact Payments; and additional disclosure and reporting requirements. We have also launched certain payments functionality on WhatsApp and have announced plans to develop digital payments products and services, </w:t>
      </w:r>
      <w:r>
        <w:rPr>
          <w:rFonts w:ascii="Times New Roman" w:eastAsia="宋体" w:hAnsi="Times New Roman"/>
          <w:sz w:val="20"/>
          <w:szCs w:val="20"/>
        </w:rPr>
        <w:t>which may subject us to many of the foregoing risks and additional licensing requirements.</w:t>
      </w:r>
    </w:p>
    <w:p w14:paraId="54E9189E"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Our participation in the Libra Association will subject us to significant regulatory scrutiny and other risks that could adversely affect our business, reputation, o</w:t>
      </w:r>
      <w:r>
        <w:rPr>
          <w:rFonts w:ascii="Times New Roman" w:eastAsia="宋体" w:hAnsi="Times New Roman"/>
          <w:b/>
          <w:bCs/>
          <w:i/>
          <w:iCs/>
          <w:sz w:val="20"/>
          <w:szCs w:val="20"/>
        </w:rPr>
        <w:t>r financial results.</w:t>
      </w:r>
    </w:p>
    <w:p w14:paraId="54E9189F"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In June 2019, we announced our participation in the Libra Association, which will oversee a proposed digital payments system powered by blockchain technology, and our plans for Novi, a digital wallet for Libra which we expect to launch</w:t>
      </w:r>
      <w:r>
        <w:rPr>
          <w:rFonts w:ascii="Times New Roman" w:eastAsia="宋体" w:hAnsi="Times New Roman"/>
          <w:sz w:val="20"/>
          <w:szCs w:val="20"/>
        </w:rPr>
        <w:t xml:space="preserve"> as a standalone application and subsequently in Messenger and WhatsApp. </w:t>
      </w:r>
    </w:p>
    <w:p w14:paraId="54E918A0"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Libra is based on relatively new and unproven technology, and the laws and regulations surrounding blockchain-based payments are uncertain and evolving. Libra has drawn significant s</w:t>
      </w:r>
      <w:r>
        <w:rPr>
          <w:rFonts w:ascii="Times New Roman" w:eastAsia="宋体" w:hAnsi="Times New Roman"/>
          <w:sz w:val="20"/>
          <w:szCs w:val="20"/>
        </w:rPr>
        <w:t>crutiny from governments and regulators in multiple jurisdictions and we expect that scrutiny to continue. As a sponsor of the initiative and a proposed digital wallet service provider, we are participating in responses to inquiries from governments and re</w:t>
      </w:r>
      <w:r>
        <w:rPr>
          <w:rFonts w:ascii="Times New Roman" w:eastAsia="宋体" w:hAnsi="Times New Roman"/>
          <w:sz w:val="20"/>
          <w:szCs w:val="20"/>
        </w:rPr>
        <w:t>gulators, and adverse government or regulatory actions or negative publicity resulting from such participation may adversely affect our reputation and harm our business.</w:t>
      </w:r>
    </w:p>
    <w:p w14:paraId="54E918A1"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As this initiative evolves, we may be subject to a variety of laws and regulations in </w:t>
      </w:r>
      <w:r>
        <w:rPr>
          <w:rFonts w:ascii="Times New Roman" w:eastAsia="宋体" w:hAnsi="Times New Roman"/>
          <w:sz w:val="20"/>
          <w:szCs w:val="20"/>
        </w:rPr>
        <w:t>the United States and international jurisdictions, including those governing payments, financial services, anti-money laundering, counter-terrorism financing, economic sanctions, data protection, tax, and competition. In many jurisdictions, the application</w:t>
      </w:r>
      <w:r>
        <w:rPr>
          <w:rFonts w:ascii="Times New Roman" w:eastAsia="宋体" w:hAnsi="Times New Roman"/>
          <w:sz w:val="20"/>
          <w:szCs w:val="20"/>
        </w:rPr>
        <w:t xml:space="preserve"> or interpretation of these laws and regulations is not clear, particularly with respect to evolving laws and regulations that are applied to blockchain and digital payments. These laws and regulations, as well as any associated inquiries or investigations</w:t>
      </w:r>
      <w:r>
        <w:rPr>
          <w:rFonts w:ascii="Times New Roman" w:eastAsia="宋体" w:hAnsi="Times New Roman"/>
          <w:sz w:val="20"/>
          <w:szCs w:val="20"/>
        </w:rPr>
        <w:t>, may delay or impede the launch of the Libra digital payments system as well as the development of our products and services, increase our operating costs, require significant management time and attention, or otherwise harm our business.</w:t>
      </w:r>
    </w:p>
    <w:p w14:paraId="54E918A2"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In addition, mar</w:t>
      </w:r>
      <w:r>
        <w:rPr>
          <w:rFonts w:ascii="Times New Roman" w:eastAsia="宋体" w:hAnsi="Times New Roman"/>
          <w:sz w:val="20"/>
          <w:szCs w:val="20"/>
        </w:rPr>
        <w:t>ket acceptance of such a digital payments system is subject to significant uncertainty. As such, there can be no assurance that Libra or our associated products and services will be made available in a timely manner, or at all. We do not have significant p</w:t>
      </w:r>
      <w:r>
        <w:rPr>
          <w:rFonts w:ascii="Times New Roman" w:eastAsia="宋体" w:hAnsi="Times New Roman"/>
          <w:sz w:val="20"/>
          <w:szCs w:val="20"/>
        </w:rPr>
        <w:t>rior experience with blockchain-based payments technology, which may adversely affect our ability to successfully develop and market these products and services. We will also incur increased costs in connection with our participation in the Libra Associati</w:t>
      </w:r>
      <w:r>
        <w:rPr>
          <w:rFonts w:ascii="Times New Roman" w:eastAsia="宋体" w:hAnsi="Times New Roman"/>
          <w:sz w:val="20"/>
          <w:szCs w:val="20"/>
        </w:rPr>
        <w:t>on and the development and marketing of associated products and services, and our investments may not be successful. Any of these events could adversely affect our business, reputation, or financial results.</w:t>
      </w:r>
    </w:p>
    <w:p w14:paraId="54E918A3" w14:textId="77777777" w:rsidR="00F427A3" w:rsidRDefault="00F427A3">
      <w:pPr>
        <w:rPr>
          <w:rFonts w:ascii="Times New Roman" w:hAnsi="Times New Roman"/>
          <w:sz w:val="20"/>
          <w:szCs w:val="20"/>
        </w:rPr>
      </w:pPr>
    </w:p>
    <w:p w14:paraId="54E918A4"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77</w:t>
      </w:r>
    </w:p>
    <w:p w14:paraId="54E918A5" w14:textId="77777777" w:rsidR="00F427A3" w:rsidRDefault="0044221F">
      <w:r>
        <w:rPr>
          <w:rFonts w:ascii="Times New Roman" w:hAnsi="Times New Roman"/>
          <w:sz w:val="20"/>
          <w:szCs w:val="20"/>
        </w:rPr>
        <w:pict w14:anchorId="54E91C7D">
          <v:rect id="_x0000_i1101" style="width:415.3pt;height:1.5pt" o:hralign="center" o:hrstd="t" o:hr="t" fillcolor="#a0a0a0" stroked="f"/>
        </w:pict>
      </w:r>
    </w:p>
    <w:p w14:paraId="54E918A6" w14:textId="77777777" w:rsidR="00F427A3" w:rsidRDefault="0044221F">
      <w:pPr>
        <w:spacing w:line="288" w:lineRule="auto"/>
        <w:rPr>
          <w:rFonts w:ascii="Times New Roman" w:hAnsi="Times New Roman"/>
          <w:sz w:val="20"/>
          <w:szCs w:val="20"/>
        </w:rPr>
      </w:pPr>
      <w:hyperlink r:id="rId118" w:anchor="s348EA962CF6D59B599D9921AFA89C381" w:history="1">
        <w:r>
          <w:rPr>
            <w:rStyle w:val="a5"/>
            <w:rFonts w:ascii="Times New Roman" w:eastAsia="宋体" w:hAnsi="Times New Roman"/>
            <w:sz w:val="20"/>
            <w:szCs w:val="20"/>
          </w:rPr>
          <w:t>Table of Contents</w:t>
        </w:r>
      </w:hyperlink>
    </w:p>
    <w:p w14:paraId="54E918A7" w14:textId="77777777" w:rsidR="00F427A3" w:rsidRDefault="00F427A3">
      <w:pPr>
        <w:rPr>
          <w:rFonts w:ascii="Times New Roman" w:hAnsi="Times New Roman"/>
          <w:sz w:val="20"/>
          <w:szCs w:val="20"/>
        </w:rPr>
      </w:pPr>
    </w:p>
    <w:p w14:paraId="54E918A8"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We have significant international operations and plan to continue expanding our oper</w:t>
      </w:r>
      <w:r>
        <w:rPr>
          <w:rFonts w:ascii="Times New Roman" w:eastAsia="宋体" w:hAnsi="Times New Roman"/>
          <w:b/>
          <w:bCs/>
          <w:i/>
          <w:iCs/>
          <w:sz w:val="20"/>
          <w:szCs w:val="20"/>
        </w:rPr>
        <w:t>ations abroad where we have more limited operating experience, and this may subject us to increased business and economic risks that could affect our financial results.</w:t>
      </w:r>
    </w:p>
    <w:p w14:paraId="54E918A9"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have significant international operations and plan to continue the international exp</w:t>
      </w:r>
      <w:r>
        <w:rPr>
          <w:rFonts w:ascii="Times New Roman" w:eastAsia="宋体" w:hAnsi="Times New Roman"/>
          <w:sz w:val="20"/>
          <w:szCs w:val="20"/>
        </w:rPr>
        <w:t>ansion of our business operations and the translation of our products. We currently make Facebook available in more than 100 different languages, and we have offices or data centers in more than 30 different countries. We may enter new international market</w:t>
      </w:r>
      <w:r>
        <w:rPr>
          <w:rFonts w:ascii="Times New Roman" w:eastAsia="宋体" w:hAnsi="Times New Roman"/>
          <w:sz w:val="20"/>
          <w:szCs w:val="20"/>
        </w:rPr>
        <w:t xml:space="preserve">s where we have limited or no experience in marketing, selling, and deploying our products. Our products are generally available globally, but some or all of our products or functionality may not be available in certain markets due to legal and regulatory </w:t>
      </w:r>
      <w:r>
        <w:rPr>
          <w:rFonts w:ascii="Times New Roman" w:eastAsia="宋体" w:hAnsi="Times New Roman"/>
          <w:sz w:val="20"/>
          <w:szCs w:val="20"/>
        </w:rPr>
        <w:t>complexities. For example, Facebook and certain of our other products are not generally available in China. We also outsource certain operational functions to third-party vendors globally. If we fail to deploy, manage, or oversee our international operatio</w:t>
      </w:r>
      <w:r>
        <w:rPr>
          <w:rFonts w:ascii="Times New Roman" w:eastAsia="宋体" w:hAnsi="Times New Roman"/>
          <w:sz w:val="20"/>
          <w:szCs w:val="20"/>
        </w:rPr>
        <w:t>ns successfully, our business may suffer. In addition, we are subject to a variety of risks inherent in doing business internationally, including:</w:t>
      </w:r>
    </w:p>
    <w:tbl>
      <w:tblPr>
        <w:tblW w:w="0" w:type="auto"/>
        <w:tblCellSpacing w:w="0" w:type="dxa"/>
        <w:tblCellMar>
          <w:top w:w="240" w:type="dxa"/>
          <w:left w:w="0" w:type="dxa"/>
          <w:right w:w="0" w:type="dxa"/>
        </w:tblCellMar>
        <w:tblLook w:val="04A0" w:firstRow="1" w:lastRow="0" w:firstColumn="1" w:lastColumn="0" w:noHBand="0" w:noVBand="1"/>
      </w:tblPr>
      <w:tblGrid>
        <w:gridCol w:w="1440"/>
        <w:gridCol w:w="3222"/>
      </w:tblGrid>
      <w:tr w:rsidR="00F427A3" w14:paraId="54E918AC" w14:textId="77777777">
        <w:trPr>
          <w:tblCellSpacing w:w="0" w:type="dxa"/>
        </w:trPr>
        <w:tc>
          <w:tcPr>
            <w:tcW w:w="1440" w:type="dxa"/>
            <w:shd w:val="clear" w:color="auto" w:fill="auto"/>
            <w:vAlign w:val="center"/>
          </w:tcPr>
          <w:p w14:paraId="54E918AA" w14:textId="77777777" w:rsidR="00F427A3" w:rsidRDefault="00F427A3">
            <w:pPr>
              <w:rPr>
                <w:rFonts w:ascii="Times New Roman" w:hAnsi="Times New Roman"/>
                <w:sz w:val="20"/>
                <w:szCs w:val="20"/>
              </w:rPr>
            </w:pPr>
          </w:p>
        </w:tc>
        <w:tc>
          <w:tcPr>
            <w:tcW w:w="0" w:type="auto"/>
            <w:shd w:val="clear" w:color="auto" w:fill="auto"/>
            <w:vAlign w:val="center"/>
          </w:tcPr>
          <w:p w14:paraId="54E918AB" w14:textId="77777777" w:rsidR="00F427A3" w:rsidRDefault="00F427A3">
            <w:pPr>
              <w:rPr>
                <w:rFonts w:ascii="Times New Roman" w:hAnsi="Times New Roman"/>
                <w:sz w:val="20"/>
                <w:szCs w:val="20"/>
              </w:rPr>
            </w:pPr>
          </w:p>
        </w:tc>
      </w:tr>
      <w:tr w:rsidR="00F427A3" w14:paraId="54E918AF" w14:textId="77777777">
        <w:trPr>
          <w:tblCellSpacing w:w="0" w:type="dxa"/>
        </w:trPr>
        <w:tc>
          <w:tcPr>
            <w:tcW w:w="0" w:type="auto"/>
            <w:shd w:val="clear" w:color="auto" w:fill="auto"/>
          </w:tcPr>
          <w:p w14:paraId="54E918AD"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8AE"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political, social, or economic instability;</w:t>
            </w:r>
          </w:p>
        </w:tc>
      </w:tr>
    </w:tbl>
    <w:p w14:paraId="54E918B0"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8B3" w14:textId="77777777">
        <w:trPr>
          <w:tblCellSpacing w:w="0" w:type="dxa"/>
        </w:trPr>
        <w:tc>
          <w:tcPr>
            <w:tcW w:w="1440" w:type="dxa"/>
            <w:shd w:val="clear" w:color="auto" w:fill="auto"/>
            <w:vAlign w:val="center"/>
          </w:tcPr>
          <w:p w14:paraId="54E918B1" w14:textId="77777777" w:rsidR="00F427A3" w:rsidRDefault="00F427A3">
            <w:pPr>
              <w:rPr>
                <w:rFonts w:ascii="Times New Roman" w:hAnsi="Times New Roman"/>
                <w:sz w:val="20"/>
                <w:szCs w:val="20"/>
              </w:rPr>
            </w:pPr>
          </w:p>
        </w:tc>
        <w:tc>
          <w:tcPr>
            <w:tcW w:w="0" w:type="auto"/>
            <w:shd w:val="clear" w:color="auto" w:fill="auto"/>
            <w:vAlign w:val="center"/>
          </w:tcPr>
          <w:p w14:paraId="54E918B2" w14:textId="77777777" w:rsidR="00F427A3" w:rsidRDefault="00F427A3">
            <w:pPr>
              <w:rPr>
                <w:rFonts w:ascii="Times New Roman" w:hAnsi="Times New Roman"/>
                <w:sz w:val="20"/>
                <w:szCs w:val="20"/>
              </w:rPr>
            </w:pPr>
          </w:p>
        </w:tc>
      </w:tr>
      <w:tr w:rsidR="00F427A3" w14:paraId="54E918B6" w14:textId="77777777">
        <w:trPr>
          <w:tblCellSpacing w:w="0" w:type="dxa"/>
        </w:trPr>
        <w:tc>
          <w:tcPr>
            <w:tcW w:w="0" w:type="auto"/>
            <w:shd w:val="clear" w:color="auto" w:fill="auto"/>
          </w:tcPr>
          <w:p w14:paraId="54E918B4"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8B5"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risks related to legal, regulatory, and other </w:t>
            </w:r>
            <w:r>
              <w:rPr>
                <w:rFonts w:ascii="Times New Roman" w:eastAsia="宋体" w:hAnsi="Times New Roman"/>
                <w:sz w:val="20"/>
                <w:szCs w:val="20"/>
              </w:rPr>
              <w:t>government scrutiny applicable to U.S. companies with sales and operations in foreign jurisdictions, including with respect to privacy, tax, law enforcement, content, trade compliance, competition, consumer protection, intellectual property, and terrestria</w:t>
            </w:r>
            <w:r>
              <w:rPr>
                <w:rFonts w:ascii="Times New Roman" w:eastAsia="宋体" w:hAnsi="Times New Roman"/>
                <w:sz w:val="20"/>
                <w:szCs w:val="20"/>
              </w:rPr>
              <w:t>l infrastructure matters;</w:t>
            </w:r>
          </w:p>
        </w:tc>
      </w:tr>
    </w:tbl>
    <w:p w14:paraId="54E918B7"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8BA" w14:textId="77777777">
        <w:trPr>
          <w:tblCellSpacing w:w="0" w:type="dxa"/>
        </w:trPr>
        <w:tc>
          <w:tcPr>
            <w:tcW w:w="1440" w:type="dxa"/>
            <w:shd w:val="clear" w:color="auto" w:fill="auto"/>
            <w:vAlign w:val="center"/>
          </w:tcPr>
          <w:p w14:paraId="54E918B8" w14:textId="77777777" w:rsidR="00F427A3" w:rsidRDefault="00F427A3">
            <w:pPr>
              <w:rPr>
                <w:rFonts w:ascii="Times New Roman" w:hAnsi="Times New Roman"/>
                <w:sz w:val="20"/>
                <w:szCs w:val="20"/>
              </w:rPr>
            </w:pPr>
          </w:p>
        </w:tc>
        <w:tc>
          <w:tcPr>
            <w:tcW w:w="0" w:type="auto"/>
            <w:shd w:val="clear" w:color="auto" w:fill="auto"/>
            <w:vAlign w:val="center"/>
          </w:tcPr>
          <w:p w14:paraId="54E918B9" w14:textId="77777777" w:rsidR="00F427A3" w:rsidRDefault="00F427A3">
            <w:pPr>
              <w:rPr>
                <w:rFonts w:ascii="Times New Roman" w:hAnsi="Times New Roman"/>
                <w:sz w:val="20"/>
                <w:szCs w:val="20"/>
              </w:rPr>
            </w:pPr>
          </w:p>
        </w:tc>
      </w:tr>
      <w:tr w:rsidR="00F427A3" w14:paraId="54E918BD" w14:textId="77777777">
        <w:trPr>
          <w:tblCellSpacing w:w="0" w:type="dxa"/>
        </w:trPr>
        <w:tc>
          <w:tcPr>
            <w:tcW w:w="0" w:type="auto"/>
            <w:shd w:val="clear" w:color="auto" w:fill="auto"/>
          </w:tcPr>
          <w:p w14:paraId="54E918BB"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8BC"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potential damage to our brand and reputation due to compliance with local laws, including potential censorship or requirements to provide user information to local authorities;</w:t>
            </w:r>
          </w:p>
        </w:tc>
      </w:tr>
    </w:tbl>
    <w:p w14:paraId="54E918BE"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8C1" w14:textId="77777777">
        <w:trPr>
          <w:tblCellSpacing w:w="0" w:type="dxa"/>
        </w:trPr>
        <w:tc>
          <w:tcPr>
            <w:tcW w:w="1440" w:type="dxa"/>
            <w:shd w:val="clear" w:color="auto" w:fill="auto"/>
            <w:vAlign w:val="center"/>
          </w:tcPr>
          <w:p w14:paraId="54E918BF" w14:textId="77777777" w:rsidR="00F427A3" w:rsidRDefault="00F427A3">
            <w:pPr>
              <w:rPr>
                <w:rFonts w:ascii="Times New Roman" w:hAnsi="Times New Roman"/>
                <w:sz w:val="20"/>
                <w:szCs w:val="20"/>
              </w:rPr>
            </w:pPr>
          </w:p>
        </w:tc>
        <w:tc>
          <w:tcPr>
            <w:tcW w:w="0" w:type="auto"/>
            <w:shd w:val="clear" w:color="auto" w:fill="auto"/>
            <w:vAlign w:val="center"/>
          </w:tcPr>
          <w:p w14:paraId="54E918C0" w14:textId="77777777" w:rsidR="00F427A3" w:rsidRDefault="00F427A3">
            <w:pPr>
              <w:rPr>
                <w:rFonts w:ascii="Times New Roman" w:hAnsi="Times New Roman"/>
                <w:sz w:val="20"/>
                <w:szCs w:val="20"/>
              </w:rPr>
            </w:pPr>
          </w:p>
        </w:tc>
      </w:tr>
      <w:tr w:rsidR="00F427A3" w14:paraId="54E918C4" w14:textId="77777777">
        <w:trPr>
          <w:tblCellSpacing w:w="0" w:type="dxa"/>
        </w:trPr>
        <w:tc>
          <w:tcPr>
            <w:tcW w:w="0" w:type="auto"/>
            <w:shd w:val="clear" w:color="auto" w:fill="auto"/>
          </w:tcPr>
          <w:p w14:paraId="54E918C2"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8C3"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enhanced difficulty in </w:t>
            </w:r>
            <w:r>
              <w:rPr>
                <w:rFonts w:ascii="Times New Roman" w:eastAsia="宋体" w:hAnsi="Times New Roman"/>
                <w:sz w:val="20"/>
                <w:szCs w:val="20"/>
              </w:rPr>
              <w:t>reviewing content on our platform and enforcing our community standards across different languages and countries;</w:t>
            </w:r>
          </w:p>
        </w:tc>
      </w:tr>
    </w:tbl>
    <w:p w14:paraId="54E918C5"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348"/>
      </w:tblGrid>
      <w:tr w:rsidR="00F427A3" w14:paraId="54E918C8" w14:textId="77777777">
        <w:trPr>
          <w:tblCellSpacing w:w="0" w:type="dxa"/>
        </w:trPr>
        <w:tc>
          <w:tcPr>
            <w:tcW w:w="1440" w:type="dxa"/>
            <w:shd w:val="clear" w:color="auto" w:fill="auto"/>
            <w:vAlign w:val="center"/>
          </w:tcPr>
          <w:p w14:paraId="54E918C6" w14:textId="77777777" w:rsidR="00F427A3" w:rsidRDefault="00F427A3">
            <w:pPr>
              <w:rPr>
                <w:rFonts w:ascii="Times New Roman" w:hAnsi="Times New Roman"/>
                <w:sz w:val="20"/>
                <w:szCs w:val="20"/>
              </w:rPr>
            </w:pPr>
          </w:p>
        </w:tc>
        <w:tc>
          <w:tcPr>
            <w:tcW w:w="0" w:type="auto"/>
            <w:shd w:val="clear" w:color="auto" w:fill="auto"/>
            <w:vAlign w:val="center"/>
          </w:tcPr>
          <w:p w14:paraId="54E918C7" w14:textId="77777777" w:rsidR="00F427A3" w:rsidRDefault="00F427A3">
            <w:pPr>
              <w:rPr>
                <w:rFonts w:ascii="Times New Roman" w:hAnsi="Times New Roman"/>
                <w:sz w:val="20"/>
                <w:szCs w:val="20"/>
              </w:rPr>
            </w:pPr>
          </w:p>
        </w:tc>
      </w:tr>
      <w:tr w:rsidR="00F427A3" w14:paraId="54E918CB" w14:textId="77777777">
        <w:trPr>
          <w:tblCellSpacing w:w="0" w:type="dxa"/>
        </w:trPr>
        <w:tc>
          <w:tcPr>
            <w:tcW w:w="0" w:type="auto"/>
            <w:shd w:val="clear" w:color="auto" w:fill="auto"/>
          </w:tcPr>
          <w:p w14:paraId="54E918C9"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8CA"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fluctuations in currency exchange rates and compliance with currency controls;</w:t>
            </w:r>
          </w:p>
        </w:tc>
      </w:tr>
    </w:tbl>
    <w:p w14:paraId="54E918CC"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8CF" w14:textId="77777777">
        <w:trPr>
          <w:tblCellSpacing w:w="0" w:type="dxa"/>
        </w:trPr>
        <w:tc>
          <w:tcPr>
            <w:tcW w:w="1440" w:type="dxa"/>
            <w:shd w:val="clear" w:color="auto" w:fill="auto"/>
            <w:vAlign w:val="center"/>
          </w:tcPr>
          <w:p w14:paraId="54E918CD" w14:textId="77777777" w:rsidR="00F427A3" w:rsidRDefault="00F427A3">
            <w:pPr>
              <w:rPr>
                <w:rFonts w:ascii="Times New Roman" w:hAnsi="Times New Roman"/>
                <w:sz w:val="20"/>
                <w:szCs w:val="20"/>
              </w:rPr>
            </w:pPr>
          </w:p>
        </w:tc>
        <w:tc>
          <w:tcPr>
            <w:tcW w:w="0" w:type="auto"/>
            <w:shd w:val="clear" w:color="auto" w:fill="auto"/>
            <w:vAlign w:val="center"/>
          </w:tcPr>
          <w:p w14:paraId="54E918CE" w14:textId="77777777" w:rsidR="00F427A3" w:rsidRDefault="00F427A3">
            <w:pPr>
              <w:rPr>
                <w:rFonts w:ascii="Times New Roman" w:hAnsi="Times New Roman"/>
                <w:sz w:val="20"/>
                <w:szCs w:val="20"/>
              </w:rPr>
            </w:pPr>
          </w:p>
        </w:tc>
      </w:tr>
      <w:tr w:rsidR="00F427A3" w14:paraId="54E918D2" w14:textId="77777777">
        <w:trPr>
          <w:tblCellSpacing w:w="0" w:type="dxa"/>
        </w:trPr>
        <w:tc>
          <w:tcPr>
            <w:tcW w:w="0" w:type="auto"/>
            <w:shd w:val="clear" w:color="auto" w:fill="auto"/>
          </w:tcPr>
          <w:p w14:paraId="54E918D0"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8D1"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foreign exchange controls and tax and other </w:t>
            </w:r>
            <w:r>
              <w:rPr>
                <w:rFonts w:ascii="Times New Roman" w:eastAsia="宋体" w:hAnsi="Times New Roman"/>
                <w:sz w:val="20"/>
                <w:szCs w:val="20"/>
              </w:rPr>
              <w:t>regulations and orders that might prevent us from repatriating cash earned in countries outside the United States or otherwise limit our ability to move cash freely, and impede our ability to invest such cash efficiently;</w:t>
            </w:r>
          </w:p>
        </w:tc>
      </w:tr>
    </w:tbl>
    <w:p w14:paraId="54E918D3"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3705"/>
      </w:tblGrid>
      <w:tr w:rsidR="00F427A3" w14:paraId="54E918D6" w14:textId="77777777">
        <w:trPr>
          <w:tblCellSpacing w:w="0" w:type="dxa"/>
        </w:trPr>
        <w:tc>
          <w:tcPr>
            <w:tcW w:w="1440" w:type="dxa"/>
            <w:shd w:val="clear" w:color="auto" w:fill="auto"/>
            <w:vAlign w:val="center"/>
          </w:tcPr>
          <w:p w14:paraId="54E918D4" w14:textId="77777777" w:rsidR="00F427A3" w:rsidRDefault="00F427A3">
            <w:pPr>
              <w:rPr>
                <w:rFonts w:ascii="Times New Roman" w:hAnsi="Times New Roman"/>
                <w:sz w:val="20"/>
                <w:szCs w:val="20"/>
              </w:rPr>
            </w:pPr>
          </w:p>
        </w:tc>
        <w:tc>
          <w:tcPr>
            <w:tcW w:w="0" w:type="auto"/>
            <w:shd w:val="clear" w:color="auto" w:fill="auto"/>
            <w:vAlign w:val="center"/>
          </w:tcPr>
          <w:p w14:paraId="54E918D5" w14:textId="77777777" w:rsidR="00F427A3" w:rsidRDefault="00F427A3">
            <w:pPr>
              <w:rPr>
                <w:rFonts w:ascii="Times New Roman" w:hAnsi="Times New Roman"/>
                <w:sz w:val="20"/>
                <w:szCs w:val="20"/>
              </w:rPr>
            </w:pPr>
          </w:p>
        </w:tc>
      </w:tr>
      <w:tr w:rsidR="00F427A3" w14:paraId="54E918D9" w14:textId="77777777">
        <w:trPr>
          <w:tblCellSpacing w:w="0" w:type="dxa"/>
        </w:trPr>
        <w:tc>
          <w:tcPr>
            <w:tcW w:w="0" w:type="auto"/>
            <w:shd w:val="clear" w:color="auto" w:fill="auto"/>
          </w:tcPr>
          <w:p w14:paraId="54E918D7"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8D8"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higher levels of </w:t>
            </w:r>
            <w:r>
              <w:rPr>
                <w:rFonts w:ascii="Times New Roman" w:eastAsia="宋体" w:hAnsi="Times New Roman"/>
                <w:sz w:val="20"/>
                <w:szCs w:val="20"/>
              </w:rPr>
              <w:t>credit risk and payment fraud;</w:t>
            </w:r>
          </w:p>
        </w:tc>
      </w:tr>
    </w:tbl>
    <w:p w14:paraId="54E918DA"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4832"/>
      </w:tblGrid>
      <w:tr w:rsidR="00F427A3" w14:paraId="54E918DD" w14:textId="77777777">
        <w:trPr>
          <w:tblCellSpacing w:w="0" w:type="dxa"/>
        </w:trPr>
        <w:tc>
          <w:tcPr>
            <w:tcW w:w="1440" w:type="dxa"/>
            <w:shd w:val="clear" w:color="auto" w:fill="auto"/>
            <w:vAlign w:val="center"/>
          </w:tcPr>
          <w:p w14:paraId="54E918DB" w14:textId="77777777" w:rsidR="00F427A3" w:rsidRDefault="00F427A3">
            <w:pPr>
              <w:rPr>
                <w:rFonts w:ascii="Times New Roman" w:hAnsi="Times New Roman"/>
                <w:sz w:val="20"/>
                <w:szCs w:val="20"/>
              </w:rPr>
            </w:pPr>
          </w:p>
        </w:tc>
        <w:tc>
          <w:tcPr>
            <w:tcW w:w="0" w:type="auto"/>
            <w:shd w:val="clear" w:color="auto" w:fill="auto"/>
            <w:vAlign w:val="center"/>
          </w:tcPr>
          <w:p w14:paraId="54E918DC" w14:textId="77777777" w:rsidR="00F427A3" w:rsidRDefault="00F427A3">
            <w:pPr>
              <w:rPr>
                <w:rFonts w:ascii="Times New Roman" w:hAnsi="Times New Roman"/>
                <w:sz w:val="20"/>
                <w:szCs w:val="20"/>
              </w:rPr>
            </w:pPr>
          </w:p>
        </w:tc>
      </w:tr>
      <w:tr w:rsidR="00F427A3" w14:paraId="54E918E0" w14:textId="77777777">
        <w:trPr>
          <w:tblCellSpacing w:w="0" w:type="dxa"/>
        </w:trPr>
        <w:tc>
          <w:tcPr>
            <w:tcW w:w="0" w:type="auto"/>
            <w:shd w:val="clear" w:color="auto" w:fill="auto"/>
          </w:tcPr>
          <w:p w14:paraId="54E918DE"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8DF"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enhanced difficulties of integrating any foreign acquisitions;</w:t>
            </w:r>
          </w:p>
        </w:tc>
      </w:tr>
    </w:tbl>
    <w:p w14:paraId="54E918E1"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8E4" w14:textId="77777777">
        <w:trPr>
          <w:tblCellSpacing w:w="0" w:type="dxa"/>
        </w:trPr>
        <w:tc>
          <w:tcPr>
            <w:tcW w:w="1440" w:type="dxa"/>
            <w:shd w:val="clear" w:color="auto" w:fill="auto"/>
            <w:vAlign w:val="center"/>
          </w:tcPr>
          <w:p w14:paraId="54E918E2" w14:textId="77777777" w:rsidR="00F427A3" w:rsidRDefault="00F427A3">
            <w:pPr>
              <w:rPr>
                <w:rFonts w:ascii="Times New Roman" w:hAnsi="Times New Roman"/>
                <w:sz w:val="20"/>
                <w:szCs w:val="20"/>
              </w:rPr>
            </w:pPr>
          </w:p>
        </w:tc>
        <w:tc>
          <w:tcPr>
            <w:tcW w:w="0" w:type="auto"/>
            <w:shd w:val="clear" w:color="auto" w:fill="auto"/>
            <w:vAlign w:val="center"/>
          </w:tcPr>
          <w:p w14:paraId="54E918E3" w14:textId="77777777" w:rsidR="00F427A3" w:rsidRDefault="00F427A3">
            <w:pPr>
              <w:rPr>
                <w:rFonts w:ascii="Times New Roman" w:hAnsi="Times New Roman"/>
                <w:sz w:val="20"/>
                <w:szCs w:val="20"/>
              </w:rPr>
            </w:pPr>
          </w:p>
        </w:tc>
      </w:tr>
      <w:tr w:rsidR="00F427A3" w14:paraId="54E918E7" w14:textId="77777777">
        <w:trPr>
          <w:tblCellSpacing w:w="0" w:type="dxa"/>
        </w:trPr>
        <w:tc>
          <w:tcPr>
            <w:tcW w:w="0" w:type="auto"/>
            <w:shd w:val="clear" w:color="auto" w:fill="auto"/>
          </w:tcPr>
          <w:p w14:paraId="54E918E5"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8E6"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burdens of complying with a variety of foreign laws, including laws related to taxation, content removal, data localization, payments, and </w:t>
            </w:r>
            <w:r>
              <w:rPr>
                <w:rFonts w:ascii="Times New Roman" w:eastAsia="宋体" w:hAnsi="Times New Roman"/>
                <w:sz w:val="20"/>
                <w:szCs w:val="20"/>
              </w:rPr>
              <w:t>regulatory oversight;</w:t>
            </w:r>
          </w:p>
        </w:tc>
      </w:tr>
    </w:tbl>
    <w:p w14:paraId="54E918E8"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5465"/>
      </w:tblGrid>
      <w:tr w:rsidR="00F427A3" w14:paraId="54E918EB" w14:textId="77777777">
        <w:trPr>
          <w:tblCellSpacing w:w="0" w:type="dxa"/>
        </w:trPr>
        <w:tc>
          <w:tcPr>
            <w:tcW w:w="1440" w:type="dxa"/>
            <w:shd w:val="clear" w:color="auto" w:fill="auto"/>
            <w:vAlign w:val="center"/>
          </w:tcPr>
          <w:p w14:paraId="54E918E9" w14:textId="77777777" w:rsidR="00F427A3" w:rsidRDefault="00F427A3">
            <w:pPr>
              <w:rPr>
                <w:rFonts w:ascii="Times New Roman" w:hAnsi="Times New Roman"/>
                <w:sz w:val="20"/>
                <w:szCs w:val="20"/>
              </w:rPr>
            </w:pPr>
          </w:p>
        </w:tc>
        <w:tc>
          <w:tcPr>
            <w:tcW w:w="0" w:type="auto"/>
            <w:shd w:val="clear" w:color="auto" w:fill="auto"/>
            <w:vAlign w:val="center"/>
          </w:tcPr>
          <w:p w14:paraId="54E918EA" w14:textId="77777777" w:rsidR="00F427A3" w:rsidRDefault="00F427A3">
            <w:pPr>
              <w:rPr>
                <w:rFonts w:ascii="Times New Roman" w:hAnsi="Times New Roman"/>
                <w:sz w:val="20"/>
                <w:szCs w:val="20"/>
              </w:rPr>
            </w:pPr>
          </w:p>
        </w:tc>
      </w:tr>
      <w:tr w:rsidR="00F427A3" w14:paraId="54E918EE" w14:textId="77777777">
        <w:trPr>
          <w:tblCellSpacing w:w="0" w:type="dxa"/>
        </w:trPr>
        <w:tc>
          <w:tcPr>
            <w:tcW w:w="0" w:type="auto"/>
            <w:shd w:val="clear" w:color="auto" w:fill="auto"/>
          </w:tcPr>
          <w:p w14:paraId="54E918EC"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8ED"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reduced protection for intellectual property rights in some countries;</w:t>
            </w:r>
          </w:p>
        </w:tc>
      </w:tr>
    </w:tbl>
    <w:p w14:paraId="54E918EF"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8F2" w14:textId="77777777">
        <w:trPr>
          <w:tblCellSpacing w:w="0" w:type="dxa"/>
        </w:trPr>
        <w:tc>
          <w:tcPr>
            <w:tcW w:w="1440" w:type="dxa"/>
            <w:shd w:val="clear" w:color="auto" w:fill="auto"/>
            <w:vAlign w:val="center"/>
          </w:tcPr>
          <w:p w14:paraId="54E918F0" w14:textId="77777777" w:rsidR="00F427A3" w:rsidRDefault="00F427A3">
            <w:pPr>
              <w:rPr>
                <w:rFonts w:ascii="Times New Roman" w:hAnsi="Times New Roman"/>
                <w:sz w:val="20"/>
                <w:szCs w:val="20"/>
              </w:rPr>
            </w:pPr>
          </w:p>
        </w:tc>
        <w:tc>
          <w:tcPr>
            <w:tcW w:w="0" w:type="auto"/>
            <w:shd w:val="clear" w:color="auto" w:fill="auto"/>
            <w:vAlign w:val="center"/>
          </w:tcPr>
          <w:p w14:paraId="54E918F1" w14:textId="77777777" w:rsidR="00F427A3" w:rsidRDefault="00F427A3">
            <w:pPr>
              <w:rPr>
                <w:rFonts w:ascii="Times New Roman" w:hAnsi="Times New Roman"/>
                <w:sz w:val="20"/>
                <w:szCs w:val="20"/>
              </w:rPr>
            </w:pPr>
          </w:p>
        </w:tc>
      </w:tr>
      <w:tr w:rsidR="00F427A3" w14:paraId="54E918F5" w14:textId="77777777">
        <w:trPr>
          <w:tblCellSpacing w:w="0" w:type="dxa"/>
        </w:trPr>
        <w:tc>
          <w:tcPr>
            <w:tcW w:w="0" w:type="auto"/>
            <w:shd w:val="clear" w:color="auto" w:fill="auto"/>
          </w:tcPr>
          <w:p w14:paraId="54E918F3"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8F4"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difficulties in staffing, managing, and overseeing global operations and the increased travel, infrastructure, and legal compliance costs </w:t>
            </w:r>
            <w:r>
              <w:rPr>
                <w:rFonts w:ascii="Times New Roman" w:eastAsia="宋体" w:hAnsi="Times New Roman"/>
                <w:sz w:val="20"/>
                <w:szCs w:val="20"/>
              </w:rPr>
              <w:t>associated with multiple international locations, including difficulties arising from personnel working remotely during the COVID-19 pandemic;</w:t>
            </w:r>
          </w:p>
        </w:tc>
      </w:tr>
    </w:tbl>
    <w:p w14:paraId="54E918F6"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8F9" w14:textId="77777777">
        <w:trPr>
          <w:tblCellSpacing w:w="0" w:type="dxa"/>
        </w:trPr>
        <w:tc>
          <w:tcPr>
            <w:tcW w:w="1440" w:type="dxa"/>
            <w:shd w:val="clear" w:color="auto" w:fill="auto"/>
            <w:vAlign w:val="center"/>
          </w:tcPr>
          <w:p w14:paraId="54E918F7" w14:textId="77777777" w:rsidR="00F427A3" w:rsidRDefault="00F427A3">
            <w:pPr>
              <w:rPr>
                <w:rFonts w:ascii="Times New Roman" w:hAnsi="Times New Roman"/>
                <w:sz w:val="20"/>
                <w:szCs w:val="20"/>
              </w:rPr>
            </w:pPr>
          </w:p>
        </w:tc>
        <w:tc>
          <w:tcPr>
            <w:tcW w:w="0" w:type="auto"/>
            <w:shd w:val="clear" w:color="auto" w:fill="auto"/>
            <w:vAlign w:val="center"/>
          </w:tcPr>
          <w:p w14:paraId="54E918F8" w14:textId="77777777" w:rsidR="00F427A3" w:rsidRDefault="00F427A3">
            <w:pPr>
              <w:rPr>
                <w:rFonts w:ascii="Times New Roman" w:hAnsi="Times New Roman"/>
                <w:sz w:val="20"/>
                <w:szCs w:val="20"/>
              </w:rPr>
            </w:pPr>
          </w:p>
        </w:tc>
      </w:tr>
      <w:tr w:rsidR="00F427A3" w14:paraId="54E918FC" w14:textId="77777777">
        <w:trPr>
          <w:tblCellSpacing w:w="0" w:type="dxa"/>
        </w:trPr>
        <w:tc>
          <w:tcPr>
            <w:tcW w:w="0" w:type="auto"/>
            <w:shd w:val="clear" w:color="auto" w:fill="auto"/>
          </w:tcPr>
          <w:p w14:paraId="54E918FA"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8FB"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compliance with statutory equity requirements and management of tax consequences; and</w:t>
            </w:r>
          </w:p>
        </w:tc>
      </w:tr>
    </w:tbl>
    <w:p w14:paraId="54E918FD"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900" w14:textId="77777777">
        <w:trPr>
          <w:tblCellSpacing w:w="0" w:type="dxa"/>
        </w:trPr>
        <w:tc>
          <w:tcPr>
            <w:tcW w:w="1440" w:type="dxa"/>
            <w:shd w:val="clear" w:color="auto" w:fill="auto"/>
            <w:vAlign w:val="center"/>
          </w:tcPr>
          <w:p w14:paraId="54E918FE" w14:textId="77777777" w:rsidR="00F427A3" w:rsidRDefault="00F427A3">
            <w:pPr>
              <w:rPr>
                <w:rFonts w:ascii="Times New Roman" w:hAnsi="Times New Roman"/>
                <w:sz w:val="20"/>
                <w:szCs w:val="20"/>
              </w:rPr>
            </w:pPr>
          </w:p>
        </w:tc>
        <w:tc>
          <w:tcPr>
            <w:tcW w:w="0" w:type="auto"/>
            <w:shd w:val="clear" w:color="auto" w:fill="auto"/>
            <w:vAlign w:val="center"/>
          </w:tcPr>
          <w:p w14:paraId="54E918FF" w14:textId="77777777" w:rsidR="00F427A3" w:rsidRDefault="00F427A3">
            <w:pPr>
              <w:rPr>
                <w:rFonts w:ascii="Times New Roman" w:hAnsi="Times New Roman"/>
                <w:sz w:val="20"/>
                <w:szCs w:val="20"/>
              </w:rPr>
            </w:pPr>
          </w:p>
        </w:tc>
      </w:tr>
      <w:tr w:rsidR="00F427A3" w14:paraId="54E91903" w14:textId="77777777">
        <w:trPr>
          <w:tblCellSpacing w:w="0" w:type="dxa"/>
        </w:trPr>
        <w:tc>
          <w:tcPr>
            <w:tcW w:w="0" w:type="auto"/>
            <w:shd w:val="clear" w:color="auto" w:fill="auto"/>
          </w:tcPr>
          <w:p w14:paraId="54E91901"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02"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geopolitical events affecting us, our marketers or our industry, including trade disputes and pandemics.</w:t>
            </w:r>
          </w:p>
        </w:tc>
      </w:tr>
    </w:tbl>
    <w:p w14:paraId="54E91904"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addition, we must manage the potential conflicts between locally accepted business practices in any given jurisdiction and our </w:t>
      </w:r>
      <w:r>
        <w:rPr>
          <w:rFonts w:ascii="Times New Roman" w:eastAsia="宋体" w:hAnsi="Times New Roman"/>
          <w:sz w:val="20"/>
          <w:szCs w:val="20"/>
        </w:rPr>
        <w:t>obligations to comply with laws and regulations, including anti-corruption laws or regulations applicable to us, such as the U.S. Foreign Corrupt Practices Act, regulations established by the U.S. Office of Foreign Assets Control and the U.K. Bribery Act 2</w:t>
      </w:r>
      <w:r>
        <w:rPr>
          <w:rFonts w:ascii="Times New Roman" w:eastAsia="宋体" w:hAnsi="Times New Roman"/>
          <w:sz w:val="20"/>
          <w:szCs w:val="20"/>
        </w:rPr>
        <w:t>010. Government agencies and authorities have a broad range of civil and criminal penalties they may seek to impose against companies for violations of export controls, anti-corruption laws or regulations, and other laws, rules, sanctions, embargoes, and r</w:t>
      </w:r>
      <w:r>
        <w:rPr>
          <w:rFonts w:ascii="Times New Roman" w:eastAsia="宋体" w:hAnsi="Times New Roman"/>
          <w:sz w:val="20"/>
          <w:szCs w:val="20"/>
        </w:rPr>
        <w:t>egulations.</w:t>
      </w:r>
    </w:p>
    <w:p w14:paraId="54E91905"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If we are unable to expand internationally and manage the complexity of our global operations successfully, our financial results could be adversely affected.</w:t>
      </w:r>
    </w:p>
    <w:p w14:paraId="54E91906" w14:textId="77777777" w:rsidR="00F427A3" w:rsidRDefault="00F427A3">
      <w:pPr>
        <w:rPr>
          <w:rFonts w:ascii="Times New Roman" w:hAnsi="Times New Roman"/>
          <w:sz w:val="20"/>
          <w:szCs w:val="20"/>
        </w:rPr>
      </w:pPr>
    </w:p>
    <w:p w14:paraId="54E91907"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78</w:t>
      </w:r>
    </w:p>
    <w:p w14:paraId="54E91908" w14:textId="77777777" w:rsidR="00F427A3" w:rsidRDefault="0044221F">
      <w:r>
        <w:rPr>
          <w:rFonts w:ascii="Times New Roman" w:hAnsi="Times New Roman"/>
          <w:sz w:val="20"/>
          <w:szCs w:val="20"/>
        </w:rPr>
        <w:pict w14:anchorId="54E91C7E">
          <v:rect id="_x0000_i1102" style="width:415.3pt;height:1.5pt" o:hralign="center" o:hrstd="t" o:hr="t" fillcolor="#a0a0a0" stroked="f"/>
        </w:pict>
      </w:r>
    </w:p>
    <w:p w14:paraId="54E91909" w14:textId="77777777" w:rsidR="00F427A3" w:rsidRDefault="0044221F">
      <w:pPr>
        <w:spacing w:line="288" w:lineRule="auto"/>
        <w:rPr>
          <w:rFonts w:ascii="Times New Roman" w:hAnsi="Times New Roman"/>
          <w:sz w:val="20"/>
          <w:szCs w:val="20"/>
        </w:rPr>
      </w:pPr>
      <w:hyperlink r:id="rId119" w:anchor="s348EA962CF6D59B599D9921AFA89C381" w:history="1">
        <w:r>
          <w:rPr>
            <w:rStyle w:val="a5"/>
            <w:rFonts w:ascii="Times New Roman" w:eastAsia="宋体" w:hAnsi="Times New Roman"/>
            <w:sz w:val="20"/>
            <w:szCs w:val="20"/>
          </w:rPr>
          <w:t>Table of Contents</w:t>
        </w:r>
      </w:hyperlink>
    </w:p>
    <w:p w14:paraId="54E9190A" w14:textId="77777777" w:rsidR="00F427A3" w:rsidRDefault="00F427A3">
      <w:pPr>
        <w:rPr>
          <w:rFonts w:ascii="Times New Roman" w:hAnsi="Times New Roman"/>
          <w:sz w:val="20"/>
          <w:szCs w:val="20"/>
        </w:rPr>
      </w:pPr>
    </w:p>
    <w:p w14:paraId="54E9190B"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We face design, manufacturing, and supply chain risks that, if not properly managed, could adversely impact our financial results.</w:t>
      </w:r>
    </w:p>
    <w:p w14:paraId="54E9190C"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face a number of risks </w:t>
      </w:r>
      <w:r>
        <w:rPr>
          <w:rFonts w:ascii="Times New Roman" w:eastAsia="宋体" w:hAnsi="Times New Roman"/>
          <w:sz w:val="20"/>
          <w:szCs w:val="20"/>
        </w:rPr>
        <w:t xml:space="preserve">related to design, manufacturing, and supply chain management with respect to our consumer hardware products. For example, the consumer hardware products we sell may have quality issues resulting from the design or manufacture of the products, or from the </w:t>
      </w:r>
      <w:r>
        <w:rPr>
          <w:rFonts w:ascii="Times New Roman" w:eastAsia="宋体" w:hAnsi="Times New Roman"/>
          <w:sz w:val="20"/>
          <w:szCs w:val="20"/>
        </w:rPr>
        <w:t>software used in the products. Sometimes, these issues may be caused by components we purchase from other manufacturers or suppliers. If the quality of our consumer hardware products does not meet our customers' expectations or such products are found to b</w:t>
      </w:r>
      <w:r>
        <w:rPr>
          <w:rFonts w:ascii="Times New Roman" w:eastAsia="宋体" w:hAnsi="Times New Roman"/>
          <w:sz w:val="20"/>
          <w:szCs w:val="20"/>
        </w:rPr>
        <w:t>e defective, then our brand and financial results could be adversely affected.</w:t>
      </w:r>
    </w:p>
    <w:p w14:paraId="54E9190D"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rely on third parties to manufacture and manage the logistics of transporting and distributing our consumer hardware products, which subjects us to a number of risks that hav</w:t>
      </w:r>
      <w:r>
        <w:rPr>
          <w:rFonts w:ascii="Times New Roman" w:eastAsia="宋体" w:hAnsi="Times New Roman"/>
          <w:sz w:val="20"/>
          <w:szCs w:val="20"/>
        </w:rPr>
        <w:t xml:space="preserve">e been exacerbated as a result of the COVID-19 pandemic. We may experience supply shortages or other disruptions in logistics or the supply chain that could result in shipping delays and negatively impact our operations, product development, and sales. We </w:t>
      </w:r>
      <w:r>
        <w:rPr>
          <w:rFonts w:ascii="Times New Roman" w:eastAsia="宋体" w:hAnsi="Times New Roman"/>
          <w:sz w:val="20"/>
          <w:szCs w:val="20"/>
        </w:rPr>
        <w:t>could be negatively affected if we are not able to engage third parties with the necessary capabilities or capacity on reasonable terms, or if those we engage with fail to meet their obligations (whether due to financial difficulties, manufacturing constra</w:t>
      </w:r>
      <w:r>
        <w:rPr>
          <w:rFonts w:ascii="Times New Roman" w:eastAsia="宋体" w:hAnsi="Times New Roman"/>
          <w:sz w:val="20"/>
          <w:szCs w:val="20"/>
        </w:rPr>
        <w:t>ints, or other reasons), or make adverse changes in the pricing or other material terms of such arrangements with them. The manufacturing, distribution, and sale of our consumer hardware products also may be negatively impacted by macroeconomic conditions,</w:t>
      </w:r>
      <w:r>
        <w:rPr>
          <w:rFonts w:ascii="Times New Roman" w:eastAsia="宋体" w:hAnsi="Times New Roman"/>
          <w:sz w:val="20"/>
          <w:szCs w:val="20"/>
        </w:rPr>
        <w:t xml:space="preserve"> geopolitical challenges, trade disputes, or other actions by governments that subject us to supply shortages, increased costs, or supply chain disruptions.</w:t>
      </w:r>
    </w:p>
    <w:p w14:paraId="54E9190E"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also require the suppliers and business partners of our consumer hardware products to comply wit</w:t>
      </w:r>
      <w:r>
        <w:rPr>
          <w:rFonts w:ascii="Times New Roman" w:eastAsia="宋体" w:hAnsi="Times New Roman"/>
          <w:sz w:val="20"/>
          <w:szCs w:val="20"/>
        </w:rPr>
        <w:t xml:space="preserve">h laws and certain company policies regarding sourcing practices and standards on labor, health and safety, the environment, and business ethics, but we do not control them or their practices and standards. If any of them violates laws, fails to implement </w:t>
      </w:r>
      <w:r>
        <w:rPr>
          <w:rFonts w:ascii="Times New Roman" w:eastAsia="宋体" w:hAnsi="Times New Roman"/>
          <w:sz w:val="20"/>
          <w:szCs w:val="20"/>
        </w:rPr>
        <w:t>changes in accordance with newly enacted laws, or implements practices or standards regarded as unethical, corrupt, or non-compliant, we could experience supply chain disruptions, government action or fines, canceled orders, or damage to our reputation.</w:t>
      </w:r>
    </w:p>
    <w:p w14:paraId="54E9190F" w14:textId="77777777" w:rsidR="00F427A3" w:rsidRDefault="0044221F">
      <w:pPr>
        <w:spacing w:line="288" w:lineRule="auto"/>
        <w:rPr>
          <w:rFonts w:ascii="Times New Roman" w:hAnsi="Times New Roman"/>
          <w:sz w:val="20"/>
          <w:szCs w:val="20"/>
        </w:rPr>
      </w:pPr>
      <w:r>
        <w:rPr>
          <w:rFonts w:ascii="Times New Roman" w:eastAsia="宋体" w:hAnsi="Times New Roman"/>
          <w:b/>
          <w:bCs/>
          <w:i/>
          <w:iCs/>
          <w:sz w:val="20"/>
          <w:szCs w:val="20"/>
        </w:rPr>
        <w:t>We</w:t>
      </w:r>
      <w:r>
        <w:rPr>
          <w:rFonts w:ascii="Times New Roman" w:eastAsia="宋体" w:hAnsi="Times New Roman"/>
          <w:b/>
          <w:bCs/>
          <w:i/>
          <w:iCs/>
          <w:sz w:val="20"/>
          <w:szCs w:val="20"/>
        </w:rPr>
        <w:t xml:space="preserve"> face inventory risk with respect to our consumer hardware products.</w:t>
      </w:r>
    </w:p>
    <w:p w14:paraId="54E91910"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We are exposed to inventory risks with respect to our consumer hardware products as a result of rapid changes in product cycles and pricing, unsafe or defective merchandise, changes in co</w:t>
      </w:r>
      <w:r>
        <w:rPr>
          <w:rFonts w:ascii="Times New Roman" w:eastAsia="宋体" w:hAnsi="Times New Roman"/>
          <w:sz w:val="20"/>
          <w:szCs w:val="20"/>
        </w:rPr>
        <w:t>nsumer demand and consumer spending patterns, changes in consumer tastes with respect to our consumer hardware products, and other factors. The demand for our products can also change significantly between the time inventory or components are ordered and t</w:t>
      </w:r>
      <w:r>
        <w:rPr>
          <w:rFonts w:ascii="Times New Roman" w:eastAsia="宋体" w:hAnsi="Times New Roman"/>
          <w:sz w:val="20"/>
          <w:szCs w:val="20"/>
        </w:rPr>
        <w:t>he date of sale. While we endeavor to accurately predict these trends and avoid overstocking or understocking consumer hardware products we may sell, from time to time we have experienced difficulties in accurately predicting and meeting the consumer deman</w:t>
      </w:r>
      <w:r>
        <w:rPr>
          <w:rFonts w:ascii="Times New Roman" w:eastAsia="宋体" w:hAnsi="Times New Roman"/>
          <w:sz w:val="20"/>
          <w:szCs w:val="20"/>
        </w:rPr>
        <w:t>d for our products. In addition, when we begin selling or manufacturing a new consumer hardware product or enter new international markets, it may be difficult to establish vendor relationships, determine appropriate product or component selection, and acc</w:t>
      </w:r>
      <w:r>
        <w:rPr>
          <w:rFonts w:ascii="Times New Roman" w:eastAsia="宋体" w:hAnsi="Times New Roman"/>
          <w:sz w:val="20"/>
          <w:szCs w:val="20"/>
        </w:rPr>
        <w:t>urately forecast demand. The acquisition of certain types of inventory or components may require significant lead-time and prepayment and they may not be returnable. Any one of the foregoing factors may adversely affect our operating results.</w:t>
      </w:r>
    </w:p>
    <w:p w14:paraId="54E91911"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We may have e</w:t>
      </w:r>
      <w:r>
        <w:rPr>
          <w:rFonts w:ascii="Times New Roman" w:eastAsia="宋体" w:hAnsi="Times New Roman"/>
          <w:b/>
          <w:bCs/>
          <w:i/>
          <w:iCs/>
          <w:sz w:val="20"/>
          <w:szCs w:val="20"/>
        </w:rPr>
        <w:t>xposure to greater than anticipated tax liabilities.</w:t>
      </w:r>
    </w:p>
    <w:p w14:paraId="54E91912"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Our tax obligations, including income and non-income taxes, are based in part on our corporate operating structure and intercompany arrangements, including the manner in which we operate our business, de</w:t>
      </w:r>
      <w:r>
        <w:rPr>
          <w:rFonts w:ascii="Times New Roman" w:eastAsia="宋体" w:hAnsi="Times New Roman"/>
          <w:sz w:val="20"/>
          <w:szCs w:val="20"/>
        </w:rPr>
        <w:t>velop, value, manage, protect, and use our intellectual property, and the valuations of our intercompany transactions. The tax laws applicable to our business, including the laws of the United States and other jurisdictions, are subject to interpretation a</w:t>
      </w:r>
      <w:r>
        <w:rPr>
          <w:rFonts w:ascii="Times New Roman" w:eastAsia="宋体" w:hAnsi="Times New Roman"/>
          <w:sz w:val="20"/>
          <w:szCs w:val="20"/>
        </w:rPr>
        <w:t xml:space="preserve">nd certain jurisdictions are aggressively interpreting their laws in new ways in an effort to raise additional tax revenue from companies such as Facebook. We are subject to regular review and audit by U.S. federal, state, and foreign tax authorities. Tax </w:t>
      </w:r>
      <w:r>
        <w:rPr>
          <w:rFonts w:ascii="Times New Roman" w:eastAsia="宋体" w:hAnsi="Times New Roman"/>
          <w:sz w:val="20"/>
          <w:szCs w:val="20"/>
        </w:rPr>
        <w:t>authorities may disagree with certain positions we have taken, including our methodologies for valuing developed technology or intercompany arrangements, and any adverse outcome of such a review or audit could increase our worldwide effective tax rate, inc</w:t>
      </w:r>
      <w:r>
        <w:rPr>
          <w:rFonts w:ascii="Times New Roman" w:eastAsia="宋体" w:hAnsi="Times New Roman"/>
          <w:sz w:val="20"/>
          <w:szCs w:val="20"/>
        </w:rPr>
        <w:t>rease the amount of non-income taxes imposed on our business, and harm our financial position, results of operations, and cash flows. For example, in 2016 and 2018, the IRS issued formal assessments relating to transfer pricing with our foreign subsidiarie</w:t>
      </w:r>
      <w:r>
        <w:rPr>
          <w:rFonts w:ascii="Times New Roman" w:eastAsia="宋体" w:hAnsi="Times New Roman"/>
          <w:sz w:val="20"/>
          <w:szCs w:val="20"/>
        </w:rPr>
        <w:t xml:space="preserve">s in conjunction with the examination of the 2010 through 2013 tax years. Although we disagree with the IRS's position and are litigating this issue, the ultimate resolution is uncertain and, if resolved in a manner unfavorable to us, may adversely affect </w:t>
      </w:r>
      <w:r>
        <w:rPr>
          <w:rFonts w:ascii="Times New Roman" w:eastAsia="宋体" w:hAnsi="Times New Roman"/>
          <w:sz w:val="20"/>
          <w:szCs w:val="20"/>
        </w:rPr>
        <w:t>our financial results.</w:t>
      </w:r>
    </w:p>
    <w:p w14:paraId="54E91913" w14:textId="77777777" w:rsidR="00F427A3" w:rsidRDefault="00F427A3">
      <w:pPr>
        <w:rPr>
          <w:rFonts w:ascii="Times New Roman" w:hAnsi="Times New Roman"/>
          <w:sz w:val="20"/>
          <w:szCs w:val="20"/>
        </w:rPr>
      </w:pPr>
    </w:p>
    <w:p w14:paraId="54E91914"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79</w:t>
      </w:r>
    </w:p>
    <w:p w14:paraId="54E91915" w14:textId="77777777" w:rsidR="00F427A3" w:rsidRDefault="0044221F">
      <w:r>
        <w:rPr>
          <w:rFonts w:ascii="Times New Roman" w:hAnsi="Times New Roman"/>
          <w:sz w:val="20"/>
          <w:szCs w:val="20"/>
        </w:rPr>
        <w:pict w14:anchorId="54E91C7F">
          <v:rect id="_x0000_i1103" style="width:415.3pt;height:1.5pt" o:hralign="center" o:hrstd="t" o:hr="t" fillcolor="#a0a0a0" stroked="f"/>
        </w:pict>
      </w:r>
    </w:p>
    <w:p w14:paraId="54E91916" w14:textId="77777777" w:rsidR="00F427A3" w:rsidRDefault="0044221F">
      <w:pPr>
        <w:spacing w:line="288" w:lineRule="auto"/>
        <w:rPr>
          <w:rFonts w:ascii="Times New Roman" w:hAnsi="Times New Roman"/>
          <w:sz w:val="20"/>
          <w:szCs w:val="20"/>
        </w:rPr>
      </w:pPr>
      <w:hyperlink r:id="rId120" w:anchor="s348EA962CF6D59B599D9921AFA89C381" w:history="1">
        <w:r>
          <w:rPr>
            <w:rStyle w:val="a5"/>
            <w:rFonts w:ascii="Times New Roman" w:eastAsia="宋体" w:hAnsi="Times New Roman"/>
            <w:sz w:val="20"/>
            <w:szCs w:val="20"/>
          </w:rPr>
          <w:t>Table of Contents</w:t>
        </w:r>
      </w:hyperlink>
    </w:p>
    <w:p w14:paraId="54E91917" w14:textId="77777777" w:rsidR="00F427A3" w:rsidRDefault="00F427A3">
      <w:pPr>
        <w:rPr>
          <w:rFonts w:ascii="Times New Roman" w:hAnsi="Times New Roman"/>
          <w:sz w:val="20"/>
          <w:szCs w:val="20"/>
        </w:rPr>
      </w:pPr>
    </w:p>
    <w:p w14:paraId="54E91918"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determination of our worldwide provision for income</w:t>
      </w:r>
      <w:r>
        <w:rPr>
          <w:rFonts w:ascii="Times New Roman" w:eastAsia="宋体" w:hAnsi="Times New Roman"/>
          <w:sz w:val="20"/>
          <w:szCs w:val="20"/>
        </w:rPr>
        <w:t xml:space="preserve"> taxes and other tax liabilities requires significant judgment by management, and there are many transactions where the ultimate tax determination is uncertain. Our provision for income taxes is determined by the manner in which we operate our business, an</w:t>
      </w:r>
      <w:r>
        <w:rPr>
          <w:rFonts w:ascii="Times New Roman" w:eastAsia="宋体" w:hAnsi="Times New Roman"/>
          <w:sz w:val="20"/>
          <w:szCs w:val="20"/>
        </w:rPr>
        <w:t>d any changes to such operations or laws applicable to such operations may affect our effective tax rate. Although we believe that our provision for income taxes and estimates of our non-income tax liabilities are reasonable, the ultimate settlement may di</w:t>
      </w:r>
      <w:r>
        <w:rPr>
          <w:rFonts w:ascii="Times New Roman" w:eastAsia="宋体" w:hAnsi="Times New Roman"/>
          <w:sz w:val="20"/>
          <w:szCs w:val="20"/>
        </w:rPr>
        <w:t>ffer from the amounts recorded in our financial statements and may materially affect our financial results in the period or periods for which such determination is made. </w:t>
      </w:r>
    </w:p>
    <w:p w14:paraId="54E91919"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Our future income tax rates could be volatile and difficult to predict due to changes</w:t>
      </w:r>
      <w:r>
        <w:rPr>
          <w:rFonts w:ascii="Times New Roman" w:eastAsia="宋体" w:hAnsi="Times New Roman"/>
          <w:sz w:val="20"/>
          <w:szCs w:val="20"/>
        </w:rPr>
        <w:t xml:space="preserve"> in jurisdictional profit split, changes in the amount and recognition of deferred tax assets and liabilities, or by changes in tax laws, regulations, or accounting principles.</w:t>
      </w:r>
    </w:p>
    <w:p w14:paraId="54E9191A"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Changes in tax laws or tax rulings could materially affect our financial positi</w:t>
      </w:r>
      <w:r>
        <w:rPr>
          <w:rFonts w:ascii="Times New Roman" w:eastAsia="宋体" w:hAnsi="Times New Roman"/>
          <w:b/>
          <w:bCs/>
          <w:i/>
          <w:iCs/>
          <w:sz w:val="20"/>
          <w:szCs w:val="20"/>
        </w:rPr>
        <w:t>on, results of operations, and cash flows.</w:t>
      </w:r>
    </w:p>
    <w:p w14:paraId="54E9191B"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tax regimes we are subject to or operate under, including income and non-income taxes, are unsettled and may be subject to significant change. Changes in tax laws or tax rulings, or changes in interpretations </w:t>
      </w:r>
      <w:r>
        <w:rPr>
          <w:rFonts w:ascii="Times New Roman" w:eastAsia="宋体" w:hAnsi="Times New Roman"/>
          <w:sz w:val="20"/>
          <w:szCs w:val="20"/>
        </w:rPr>
        <w:t>of existing laws, could materially affect our financial position, results of operations, and cash flows. For example, the 2017 Tax Cuts and Jobs Act (Tax Act) enacted in December 2017 had a significant impact on our tax obligations and effective tax rate f</w:t>
      </w:r>
      <w:r>
        <w:rPr>
          <w:rFonts w:ascii="Times New Roman" w:eastAsia="宋体" w:hAnsi="Times New Roman"/>
          <w:sz w:val="20"/>
          <w:szCs w:val="20"/>
        </w:rPr>
        <w:t>or the fourth quarter of 2017, and the issuance of additional regulatory or accounting guidance related to the Tax Act could materially affect our tax obligations and effective tax rate in the period issued. In addition, many countries in Europe, as well a</w:t>
      </w:r>
      <w:r>
        <w:rPr>
          <w:rFonts w:ascii="Times New Roman" w:eastAsia="宋体" w:hAnsi="Times New Roman"/>
          <w:sz w:val="20"/>
          <w:szCs w:val="20"/>
        </w:rPr>
        <w:t>s a number of other countries and organizations, have recently proposed or recommended changes to existing tax laws or have enacted new laws that could significantly increase our tax obligations in many countries where we do business or require us to chang</w:t>
      </w:r>
      <w:r>
        <w:rPr>
          <w:rFonts w:ascii="Times New Roman" w:eastAsia="宋体" w:hAnsi="Times New Roman"/>
          <w:sz w:val="20"/>
          <w:szCs w:val="20"/>
        </w:rPr>
        <w:t>e the manner in which we operate our business.</w:t>
      </w:r>
    </w:p>
    <w:p w14:paraId="54E9191C"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The Organization for Economic Cooperation and Development has been working on a Base Erosion and Profit Shifting Project, and issued a report in 2015, an interim report in 2018, and is expected to continue to </w:t>
      </w:r>
      <w:r>
        <w:rPr>
          <w:rFonts w:ascii="Times New Roman" w:eastAsia="宋体" w:hAnsi="Times New Roman"/>
          <w:sz w:val="20"/>
          <w:szCs w:val="20"/>
        </w:rPr>
        <w:t>issue guidelines and proposals that may change various aspects of the existing framework under which our tax obligations are determined in many of the countries in which we do business. Similarly, the European Commission and several countries have issued p</w:t>
      </w:r>
      <w:r>
        <w:rPr>
          <w:rFonts w:ascii="Times New Roman" w:eastAsia="宋体" w:hAnsi="Times New Roman"/>
          <w:sz w:val="20"/>
          <w:szCs w:val="20"/>
        </w:rPr>
        <w:t>roposals that would change various aspects of the current tax framework under which we are taxed. These proposals include changes to the existing framework to calculate income tax, as well as proposals to change or impose new types of non-income taxes, inc</w:t>
      </w:r>
      <w:r>
        <w:rPr>
          <w:rFonts w:ascii="Times New Roman" w:eastAsia="宋体" w:hAnsi="Times New Roman"/>
          <w:sz w:val="20"/>
          <w:szCs w:val="20"/>
        </w:rPr>
        <w:t>luding taxes based on a percentage of revenue. For example, several countries have proposed or enacted taxes applicable to digital services, which includes business activities on social media platforms and online marketplaces, and would likely apply to our</w:t>
      </w:r>
      <w:r>
        <w:rPr>
          <w:rFonts w:ascii="Times New Roman" w:eastAsia="宋体" w:hAnsi="Times New Roman"/>
          <w:sz w:val="20"/>
          <w:szCs w:val="20"/>
        </w:rPr>
        <w:t xml:space="preserve"> business.</w:t>
      </w:r>
    </w:p>
    <w:p w14:paraId="54E9191D"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European Commission has conducted investigations in multiple countries focusing on whether local country tax rulings or tax legislation provides preferential tax treatment that violates European Union state aid rules and concluded that certain countrie</w:t>
      </w:r>
      <w:r>
        <w:rPr>
          <w:rFonts w:ascii="Times New Roman" w:eastAsia="宋体" w:hAnsi="Times New Roman"/>
          <w:sz w:val="20"/>
          <w:szCs w:val="20"/>
        </w:rPr>
        <w:t xml:space="preserve">s, including Ireland, have provided illegal state aid in certain cases. These investigations may result in changes to the tax treatment of our foreign operations. </w:t>
      </w:r>
    </w:p>
    <w:p w14:paraId="54E9191E"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Due to the large and expanding scale of our international business activities, many of these</w:t>
      </w:r>
      <w:r>
        <w:rPr>
          <w:rFonts w:ascii="Times New Roman" w:eastAsia="宋体" w:hAnsi="Times New Roman"/>
          <w:sz w:val="20"/>
          <w:szCs w:val="20"/>
        </w:rPr>
        <w:t xml:space="preserve"> types of changes to the taxation of our activities described above could increase our worldwide effective tax rate, increase the amount of non-income taxes imposed on our business, and harm our financial position, results of operations, and cash flows. Su</w:t>
      </w:r>
      <w:r>
        <w:rPr>
          <w:rFonts w:ascii="Times New Roman" w:eastAsia="宋体" w:hAnsi="Times New Roman"/>
          <w:sz w:val="20"/>
          <w:szCs w:val="20"/>
        </w:rPr>
        <w:t>ch changes may also apply retroactively to our historical operations and result in taxes greater than the amounts estimated and recorded in our financial statements.</w:t>
      </w:r>
    </w:p>
    <w:p w14:paraId="54E9191F"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We cannot guarantee that our share repurchase program will be fully consummated or that it</w:t>
      </w:r>
      <w:r>
        <w:rPr>
          <w:rFonts w:ascii="Times New Roman" w:eastAsia="宋体" w:hAnsi="Times New Roman"/>
          <w:b/>
          <w:bCs/>
          <w:i/>
          <w:iCs/>
          <w:sz w:val="20"/>
          <w:szCs w:val="20"/>
        </w:rPr>
        <w:t xml:space="preserve"> will enhance long-term stockholder value. Share repurchases could also increase the volatility of the trading price of our stock and will diminish our cash reserves.</w:t>
      </w:r>
    </w:p>
    <w:p w14:paraId="54E91920"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Although our board of directors has authorized a share repurchase program that does not h</w:t>
      </w:r>
      <w:r>
        <w:rPr>
          <w:rFonts w:ascii="Times New Roman" w:eastAsia="宋体" w:hAnsi="Times New Roman"/>
          <w:sz w:val="20"/>
          <w:szCs w:val="20"/>
        </w:rPr>
        <w:t>ave an expiration date, the program does not obligate us to repurchase any specific dollar amount or to acquire any specific number of shares of our Class A common stock. We cannot guarantee that the program will be fully consummated or that it will enhanc</w:t>
      </w:r>
      <w:r>
        <w:rPr>
          <w:rFonts w:ascii="Times New Roman" w:eastAsia="宋体" w:hAnsi="Times New Roman"/>
          <w:sz w:val="20"/>
          <w:szCs w:val="20"/>
        </w:rPr>
        <w:t>e long-term stockholder value. The program could affect the trading price of our stock and increase volatility, and any announcement of a termination of this program may result in a decrease in the trading price of our stock. In addition, this program will</w:t>
      </w:r>
      <w:r>
        <w:rPr>
          <w:rFonts w:ascii="Times New Roman" w:eastAsia="宋体" w:hAnsi="Times New Roman"/>
          <w:sz w:val="20"/>
          <w:szCs w:val="20"/>
        </w:rPr>
        <w:t xml:space="preserve"> diminish our cash reserves.</w:t>
      </w:r>
    </w:p>
    <w:p w14:paraId="54E91921" w14:textId="77777777" w:rsidR="00F427A3" w:rsidRDefault="00F427A3">
      <w:pPr>
        <w:rPr>
          <w:rFonts w:ascii="Times New Roman" w:hAnsi="Times New Roman"/>
          <w:sz w:val="20"/>
          <w:szCs w:val="20"/>
        </w:rPr>
      </w:pPr>
    </w:p>
    <w:p w14:paraId="54E91922"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80</w:t>
      </w:r>
    </w:p>
    <w:p w14:paraId="54E91923" w14:textId="77777777" w:rsidR="00F427A3" w:rsidRDefault="0044221F">
      <w:r>
        <w:rPr>
          <w:rFonts w:ascii="Times New Roman" w:hAnsi="Times New Roman"/>
          <w:sz w:val="20"/>
          <w:szCs w:val="20"/>
        </w:rPr>
        <w:pict w14:anchorId="54E91C80">
          <v:rect id="_x0000_i1104" style="width:415.3pt;height:1.5pt" o:hralign="center" o:hrstd="t" o:hr="t" fillcolor="#a0a0a0" stroked="f"/>
        </w:pict>
      </w:r>
    </w:p>
    <w:p w14:paraId="54E91924" w14:textId="77777777" w:rsidR="00F427A3" w:rsidRDefault="0044221F">
      <w:pPr>
        <w:spacing w:line="288" w:lineRule="auto"/>
        <w:rPr>
          <w:rFonts w:ascii="Times New Roman" w:hAnsi="Times New Roman"/>
          <w:sz w:val="20"/>
          <w:szCs w:val="20"/>
        </w:rPr>
      </w:pPr>
      <w:hyperlink r:id="rId121" w:anchor="s348EA962CF6D59B599D9921AFA89C381" w:history="1">
        <w:r>
          <w:rPr>
            <w:rStyle w:val="a5"/>
            <w:rFonts w:ascii="Times New Roman" w:eastAsia="宋体" w:hAnsi="Times New Roman"/>
            <w:sz w:val="20"/>
            <w:szCs w:val="20"/>
          </w:rPr>
          <w:t>Table of Contents</w:t>
        </w:r>
      </w:hyperlink>
    </w:p>
    <w:p w14:paraId="54E91925" w14:textId="77777777" w:rsidR="00F427A3" w:rsidRDefault="00F427A3">
      <w:pPr>
        <w:rPr>
          <w:rFonts w:ascii="Times New Roman" w:hAnsi="Times New Roman"/>
          <w:sz w:val="20"/>
          <w:szCs w:val="20"/>
        </w:rPr>
      </w:pPr>
    </w:p>
    <w:p w14:paraId="54E91926"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sz w:val="20"/>
          <w:szCs w:val="20"/>
        </w:rPr>
        <w:t xml:space="preserve">Risks Related to Ownership of Our Class A Common </w:t>
      </w:r>
      <w:r>
        <w:rPr>
          <w:rFonts w:ascii="Times New Roman" w:eastAsia="宋体" w:hAnsi="Times New Roman"/>
          <w:b/>
          <w:bCs/>
          <w:sz w:val="20"/>
          <w:szCs w:val="20"/>
        </w:rPr>
        <w:t>Stock</w:t>
      </w:r>
    </w:p>
    <w:p w14:paraId="54E91927"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The trading price of our Class A common stock has been and will likely continue to be volatile.</w:t>
      </w:r>
    </w:p>
    <w:p w14:paraId="54E91928"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The trading price of our Class A common stock has been, and is likely to continue to be, volatile. Since shares of our Class A common stock were sold in o</w:t>
      </w:r>
      <w:r>
        <w:rPr>
          <w:rFonts w:ascii="Times New Roman" w:eastAsia="宋体" w:hAnsi="Times New Roman"/>
          <w:sz w:val="20"/>
          <w:szCs w:val="20"/>
        </w:rPr>
        <w:t>ur initial public offering in May 2012 at a price of $38.00 per share, our stock price has ranged from $17.55 to $304.67 through September 30, 2020. In addition to the factors discussed in this Quarterly Report on Form 10-Q, the trading price of our Class </w:t>
      </w:r>
      <w:r>
        <w:rPr>
          <w:rFonts w:ascii="Times New Roman" w:eastAsia="宋体" w:hAnsi="Times New Roman"/>
          <w:sz w:val="20"/>
          <w:szCs w:val="20"/>
        </w:rPr>
        <w:t>A common stock may fluctuate significantly in response to numerous factors, many of which are beyond our control, including:</w:t>
      </w:r>
    </w:p>
    <w:tbl>
      <w:tblPr>
        <w:tblW w:w="0" w:type="auto"/>
        <w:tblCellSpacing w:w="0" w:type="dxa"/>
        <w:tblCellMar>
          <w:top w:w="240" w:type="dxa"/>
          <w:left w:w="0" w:type="dxa"/>
          <w:right w:w="0" w:type="dxa"/>
        </w:tblCellMar>
        <w:tblLook w:val="04A0" w:firstRow="1" w:lastRow="0" w:firstColumn="1" w:lastColumn="0" w:noHBand="0" w:noVBand="1"/>
      </w:tblPr>
      <w:tblGrid>
        <w:gridCol w:w="1440"/>
        <w:gridCol w:w="6054"/>
      </w:tblGrid>
      <w:tr w:rsidR="00F427A3" w14:paraId="54E9192B" w14:textId="77777777">
        <w:trPr>
          <w:tblCellSpacing w:w="0" w:type="dxa"/>
        </w:trPr>
        <w:tc>
          <w:tcPr>
            <w:tcW w:w="1440" w:type="dxa"/>
            <w:shd w:val="clear" w:color="auto" w:fill="auto"/>
            <w:vAlign w:val="center"/>
          </w:tcPr>
          <w:p w14:paraId="54E91929" w14:textId="77777777" w:rsidR="00F427A3" w:rsidRDefault="00F427A3">
            <w:pPr>
              <w:rPr>
                <w:rFonts w:ascii="Times New Roman" w:hAnsi="Times New Roman"/>
                <w:sz w:val="20"/>
                <w:szCs w:val="20"/>
              </w:rPr>
            </w:pPr>
          </w:p>
        </w:tc>
        <w:tc>
          <w:tcPr>
            <w:tcW w:w="0" w:type="auto"/>
            <w:shd w:val="clear" w:color="auto" w:fill="auto"/>
            <w:vAlign w:val="center"/>
          </w:tcPr>
          <w:p w14:paraId="54E9192A" w14:textId="77777777" w:rsidR="00F427A3" w:rsidRDefault="00F427A3">
            <w:pPr>
              <w:rPr>
                <w:rFonts w:ascii="Times New Roman" w:hAnsi="Times New Roman"/>
                <w:sz w:val="20"/>
                <w:szCs w:val="20"/>
              </w:rPr>
            </w:pPr>
          </w:p>
        </w:tc>
      </w:tr>
      <w:tr w:rsidR="00F427A3" w14:paraId="54E9192E" w14:textId="77777777">
        <w:trPr>
          <w:tblCellSpacing w:w="0" w:type="dxa"/>
        </w:trPr>
        <w:tc>
          <w:tcPr>
            <w:tcW w:w="0" w:type="auto"/>
            <w:shd w:val="clear" w:color="auto" w:fill="auto"/>
          </w:tcPr>
          <w:p w14:paraId="54E9192C"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2D"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actual or anticipated fluctuations in our revenue and other operating results;</w:t>
            </w:r>
          </w:p>
        </w:tc>
      </w:tr>
    </w:tbl>
    <w:p w14:paraId="54E9192F"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932" w14:textId="77777777">
        <w:trPr>
          <w:tblCellSpacing w:w="0" w:type="dxa"/>
        </w:trPr>
        <w:tc>
          <w:tcPr>
            <w:tcW w:w="1440" w:type="dxa"/>
            <w:shd w:val="clear" w:color="auto" w:fill="auto"/>
            <w:vAlign w:val="center"/>
          </w:tcPr>
          <w:p w14:paraId="54E91930" w14:textId="77777777" w:rsidR="00F427A3" w:rsidRDefault="00F427A3">
            <w:pPr>
              <w:rPr>
                <w:rFonts w:ascii="Times New Roman" w:hAnsi="Times New Roman"/>
                <w:sz w:val="20"/>
                <w:szCs w:val="20"/>
              </w:rPr>
            </w:pPr>
          </w:p>
        </w:tc>
        <w:tc>
          <w:tcPr>
            <w:tcW w:w="0" w:type="auto"/>
            <w:shd w:val="clear" w:color="auto" w:fill="auto"/>
            <w:vAlign w:val="center"/>
          </w:tcPr>
          <w:p w14:paraId="54E91931" w14:textId="77777777" w:rsidR="00F427A3" w:rsidRDefault="00F427A3">
            <w:pPr>
              <w:rPr>
                <w:rFonts w:ascii="Times New Roman" w:hAnsi="Times New Roman"/>
                <w:sz w:val="20"/>
                <w:szCs w:val="20"/>
              </w:rPr>
            </w:pPr>
          </w:p>
        </w:tc>
      </w:tr>
      <w:tr w:rsidR="00F427A3" w14:paraId="54E91935" w14:textId="77777777">
        <w:trPr>
          <w:tblCellSpacing w:w="0" w:type="dxa"/>
        </w:trPr>
        <w:tc>
          <w:tcPr>
            <w:tcW w:w="0" w:type="auto"/>
            <w:shd w:val="clear" w:color="auto" w:fill="auto"/>
          </w:tcPr>
          <w:p w14:paraId="54E91933"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34"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the financial projections we may </w:t>
            </w:r>
            <w:r>
              <w:rPr>
                <w:rFonts w:ascii="Times New Roman" w:eastAsia="宋体" w:hAnsi="Times New Roman"/>
                <w:sz w:val="20"/>
                <w:szCs w:val="20"/>
              </w:rPr>
              <w:t>provide to the public, any changes in these projections or our failure to meet these projections;</w:t>
            </w:r>
          </w:p>
        </w:tc>
      </w:tr>
    </w:tbl>
    <w:p w14:paraId="54E91936"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939" w14:textId="77777777">
        <w:trPr>
          <w:tblCellSpacing w:w="0" w:type="dxa"/>
        </w:trPr>
        <w:tc>
          <w:tcPr>
            <w:tcW w:w="1440" w:type="dxa"/>
            <w:shd w:val="clear" w:color="auto" w:fill="auto"/>
            <w:vAlign w:val="center"/>
          </w:tcPr>
          <w:p w14:paraId="54E91937" w14:textId="77777777" w:rsidR="00F427A3" w:rsidRDefault="00F427A3">
            <w:pPr>
              <w:rPr>
                <w:rFonts w:ascii="Times New Roman" w:hAnsi="Times New Roman"/>
                <w:sz w:val="20"/>
                <w:szCs w:val="20"/>
              </w:rPr>
            </w:pPr>
          </w:p>
        </w:tc>
        <w:tc>
          <w:tcPr>
            <w:tcW w:w="0" w:type="auto"/>
            <w:shd w:val="clear" w:color="auto" w:fill="auto"/>
            <w:vAlign w:val="center"/>
          </w:tcPr>
          <w:p w14:paraId="54E91938" w14:textId="77777777" w:rsidR="00F427A3" w:rsidRDefault="00F427A3">
            <w:pPr>
              <w:rPr>
                <w:rFonts w:ascii="Times New Roman" w:hAnsi="Times New Roman"/>
                <w:sz w:val="20"/>
                <w:szCs w:val="20"/>
              </w:rPr>
            </w:pPr>
          </w:p>
        </w:tc>
      </w:tr>
      <w:tr w:rsidR="00F427A3" w14:paraId="54E9193C" w14:textId="77777777">
        <w:trPr>
          <w:tblCellSpacing w:w="0" w:type="dxa"/>
        </w:trPr>
        <w:tc>
          <w:tcPr>
            <w:tcW w:w="0" w:type="auto"/>
            <w:shd w:val="clear" w:color="auto" w:fill="auto"/>
          </w:tcPr>
          <w:p w14:paraId="54E9193A"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3B"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actions of securities analysts who initiate or maintain coverage of us, changes in financial estimates by any securities analysts who follow our </w:t>
            </w:r>
            <w:r>
              <w:rPr>
                <w:rFonts w:ascii="Times New Roman" w:eastAsia="宋体" w:hAnsi="Times New Roman"/>
                <w:sz w:val="20"/>
                <w:szCs w:val="20"/>
              </w:rPr>
              <w:t>company, or our failure to meet these estimates or the expectations of investors;</w:t>
            </w:r>
          </w:p>
        </w:tc>
      </w:tr>
    </w:tbl>
    <w:p w14:paraId="54E9193D"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940" w14:textId="77777777">
        <w:trPr>
          <w:tblCellSpacing w:w="0" w:type="dxa"/>
        </w:trPr>
        <w:tc>
          <w:tcPr>
            <w:tcW w:w="1440" w:type="dxa"/>
            <w:shd w:val="clear" w:color="auto" w:fill="auto"/>
            <w:vAlign w:val="center"/>
          </w:tcPr>
          <w:p w14:paraId="54E9193E" w14:textId="77777777" w:rsidR="00F427A3" w:rsidRDefault="00F427A3">
            <w:pPr>
              <w:rPr>
                <w:rFonts w:ascii="Times New Roman" w:hAnsi="Times New Roman"/>
                <w:sz w:val="20"/>
                <w:szCs w:val="20"/>
              </w:rPr>
            </w:pPr>
          </w:p>
        </w:tc>
        <w:tc>
          <w:tcPr>
            <w:tcW w:w="0" w:type="auto"/>
            <w:shd w:val="clear" w:color="auto" w:fill="auto"/>
            <w:vAlign w:val="center"/>
          </w:tcPr>
          <w:p w14:paraId="54E9193F" w14:textId="77777777" w:rsidR="00F427A3" w:rsidRDefault="00F427A3">
            <w:pPr>
              <w:rPr>
                <w:rFonts w:ascii="Times New Roman" w:hAnsi="Times New Roman"/>
                <w:sz w:val="20"/>
                <w:szCs w:val="20"/>
              </w:rPr>
            </w:pPr>
          </w:p>
        </w:tc>
      </w:tr>
      <w:tr w:rsidR="00F427A3" w14:paraId="54E91943" w14:textId="77777777">
        <w:trPr>
          <w:tblCellSpacing w:w="0" w:type="dxa"/>
        </w:trPr>
        <w:tc>
          <w:tcPr>
            <w:tcW w:w="0" w:type="auto"/>
            <w:shd w:val="clear" w:color="auto" w:fill="auto"/>
          </w:tcPr>
          <w:p w14:paraId="54E91941"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42"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additional shares of our stock being sold into the market by us, our existing stockholders, or in connection with acquisitions, or the anticipation of such </w:t>
            </w:r>
            <w:r>
              <w:rPr>
                <w:rFonts w:ascii="Times New Roman" w:eastAsia="宋体" w:hAnsi="Times New Roman"/>
                <w:sz w:val="20"/>
                <w:szCs w:val="20"/>
              </w:rPr>
              <w:t>sales;</w:t>
            </w:r>
          </w:p>
        </w:tc>
      </w:tr>
    </w:tbl>
    <w:p w14:paraId="54E91944"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947" w14:textId="77777777">
        <w:trPr>
          <w:tblCellSpacing w:w="0" w:type="dxa"/>
        </w:trPr>
        <w:tc>
          <w:tcPr>
            <w:tcW w:w="1440" w:type="dxa"/>
            <w:shd w:val="clear" w:color="auto" w:fill="auto"/>
            <w:vAlign w:val="center"/>
          </w:tcPr>
          <w:p w14:paraId="54E91945" w14:textId="77777777" w:rsidR="00F427A3" w:rsidRDefault="00F427A3">
            <w:pPr>
              <w:rPr>
                <w:rFonts w:ascii="Times New Roman" w:hAnsi="Times New Roman"/>
                <w:sz w:val="20"/>
                <w:szCs w:val="20"/>
              </w:rPr>
            </w:pPr>
          </w:p>
        </w:tc>
        <w:tc>
          <w:tcPr>
            <w:tcW w:w="0" w:type="auto"/>
            <w:shd w:val="clear" w:color="auto" w:fill="auto"/>
            <w:vAlign w:val="center"/>
          </w:tcPr>
          <w:p w14:paraId="54E91946" w14:textId="77777777" w:rsidR="00F427A3" w:rsidRDefault="00F427A3">
            <w:pPr>
              <w:rPr>
                <w:rFonts w:ascii="Times New Roman" w:hAnsi="Times New Roman"/>
                <w:sz w:val="20"/>
                <w:szCs w:val="20"/>
              </w:rPr>
            </w:pPr>
          </w:p>
        </w:tc>
      </w:tr>
      <w:tr w:rsidR="00F427A3" w14:paraId="54E9194A" w14:textId="77777777">
        <w:trPr>
          <w:tblCellSpacing w:w="0" w:type="dxa"/>
        </w:trPr>
        <w:tc>
          <w:tcPr>
            <w:tcW w:w="0" w:type="auto"/>
            <w:shd w:val="clear" w:color="auto" w:fill="auto"/>
          </w:tcPr>
          <w:p w14:paraId="54E91948"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49"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investor sentiment with respect to our competitors, our business partners, and our industry in general;</w:t>
            </w:r>
          </w:p>
        </w:tc>
      </w:tr>
    </w:tbl>
    <w:p w14:paraId="54E9194B"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94E" w14:textId="77777777">
        <w:trPr>
          <w:tblCellSpacing w:w="0" w:type="dxa"/>
        </w:trPr>
        <w:tc>
          <w:tcPr>
            <w:tcW w:w="1440" w:type="dxa"/>
            <w:shd w:val="clear" w:color="auto" w:fill="auto"/>
            <w:vAlign w:val="center"/>
          </w:tcPr>
          <w:p w14:paraId="54E9194C" w14:textId="77777777" w:rsidR="00F427A3" w:rsidRDefault="00F427A3">
            <w:pPr>
              <w:rPr>
                <w:rFonts w:ascii="Times New Roman" w:hAnsi="Times New Roman"/>
                <w:sz w:val="20"/>
                <w:szCs w:val="20"/>
              </w:rPr>
            </w:pPr>
          </w:p>
        </w:tc>
        <w:tc>
          <w:tcPr>
            <w:tcW w:w="0" w:type="auto"/>
            <w:shd w:val="clear" w:color="auto" w:fill="auto"/>
            <w:vAlign w:val="center"/>
          </w:tcPr>
          <w:p w14:paraId="54E9194D" w14:textId="77777777" w:rsidR="00F427A3" w:rsidRDefault="00F427A3">
            <w:pPr>
              <w:rPr>
                <w:rFonts w:ascii="Times New Roman" w:hAnsi="Times New Roman"/>
                <w:sz w:val="20"/>
                <w:szCs w:val="20"/>
              </w:rPr>
            </w:pPr>
          </w:p>
        </w:tc>
      </w:tr>
      <w:tr w:rsidR="00F427A3" w14:paraId="54E91951" w14:textId="77777777">
        <w:trPr>
          <w:tblCellSpacing w:w="0" w:type="dxa"/>
        </w:trPr>
        <w:tc>
          <w:tcPr>
            <w:tcW w:w="0" w:type="auto"/>
            <w:shd w:val="clear" w:color="auto" w:fill="auto"/>
          </w:tcPr>
          <w:p w14:paraId="54E9194F"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50"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announcements by us or our competitors of significant products or features, technical innovations, acquisitions, strategic </w:t>
            </w:r>
            <w:r>
              <w:rPr>
                <w:rFonts w:ascii="Times New Roman" w:eastAsia="宋体" w:hAnsi="Times New Roman"/>
                <w:sz w:val="20"/>
                <w:szCs w:val="20"/>
              </w:rPr>
              <w:t>partnerships, joint ventures, or capital commitments;</w:t>
            </w:r>
          </w:p>
        </w:tc>
      </w:tr>
    </w:tbl>
    <w:p w14:paraId="54E91952"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955" w14:textId="77777777">
        <w:trPr>
          <w:tblCellSpacing w:w="0" w:type="dxa"/>
        </w:trPr>
        <w:tc>
          <w:tcPr>
            <w:tcW w:w="1440" w:type="dxa"/>
            <w:shd w:val="clear" w:color="auto" w:fill="auto"/>
            <w:vAlign w:val="center"/>
          </w:tcPr>
          <w:p w14:paraId="54E91953" w14:textId="77777777" w:rsidR="00F427A3" w:rsidRDefault="00F427A3">
            <w:pPr>
              <w:rPr>
                <w:rFonts w:ascii="Times New Roman" w:hAnsi="Times New Roman"/>
                <w:sz w:val="20"/>
                <w:szCs w:val="20"/>
              </w:rPr>
            </w:pPr>
          </w:p>
        </w:tc>
        <w:tc>
          <w:tcPr>
            <w:tcW w:w="0" w:type="auto"/>
            <w:shd w:val="clear" w:color="auto" w:fill="auto"/>
            <w:vAlign w:val="center"/>
          </w:tcPr>
          <w:p w14:paraId="54E91954" w14:textId="77777777" w:rsidR="00F427A3" w:rsidRDefault="00F427A3">
            <w:pPr>
              <w:rPr>
                <w:rFonts w:ascii="Times New Roman" w:hAnsi="Times New Roman"/>
                <w:sz w:val="20"/>
                <w:szCs w:val="20"/>
              </w:rPr>
            </w:pPr>
          </w:p>
        </w:tc>
      </w:tr>
      <w:tr w:rsidR="00F427A3" w14:paraId="54E91958" w14:textId="77777777">
        <w:trPr>
          <w:tblCellSpacing w:w="0" w:type="dxa"/>
        </w:trPr>
        <w:tc>
          <w:tcPr>
            <w:tcW w:w="0" w:type="auto"/>
            <w:shd w:val="clear" w:color="auto" w:fill="auto"/>
          </w:tcPr>
          <w:p w14:paraId="54E91956"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57"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announcements by us or estimates by third parties of actual or anticipated changes in the size of our user base, the level of user engagement, or the effectiveness of our ad products;</w:t>
            </w:r>
          </w:p>
        </w:tc>
      </w:tr>
    </w:tbl>
    <w:p w14:paraId="54E91959"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95C" w14:textId="77777777">
        <w:trPr>
          <w:tblCellSpacing w:w="0" w:type="dxa"/>
        </w:trPr>
        <w:tc>
          <w:tcPr>
            <w:tcW w:w="1440" w:type="dxa"/>
            <w:shd w:val="clear" w:color="auto" w:fill="auto"/>
            <w:vAlign w:val="center"/>
          </w:tcPr>
          <w:p w14:paraId="54E9195A" w14:textId="77777777" w:rsidR="00F427A3" w:rsidRDefault="00F427A3">
            <w:pPr>
              <w:rPr>
                <w:rFonts w:ascii="Times New Roman" w:hAnsi="Times New Roman"/>
                <w:sz w:val="20"/>
                <w:szCs w:val="20"/>
              </w:rPr>
            </w:pPr>
          </w:p>
        </w:tc>
        <w:tc>
          <w:tcPr>
            <w:tcW w:w="0" w:type="auto"/>
            <w:shd w:val="clear" w:color="auto" w:fill="auto"/>
            <w:vAlign w:val="center"/>
          </w:tcPr>
          <w:p w14:paraId="54E9195B" w14:textId="77777777" w:rsidR="00F427A3" w:rsidRDefault="00F427A3">
            <w:pPr>
              <w:rPr>
                <w:rFonts w:ascii="Times New Roman" w:hAnsi="Times New Roman"/>
                <w:sz w:val="20"/>
                <w:szCs w:val="20"/>
              </w:rPr>
            </w:pPr>
          </w:p>
        </w:tc>
      </w:tr>
      <w:tr w:rsidR="00F427A3" w14:paraId="54E9195F" w14:textId="77777777">
        <w:trPr>
          <w:tblCellSpacing w:w="0" w:type="dxa"/>
        </w:trPr>
        <w:tc>
          <w:tcPr>
            <w:tcW w:w="0" w:type="auto"/>
            <w:shd w:val="clear" w:color="auto" w:fill="auto"/>
          </w:tcPr>
          <w:p w14:paraId="54E9195D"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5E"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changes in operating performance and stock market valuations of technology companies in our industry, including our developers and competitors;</w:t>
            </w:r>
          </w:p>
        </w:tc>
      </w:tr>
    </w:tbl>
    <w:p w14:paraId="54E91960"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963" w14:textId="77777777">
        <w:trPr>
          <w:tblCellSpacing w:w="0" w:type="dxa"/>
        </w:trPr>
        <w:tc>
          <w:tcPr>
            <w:tcW w:w="1440" w:type="dxa"/>
            <w:shd w:val="clear" w:color="auto" w:fill="auto"/>
            <w:vAlign w:val="center"/>
          </w:tcPr>
          <w:p w14:paraId="54E91961" w14:textId="77777777" w:rsidR="00F427A3" w:rsidRDefault="00F427A3">
            <w:pPr>
              <w:rPr>
                <w:rFonts w:ascii="Times New Roman" w:hAnsi="Times New Roman"/>
                <w:sz w:val="20"/>
                <w:szCs w:val="20"/>
              </w:rPr>
            </w:pPr>
          </w:p>
        </w:tc>
        <w:tc>
          <w:tcPr>
            <w:tcW w:w="0" w:type="auto"/>
            <w:shd w:val="clear" w:color="auto" w:fill="auto"/>
            <w:vAlign w:val="center"/>
          </w:tcPr>
          <w:p w14:paraId="54E91962" w14:textId="77777777" w:rsidR="00F427A3" w:rsidRDefault="00F427A3">
            <w:pPr>
              <w:rPr>
                <w:rFonts w:ascii="Times New Roman" w:hAnsi="Times New Roman"/>
                <w:sz w:val="20"/>
                <w:szCs w:val="20"/>
              </w:rPr>
            </w:pPr>
          </w:p>
        </w:tc>
      </w:tr>
      <w:tr w:rsidR="00F427A3" w14:paraId="54E91966" w14:textId="77777777">
        <w:trPr>
          <w:tblCellSpacing w:w="0" w:type="dxa"/>
        </w:trPr>
        <w:tc>
          <w:tcPr>
            <w:tcW w:w="0" w:type="auto"/>
            <w:shd w:val="clear" w:color="auto" w:fill="auto"/>
          </w:tcPr>
          <w:p w14:paraId="54E91964"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65"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price and volume fluctuations in the overall stock market, including as a result of trends in the economy</w:t>
            </w:r>
            <w:r>
              <w:rPr>
                <w:rFonts w:ascii="Times New Roman" w:eastAsia="宋体" w:hAnsi="Times New Roman"/>
                <w:sz w:val="20"/>
                <w:szCs w:val="20"/>
              </w:rPr>
              <w:t xml:space="preserve"> as a whole;</w:t>
            </w:r>
          </w:p>
        </w:tc>
      </w:tr>
    </w:tbl>
    <w:p w14:paraId="54E91967"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96A" w14:textId="77777777">
        <w:trPr>
          <w:tblCellSpacing w:w="0" w:type="dxa"/>
        </w:trPr>
        <w:tc>
          <w:tcPr>
            <w:tcW w:w="1440" w:type="dxa"/>
            <w:shd w:val="clear" w:color="auto" w:fill="auto"/>
            <w:vAlign w:val="center"/>
          </w:tcPr>
          <w:p w14:paraId="54E91968" w14:textId="77777777" w:rsidR="00F427A3" w:rsidRDefault="00F427A3">
            <w:pPr>
              <w:rPr>
                <w:rFonts w:ascii="Times New Roman" w:hAnsi="Times New Roman"/>
                <w:sz w:val="20"/>
                <w:szCs w:val="20"/>
              </w:rPr>
            </w:pPr>
          </w:p>
        </w:tc>
        <w:tc>
          <w:tcPr>
            <w:tcW w:w="0" w:type="auto"/>
            <w:shd w:val="clear" w:color="auto" w:fill="auto"/>
            <w:vAlign w:val="center"/>
          </w:tcPr>
          <w:p w14:paraId="54E91969" w14:textId="77777777" w:rsidR="00F427A3" w:rsidRDefault="00F427A3">
            <w:pPr>
              <w:rPr>
                <w:rFonts w:ascii="Times New Roman" w:hAnsi="Times New Roman"/>
                <w:sz w:val="20"/>
                <w:szCs w:val="20"/>
              </w:rPr>
            </w:pPr>
          </w:p>
        </w:tc>
      </w:tr>
      <w:tr w:rsidR="00F427A3" w14:paraId="54E9196D" w14:textId="77777777">
        <w:trPr>
          <w:tblCellSpacing w:w="0" w:type="dxa"/>
        </w:trPr>
        <w:tc>
          <w:tcPr>
            <w:tcW w:w="0" w:type="auto"/>
            <w:shd w:val="clear" w:color="auto" w:fill="auto"/>
          </w:tcPr>
          <w:p w14:paraId="54E9196B"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6C"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the inclusion, exclusion, or deletion of our stock from any trading indices, such as the S&amp;P 500 Index;</w:t>
            </w:r>
          </w:p>
        </w:tc>
      </w:tr>
    </w:tbl>
    <w:p w14:paraId="54E9196E"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4726"/>
      </w:tblGrid>
      <w:tr w:rsidR="00F427A3" w14:paraId="54E91971" w14:textId="77777777">
        <w:trPr>
          <w:tblCellSpacing w:w="0" w:type="dxa"/>
        </w:trPr>
        <w:tc>
          <w:tcPr>
            <w:tcW w:w="1440" w:type="dxa"/>
            <w:shd w:val="clear" w:color="auto" w:fill="auto"/>
            <w:vAlign w:val="center"/>
          </w:tcPr>
          <w:p w14:paraId="54E9196F" w14:textId="77777777" w:rsidR="00F427A3" w:rsidRDefault="00F427A3">
            <w:pPr>
              <w:rPr>
                <w:rFonts w:ascii="Times New Roman" w:hAnsi="Times New Roman"/>
                <w:sz w:val="20"/>
                <w:szCs w:val="20"/>
              </w:rPr>
            </w:pPr>
          </w:p>
        </w:tc>
        <w:tc>
          <w:tcPr>
            <w:tcW w:w="0" w:type="auto"/>
            <w:shd w:val="clear" w:color="auto" w:fill="auto"/>
            <w:vAlign w:val="center"/>
          </w:tcPr>
          <w:p w14:paraId="54E91970" w14:textId="77777777" w:rsidR="00F427A3" w:rsidRDefault="00F427A3">
            <w:pPr>
              <w:rPr>
                <w:rFonts w:ascii="Times New Roman" w:hAnsi="Times New Roman"/>
                <w:sz w:val="20"/>
                <w:szCs w:val="20"/>
              </w:rPr>
            </w:pPr>
          </w:p>
        </w:tc>
      </w:tr>
      <w:tr w:rsidR="00F427A3" w14:paraId="54E91974" w14:textId="77777777">
        <w:trPr>
          <w:tblCellSpacing w:w="0" w:type="dxa"/>
        </w:trPr>
        <w:tc>
          <w:tcPr>
            <w:tcW w:w="0" w:type="auto"/>
            <w:shd w:val="clear" w:color="auto" w:fill="auto"/>
          </w:tcPr>
          <w:p w14:paraId="54E91972"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73"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media coverage of our business and financial performance;</w:t>
            </w:r>
          </w:p>
        </w:tc>
      </w:tr>
    </w:tbl>
    <w:p w14:paraId="54E91975"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105"/>
      </w:tblGrid>
      <w:tr w:rsidR="00F427A3" w14:paraId="54E91978" w14:textId="77777777">
        <w:trPr>
          <w:tblCellSpacing w:w="0" w:type="dxa"/>
        </w:trPr>
        <w:tc>
          <w:tcPr>
            <w:tcW w:w="1440" w:type="dxa"/>
            <w:shd w:val="clear" w:color="auto" w:fill="auto"/>
            <w:vAlign w:val="center"/>
          </w:tcPr>
          <w:p w14:paraId="54E91976" w14:textId="77777777" w:rsidR="00F427A3" w:rsidRDefault="00F427A3">
            <w:pPr>
              <w:rPr>
                <w:rFonts w:ascii="Times New Roman" w:hAnsi="Times New Roman"/>
                <w:sz w:val="20"/>
                <w:szCs w:val="20"/>
              </w:rPr>
            </w:pPr>
          </w:p>
        </w:tc>
        <w:tc>
          <w:tcPr>
            <w:tcW w:w="0" w:type="auto"/>
            <w:shd w:val="clear" w:color="auto" w:fill="auto"/>
            <w:vAlign w:val="center"/>
          </w:tcPr>
          <w:p w14:paraId="54E91977" w14:textId="77777777" w:rsidR="00F427A3" w:rsidRDefault="00F427A3">
            <w:pPr>
              <w:rPr>
                <w:rFonts w:ascii="Times New Roman" w:hAnsi="Times New Roman"/>
                <w:sz w:val="20"/>
                <w:szCs w:val="20"/>
              </w:rPr>
            </w:pPr>
          </w:p>
        </w:tc>
      </w:tr>
      <w:tr w:rsidR="00F427A3" w14:paraId="54E9197B" w14:textId="77777777">
        <w:trPr>
          <w:tblCellSpacing w:w="0" w:type="dxa"/>
        </w:trPr>
        <w:tc>
          <w:tcPr>
            <w:tcW w:w="0" w:type="auto"/>
            <w:shd w:val="clear" w:color="auto" w:fill="auto"/>
          </w:tcPr>
          <w:p w14:paraId="54E91979"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7A"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lawsuits threatened or filed against us, or </w:t>
            </w:r>
            <w:r>
              <w:rPr>
                <w:rFonts w:ascii="Times New Roman" w:eastAsia="宋体" w:hAnsi="Times New Roman"/>
                <w:sz w:val="20"/>
                <w:szCs w:val="20"/>
              </w:rPr>
              <w:t>developments in pending lawsuits;</w:t>
            </w:r>
          </w:p>
        </w:tc>
      </w:tr>
    </w:tbl>
    <w:p w14:paraId="54E9197C"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97F" w14:textId="77777777">
        <w:trPr>
          <w:tblCellSpacing w:w="0" w:type="dxa"/>
        </w:trPr>
        <w:tc>
          <w:tcPr>
            <w:tcW w:w="1440" w:type="dxa"/>
            <w:shd w:val="clear" w:color="auto" w:fill="auto"/>
            <w:vAlign w:val="center"/>
          </w:tcPr>
          <w:p w14:paraId="54E9197D" w14:textId="77777777" w:rsidR="00F427A3" w:rsidRDefault="00F427A3">
            <w:pPr>
              <w:rPr>
                <w:rFonts w:ascii="Times New Roman" w:hAnsi="Times New Roman"/>
                <w:sz w:val="20"/>
                <w:szCs w:val="20"/>
              </w:rPr>
            </w:pPr>
          </w:p>
        </w:tc>
        <w:tc>
          <w:tcPr>
            <w:tcW w:w="0" w:type="auto"/>
            <w:shd w:val="clear" w:color="auto" w:fill="auto"/>
            <w:vAlign w:val="center"/>
          </w:tcPr>
          <w:p w14:paraId="54E9197E" w14:textId="77777777" w:rsidR="00F427A3" w:rsidRDefault="00F427A3">
            <w:pPr>
              <w:rPr>
                <w:rFonts w:ascii="Times New Roman" w:hAnsi="Times New Roman"/>
                <w:sz w:val="20"/>
                <w:szCs w:val="20"/>
              </w:rPr>
            </w:pPr>
          </w:p>
        </w:tc>
      </w:tr>
      <w:tr w:rsidR="00F427A3" w14:paraId="54E91982" w14:textId="77777777">
        <w:trPr>
          <w:tblCellSpacing w:w="0" w:type="dxa"/>
        </w:trPr>
        <w:tc>
          <w:tcPr>
            <w:tcW w:w="0" w:type="auto"/>
            <w:shd w:val="clear" w:color="auto" w:fill="auto"/>
          </w:tcPr>
          <w:p w14:paraId="54E91980"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81"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developments in anticipated or new legislation or regulatory actions, including interim or final rulings by tax, judicial, or regulatory bodies;</w:t>
            </w:r>
          </w:p>
        </w:tc>
      </w:tr>
    </w:tbl>
    <w:p w14:paraId="54E91983"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4249"/>
      </w:tblGrid>
      <w:tr w:rsidR="00F427A3" w14:paraId="54E91986" w14:textId="77777777">
        <w:trPr>
          <w:tblCellSpacing w:w="0" w:type="dxa"/>
        </w:trPr>
        <w:tc>
          <w:tcPr>
            <w:tcW w:w="1440" w:type="dxa"/>
            <w:shd w:val="clear" w:color="auto" w:fill="auto"/>
            <w:vAlign w:val="center"/>
          </w:tcPr>
          <w:p w14:paraId="54E91984" w14:textId="77777777" w:rsidR="00F427A3" w:rsidRDefault="00F427A3">
            <w:pPr>
              <w:rPr>
                <w:rFonts w:ascii="Times New Roman" w:hAnsi="Times New Roman"/>
                <w:sz w:val="20"/>
                <w:szCs w:val="20"/>
              </w:rPr>
            </w:pPr>
          </w:p>
        </w:tc>
        <w:tc>
          <w:tcPr>
            <w:tcW w:w="0" w:type="auto"/>
            <w:shd w:val="clear" w:color="auto" w:fill="auto"/>
            <w:vAlign w:val="center"/>
          </w:tcPr>
          <w:p w14:paraId="54E91985" w14:textId="77777777" w:rsidR="00F427A3" w:rsidRDefault="00F427A3">
            <w:pPr>
              <w:rPr>
                <w:rFonts w:ascii="Times New Roman" w:hAnsi="Times New Roman"/>
                <w:sz w:val="20"/>
                <w:szCs w:val="20"/>
              </w:rPr>
            </w:pPr>
          </w:p>
        </w:tc>
      </w:tr>
      <w:tr w:rsidR="00F427A3" w14:paraId="54E91989" w14:textId="77777777">
        <w:trPr>
          <w:tblCellSpacing w:w="0" w:type="dxa"/>
        </w:trPr>
        <w:tc>
          <w:tcPr>
            <w:tcW w:w="0" w:type="auto"/>
            <w:shd w:val="clear" w:color="auto" w:fill="auto"/>
          </w:tcPr>
          <w:p w14:paraId="54E91987"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88"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trading activity in our share repurchase program; and</w:t>
            </w:r>
          </w:p>
        </w:tc>
      </w:tr>
    </w:tbl>
    <w:p w14:paraId="54E9198A"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98D" w14:textId="77777777">
        <w:trPr>
          <w:tblCellSpacing w:w="0" w:type="dxa"/>
        </w:trPr>
        <w:tc>
          <w:tcPr>
            <w:tcW w:w="1440" w:type="dxa"/>
            <w:shd w:val="clear" w:color="auto" w:fill="auto"/>
            <w:vAlign w:val="center"/>
          </w:tcPr>
          <w:p w14:paraId="54E9198B" w14:textId="77777777" w:rsidR="00F427A3" w:rsidRDefault="00F427A3">
            <w:pPr>
              <w:rPr>
                <w:rFonts w:ascii="Times New Roman" w:hAnsi="Times New Roman"/>
                <w:sz w:val="20"/>
                <w:szCs w:val="20"/>
              </w:rPr>
            </w:pPr>
          </w:p>
        </w:tc>
        <w:tc>
          <w:tcPr>
            <w:tcW w:w="0" w:type="auto"/>
            <w:shd w:val="clear" w:color="auto" w:fill="auto"/>
            <w:vAlign w:val="center"/>
          </w:tcPr>
          <w:p w14:paraId="54E9198C" w14:textId="77777777" w:rsidR="00F427A3" w:rsidRDefault="00F427A3">
            <w:pPr>
              <w:rPr>
                <w:rFonts w:ascii="Times New Roman" w:hAnsi="Times New Roman"/>
                <w:sz w:val="20"/>
                <w:szCs w:val="20"/>
              </w:rPr>
            </w:pPr>
          </w:p>
        </w:tc>
      </w:tr>
      <w:tr w:rsidR="00F427A3" w14:paraId="54E91990" w14:textId="77777777">
        <w:trPr>
          <w:tblCellSpacing w:w="0" w:type="dxa"/>
        </w:trPr>
        <w:tc>
          <w:tcPr>
            <w:tcW w:w="0" w:type="auto"/>
            <w:shd w:val="clear" w:color="auto" w:fill="auto"/>
          </w:tcPr>
          <w:p w14:paraId="54E9198E"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8F"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other events or factors, including those resulting from war, incidents of terrorism, pandemics, and other disruptive external events, or responses to these events.</w:t>
            </w:r>
          </w:p>
        </w:tc>
      </w:tr>
    </w:tbl>
    <w:p w14:paraId="54E91991"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In addition, the stock markets have experienced extreme price and volume fluctuations that </w:t>
      </w:r>
      <w:r>
        <w:rPr>
          <w:rFonts w:ascii="Times New Roman" w:eastAsia="宋体" w:hAnsi="Times New Roman"/>
          <w:sz w:val="20"/>
          <w:szCs w:val="20"/>
        </w:rPr>
        <w:t>have affected and continue to affect the market prices of equity securities of many technology companies. Stock prices of many technology companies have fluctuated in a manner unrelated or disproportionate to the operating performance of those companies. W</w:t>
      </w:r>
      <w:r>
        <w:rPr>
          <w:rFonts w:ascii="Times New Roman" w:eastAsia="宋体" w:hAnsi="Times New Roman"/>
          <w:sz w:val="20"/>
          <w:szCs w:val="20"/>
        </w:rPr>
        <w:t>e are currently subject to securities litigation in connection with our platform and user data practices and the misuse of certain data by a developer that shared such data with third parties in violation of our terms and policies, as well as the disclosur</w:t>
      </w:r>
      <w:r>
        <w:rPr>
          <w:rFonts w:ascii="Times New Roman" w:eastAsia="宋体" w:hAnsi="Times New Roman"/>
          <w:sz w:val="20"/>
          <w:szCs w:val="20"/>
        </w:rPr>
        <w:t xml:space="preserve">e of our earnings results for the second quarter of 2018. We may experience more such litigation following future periods of volatility. Any securities litigation could subject us to substantial costs, divert resources and the attention of management from </w:t>
      </w:r>
      <w:r>
        <w:rPr>
          <w:rFonts w:ascii="Times New Roman" w:eastAsia="宋体" w:hAnsi="Times New Roman"/>
          <w:sz w:val="20"/>
          <w:szCs w:val="20"/>
        </w:rPr>
        <w:t>our business, and adversely affect our business.</w:t>
      </w:r>
    </w:p>
    <w:p w14:paraId="54E91992"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We do not intend to pay cash dividends for the foreseeable future.</w:t>
      </w:r>
    </w:p>
    <w:p w14:paraId="54E91993"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We have never declared or paid cash dividends on our capital stock. We currently intend to retain any future earnings to </w:t>
      </w:r>
    </w:p>
    <w:p w14:paraId="54E91994" w14:textId="77777777" w:rsidR="00F427A3" w:rsidRDefault="00F427A3">
      <w:pPr>
        <w:rPr>
          <w:rFonts w:ascii="Times New Roman" w:hAnsi="Times New Roman"/>
          <w:sz w:val="20"/>
          <w:szCs w:val="20"/>
        </w:rPr>
      </w:pPr>
    </w:p>
    <w:p w14:paraId="54E91995"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81</w:t>
      </w:r>
    </w:p>
    <w:p w14:paraId="54E91996" w14:textId="77777777" w:rsidR="00F427A3" w:rsidRDefault="0044221F">
      <w:r>
        <w:rPr>
          <w:rFonts w:ascii="Times New Roman" w:hAnsi="Times New Roman"/>
          <w:sz w:val="20"/>
          <w:szCs w:val="20"/>
        </w:rPr>
        <w:pict w14:anchorId="54E91C81">
          <v:rect id="_x0000_i1105" style="width:415.3pt;height:1.5pt" o:hralign="center" o:hrstd="t" o:hr="t" fillcolor="#a0a0a0" stroked="f"/>
        </w:pict>
      </w:r>
    </w:p>
    <w:p w14:paraId="54E91997" w14:textId="77777777" w:rsidR="00F427A3" w:rsidRDefault="0044221F">
      <w:pPr>
        <w:spacing w:line="288" w:lineRule="auto"/>
        <w:rPr>
          <w:rFonts w:ascii="Times New Roman" w:hAnsi="Times New Roman"/>
          <w:sz w:val="20"/>
          <w:szCs w:val="20"/>
        </w:rPr>
      </w:pPr>
      <w:hyperlink r:id="rId122" w:anchor="s348EA962CF6D59B599D9921AFA89C381" w:history="1">
        <w:r>
          <w:rPr>
            <w:rStyle w:val="a5"/>
            <w:rFonts w:ascii="Times New Roman" w:eastAsia="宋体" w:hAnsi="Times New Roman"/>
            <w:sz w:val="20"/>
            <w:szCs w:val="20"/>
          </w:rPr>
          <w:t>Table of Contents</w:t>
        </w:r>
      </w:hyperlink>
    </w:p>
    <w:p w14:paraId="54E91998" w14:textId="77777777" w:rsidR="00F427A3" w:rsidRDefault="00F427A3">
      <w:pPr>
        <w:rPr>
          <w:rFonts w:ascii="Times New Roman" w:hAnsi="Times New Roman"/>
          <w:sz w:val="20"/>
          <w:szCs w:val="20"/>
        </w:rPr>
      </w:pPr>
    </w:p>
    <w:p w14:paraId="54E91999" w14:textId="77777777" w:rsidR="00F427A3" w:rsidRDefault="0044221F">
      <w:pPr>
        <w:spacing w:line="288" w:lineRule="auto"/>
        <w:jc w:val="both"/>
        <w:rPr>
          <w:rFonts w:ascii="Times New Roman" w:hAnsi="Times New Roman"/>
          <w:sz w:val="20"/>
          <w:szCs w:val="20"/>
        </w:rPr>
      </w:pPr>
      <w:r>
        <w:rPr>
          <w:rFonts w:ascii="Times New Roman" w:eastAsia="宋体" w:hAnsi="Times New Roman"/>
          <w:sz w:val="20"/>
          <w:szCs w:val="20"/>
        </w:rPr>
        <w:t>finance the operation and expansion of our business and fund our share repurchase pr</w:t>
      </w:r>
      <w:r>
        <w:rPr>
          <w:rFonts w:ascii="Times New Roman" w:eastAsia="宋体" w:hAnsi="Times New Roman"/>
          <w:sz w:val="20"/>
          <w:szCs w:val="20"/>
        </w:rPr>
        <w:t>ogram, and we do not expect to declare or pay any cash dividends in the foreseeable future. As a result, you may only receive a return on your investment in our Class A common stock if the trading price of your shares increases.</w:t>
      </w:r>
    </w:p>
    <w:p w14:paraId="54E9199A"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The dual class structure of</w:t>
      </w:r>
      <w:r>
        <w:rPr>
          <w:rFonts w:ascii="Times New Roman" w:eastAsia="宋体" w:hAnsi="Times New Roman"/>
          <w:b/>
          <w:bCs/>
          <w:i/>
          <w:iCs/>
          <w:sz w:val="20"/>
          <w:szCs w:val="20"/>
        </w:rPr>
        <w:t xml:space="preserve"> our common stock and a voting agreement between certain stockholders have the effect of concentrating voting control with our CEO and certain other holders of our Class B common stock; this will limit or preclude your ability to influence corporate matter</w:t>
      </w:r>
      <w:r>
        <w:rPr>
          <w:rFonts w:ascii="Times New Roman" w:eastAsia="宋体" w:hAnsi="Times New Roman"/>
          <w:b/>
          <w:bCs/>
          <w:i/>
          <w:iCs/>
          <w:sz w:val="20"/>
          <w:szCs w:val="20"/>
        </w:rPr>
        <w:t>s.</w:t>
      </w:r>
    </w:p>
    <w:p w14:paraId="54E9199B"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Our Class B common stock has ten votes per share and our Class A common stock has one vote per share. Stockholders who hold shares of Class B common stock, including certain of our executive officers, employees, and directors and their affiliates, toget</w:t>
      </w:r>
      <w:r>
        <w:rPr>
          <w:rFonts w:ascii="Times New Roman" w:eastAsia="宋体" w:hAnsi="Times New Roman"/>
          <w:sz w:val="20"/>
          <w:szCs w:val="20"/>
        </w:rPr>
        <w:t>her hold a substantial majority of the voting power of our outstanding capital stock. Because of the ten-to-one voting ratio between our Class B and Class A common stock, the holders of our Class B common stock collectively control a majority of the combin</w:t>
      </w:r>
      <w:r>
        <w:rPr>
          <w:rFonts w:ascii="Times New Roman" w:eastAsia="宋体" w:hAnsi="Times New Roman"/>
          <w:sz w:val="20"/>
          <w:szCs w:val="20"/>
        </w:rPr>
        <w:t>ed voting power of our common stock and therefore are able to control all matters submitted to our stockholders for approval so long as the shares of Class B common stock represent at least 9.1% of all outstanding shares of our Class A and Class B common s</w:t>
      </w:r>
      <w:r>
        <w:rPr>
          <w:rFonts w:ascii="Times New Roman" w:eastAsia="宋体" w:hAnsi="Times New Roman"/>
          <w:sz w:val="20"/>
          <w:szCs w:val="20"/>
        </w:rPr>
        <w:t>tock. This concentrated control will limit or preclude your ability to influence corporate matters for the foreseeable future.</w:t>
      </w:r>
    </w:p>
    <w:p w14:paraId="54E9199C"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Transfers by holders of Class B common stock will generally result in those shares converting to Class A common stock, subject to</w:t>
      </w:r>
      <w:r>
        <w:rPr>
          <w:rFonts w:ascii="Times New Roman" w:eastAsia="宋体" w:hAnsi="Times New Roman"/>
          <w:sz w:val="20"/>
          <w:szCs w:val="20"/>
        </w:rPr>
        <w:t xml:space="preserve"> limited exceptions, such as certain transfers effected for estate planning or charitable purposes. The conversion of Class B common stock to Class A common stock will have the effect, over time, of increasing the relative voting power of those holders of </w:t>
      </w:r>
      <w:r>
        <w:rPr>
          <w:rFonts w:ascii="Times New Roman" w:eastAsia="宋体" w:hAnsi="Times New Roman"/>
          <w:sz w:val="20"/>
          <w:szCs w:val="20"/>
        </w:rPr>
        <w:t xml:space="preserve">Class B common stock who retain their shares in the long term. If, for example, Mr. Zuckerberg retains a significant portion of his holdings of Class B common stock for an extended period of time, he could, in the future, continue to control a majority of </w:t>
      </w:r>
      <w:r>
        <w:rPr>
          <w:rFonts w:ascii="Times New Roman" w:eastAsia="宋体" w:hAnsi="Times New Roman"/>
          <w:sz w:val="20"/>
          <w:szCs w:val="20"/>
        </w:rPr>
        <w:t>the combined voting power of our outstanding capital stock.</w:t>
      </w:r>
    </w:p>
    <w:p w14:paraId="54E9199D"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Our status as a "controlled company" could make our Class A common stock less attractive to some investors or otherwise harm our stock price.</w:t>
      </w:r>
    </w:p>
    <w:p w14:paraId="54E9199E"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Because we qualify as a "controlled company" </w:t>
      </w:r>
      <w:r>
        <w:rPr>
          <w:rFonts w:ascii="Times New Roman" w:eastAsia="宋体" w:hAnsi="Times New Roman"/>
          <w:sz w:val="20"/>
          <w:szCs w:val="20"/>
        </w:rPr>
        <w:t xml:space="preserve">under the corporate governance rules for Nasdaq-listed companies, we are not required to have a majority of our board of directors be independent, nor are we required to have a compensation committee or an independent nominating function. In the future we </w:t>
      </w:r>
      <w:r>
        <w:rPr>
          <w:rFonts w:ascii="Times New Roman" w:eastAsia="宋体" w:hAnsi="Times New Roman"/>
          <w:sz w:val="20"/>
          <w:szCs w:val="20"/>
        </w:rPr>
        <w:t>could elect not to have a majority of our board of directors be independent or not to have a compensation committee or an independent nominating function. Accordingly, should the interests of our controlling stockholder differ from those of other stockhold</w:t>
      </w:r>
      <w:r>
        <w:rPr>
          <w:rFonts w:ascii="Times New Roman" w:eastAsia="宋体" w:hAnsi="Times New Roman"/>
          <w:sz w:val="20"/>
          <w:szCs w:val="20"/>
        </w:rPr>
        <w:t>ers, the other stockholders may not have the same protections afforded to stockholders of companies that are subject to all of the corporate governance rules for Nasdaq-listed companies. Our status as a controlled company could make our Class A common stoc</w:t>
      </w:r>
      <w:r>
        <w:rPr>
          <w:rFonts w:ascii="Times New Roman" w:eastAsia="宋体" w:hAnsi="Times New Roman"/>
          <w:sz w:val="20"/>
          <w:szCs w:val="20"/>
        </w:rPr>
        <w:t>k less attractive to some investors or otherwise harm our stock price.</w:t>
      </w:r>
    </w:p>
    <w:p w14:paraId="54E9199F" w14:textId="77777777" w:rsidR="00F427A3" w:rsidRDefault="0044221F">
      <w:pPr>
        <w:spacing w:line="288" w:lineRule="auto"/>
        <w:jc w:val="both"/>
        <w:rPr>
          <w:rFonts w:ascii="Times New Roman" w:hAnsi="Times New Roman"/>
          <w:sz w:val="20"/>
          <w:szCs w:val="20"/>
        </w:rPr>
      </w:pPr>
      <w:r>
        <w:rPr>
          <w:rFonts w:ascii="Times New Roman" w:eastAsia="宋体" w:hAnsi="Times New Roman"/>
          <w:b/>
          <w:bCs/>
          <w:i/>
          <w:iCs/>
          <w:sz w:val="20"/>
          <w:szCs w:val="20"/>
        </w:rPr>
        <w:t>Delaware law and provisions in our restated certificate of incorporation and bylaws could make a merger, tender offer, or proxy contest difficult, thereby depressing the trading price o</w:t>
      </w:r>
      <w:r>
        <w:rPr>
          <w:rFonts w:ascii="Times New Roman" w:eastAsia="宋体" w:hAnsi="Times New Roman"/>
          <w:b/>
          <w:bCs/>
          <w:i/>
          <w:iCs/>
          <w:sz w:val="20"/>
          <w:szCs w:val="20"/>
        </w:rPr>
        <w:t>f our Class A common stock.</w:t>
      </w:r>
    </w:p>
    <w:p w14:paraId="54E919A0" w14:textId="77777777" w:rsidR="00F427A3" w:rsidRDefault="0044221F">
      <w:pPr>
        <w:spacing w:line="288" w:lineRule="auto"/>
        <w:ind w:firstLine="720"/>
        <w:jc w:val="both"/>
        <w:rPr>
          <w:rFonts w:ascii="Times New Roman" w:hAnsi="Times New Roman"/>
          <w:sz w:val="20"/>
          <w:szCs w:val="20"/>
        </w:rPr>
      </w:pPr>
      <w:r>
        <w:rPr>
          <w:rFonts w:ascii="Times New Roman" w:eastAsia="宋体" w:hAnsi="Times New Roman"/>
          <w:sz w:val="20"/>
          <w:szCs w:val="20"/>
        </w:rPr>
        <w:t>Our status as a Delaware corporation and the anti-takeover provisions of the Delaware General Corporation Law may discourage, delay, or prevent a change in control by prohibiting us from engaging in a business combination with a</w:t>
      </w:r>
      <w:r>
        <w:rPr>
          <w:rFonts w:ascii="Times New Roman" w:eastAsia="宋体" w:hAnsi="Times New Roman"/>
          <w:sz w:val="20"/>
          <w:szCs w:val="20"/>
        </w:rPr>
        <w:t>n interested stockholder for a period of three years after the person becomes an interested stockholder, even if a change of control would be beneficial to our existing stockholders. In addition, our current restated certificate of incorporation and bylaws</w:t>
      </w:r>
      <w:r>
        <w:rPr>
          <w:rFonts w:ascii="Times New Roman" w:eastAsia="宋体" w:hAnsi="Times New Roman"/>
          <w:sz w:val="20"/>
          <w:szCs w:val="20"/>
        </w:rPr>
        <w:t xml:space="preserve"> contain provisions that may make the acquisition of our company more difficult, including the following:</w:t>
      </w: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9A3" w14:textId="77777777">
        <w:trPr>
          <w:tblCellSpacing w:w="0" w:type="dxa"/>
        </w:trPr>
        <w:tc>
          <w:tcPr>
            <w:tcW w:w="1440" w:type="dxa"/>
            <w:shd w:val="clear" w:color="auto" w:fill="auto"/>
            <w:vAlign w:val="center"/>
          </w:tcPr>
          <w:p w14:paraId="54E919A1" w14:textId="77777777" w:rsidR="00F427A3" w:rsidRDefault="00F427A3">
            <w:pPr>
              <w:rPr>
                <w:rFonts w:ascii="Times New Roman" w:hAnsi="Times New Roman"/>
                <w:sz w:val="20"/>
                <w:szCs w:val="20"/>
              </w:rPr>
            </w:pPr>
          </w:p>
        </w:tc>
        <w:tc>
          <w:tcPr>
            <w:tcW w:w="0" w:type="auto"/>
            <w:shd w:val="clear" w:color="auto" w:fill="auto"/>
            <w:vAlign w:val="center"/>
          </w:tcPr>
          <w:p w14:paraId="54E919A2" w14:textId="77777777" w:rsidR="00F427A3" w:rsidRDefault="00F427A3">
            <w:pPr>
              <w:rPr>
                <w:rFonts w:ascii="Times New Roman" w:hAnsi="Times New Roman"/>
                <w:sz w:val="20"/>
                <w:szCs w:val="20"/>
              </w:rPr>
            </w:pPr>
          </w:p>
        </w:tc>
      </w:tr>
      <w:tr w:rsidR="00F427A3" w14:paraId="54E919A6" w14:textId="77777777">
        <w:trPr>
          <w:tblCellSpacing w:w="0" w:type="dxa"/>
        </w:trPr>
        <w:tc>
          <w:tcPr>
            <w:tcW w:w="0" w:type="auto"/>
            <w:shd w:val="clear" w:color="auto" w:fill="auto"/>
          </w:tcPr>
          <w:p w14:paraId="54E919A4"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A5"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until the first date on which the outstanding shares of our Class B common stock represent less than 35% of the combined voting power of our </w:t>
            </w:r>
            <w:r>
              <w:rPr>
                <w:rFonts w:ascii="Times New Roman" w:eastAsia="宋体" w:hAnsi="Times New Roman"/>
                <w:sz w:val="20"/>
                <w:szCs w:val="20"/>
              </w:rPr>
              <w:t>common stock, any transaction that would result in a change in control of our company requires the approval of a majority of our outstanding Class B common stock voting as a separate class;</w:t>
            </w:r>
          </w:p>
        </w:tc>
      </w:tr>
    </w:tbl>
    <w:p w14:paraId="54E919A7"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9AA" w14:textId="77777777">
        <w:trPr>
          <w:tblCellSpacing w:w="0" w:type="dxa"/>
        </w:trPr>
        <w:tc>
          <w:tcPr>
            <w:tcW w:w="1440" w:type="dxa"/>
            <w:shd w:val="clear" w:color="auto" w:fill="auto"/>
            <w:vAlign w:val="center"/>
          </w:tcPr>
          <w:p w14:paraId="54E919A8" w14:textId="77777777" w:rsidR="00F427A3" w:rsidRDefault="00F427A3">
            <w:pPr>
              <w:rPr>
                <w:rFonts w:ascii="Times New Roman" w:hAnsi="Times New Roman"/>
                <w:sz w:val="20"/>
                <w:szCs w:val="20"/>
              </w:rPr>
            </w:pPr>
          </w:p>
        </w:tc>
        <w:tc>
          <w:tcPr>
            <w:tcW w:w="0" w:type="auto"/>
            <w:shd w:val="clear" w:color="auto" w:fill="auto"/>
            <w:vAlign w:val="center"/>
          </w:tcPr>
          <w:p w14:paraId="54E919A9" w14:textId="77777777" w:rsidR="00F427A3" w:rsidRDefault="00F427A3">
            <w:pPr>
              <w:rPr>
                <w:rFonts w:ascii="Times New Roman" w:hAnsi="Times New Roman"/>
                <w:sz w:val="20"/>
                <w:szCs w:val="20"/>
              </w:rPr>
            </w:pPr>
          </w:p>
        </w:tc>
      </w:tr>
      <w:tr w:rsidR="00F427A3" w14:paraId="54E919AD" w14:textId="77777777">
        <w:trPr>
          <w:tblCellSpacing w:w="0" w:type="dxa"/>
        </w:trPr>
        <w:tc>
          <w:tcPr>
            <w:tcW w:w="0" w:type="auto"/>
            <w:shd w:val="clear" w:color="auto" w:fill="auto"/>
          </w:tcPr>
          <w:p w14:paraId="54E919AB"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AC"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we currently have a dual class common stock structure, whic</w:t>
            </w:r>
            <w:r>
              <w:rPr>
                <w:rFonts w:ascii="Times New Roman" w:eastAsia="宋体" w:hAnsi="Times New Roman"/>
                <w:sz w:val="20"/>
                <w:szCs w:val="20"/>
              </w:rPr>
              <w:t>h provides Mr. Zuckerberg with the ability to control the outcome of matters requiring stockholder approval, even if he owns significantly less than a majority of the shares of our outstanding Class A and Class B common stock;</w:t>
            </w:r>
          </w:p>
        </w:tc>
      </w:tr>
    </w:tbl>
    <w:p w14:paraId="54E919AE"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9B1" w14:textId="77777777">
        <w:trPr>
          <w:tblCellSpacing w:w="0" w:type="dxa"/>
        </w:trPr>
        <w:tc>
          <w:tcPr>
            <w:tcW w:w="1440" w:type="dxa"/>
            <w:shd w:val="clear" w:color="auto" w:fill="auto"/>
            <w:vAlign w:val="center"/>
          </w:tcPr>
          <w:p w14:paraId="54E919AF" w14:textId="77777777" w:rsidR="00F427A3" w:rsidRDefault="00F427A3">
            <w:pPr>
              <w:rPr>
                <w:rFonts w:ascii="Times New Roman" w:hAnsi="Times New Roman"/>
                <w:sz w:val="20"/>
                <w:szCs w:val="20"/>
              </w:rPr>
            </w:pPr>
          </w:p>
        </w:tc>
        <w:tc>
          <w:tcPr>
            <w:tcW w:w="0" w:type="auto"/>
            <w:shd w:val="clear" w:color="auto" w:fill="auto"/>
            <w:vAlign w:val="center"/>
          </w:tcPr>
          <w:p w14:paraId="54E919B0" w14:textId="77777777" w:rsidR="00F427A3" w:rsidRDefault="00F427A3">
            <w:pPr>
              <w:rPr>
                <w:rFonts w:ascii="Times New Roman" w:hAnsi="Times New Roman"/>
                <w:sz w:val="20"/>
                <w:szCs w:val="20"/>
              </w:rPr>
            </w:pPr>
          </w:p>
        </w:tc>
      </w:tr>
      <w:tr w:rsidR="00F427A3" w14:paraId="54E919B4" w14:textId="77777777">
        <w:trPr>
          <w:tblCellSpacing w:w="0" w:type="dxa"/>
        </w:trPr>
        <w:tc>
          <w:tcPr>
            <w:tcW w:w="0" w:type="auto"/>
            <w:shd w:val="clear" w:color="auto" w:fill="auto"/>
          </w:tcPr>
          <w:p w14:paraId="54E919B2"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B3"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when the </w:t>
            </w:r>
            <w:r>
              <w:rPr>
                <w:rFonts w:ascii="Times New Roman" w:eastAsia="宋体" w:hAnsi="Times New Roman"/>
                <w:sz w:val="20"/>
                <w:szCs w:val="20"/>
              </w:rPr>
              <w:t>outstanding shares of our Class B common stock represent less than a majority of the combined voting power of common stock, certain amendments to our restated certificate of incorporation or bylaws will require the approval of two-thirds of the combined vo</w:t>
            </w:r>
            <w:r>
              <w:rPr>
                <w:rFonts w:ascii="Times New Roman" w:eastAsia="宋体" w:hAnsi="Times New Roman"/>
                <w:sz w:val="20"/>
                <w:szCs w:val="20"/>
              </w:rPr>
              <w:t>te of our then-outstanding shares of Class A and Class B common stock;</w:t>
            </w:r>
          </w:p>
        </w:tc>
      </w:tr>
    </w:tbl>
    <w:p w14:paraId="54E919B5"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9B8" w14:textId="77777777">
        <w:trPr>
          <w:tblCellSpacing w:w="0" w:type="dxa"/>
        </w:trPr>
        <w:tc>
          <w:tcPr>
            <w:tcW w:w="1440" w:type="dxa"/>
            <w:shd w:val="clear" w:color="auto" w:fill="auto"/>
            <w:vAlign w:val="center"/>
          </w:tcPr>
          <w:p w14:paraId="54E919B6" w14:textId="77777777" w:rsidR="00F427A3" w:rsidRDefault="00F427A3">
            <w:pPr>
              <w:rPr>
                <w:rFonts w:ascii="Times New Roman" w:hAnsi="Times New Roman"/>
                <w:sz w:val="20"/>
                <w:szCs w:val="20"/>
              </w:rPr>
            </w:pPr>
          </w:p>
        </w:tc>
        <w:tc>
          <w:tcPr>
            <w:tcW w:w="0" w:type="auto"/>
            <w:shd w:val="clear" w:color="auto" w:fill="auto"/>
            <w:vAlign w:val="center"/>
          </w:tcPr>
          <w:p w14:paraId="54E919B7" w14:textId="77777777" w:rsidR="00F427A3" w:rsidRDefault="00F427A3">
            <w:pPr>
              <w:rPr>
                <w:rFonts w:ascii="Times New Roman" w:hAnsi="Times New Roman"/>
                <w:sz w:val="20"/>
                <w:szCs w:val="20"/>
              </w:rPr>
            </w:pPr>
          </w:p>
        </w:tc>
      </w:tr>
      <w:tr w:rsidR="00F427A3" w14:paraId="54E919BB" w14:textId="77777777">
        <w:trPr>
          <w:tblCellSpacing w:w="0" w:type="dxa"/>
        </w:trPr>
        <w:tc>
          <w:tcPr>
            <w:tcW w:w="0" w:type="auto"/>
            <w:shd w:val="clear" w:color="auto" w:fill="auto"/>
          </w:tcPr>
          <w:p w14:paraId="54E919B9"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BA"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when the outstanding shares of our Class B common stock represent less than a majority of the combined voting </w:t>
            </w:r>
          </w:p>
        </w:tc>
      </w:tr>
    </w:tbl>
    <w:p w14:paraId="54E919BC" w14:textId="77777777" w:rsidR="00F427A3" w:rsidRDefault="00F427A3">
      <w:pPr>
        <w:rPr>
          <w:rFonts w:ascii="Times New Roman" w:hAnsi="Times New Roman"/>
          <w:sz w:val="20"/>
          <w:szCs w:val="20"/>
        </w:rPr>
      </w:pPr>
    </w:p>
    <w:p w14:paraId="54E919BD"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82</w:t>
      </w:r>
    </w:p>
    <w:p w14:paraId="54E919BE" w14:textId="77777777" w:rsidR="00F427A3" w:rsidRDefault="0044221F">
      <w:r>
        <w:rPr>
          <w:rFonts w:ascii="Times New Roman" w:hAnsi="Times New Roman"/>
          <w:sz w:val="20"/>
          <w:szCs w:val="20"/>
        </w:rPr>
        <w:pict w14:anchorId="54E91C82">
          <v:rect id="_x0000_i1106" style="width:415.3pt;height:1.5pt" o:hralign="center" o:hrstd="t" o:hr="t" fillcolor="#a0a0a0" stroked="f"/>
        </w:pict>
      </w:r>
    </w:p>
    <w:p w14:paraId="54E919BF" w14:textId="77777777" w:rsidR="00F427A3" w:rsidRDefault="0044221F">
      <w:pPr>
        <w:spacing w:line="288" w:lineRule="auto"/>
        <w:rPr>
          <w:rFonts w:ascii="Times New Roman" w:hAnsi="Times New Roman"/>
          <w:sz w:val="20"/>
          <w:szCs w:val="20"/>
        </w:rPr>
      </w:pPr>
      <w:hyperlink r:id="rId123" w:anchor="s348EA962CF6D59B599D9921AFA89C381" w:history="1">
        <w:r>
          <w:rPr>
            <w:rStyle w:val="a5"/>
            <w:rFonts w:ascii="Times New Roman" w:eastAsia="宋体" w:hAnsi="Times New Roman"/>
            <w:sz w:val="20"/>
            <w:szCs w:val="20"/>
          </w:rPr>
          <w:t>Table of Contents</w:t>
        </w:r>
      </w:hyperlink>
    </w:p>
    <w:p w14:paraId="54E919C0" w14:textId="77777777" w:rsidR="00F427A3" w:rsidRDefault="00F427A3">
      <w:pPr>
        <w:rPr>
          <w:rFonts w:ascii="Times New Roman" w:hAnsi="Times New Roman"/>
          <w:sz w:val="20"/>
          <w:szCs w:val="20"/>
        </w:rPr>
      </w:pPr>
    </w:p>
    <w:p w14:paraId="54E919C1" w14:textId="77777777" w:rsidR="00F427A3" w:rsidRDefault="0044221F">
      <w:pPr>
        <w:spacing w:line="288" w:lineRule="auto"/>
        <w:jc w:val="both"/>
        <w:rPr>
          <w:rFonts w:ascii="Times New Roman" w:hAnsi="Times New Roman"/>
          <w:sz w:val="20"/>
          <w:szCs w:val="20"/>
        </w:rPr>
      </w:pPr>
      <w:r>
        <w:rPr>
          <w:rFonts w:ascii="Times New Roman" w:eastAsia="宋体" w:hAnsi="Times New Roman"/>
          <w:sz w:val="20"/>
          <w:szCs w:val="20"/>
        </w:rPr>
        <w:t>power of our common stock, vacancies on our board of directors will be able to be filled only by our board of directors and not by stockholders;</w:t>
      </w: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9C4" w14:textId="77777777">
        <w:trPr>
          <w:tblCellSpacing w:w="0" w:type="dxa"/>
        </w:trPr>
        <w:tc>
          <w:tcPr>
            <w:tcW w:w="1440" w:type="dxa"/>
            <w:shd w:val="clear" w:color="auto" w:fill="auto"/>
            <w:vAlign w:val="center"/>
          </w:tcPr>
          <w:p w14:paraId="54E919C2" w14:textId="77777777" w:rsidR="00F427A3" w:rsidRDefault="00F427A3">
            <w:pPr>
              <w:rPr>
                <w:rFonts w:ascii="Times New Roman" w:hAnsi="Times New Roman"/>
                <w:sz w:val="20"/>
                <w:szCs w:val="20"/>
              </w:rPr>
            </w:pPr>
          </w:p>
        </w:tc>
        <w:tc>
          <w:tcPr>
            <w:tcW w:w="0" w:type="auto"/>
            <w:shd w:val="clear" w:color="auto" w:fill="auto"/>
            <w:vAlign w:val="center"/>
          </w:tcPr>
          <w:p w14:paraId="54E919C3" w14:textId="77777777" w:rsidR="00F427A3" w:rsidRDefault="00F427A3">
            <w:pPr>
              <w:rPr>
                <w:rFonts w:ascii="Times New Roman" w:hAnsi="Times New Roman"/>
                <w:sz w:val="20"/>
                <w:szCs w:val="20"/>
              </w:rPr>
            </w:pPr>
          </w:p>
        </w:tc>
      </w:tr>
      <w:tr w:rsidR="00F427A3" w14:paraId="54E919C7" w14:textId="77777777">
        <w:trPr>
          <w:tblCellSpacing w:w="0" w:type="dxa"/>
        </w:trPr>
        <w:tc>
          <w:tcPr>
            <w:tcW w:w="0" w:type="auto"/>
            <w:shd w:val="clear" w:color="auto" w:fill="auto"/>
          </w:tcPr>
          <w:p w14:paraId="54E919C5"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C6"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when the outstanding shares of our Class B common stock </w:t>
            </w:r>
            <w:r>
              <w:rPr>
                <w:rFonts w:ascii="Times New Roman" w:eastAsia="宋体" w:hAnsi="Times New Roman"/>
                <w:sz w:val="20"/>
                <w:szCs w:val="20"/>
              </w:rPr>
              <w:t>represent less than a majority of the combined voting power of our common stock, our board of directors will be classified into three classes of directors with staggered three-year terms and directors will only be able to be removed from office for cause;</w:t>
            </w:r>
          </w:p>
        </w:tc>
      </w:tr>
    </w:tbl>
    <w:p w14:paraId="54E919C8"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9CB" w14:textId="77777777">
        <w:trPr>
          <w:tblCellSpacing w:w="0" w:type="dxa"/>
        </w:trPr>
        <w:tc>
          <w:tcPr>
            <w:tcW w:w="1440" w:type="dxa"/>
            <w:shd w:val="clear" w:color="auto" w:fill="auto"/>
            <w:vAlign w:val="center"/>
          </w:tcPr>
          <w:p w14:paraId="54E919C9" w14:textId="77777777" w:rsidR="00F427A3" w:rsidRDefault="00F427A3">
            <w:pPr>
              <w:rPr>
                <w:rFonts w:ascii="Times New Roman" w:hAnsi="Times New Roman"/>
                <w:sz w:val="20"/>
                <w:szCs w:val="20"/>
              </w:rPr>
            </w:pPr>
          </w:p>
        </w:tc>
        <w:tc>
          <w:tcPr>
            <w:tcW w:w="0" w:type="auto"/>
            <w:shd w:val="clear" w:color="auto" w:fill="auto"/>
            <w:vAlign w:val="center"/>
          </w:tcPr>
          <w:p w14:paraId="54E919CA" w14:textId="77777777" w:rsidR="00F427A3" w:rsidRDefault="00F427A3">
            <w:pPr>
              <w:rPr>
                <w:rFonts w:ascii="Times New Roman" w:hAnsi="Times New Roman"/>
                <w:sz w:val="20"/>
                <w:szCs w:val="20"/>
              </w:rPr>
            </w:pPr>
          </w:p>
        </w:tc>
      </w:tr>
      <w:tr w:rsidR="00F427A3" w14:paraId="54E919CE" w14:textId="77777777">
        <w:trPr>
          <w:tblCellSpacing w:w="0" w:type="dxa"/>
        </w:trPr>
        <w:tc>
          <w:tcPr>
            <w:tcW w:w="0" w:type="auto"/>
            <w:shd w:val="clear" w:color="auto" w:fill="auto"/>
          </w:tcPr>
          <w:p w14:paraId="54E919CC"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CD"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when the outstanding shares of our Class B common stock represent less than a majority of the combined voting power of our common stock, our stockholders will only be able to take action at a meeting of stockholders and not by written </w:t>
            </w:r>
            <w:r>
              <w:rPr>
                <w:rFonts w:ascii="Times New Roman" w:eastAsia="宋体" w:hAnsi="Times New Roman"/>
                <w:sz w:val="20"/>
                <w:szCs w:val="20"/>
              </w:rPr>
              <w:t>consent;</w:t>
            </w:r>
          </w:p>
        </w:tc>
      </w:tr>
    </w:tbl>
    <w:p w14:paraId="54E919CF"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9D2" w14:textId="77777777">
        <w:trPr>
          <w:tblCellSpacing w:w="0" w:type="dxa"/>
        </w:trPr>
        <w:tc>
          <w:tcPr>
            <w:tcW w:w="1440" w:type="dxa"/>
            <w:shd w:val="clear" w:color="auto" w:fill="auto"/>
            <w:vAlign w:val="center"/>
          </w:tcPr>
          <w:p w14:paraId="54E919D0" w14:textId="77777777" w:rsidR="00F427A3" w:rsidRDefault="00F427A3">
            <w:pPr>
              <w:rPr>
                <w:rFonts w:ascii="Times New Roman" w:hAnsi="Times New Roman"/>
                <w:sz w:val="20"/>
                <w:szCs w:val="20"/>
              </w:rPr>
            </w:pPr>
          </w:p>
        </w:tc>
        <w:tc>
          <w:tcPr>
            <w:tcW w:w="0" w:type="auto"/>
            <w:shd w:val="clear" w:color="auto" w:fill="auto"/>
            <w:vAlign w:val="center"/>
          </w:tcPr>
          <w:p w14:paraId="54E919D1" w14:textId="77777777" w:rsidR="00F427A3" w:rsidRDefault="00F427A3">
            <w:pPr>
              <w:rPr>
                <w:rFonts w:ascii="Times New Roman" w:hAnsi="Times New Roman"/>
                <w:sz w:val="20"/>
                <w:szCs w:val="20"/>
              </w:rPr>
            </w:pPr>
          </w:p>
        </w:tc>
      </w:tr>
      <w:tr w:rsidR="00F427A3" w14:paraId="54E919D5" w14:textId="77777777">
        <w:trPr>
          <w:tblCellSpacing w:w="0" w:type="dxa"/>
        </w:trPr>
        <w:tc>
          <w:tcPr>
            <w:tcW w:w="0" w:type="auto"/>
            <w:shd w:val="clear" w:color="auto" w:fill="auto"/>
          </w:tcPr>
          <w:p w14:paraId="54E919D3"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D4"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only our chairman, our chief executive officer, our president, or a majority of our board of directors are authorized to call a special meeting of stockholders;</w:t>
            </w:r>
          </w:p>
        </w:tc>
      </w:tr>
    </w:tbl>
    <w:p w14:paraId="54E919D6"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9D9" w14:textId="77777777">
        <w:trPr>
          <w:tblCellSpacing w:w="0" w:type="dxa"/>
        </w:trPr>
        <w:tc>
          <w:tcPr>
            <w:tcW w:w="1440" w:type="dxa"/>
            <w:shd w:val="clear" w:color="auto" w:fill="auto"/>
            <w:vAlign w:val="center"/>
          </w:tcPr>
          <w:p w14:paraId="54E919D7" w14:textId="77777777" w:rsidR="00F427A3" w:rsidRDefault="00F427A3">
            <w:pPr>
              <w:rPr>
                <w:rFonts w:ascii="Times New Roman" w:hAnsi="Times New Roman"/>
                <w:sz w:val="20"/>
                <w:szCs w:val="20"/>
              </w:rPr>
            </w:pPr>
          </w:p>
        </w:tc>
        <w:tc>
          <w:tcPr>
            <w:tcW w:w="0" w:type="auto"/>
            <w:shd w:val="clear" w:color="auto" w:fill="auto"/>
            <w:vAlign w:val="center"/>
          </w:tcPr>
          <w:p w14:paraId="54E919D8" w14:textId="77777777" w:rsidR="00F427A3" w:rsidRDefault="00F427A3">
            <w:pPr>
              <w:rPr>
                <w:rFonts w:ascii="Times New Roman" w:hAnsi="Times New Roman"/>
                <w:sz w:val="20"/>
                <w:szCs w:val="20"/>
              </w:rPr>
            </w:pPr>
          </w:p>
        </w:tc>
      </w:tr>
      <w:tr w:rsidR="00F427A3" w14:paraId="54E919DC" w14:textId="77777777">
        <w:trPr>
          <w:tblCellSpacing w:w="0" w:type="dxa"/>
        </w:trPr>
        <w:tc>
          <w:tcPr>
            <w:tcW w:w="0" w:type="auto"/>
            <w:shd w:val="clear" w:color="auto" w:fill="auto"/>
          </w:tcPr>
          <w:p w14:paraId="54E919DA"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DB"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advance notice procedures apply for stockholders to nominate </w:t>
            </w:r>
            <w:r>
              <w:rPr>
                <w:rFonts w:ascii="Times New Roman" w:eastAsia="宋体" w:hAnsi="Times New Roman"/>
                <w:sz w:val="20"/>
                <w:szCs w:val="20"/>
              </w:rPr>
              <w:t>candidates for election as directors or to bring matters before an annual meeting of stockholders;</w:t>
            </w:r>
          </w:p>
        </w:tc>
      </w:tr>
    </w:tbl>
    <w:p w14:paraId="54E919DD"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6866"/>
      </w:tblGrid>
      <w:tr w:rsidR="00F427A3" w14:paraId="54E919E0" w14:textId="77777777">
        <w:trPr>
          <w:tblCellSpacing w:w="0" w:type="dxa"/>
        </w:trPr>
        <w:tc>
          <w:tcPr>
            <w:tcW w:w="1440" w:type="dxa"/>
            <w:shd w:val="clear" w:color="auto" w:fill="auto"/>
            <w:vAlign w:val="center"/>
          </w:tcPr>
          <w:p w14:paraId="54E919DE" w14:textId="77777777" w:rsidR="00F427A3" w:rsidRDefault="00F427A3">
            <w:pPr>
              <w:rPr>
                <w:rFonts w:ascii="Times New Roman" w:hAnsi="Times New Roman"/>
                <w:sz w:val="20"/>
                <w:szCs w:val="20"/>
              </w:rPr>
            </w:pPr>
          </w:p>
        </w:tc>
        <w:tc>
          <w:tcPr>
            <w:tcW w:w="0" w:type="auto"/>
            <w:shd w:val="clear" w:color="auto" w:fill="auto"/>
            <w:vAlign w:val="center"/>
          </w:tcPr>
          <w:p w14:paraId="54E919DF" w14:textId="77777777" w:rsidR="00F427A3" w:rsidRDefault="00F427A3">
            <w:pPr>
              <w:rPr>
                <w:rFonts w:ascii="Times New Roman" w:hAnsi="Times New Roman"/>
                <w:sz w:val="20"/>
                <w:szCs w:val="20"/>
              </w:rPr>
            </w:pPr>
          </w:p>
        </w:tc>
      </w:tr>
      <w:tr w:rsidR="00F427A3" w14:paraId="54E919E3" w14:textId="77777777">
        <w:trPr>
          <w:tblCellSpacing w:w="0" w:type="dxa"/>
        </w:trPr>
        <w:tc>
          <w:tcPr>
            <w:tcW w:w="0" w:type="auto"/>
            <w:shd w:val="clear" w:color="auto" w:fill="auto"/>
          </w:tcPr>
          <w:p w14:paraId="54E919E1"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E2"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our restated certificate of incorporation authorizes undesignated preferred stock, the terms of which may be established, and shares of which may be </w:t>
            </w:r>
            <w:r>
              <w:rPr>
                <w:rFonts w:ascii="Times New Roman" w:eastAsia="宋体" w:hAnsi="Times New Roman"/>
                <w:sz w:val="20"/>
                <w:szCs w:val="20"/>
              </w:rPr>
              <w:t>issued, without stockholder approval; and</w:t>
            </w:r>
          </w:p>
        </w:tc>
      </w:tr>
    </w:tbl>
    <w:p w14:paraId="54E919E4" w14:textId="77777777" w:rsidR="00F427A3" w:rsidRDefault="00F427A3">
      <w:pPr>
        <w:rPr>
          <w:vanish/>
        </w:rPr>
      </w:pPr>
    </w:p>
    <w:tbl>
      <w:tblPr>
        <w:tblW w:w="0" w:type="auto"/>
        <w:tblCellSpacing w:w="0" w:type="dxa"/>
        <w:tblCellMar>
          <w:top w:w="240" w:type="dxa"/>
          <w:left w:w="0" w:type="dxa"/>
          <w:right w:w="0" w:type="dxa"/>
        </w:tblCellMar>
        <w:tblLook w:val="04A0" w:firstRow="1" w:lastRow="0" w:firstColumn="1" w:lastColumn="0" w:noHBand="0" w:noVBand="1"/>
      </w:tblPr>
      <w:tblGrid>
        <w:gridCol w:w="1440"/>
        <w:gridCol w:w="4877"/>
      </w:tblGrid>
      <w:tr w:rsidR="00F427A3" w14:paraId="54E919E7" w14:textId="77777777">
        <w:trPr>
          <w:tblCellSpacing w:w="0" w:type="dxa"/>
        </w:trPr>
        <w:tc>
          <w:tcPr>
            <w:tcW w:w="1440" w:type="dxa"/>
            <w:shd w:val="clear" w:color="auto" w:fill="auto"/>
            <w:vAlign w:val="center"/>
          </w:tcPr>
          <w:p w14:paraId="54E919E5" w14:textId="77777777" w:rsidR="00F427A3" w:rsidRDefault="00F427A3">
            <w:pPr>
              <w:rPr>
                <w:rFonts w:ascii="Times New Roman" w:hAnsi="Times New Roman"/>
                <w:sz w:val="20"/>
                <w:szCs w:val="20"/>
              </w:rPr>
            </w:pPr>
          </w:p>
        </w:tc>
        <w:tc>
          <w:tcPr>
            <w:tcW w:w="0" w:type="auto"/>
            <w:shd w:val="clear" w:color="auto" w:fill="auto"/>
            <w:vAlign w:val="center"/>
          </w:tcPr>
          <w:p w14:paraId="54E919E6" w14:textId="77777777" w:rsidR="00F427A3" w:rsidRDefault="00F427A3">
            <w:pPr>
              <w:rPr>
                <w:rFonts w:ascii="Times New Roman" w:hAnsi="Times New Roman"/>
                <w:sz w:val="20"/>
                <w:szCs w:val="20"/>
              </w:rPr>
            </w:pPr>
          </w:p>
        </w:tc>
      </w:tr>
      <w:tr w:rsidR="00F427A3" w14:paraId="54E919EA" w14:textId="77777777">
        <w:trPr>
          <w:tblCellSpacing w:w="0" w:type="dxa"/>
        </w:trPr>
        <w:tc>
          <w:tcPr>
            <w:tcW w:w="0" w:type="auto"/>
            <w:shd w:val="clear" w:color="auto" w:fill="auto"/>
          </w:tcPr>
          <w:p w14:paraId="54E919E8"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4E919E9" w14:textId="77777777" w:rsidR="00F427A3" w:rsidRDefault="0044221F">
            <w:pPr>
              <w:spacing w:line="288" w:lineRule="auto"/>
              <w:jc w:val="both"/>
              <w:textAlignment w:val="top"/>
              <w:rPr>
                <w:rFonts w:ascii="Times New Roman" w:hAnsi="Times New Roman"/>
                <w:sz w:val="20"/>
                <w:szCs w:val="20"/>
              </w:rPr>
            </w:pPr>
            <w:r>
              <w:rPr>
                <w:rFonts w:ascii="Times New Roman" w:eastAsia="宋体" w:hAnsi="Times New Roman"/>
                <w:sz w:val="20"/>
                <w:szCs w:val="20"/>
              </w:rPr>
              <w:t>certain litigation against us can only be brought in Delaware.</w:t>
            </w:r>
          </w:p>
        </w:tc>
      </w:tr>
    </w:tbl>
    <w:p w14:paraId="54E919EB" w14:textId="77777777" w:rsidR="00F427A3" w:rsidRDefault="00F427A3">
      <w:pPr>
        <w:spacing w:line="288" w:lineRule="auto"/>
        <w:ind w:firstLine="720"/>
        <w:jc w:val="both"/>
        <w:rPr>
          <w:rFonts w:ascii="Times New Roman" w:hAnsi="Times New Roman"/>
          <w:sz w:val="20"/>
          <w:szCs w:val="20"/>
        </w:rPr>
      </w:pPr>
    </w:p>
    <w:p w14:paraId="54E919EC" w14:textId="77777777" w:rsidR="00F427A3" w:rsidRDefault="00F427A3">
      <w:pPr>
        <w:rPr>
          <w:rFonts w:ascii="Times New Roman" w:hAnsi="Times New Roman"/>
          <w:sz w:val="20"/>
          <w:szCs w:val="20"/>
        </w:rPr>
      </w:pPr>
    </w:p>
    <w:p w14:paraId="54E919ED"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83</w:t>
      </w:r>
    </w:p>
    <w:p w14:paraId="54E919EE" w14:textId="77777777" w:rsidR="00F427A3" w:rsidRDefault="0044221F">
      <w:r>
        <w:rPr>
          <w:rFonts w:ascii="Times New Roman" w:hAnsi="Times New Roman"/>
          <w:sz w:val="20"/>
          <w:szCs w:val="20"/>
        </w:rPr>
        <w:pict w14:anchorId="54E91C83">
          <v:rect id="_x0000_i1107" style="width:415.3pt;height:1.5pt" o:hralign="center" o:hrstd="t" o:hr="t" fillcolor="#a0a0a0" stroked="f"/>
        </w:pict>
      </w:r>
    </w:p>
    <w:p w14:paraId="54E919EF" w14:textId="77777777" w:rsidR="00F427A3" w:rsidRDefault="0044221F">
      <w:pPr>
        <w:spacing w:line="288" w:lineRule="auto"/>
        <w:rPr>
          <w:rFonts w:ascii="Times New Roman" w:hAnsi="Times New Roman"/>
          <w:sz w:val="20"/>
          <w:szCs w:val="20"/>
        </w:rPr>
      </w:pPr>
      <w:hyperlink r:id="rId124" w:anchor="s348EA962CF6D59B599D9921AFA89C381" w:history="1">
        <w:r>
          <w:rPr>
            <w:rStyle w:val="a5"/>
            <w:rFonts w:ascii="Times New Roman" w:eastAsia="宋体" w:hAnsi="Times New Roman"/>
            <w:sz w:val="20"/>
            <w:szCs w:val="20"/>
          </w:rPr>
          <w:t>Table of Contents</w:t>
        </w:r>
      </w:hyperlink>
    </w:p>
    <w:p w14:paraId="54E919F0" w14:textId="77777777" w:rsidR="00F427A3" w:rsidRDefault="00F427A3">
      <w:pPr>
        <w:rPr>
          <w:rFonts w:ascii="Times New Roman" w:hAnsi="Times New Roman"/>
          <w:sz w:val="20"/>
          <w:szCs w:val="20"/>
        </w:rPr>
      </w:pPr>
    </w:p>
    <w:tbl>
      <w:tblPr>
        <w:tblW w:w="0" w:type="auto"/>
        <w:tblCellSpacing w:w="0" w:type="dxa"/>
        <w:tblCellMar>
          <w:top w:w="240" w:type="dxa"/>
          <w:left w:w="0" w:type="dxa"/>
          <w:right w:w="0" w:type="dxa"/>
        </w:tblCellMar>
        <w:tblLook w:val="04A0" w:firstRow="1" w:lastRow="0" w:firstColumn="1" w:lastColumn="0" w:noHBand="0" w:noVBand="1"/>
      </w:tblPr>
      <w:tblGrid>
        <w:gridCol w:w="1080"/>
        <w:gridCol w:w="5089"/>
      </w:tblGrid>
      <w:tr w:rsidR="00F427A3" w14:paraId="54E919F3" w14:textId="77777777">
        <w:trPr>
          <w:tblCellSpacing w:w="0" w:type="dxa"/>
        </w:trPr>
        <w:tc>
          <w:tcPr>
            <w:tcW w:w="1080" w:type="dxa"/>
            <w:shd w:val="clear" w:color="auto" w:fill="auto"/>
            <w:vAlign w:val="center"/>
          </w:tcPr>
          <w:p w14:paraId="54E919F1" w14:textId="77777777" w:rsidR="00F427A3" w:rsidRDefault="00F427A3">
            <w:pPr>
              <w:rPr>
                <w:rFonts w:ascii="Times New Roman" w:hAnsi="Times New Roman"/>
                <w:sz w:val="20"/>
                <w:szCs w:val="20"/>
              </w:rPr>
            </w:pPr>
          </w:p>
        </w:tc>
        <w:tc>
          <w:tcPr>
            <w:tcW w:w="0" w:type="auto"/>
            <w:shd w:val="clear" w:color="auto" w:fill="auto"/>
            <w:vAlign w:val="center"/>
          </w:tcPr>
          <w:p w14:paraId="54E919F2" w14:textId="77777777" w:rsidR="00F427A3" w:rsidRDefault="00F427A3">
            <w:pPr>
              <w:rPr>
                <w:rFonts w:ascii="Times New Roman" w:hAnsi="Times New Roman"/>
                <w:sz w:val="20"/>
                <w:szCs w:val="20"/>
              </w:rPr>
            </w:pPr>
          </w:p>
        </w:tc>
      </w:tr>
      <w:tr w:rsidR="00F427A3" w14:paraId="54E919F6" w14:textId="77777777">
        <w:trPr>
          <w:tblCellSpacing w:w="0" w:type="dxa"/>
        </w:trPr>
        <w:tc>
          <w:tcPr>
            <w:tcW w:w="0" w:type="auto"/>
            <w:shd w:val="clear" w:color="auto" w:fill="auto"/>
          </w:tcPr>
          <w:p w14:paraId="54E919F4"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b/>
                <w:bCs/>
                <w:sz w:val="20"/>
                <w:szCs w:val="20"/>
              </w:rPr>
              <w:t>Item 2.</w:t>
            </w:r>
          </w:p>
        </w:tc>
        <w:tc>
          <w:tcPr>
            <w:tcW w:w="0" w:type="auto"/>
            <w:shd w:val="clear" w:color="auto" w:fill="auto"/>
          </w:tcPr>
          <w:p w14:paraId="54E919F5"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Unregistered Sales of Equity Securities and Use of Proceeds </w:t>
            </w:r>
          </w:p>
        </w:tc>
      </w:tr>
    </w:tbl>
    <w:p w14:paraId="54E919F7" w14:textId="77777777" w:rsidR="00F427A3" w:rsidRDefault="0044221F">
      <w:pPr>
        <w:spacing w:line="288" w:lineRule="auto"/>
        <w:ind w:firstLine="720"/>
        <w:rPr>
          <w:rFonts w:ascii="Times New Roman" w:hAnsi="Times New Roman"/>
          <w:sz w:val="20"/>
          <w:szCs w:val="20"/>
        </w:rPr>
      </w:pPr>
      <w:r>
        <w:rPr>
          <w:rFonts w:ascii="Times New Roman" w:eastAsia="宋体" w:hAnsi="Times New Roman"/>
          <w:b/>
          <w:bCs/>
          <w:i/>
          <w:iCs/>
          <w:sz w:val="20"/>
          <w:szCs w:val="20"/>
        </w:rPr>
        <w:t>a) Sales of</w:t>
      </w:r>
      <w:r>
        <w:rPr>
          <w:rFonts w:ascii="Times New Roman" w:eastAsia="宋体" w:hAnsi="Times New Roman"/>
          <w:b/>
          <w:bCs/>
          <w:i/>
          <w:iCs/>
          <w:sz w:val="20"/>
          <w:szCs w:val="20"/>
        </w:rPr>
        <w:t xml:space="preserve"> Unregistered Securities </w:t>
      </w:r>
    </w:p>
    <w:p w14:paraId="54E919F8" w14:textId="77777777" w:rsidR="00F427A3" w:rsidRDefault="0044221F">
      <w:pPr>
        <w:spacing w:line="288" w:lineRule="auto"/>
        <w:ind w:firstLine="720"/>
        <w:rPr>
          <w:rFonts w:ascii="Times New Roman" w:hAnsi="Times New Roman"/>
          <w:sz w:val="20"/>
          <w:szCs w:val="20"/>
        </w:rPr>
      </w:pPr>
      <w:r>
        <w:rPr>
          <w:rFonts w:ascii="Times New Roman" w:eastAsia="宋体" w:hAnsi="Times New Roman"/>
          <w:sz w:val="20"/>
          <w:szCs w:val="20"/>
        </w:rPr>
        <w:t>None.</w:t>
      </w:r>
    </w:p>
    <w:p w14:paraId="54E919F9" w14:textId="77777777" w:rsidR="00F427A3" w:rsidRDefault="0044221F">
      <w:pPr>
        <w:spacing w:line="288" w:lineRule="auto"/>
        <w:ind w:firstLine="720"/>
        <w:rPr>
          <w:rFonts w:ascii="Times New Roman" w:hAnsi="Times New Roman"/>
          <w:sz w:val="20"/>
          <w:szCs w:val="20"/>
        </w:rPr>
      </w:pPr>
      <w:r>
        <w:rPr>
          <w:rFonts w:ascii="Times New Roman" w:eastAsia="宋体" w:hAnsi="Times New Roman"/>
          <w:b/>
          <w:bCs/>
          <w:i/>
          <w:iCs/>
          <w:sz w:val="20"/>
          <w:szCs w:val="20"/>
        </w:rPr>
        <w:t>c) Issuer Purchases of Equity Securities</w:t>
      </w:r>
    </w:p>
    <w:p w14:paraId="54E919FA" w14:textId="77777777" w:rsidR="00F427A3" w:rsidRDefault="0044221F">
      <w:pPr>
        <w:spacing w:line="288" w:lineRule="auto"/>
        <w:ind w:firstLine="720"/>
        <w:rPr>
          <w:rFonts w:ascii="Times New Roman" w:hAnsi="Times New Roman"/>
          <w:sz w:val="20"/>
          <w:szCs w:val="20"/>
        </w:rPr>
      </w:pPr>
      <w:r>
        <w:rPr>
          <w:rFonts w:ascii="Times New Roman" w:eastAsia="宋体" w:hAnsi="Times New Roman"/>
          <w:sz w:val="20"/>
          <w:szCs w:val="20"/>
        </w:rPr>
        <w:t>The following table summarizes the share repurchase activity for the three months ended September 30, 2020:</w:t>
      </w:r>
    </w:p>
    <w:tbl>
      <w:tblPr>
        <w:tblW w:w="5000" w:type="pct"/>
        <w:tblCellMar>
          <w:left w:w="0" w:type="dxa"/>
          <w:right w:w="0" w:type="dxa"/>
        </w:tblCellMar>
        <w:tblLook w:val="04A0" w:firstRow="1" w:lastRow="0" w:firstColumn="1" w:lastColumn="0" w:noHBand="0" w:noVBand="1"/>
      </w:tblPr>
      <w:tblGrid>
        <w:gridCol w:w="2711"/>
        <w:gridCol w:w="1216"/>
        <w:gridCol w:w="57"/>
        <w:gridCol w:w="130"/>
        <w:gridCol w:w="140"/>
        <w:gridCol w:w="1130"/>
        <w:gridCol w:w="54"/>
        <w:gridCol w:w="130"/>
        <w:gridCol w:w="1217"/>
        <w:gridCol w:w="54"/>
        <w:gridCol w:w="130"/>
        <w:gridCol w:w="141"/>
        <w:gridCol w:w="1135"/>
        <w:gridCol w:w="61"/>
      </w:tblGrid>
      <w:tr w:rsidR="00F427A3" w14:paraId="54E919FC" w14:textId="77777777">
        <w:tc>
          <w:tcPr>
            <w:tcW w:w="0" w:type="auto"/>
            <w:gridSpan w:val="14"/>
            <w:shd w:val="clear" w:color="auto" w:fill="auto"/>
            <w:vAlign w:val="center"/>
          </w:tcPr>
          <w:p w14:paraId="54E919FB" w14:textId="77777777" w:rsidR="00F427A3" w:rsidRDefault="00F427A3">
            <w:pPr>
              <w:rPr>
                <w:rFonts w:ascii="Times New Roman" w:hAnsi="Times New Roman"/>
                <w:sz w:val="20"/>
                <w:szCs w:val="20"/>
              </w:rPr>
            </w:pPr>
          </w:p>
        </w:tc>
      </w:tr>
      <w:tr w:rsidR="00F427A3" w14:paraId="54E91A0B" w14:textId="77777777">
        <w:tc>
          <w:tcPr>
            <w:tcW w:w="1650" w:type="pct"/>
            <w:shd w:val="clear" w:color="auto" w:fill="auto"/>
            <w:vAlign w:val="center"/>
          </w:tcPr>
          <w:p w14:paraId="54E919FD" w14:textId="77777777" w:rsidR="00F427A3" w:rsidRDefault="00F427A3">
            <w:pPr>
              <w:rPr>
                <w:rFonts w:ascii="Times New Roman" w:hAnsi="Times New Roman"/>
                <w:sz w:val="20"/>
                <w:szCs w:val="20"/>
              </w:rPr>
            </w:pPr>
          </w:p>
        </w:tc>
        <w:tc>
          <w:tcPr>
            <w:tcW w:w="750" w:type="pct"/>
            <w:shd w:val="clear" w:color="auto" w:fill="auto"/>
            <w:vAlign w:val="center"/>
          </w:tcPr>
          <w:p w14:paraId="54E919FE" w14:textId="77777777" w:rsidR="00F427A3" w:rsidRDefault="00F427A3">
            <w:pPr>
              <w:rPr>
                <w:rFonts w:ascii="Times New Roman" w:hAnsi="Times New Roman"/>
                <w:sz w:val="20"/>
                <w:szCs w:val="20"/>
              </w:rPr>
            </w:pPr>
          </w:p>
        </w:tc>
        <w:tc>
          <w:tcPr>
            <w:tcW w:w="50" w:type="pct"/>
            <w:shd w:val="clear" w:color="auto" w:fill="auto"/>
            <w:vAlign w:val="center"/>
          </w:tcPr>
          <w:p w14:paraId="54E919FF" w14:textId="77777777" w:rsidR="00F427A3" w:rsidRDefault="00F427A3">
            <w:pPr>
              <w:rPr>
                <w:rFonts w:ascii="Times New Roman" w:hAnsi="Times New Roman"/>
                <w:sz w:val="20"/>
                <w:szCs w:val="20"/>
              </w:rPr>
            </w:pPr>
          </w:p>
        </w:tc>
        <w:tc>
          <w:tcPr>
            <w:tcW w:w="50" w:type="pct"/>
            <w:shd w:val="clear" w:color="auto" w:fill="auto"/>
            <w:vAlign w:val="center"/>
          </w:tcPr>
          <w:p w14:paraId="54E91A00" w14:textId="77777777" w:rsidR="00F427A3" w:rsidRDefault="00F427A3">
            <w:pPr>
              <w:rPr>
                <w:rFonts w:ascii="Times New Roman" w:hAnsi="Times New Roman"/>
                <w:sz w:val="20"/>
                <w:szCs w:val="20"/>
              </w:rPr>
            </w:pPr>
          </w:p>
        </w:tc>
        <w:tc>
          <w:tcPr>
            <w:tcW w:w="50" w:type="pct"/>
            <w:shd w:val="clear" w:color="auto" w:fill="auto"/>
            <w:vAlign w:val="center"/>
          </w:tcPr>
          <w:p w14:paraId="54E91A01" w14:textId="77777777" w:rsidR="00F427A3" w:rsidRDefault="00F427A3">
            <w:pPr>
              <w:rPr>
                <w:rFonts w:ascii="Times New Roman" w:hAnsi="Times New Roman"/>
                <w:sz w:val="20"/>
                <w:szCs w:val="20"/>
              </w:rPr>
            </w:pPr>
          </w:p>
        </w:tc>
        <w:tc>
          <w:tcPr>
            <w:tcW w:w="700" w:type="pct"/>
            <w:shd w:val="clear" w:color="auto" w:fill="auto"/>
            <w:vAlign w:val="center"/>
          </w:tcPr>
          <w:p w14:paraId="54E91A02" w14:textId="77777777" w:rsidR="00F427A3" w:rsidRDefault="00F427A3">
            <w:pPr>
              <w:rPr>
                <w:rFonts w:ascii="Times New Roman" w:hAnsi="Times New Roman"/>
                <w:sz w:val="20"/>
                <w:szCs w:val="20"/>
              </w:rPr>
            </w:pPr>
          </w:p>
        </w:tc>
        <w:tc>
          <w:tcPr>
            <w:tcW w:w="50" w:type="pct"/>
            <w:shd w:val="clear" w:color="auto" w:fill="auto"/>
            <w:vAlign w:val="center"/>
          </w:tcPr>
          <w:p w14:paraId="54E91A03" w14:textId="77777777" w:rsidR="00F427A3" w:rsidRDefault="00F427A3">
            <w:pPr>
              <w:rPr>
                <w:rFonts w:ascii="Times New Roman" w:hAnsi="Times New Roman"/>
                <w:sz w:val="20"/>
                <w:szCs w:val="20"/>
              </w:rPr>
            </w:pPr>
          </w:p>
        </w:tc>
        <w:tc>
          <w:tcPr>
            <w:tcW w:w="50" w:type="pct"/>
            <w:shd w:val="clear" w:color="auto" w:fill="auto"/>
            <w:vAlign w:val="center"/>
          </w:tcPr>
          <w:p w14:paraId="54E91A04" w14:textId="77777777" w:rsidR="00F427A3" w:rsidRDefault="00F427A3">
            <w:pPr>
              <w:rPr>
                <w:rFonts w:ascii="Times New Roman" w:hAnsi="Times New Roman"/>
                <w:sz w:val="20"/>
                <w:szCs w:val="20"/>
              </w:rPr>
            </w:pPr>
          </w:p>
        </w:tc>
        <w:tc>
          <w:tcPr>
            <w:tcW w:w="750" w:type="pct"/>
            <w:shd w:val="clear" w:color="auto" w:fill="auto"/>
            <w:vAlign w:val="center"/>
          </w:tcPr>
          <w:p w14:paraId="54E91A05" w14:textId="77777777" w:rsidR="00F427A3" w:rsidRDefault="00F427A3">
            <w:pPr>
              <w:rPr>
                <w:rFonts w:ascii="Times New Roman" w:hAnsi="Times New Roman"/>
                <w:sz w:val="20"/>
                <w:szCs w:val="20"/>
              </w:rPr>
            </w:pPr>
          </w:p>
        </w:tc>
        <w:tc>
          <w:tcPr>
            <w:tcW w:w="50" w:type="pct"/>
            <w:shd w:val="clear" w:color="auto" w:fill="auto"/>
            <w:vAlign w:val="center"/>
          </w:tcPr>
          <w:p w14:paraId="54E91A06" w14:textId="77777777" w:rsidR="00F427A3" w:rsidRDefault="00F427A3">
            <w:pPr>
              <w:rPr>
                <w:rFonts w:ascii="Times New Roman" w:hAnsi="Times New Roman"/>
                <w:sz w:val="20"/>
                <w:szCs w:val="20"/>
              </w:rPr>
            </w:pPr>
          </w:p>
        </w:tc>
        <w:tc>
          <w:tcPr>
            <w:tcW w:w="50" w:type="pct"/>
            <w:shd w:val="clear" w:color="auto" w:fill="auto"/>
            <w:vAlign w:val="center"/>
          </w:tcPr>
          <w:p w14:paraId="54E91A07" w14:textId="77777777" w:rsidR="00F427A3" w:rsidRDefault="00F427A3">
            <w:pPr>
              <w:rPr>
                <w:rFonts w:ascii="Times New Roman" w:hAnsi="Times New Roman"/>
                <w:sz w:val="20"/>
                <w:szCs w:val="20"/>
              </w:rPr>
            </w:pPr>
          </w:p>
        </w:tc>
        <w:tc>
          <w:tcPr>
            <w:tcW w:w="50" w:type="pct"/>
            <w:shd w:val="clear" w:color="auto" w:fill="auto"/>
            <w:vAlign w:val="center"/>
          </w:tcPr>
          <w:p w14:paraId="54E91A08" w14:textId="77777777" w:rsidR="00F427A3" w:rsidRDefault="00F427A3">
            <w:pPr>
              <w:rPr>
                <w:rFonts w:ascii="Times New Roman" w:hAnsi="Times New Roman"/>
                <w:sz w:val="20"/>
                <w:szCs w:val="20"/>
              </w:rPr>
            </w:pPr>
          </w:p>
        </w:tc>
        <w:tc>
          <w:tcPr>
            <w:tcW w:w="700" w:type="pct"/>
            <w:shd w:val="clear" w:color="auto" w:fill="auto"/>
            <w:vAlign w:val="center"/>
          </w:tcPr>
          <w:p w14:paraId="54E91A09" w14:textId="77777777" w:rsidR="00F427A3" w:rsidRDefault="00F427A3">
            <w:pPr>
              <w:rPr>
                <w:rFonts w:ascii="Times New Roman" w:hAnsi="Times New Roman"/>
                <w:sz w:val="20"/>
                <w:szCs w:val="20"/>
              </w:rPr>
            </w:pPr>
          </w:p>
        </w:tc>
        <w:tc>
          <w:tcPr>
            <w:tcW w:w="50" w:type="pct"/>
            <w:shd w:val="clear" w:color="auto" w:fill="auto"/>
            <w:vAlign w:val="center"/>
          </w:tcPr>
          <w:p w14:paraId="54E91A0A" w14:textId="77777777" w:rsidR="00F427A3" w:rsidRDefault="00F427A3">
            <w:pPr>
              <w:rPr>
                <w:rFonts w:ascii="Times New Roman" w:hAnsi="Times New Roman"/>
                <w:sz w:val="20"/>
                <w:szCs w:val="20"/>
              </w:rPr>
            </w:pPr>
          </w:p>
        </w:tc>
      </w:tr>
      <w:tr w:rsidR="00F427A3" w14:paraId="54E91A14" w14:textId="77777777">
        <w:tc>
          <w:tcPr>
            <w:tcW w:w="0" w:type="auto"/>
            <w:shd w:val="clear" w:color="auto" w:fill="auto"/>
            <w:tcMar>
              <w:top w:w="40" w:type="dxa"/>
              <w:left w:w="40" w:type="dxa"/>
              <w:bottom w:w="40" w:type="dxa"/>
              <w:right w:w="40" w:type="dxa"/>
            </w:tcMar>
            <w:vAlign w:val="bottom"/>
          </w:tcPr>
          <w:p w14:paraId="54E91A0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4E91A0D"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Total Number of Shares Purchased</w:t>
            </w:r>
            <w:r>
              <w:rPr>
                <w:rFonts w:ascii="Times New Roman" w:eastAsia="宋体" w:hAnsi="Times New Roman"/>
                <w:b/>
                <w:bCs/>
                <w:sz w:val="10"/>
                <w:szCs w:val="10"/>
              </w:rPr>
              <w:t>(1)</w:t>
            </w:r>
          </w:p>
        </w:tc>
        <w:tc>
          <w:tcPr>
            <w:tcW w:w="0" w:type="auto"/>
            <w:shd w:val="clear" w:color="auto" w:fill="auto"/>
            <w:tcMar>
              <w:top w:w="40" w:type="dxa"/>
              <w:left w:w="40" w:type="dxa"/>
              <w:bottom w:w="40" w:type="dxa"/>
              <w:right w:w="40" w:type="dxa"/>
            </w:tcMar>
            <w:vAlign w:val="bottom"/>
          </w:tcPr>
          <w:p w14:paraId="54E91A0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1A0F"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xml:space="preserve">Average Price </w:t>
            </w:r>
            <w:r>
              <w:rPr>
                <w:rFonts w:ascii="Times New Roman" w:eastAsia="宋体" w:hAnsi="Times New Roman"/>
                <w:b/>
                <w:bCs/>
                <w:sz w:val="16"/>
                <w:szCs w:val="16"/>
              </w:rPr>
              <w:t>Paid Per Share</w:t>
            </w:r>
            <w:r>
              <w:rPr>
                <w:rFonts w:ascii="Times New Roman" w:eastAsia="宋体" w:hAnsi="Times New Roman"/>
                <w:b/>
                <w:bCs/>
                <w:sz w:val="10"/>
                <w:szCs w:val="10"/>
              </w:rPr>
              <w:t>(2)</w:t>
            </w:r>
          </w:p>
        </w:tc>
        <w:tc>
          <w:tcPr>
            <w:tcW w:w="0" w:type="auto"/>
            <w:shd w:val="clear" w:color="auto" w:fill="auto"/>
            <w:tcMar>
              <w:top w:w="40" w:type="dxa"/>
              <w:left w:w="40" w:type="dxa"/>
              <w:bottom w:w="40" w:type="dxa"/>
              <w:right w:w="40" w:type="dxa"/>
            </w:tcMar>
            <w:vAlign w:val="bottom"/>
          </w:tcPr>
          <w:p w14:paraId="54E91A1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4E91A11"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Total Number of Shares Purchased as Part of Publicly Announced Programs</w:t>
            </w:r>
            <w:r>
              <w:rPr>
                <w:rFonts w:ascii="Times New Roman" w:eastAsia="宋体" w:hAnsi="Times New Roman"/>
                <w:b/>
                <w:bCs/>
                <w:sz w:val="10"/>
                <w:szCs w:val="10"/>
              </w:rPr>
              <w:t>(1)</w:t>
            </w:r>
          </w:p>
        </w:tc>
        <w:tc>
          <w:tcPr>
            <w:tcW w:w="0" w:type="auto"/>
            <w:shd w:val="clear" w:color="auto" w:fill="auto"/>
            <w:tcMar>
              <w:top w:w="40" w:type="dxa"/>
              <w:left w:w="40" w:type="dxa"/>
              <w:bottom w:w="40" w:type="dxa"/>
              <w:right w:w="40" w:type="dxa"/>
            </w:tcMar>
            <w:vAlign w:val="bottom"/>
          </w:tcPr>
          <w:p w14:paraId="54E91A1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4E91A13"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xml:space="preserve">Approximate Dollar Value of Shares that May Yet Be Purchased Under the Plans or Programs </w:t>
            </w:r>
            <w:r>
              <w:rPr>
                <w:rFonts w:ascii="Times New Roman" w:eastAsia="宋体" w:hAnsi="Times New Roman"/>
                <w:b/>
                <w:bCs/>
                <w:sz w:val="10"/>
                <w:szCs w:val="10"/>
              </w:rPr>
              <w:t>(1)</w:t>
            </w:r>
          </w:p>
        </w:tc>
      </w:tr>
      <w:tr w:rsidR="00F427A3" w14:paraId="54E91A1D" w14:textId="77777777">
        <w:tc>
          <w:tcPr>
            <w:tcW w:w="0" w:type="auto"/>
            <w:shd w:val="clear" w:color="auto" w:fill="auto"/>
            <w:tcMar>
              <w:top w:w="40" w:type="dxa"/>
              <w:left w:w="40" w:type="dxa"/>
              <w:bottom w:w="40" w:type="dxa"/>
              <w:right w:w="40" w:type="dxa"/>
            </w:tcMar>
            <w:vAlign w:val="bottom"/>
          </w:tcPr>
          <w:p w14:paraId="54E91A1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54E91A16" w14:textId="77777777" w:rsidR="00F427A3" w:rsidRDefault="0044221F">
            <w:pPr>
              <w:jc w:val="center"/>
              <w:textAlignment w:val="top"/>
              <w:rPr>
                <w:rFonts w:ascii="Times New Roman" w:hAnsi="Times New Roman"/>
                <w:sz w:val="16"/>
                <w:szCs w:val="16"/>
              </w:rPr>
            </w:pPr>
            <w:r>
              <w:rPr>
                <w:rFonts w:ascii="Times New Roman" w:eastAsia="宋体" w:hAnsi="Times New Roman"/>
                <w:b/>
                <w:bCs/>
                <w:sz w:val="16"/>
                <w:szCs w:val="16"/>
              </w:rPr>
              <w:t>(in thousands)</w:t>
            </w:r>
          </w:p>
        </w:tc>
        <w:tc>
          <w:tcPr>
            <w:tcW w:w="0" w:type="auto"/>
            <w:shd w:val="clear" w:color="auto" w:fill="auto"/>
            <w:tcMar>
              <w:top w:w="40" w:type="dxa"/>
              <w:left w:w="40" w:type="dxa"/>
              <w:bottom w:w="40" w:type="dxa"/>
              <w:right w:w="40" w:type="dxa"/>
            </w:tcMar>
            <w:vAlign w:val="bottom"/>
          </w:tcPr>
          <w:p w14:paraId="54E91A1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1A1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1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54E91A1A" w14:textId="77777777" w:rsidR="00F427A3" w:rsidRDefault="0044221F">
            <w:pPr>
              <w:jc w:val="center"/>
              <w:textAlignment w:val="top"/>
              <w:rPr>
                <w:rFonts w:ascii="Times New Roman" w:hAnsi="Times New Roman"/>
                <w:sz w:val="16"/>
                <w:szCs w:val="16"/>
              </w:rPr>
            </w:pPr>
            <w:r>
              <w:rPr>
                <w:rFonts w:ascii="Times New Roman" w:eastAsia="宋体" w:hAnsi="Times New Roman"/>
                <w:b/>
                <w:bCs/>
                <w:sz w:val="16"/>
                <w:szCs w:val="16"/>
              </w:rPr>
              <w:t>(in thousands)</w:t>
            </w:r>
          </w:p>
        </w:tc>
        <w:tc>
          <w:tcPr>
            <w:tcW w:w="0" w:type="auto"/>
            <w:shd w:val="clear" w:color="auto" w:fill="auto"/>
            <w:tcMar>
              <w:top w:w="40" w:type="dxa"/>
              <w:left w:w="40" w:type="dxa"/>
              <w:bottom w:w="40" w:type="dxa"/>
              <w:right w:w="40" w:type="dxa"/>
            </w:tcMar>
            <w:vAlign w:val="bottom"/>
          </w:tcPr>
          <w:p w14:paraId="54E91A1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tcPr>
          <w:p w14:paraId="54E91A1C" w14:textId="77777777" w:rsidR="00F427A3" w:rsidRDefault="0044221F">
            <w:pPr>
              <w:jc w:val="center"/>
              <w:textAlignment w:val="top"/>
              <w:rPr>
                <w:rFonts w:ascii="Times New Roman" w:hAnsi="Times New Roman"/>
                <w:sz w:val="16"/>
                <w:szCs w:val="16"/>
              </w:rPr>
            </w:pPr>
            <w:r>
              <w:rPr>
                <w:rFonts w:ascii="Times New Roman" w:eastAsia="宋体" w:hAnsi="Times New Roman"/>
                <w:b/>
                <w:bCs/>
                <w:sz w:val="16"/>
                <w:szCs w:val="16"/>
              </w:rPr>
              <w:t>(in millions)</w:t>
            </w:r>
          </w:p>
        </w:tc>
      </w:tr>
      <w:tr w:rsidR="00F427A3" w14:paraId="54E91A2C" w14:textId="77777777">
        <w:tc>
          <w:tcPr>
            <w:tcW w:w="0" w:type="auto"/>
            <w:shd w:val="clear" w:color="auto" w:fill="CCEEFF"/>
            <w:tcMar>
              <w:top w:w="40" w:type="dxa"/>
              <w:left w:w="40" w:type="dxa"/>
              <w:bottom w:w="40" w:type="dxa"/>
              <w:right w:w="40" w:type="dxa"/>
            </w:tcMar>
            <w:vAlign w:val="bottom"/>
          </w:tcPr>
          <w:p w14:paraId="54E91A1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July 1 - 31, 2020</w:t>
            </w:r>
          </w:p>
        </w:tc>
        <w:tc>
          <w:tcPr>
            <w:tcW w:w="0" w:type="auto"/>
            <w:shd w:val="clear" w:color="auto" w:fill="CCEEFF"/>
            <w:tcMar>
              <w:top w:w="40" w:type="dxa"/>
              <w:left w:w="40" w:type="dxa"/>
              <w:bottom w:w="40" w:type="dxa"/>
            </w:tcMar>
            <w:vAlign w:val="bottom"/>
          </w:tcPr>
          <w:p w14:paraId="54E91A1F"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2,310</w:t>
            </w:r>
          </w:p>
        </w:tc>
        <w:tc>
          <w:tcPr>
            <w:tcW w:w="0" w:type="auto"/>
            <w:shd w:val="clear" w:color="auto" w:fill="CCEEFF"/>
            <w:vAlign w:val="bottom"/>
          </w:tcPr>
          <w:p w14:paraId="54E91A20"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A2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A2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A23"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239.04</w:t>
            </w:r>
          </w:p>
        </w:tc>
        <w:tc>
          <w:tcPr>
            <w:tcW w:w="0" w:type="auto"/>
            <w:shd w:val="clear" w:color="auto" w:fill="CCEEFF"/>
            <w:vAlign w:val="bottom"/>
          </w:tcPr>
          <w:p w14:paraId="54E91A24"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A2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A26"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2,310</w:t>
            </w:r>
          </w:p>
        </w:tc>
        <w:tc>
          <w:tcPr>
            <w:tcW w:w="0" w:type="auto"/>
            <w:shd w:val="clear" w:color="auto" w:fill="CCEEFF"/>
            <w:vAlign w:val="bottom"/>
          </w:tcPr>
          <w:p w14:paraId="54E91A27"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A2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A2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A2A"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11,727</w:t>
            </w:r>
          </w:p>
        </w:tc>
        <w:tc>
          <w:tcPr>
            <w:tcW w:w="0" w:type="auto"/>
            <w:shd w:val="clear" w:color="auto" w:fill="CCEEFF"/>
            <w:vAlign w:val="bottom"/>
          </w:tcPr>
          <w:p w14:paraId="54E91A2B" w14:textId="77777777" w:rsidR="00F427A3" w:rsidRDefault="00F427A3">
            <w:pPr>
              <w:textAlignment w:val="bottom"/>
              <w:rPr>
                <w:rFonts w:ascii="Times New Roman" w:hAnsi="Times New Roman"/>
                <w:sz w:val="20"/>
                <w:szCs w:val="20"/>
              </w:rPr>
            </w:pPr>
          </w:p>
        </w:tc>
      </w:tr>
      <w:tr w:rsidR="00F427A3" w14:paraId="54E91A3B" w14:textId="77777777">
        <w:tc>
          <w:tcPr>
            <w:tcW w:w="0" w:type="auto"/>
            <w:shd w:val="clear" w:color="auto" w:fill="auto"/>
            <w:tcMar>
              <w:top w:w="40" w:type="dxa"/>
              <w:left w:w="40" w:type="dxa"/>
              <w:bottom w:w="40" w:type="dxa"/>
              <w:right w:w="40" w:type="dxa"/>
            </w:tcMar>
            <w:vAlign w:val="bottom"/>
          </w:tcPr>
          <w:p w14:paraId="54E91A2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August 1 - 31, 2020</w:t>
            </w:r>
          </w:p>
        </w:tc>
        <w:tc>
          <w:tcPr>
            <w:tcW w:w="0" w:type="auto"/>
            <w:shd w:val="clear" w:color="auto" w:fill="auto"/>
            <w:tcMar>
              <w:top w:w="40" w:type="dxa"/>
              <w:left w:w="40" w:type="dxa"/>
              <w:bottom w:w="40" w:type="dxa"/>
            </w:tcMar>
            <w:vAlign w:val="bottom"/>
          </w:tcPr>
          <w:p w14:paraId="54E91A2E"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2,205</w:t>
            </w:r>
          </w:p>
        </w:tc>
        <w:tc>
          <w:tcPr>
            <w:tcW w:w="0" w:type="auto"/>
            <w:shd w:val="clear" w:color="auto" w:fill="auto"/>
            <w:vAlign w:val="bottom"/>
          </w:tcPr>
          <w:p w14:paraId="54E91A2F"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A3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1A3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91A32"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268.67</w:t>
            </w:r>
          </w:p>
        </w:tc>
        <w:tc>
          <w:tcPr>
            <w:tcW w:w="0" w:type="auto"/>
            <w:shd w:val="clear" w:color="auto" w:fill="auto"/>
            <w:vAlign w:val="bottom"/>
          </w:tcPr>
          <w:p w14:paraId="54E91A33"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A3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1A35"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2,205</w:t>
            </w:r>
          </w:p>
        </w:tc>
        <w:tc>
          <w:tcPr>
            <w:tcW w:w="0" w:type="auto"/>
            <w:shd w:val="clear" w:color="auto" w:fill="auto"/>
            <w:vAlign w:val="bottom"/>
          </w:tcPr>
          <w:p w14:paraId="54E91A36"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A3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4E91A3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4E91A39"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11,135</w:t>
            </w:r>
          </w:p>
        </w:tc>
        <w:tc>
          <w:tcPr>
            <w:tcW w:w="0" w:type="auto"/>
            <w:shd w:val="clear" w:color="auto" w:fill="auto"/>
            <w:vAlign w:val="bottom"/>
          </w:tcPr>
          <w:p w14:paraId="54E91A3A" w14:textId="77777777" w:rsidR="00F427A3" w:rsidRDefault="00F427A3">
            <w:pPr>
              <w:textAlignment w:val="bottom"/>
              <w:rPr>
                <w:rFonts w:ascii="Times New Roman" w:hAnsi="Times New Roman"/>
                <w:sz w:val="20"/>
                <w:szCs w:val="20"/>
              </w:rPr>
            </w:pPr>
          </w:p>
        </w:tc>
      </w:tr>
      <w:tr w:rsidR="00F427A3" w14:paraId="54E91A4A" w14:textId="77777777">
        <w:tc>
          <w:tcPr>
            <w:tcW w:w="0" w:type="auto"/>
            <w:shd w:val="clear" w:color="auto" w:fill="CCEEFF"/>
            <w:tcMar>
              <w:top w:w="40" w:type="dxa"/>
              <w:left w:w="40" w:type="dxa"/>
              <w:bottom w:w="40" w:type="dxa"/>
              <w:right w:w="40" w:type="dxa"/>
            </w:tcMar>
            <w:vAlign w:val="bottom"/>
          </w:tcPr>
          <w:p w14:paraId="54E91A3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September 1 - 30, 2020</w:t>
            </w:r>
          </w:p>
        </w:tc>
        <w:tc>
          <w:tcPr>
            <w:tcW w:w="0" w:type="auto"/>
            <w:tcBorders>
              <w:bottom w:val="single" w:sz="8" w:space="0" w:color="000000"/>
            </w:tcBorders>
            <w:shd w:val="clear" w:color="auto" w:fill="CCEEFF"/>
            <w:tcMar>
              <w:top w:w="40" w:type="dxa"/>
              <w:left w:w="40" w:type="dxa"/>
              <w:bottom w:w="40" w:type="dxa"/>
            </w:tcMar>
            <w:vAlign w:val="bottom"/>
          </w:tcPr>
          <w:p w14:paraId="54E91A3D"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2,205</w:t>
            </w:r>
          </w:p>
        </w:tc>
        <w:tc>
          <w:tcPr>
            <w:tcW w:w="0" w:type="auto"/>
            <w:tcBorders>
              <w:bottom w:val="single" w:sz="8" w:space="0" w:color="000000"/>
            </w:tcBorders>
            <w:shd w:val="clear" w:color="auto" w:fill="CCEEFF"/>
            <w:vAlign w:val="bottom"/>
          </w:tcPr>
          <w:p w14:paraId="54E91A3E"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A3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4E91A4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4E91A4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267.27</w:t>
            </w:r>
          </w:p>
        </w:tc>
        <w:tc>
          <w:tcPr>
            <w:tcW w:w="0" w:type="auto"/>
            <w:shd w:val="clear" w:color="auto" w:fill="CCEEFF"/>
            <w:vAlign w:val="bottom"/>
          </w:tcPr>
          <w:p w14:paraId="54E91A42"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A4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4E91A44"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2,205</w:t>
            </w:r>
          </w:p>
        </w:tc>
        <w:tc>
          <w:tcPr>
            <w:tcW w:w="0" w:type="auto"/>
            <w:tcBorders>
              <w:bottom w:val="single" w:sz="8" w:space="0" w:color="000000"/>
            </w:tcBorders>
            <w:shd w:val="clear" w:color="auto" w:fill="CCEEFF"/>
            <w:vAlign w:val="bottom"/>
          </w:tcPr>
          <w:p w14:paraId="54E91A45" w14:textId="77777777" w:rsidR="00F427A3" w:rsidRDefault="00F427A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4E91A4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54E91A47"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54E91A48" w14:textId="77777777" w:rsidR="00F427A3" w:rsidRDefault="0044221F">
            <w:pPr>
              <w:jc w:val="right"/>
              <w:textAlignment w:val="top"/>
              <w:rPr>
                <w:rFonts w:ascii="Times New Roman" w:hAnsi="Times New Roman"/>
                <w:sz w:val="20"/>
                <w:szCs w:val="20"/>
              </w:rPr>
            </w:pPr>
            <w:r>
              <w:rPr>
                <w:rFonts w:ascii="Times New Roman" w:eastAsia="宋体" w:hAnsi="Times New Roman"/>
                <w:sz w:val="20"/>
                <w:szCs w:val="20"/>
              </w:rPr>
              <w:t>10,545</w:t>
            </w:r>
          </w:p>
        </w:tc>
        <w:tc>
          <w:tcPr>
            <w:tcW w:w="0" w:type="auto"/>
            <w:shd w:val="clear" w:color="auto" w:fill="CCEEFF"/>
            <w:vAlign w:val="bottom"/>
          </w:tcPr>
          <w:p w14:paraId="54E91A49" w14:textId="77777777" w:rsidR="00F427A3" w:rsidRDefault="00F427A3">
            <w:pPr>
              <w:textAlignment w:val="bottom"/>
              <w:rPr>
                <w:rFonts w:ascii="Times New Roman" w:hAnsi="Times New Roman"/>
                <w:sz w:val="20"/>
                <w:szCs w:val="20"/>
              </w:rPr>
            </w:pPr>
          </w:p>
        </w:tc>
      </w:tr>
      <w:tr w:rsidR="00F427A3" w14:paraId="54E91A55" w14:textId="77777777">
        <w:tc>
          <w:tcPr>
            <w:tcW w:w="0" w:type="auto"/>
            <w:shd w:val="clear" w:color="auto" w:fill="auto"/>
            <w:tcMar>
              <w:top w:w="40" w:type="dxa"/>
              <w:left w:w="40" w:type="dxa"/>
              <w:bottom w:w="40" w:type="dxa"/>
              <w:right w:w="40" w:type="dxa"/>
            </w:tcMar>
            <w:vAlign w:val="bottom"/>
          </w:tcPr>
          <w:p w14:paraId="54E91A4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1A4C"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6,720</w:t>
            </w:r>
          </w:p>
        </w:tc>
        <w:tc>
          <w:tcPr>
            <w:tcW w:w="0" w:type="auto"/>
            <w:tcBorders>
              <w:top w:val="single" w:sz="8" w:space="0" w:color="000000"/>
              <w:bottom w:val="double" w:sz="6" w:space="0" w:color="000000"/>
            </w:tcBorders>
            <w:shd w:val="clear" w:color="auto" w:fill="auto"/>
            <w:vAlign w:val="bottom"/>
          </w:tcPr>
          <w:p w14:paraId="54E91A4D"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A4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1A4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5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4E91A51" w14:textId="77777777" w:rsidR="00F427A3" w:rsidRDefault="0044221F">
            <w:pPr>
              <w:jc w:val="right"/>
              <w:textAlignment w:val="bottom"/>
              <w:rPr>
                <w:rFonts w:ascii="Times New Roman" w:hAnsi="Times New Roman"/>
                <w:sz w:val="20"/>
                <w:szCs w:val="20"/>
              </w:rPr>
            </w:pPr>
            <w:r>
              <w:rPr>
                <w:rFonts w:ascii="Times New Roman" w:eastAsia="宋体" w:hAnsi="Times New Roman"/>
                <w:sz w:val="20"/>
                <w:szCs w:val="20"/>
              </w:rPr>
              <w:t>6,720</w:t>
            </w:r>
          </w:p>
        </w:tc>
        <w:tc>
          <w:tcPr>
            <w:tcW w:w="0" w:type="auto"/>
            <w:tcBorders>
              <w:top w:val="single" w:sz="8" w:space="0" w:color="000000"/>
              <w:bottom w:val="double" w:sz="6" w:space="0" w:color="000000"/>
            </w:tcBorders>
            <w:shd w:val="clear" w:color="auto" w:fill="auto"/>
            <w:vAlign w:val="bottom"/>
          </w:tcPr>
          <w:p w14:paraId="54E91A52" w14:textId="77777777" w:rsidR="00F427A3" w:rsidRDefault="00F427A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4E91A5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4E91A5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bl>
    <w:p w14:paraId="54E91A56" w14:textId="77777777" w:rsidR="00F427A3" w:rsidRDefault="0044221F">
      <w:pPr>
        <w:spacing w:line="288" w:lineRule="auto"/>
        <w:rPr>
          <w:rFonts w:ascii="Times New Roman" w:hAnsi="Times New Roman"/>
          <w:sz w:val="12"/>
          <w:szCs w:val="12"/>
        </w:rPr>
      </w:pPr>
      <w:r>
        <w:rPr>
          <w:rFonts w:ascii="Times New Roman" w:eastAsia="宋体" w:hAnsi="Times New Roman"/>
          <w:sz w:val="12"/>
          <w:szCs w:val="12"/>
        </w:rPr>
        <w:t>____________________________________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427A3" w14:paraId="54E91A59" w14:textId="77777777">
        <w:trPr>
          <w:tblCellSpacing w:w="0" w:type="dxa"/>
        </w:trPr>
        <w:tc>
          <w:tcPr>
            <w:tcW w:w="480" w:type="dxa"/>
            <w:shd w:val="clear" w:color="auto" w:fill="auto"/>
            <w:vAlign w:val="center"/>
          </w:tcPr>
          <w:p w14:paraId="54E91A57" w14:textId="77777777" w:rsidR="00F427A3" w:rsidRDefault="00F427A3">
            <w:pPr>
              <w:rPr>
                <w:rFonts w:ascii="Times New Roman" w:hAnsi="Times New Roman"/>
                <w:sz w:val="20"/>
                <w:szCs w:val="20"/>
              </w:rPr>
            </w:pPr>
          </w:p>
        </w:tc>
        <w:tc>
          <w:tcPr>
            <w:tcW w:w="0" w:type="auto"/>
            <w:shd w:val="clear" w:color="auto" w:fill="auto"/>
            <w:vAlign w:val="center"/>
          </w:tcPr>
          <w:p w14:paraId="54E91A58" w14:textId="77777777" w:rsidR="00F427A3" w:rsidRDefault="00F427A3">
            <w:pPr>
              <w:rPr>
                <w:rFonts w:ascii="Times New Roman" w:hAnsi="Times New Roman"/>
                <w:sz w:val="20"/>
                <w:szCs w:val="20"/>
              </w:rPr>
            </w:pPr>
          </w:p>
        </w:tc>
      </w:tr>
      <w:tr w:rsidR="00F427A3" w14:paraId="54E91A5C" w14:textId="77777777">
        <w:trPr>
          <w:tblCellSpacing w:w="0" w:type="dxa"/>
        </w:trPr>
        <w:tc>
          <w:tcPr>
            <w:tcW w:w="0" w:type="auto"/>
            <w:shd w:val="clear" w:color="auto" w:fill="auto"/>
          </w:tcPr>
          <w:p w14:paraId="54E91A5A" w14:textId="77777777" w:rsidR="00F427A3" w:rsidRDefault="0044221F">
            <w:pPr>
              <w:spacing w:line="288" w:lineRule="auto"/>
              <w:textAlignment w:val="top"/>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Pr>
          <w:p w14:paraId="54E91A5B" w14:textId="77777777" w:rsidR="00F427A3" w:rsidRDefault="0044221F">
            <w:pPr>
              <w:spacing w:line="288" w:lineRule="auto"/>
              <w:jc w:val="both"/>
              <w:textAlignment w:val="top"/>
              <w:rPr>
                <w:rFonts w:ascii="Times New Roman" w:hAnsi="Times New Roman"/>
                <w:sz w:val="18"/>
                <w:szCs w:val="18"/>
              </w:rPr>
            </w:pPr>
            <w:r>
              <w:rPr>
                <w:rFonts w:ascii="Times New Roman" w:eastAsia="宋体" w:hAnsi="Times New Roman"/>
                <w:sz w:val="18"/>
                <w:szCs w:val="18"/>
              </w:rPr>
              <w:t xml:space="preserve">Our board of directors has authorized a share repurchase program of our Class A common stock, </w:t>
            </w:r>
            <w:r>
              <w:rPr>
                <w:rFonts w:ascii="Times New Roman" w:eastAsia="宋体" w:hAnsi="Times New Roman"/>
                <w:sz w:val="18"/>
                <w:szCs w:val="18"/>
              </w:rPr>
              <w:t>which does not have an expiration date. As of December 31, 2019, $4.90 billion remained available for repurchases under this program. In January 2020, an additional $10.0 billion of repurchases was authorized under this program. The timing and actual numbe</w:t>
            </w:r>
            <w:r>
              <w:rPr>
                <w:rFonts w:ascii="Times New Roman" w:eastAsia="宋体" w:hAnsi="Times New Roman"/>
                <w:sz w:val="18"/>
                <w:szCs w:val="18"/>
              </w:rPr>
              <w:t>r of shares repurchased depend on a variety of factors, including price, general business and market conditions, and other investment opportunities, and shares may be repurchased through open market purchases or privately negotiated transactions, including</w:t>
            </w:r>
            <w:r>
              <w:rPr>
                <w:rFonts w:ascii="Times New Roman" w:eastAsia="宋体" w:hAnsi="Times New Roman"/>
                <w:sz w:val="18"/>
                <w:szCs w:val="18"/>
              </w:rPr>
              <w:t xml:space="preserve"> through the use of trading plans intended to qualify under Rule 10b5-1 under the Exchange Act.</w:t>
            </w:r>
          </w:p>
        </w:tc>
      </w:tr>
    </w:tbl>
    <w:p w14:paraId="54E91A5D" w14:textId="77777777" w:rsidR="00F427A3" w:rsidRDefault="00F427A3">
      <w:pPr>
        <w:spacing w:line="288" w:lineRule="auto"/>
        <w:jc w:val="both"/>
        <w:rPr>
          <w:rFonts w:ascii="Times New Roman" w:hAnsi="Times New Roman"/>
          <w:sz w:val="18"/>
          <w:szCs w:val="18"/>
        </w:rPr>
      </w:pPr>
    </w:p>
    <w:tbl>
      <w:tblPr>
        <w:tblW w:w="0" w:type="auto"/>
        <w:tblCellSpacing w:w="0" w:type="dxa"/>
        <w:tblCellMar>
          <w:left w:w="0" w:type="dxa"/>
          <w:right w:w="0" w:type="dxa"/>
        </w:tblCellMar>
        <w:tblLook w:val="04A0" w:firstRow="1" w:lastRow="0" w:firstColumn="1" w:lastColumn="0" w:noHBand="0" w:noVBand="1"/>
      </w:tblPr>
      <w:tblGrid>
        <w:gridCol w:w="480"/>
        <w:gridCol w:w="5473"/>
      </w:tblGrid>
      <w:tr w:rsidR="00F427A3" w14:paraId="54E91A60" w14:textId="77777777">
        <w:trPr>
          <w:tblCellSpacing w:w="0" w:type="dxa"/>
        </w:trPr>
        <w:tc>
          <w:tcPr>
            <w:tcW w:w="480" w:type="dxa"/>
            <w:shd w:val="clear" w:color="auto" w:fill="auto"/>
            <w:vAlign w:val="center"/>
          </w:tcPr>
          <w:p w14:paraId="54E91A5E" w14:textId="77777777" w:rsidR="00F427A3" w:rsidRDefault="00F427A3">
            <w:pPr>
              <w:rPr>
                <w:rFonts w:ascii="Times New Roman" w:hAnsi="Times New Roman"/>
                <w:sz w:val="20"/>
                <w:szCs w:val="20"/>
              </w:rPr>
            </w:pPr>
          </w:p>
        </w:tc>
        <w:tc>
          <w:tcPr>
            <w:tcW w:w="0" w:type="auto"/>
            <w:shd w:val="clear" w:color="auto" w:fill="auto"/>
            <w:vAlign w:val="center"/>
          </w:tcPr>
          <w:p w14:paraId="54E91A5F" w14:textId="77777777" w:rsidR="00F427A3" w:rsidRDefault="00F427A3">
            <w:pPr>
              <w:rPr>
                <w:rFonts w:ascii="Times New Roman" w:hAnsi="Times New Roman"/>
                <w:sz w:val="20"/>
                <w:szCs w:val="20"/>
              </w:rPr>
            </w:pPr>
          </w:p>
        </w:tc>
      </w:tr>
      <w:tr w:rsidR="00F427A3" w14:paraId="54E91A63" w14:textId="77777777">
        <w:trPr>
          <w:tblCellSpacing w:w="0" w:type="dxa"/>
        </w:trPr>
        <w:tc>
          <w:tcPr>
            <w:tcW w:w="0" w:type="auto"/>
            <w:shd w:val="clear" w:color="auto" w:fill="auto"/>
          </w:tcPr>
          <w:p w14:paraId="54E91A61" w14:textId="77777777" w:rsidR="00F427A3" w:rsidRDefault="0044221F">
            <w:pPr>
              <w:spacing w:line="288" w:lineRule="auto"/>
              <w:textAlignment w:val="top"/>
              <w:rPr>
                <w:rFonts w:ascii="Times New Roman" w:hAnsi="Times New Roman"/>
                <w:sz w:val="18"/>
                <w:szCs w:val="18"/>
              </w:rPr>
            </w:pPr>
            <w:r>
              <w:rPr>
                <w:rFonts w:ascii="Times New Roman" w:eastAsia="宋体" w:hAnsi="Times New Roman"/>
                <w:sz w:val="18"/>
                <w:szCs w:val="18"/>
              </w:rPr>
              <w:t>(2)</w:t>
            </w:r>
          </w:p>
        </w:tc>
        <w:tc>
          <w:tcPr>
            <w:tcW w:w="0" w:type="auto"/>
            <w:shd w:val="clear" w:color="auto" w:fill="auto"/>
          </w:tcPr>
          <w:p w14:paraId="54E91A62" w14:textId="77777777" w:rsidR="00F427A3" w:rsidRDefault="0044221F">
            <w:pPr>
              <w:spacing w:line="288" w:lineRule="auto"/>
              <w:jc w:val="both"/>
              <w:textAlignment w:val="top"/>
              <w:rPr>
                <w:rFonts w:ascii="Times New Roman" w:hAnsi="Times New Roman"/>
                <w:sz w:val="18"/>
                <w:szCs w:val="18"/>
              </w:rPr>
            </w:pPr>
            <w:r>
              <w:rPr>
                <w:rFonts w:ascii="Times New Roman" w:eastAsia="宋体" w:hAnsi="Times New Roman"/>
                <w:sz w:val="18"/>
                <w:szCs w:val="18"/>
              </w:rPr>
              <w:t>Average price paid per share includes costs associated with the repurchases.</w:t>
            </w:r>
          </w:p>
        </w:tc>
      </w:tr>
    </w:tbl>
    <w:p w14:paraId="54E91A64" w14:textId="77777777" w:rsidR="00F427A3" w:rsidRDefault="00F427A3">
      <w:pPr>
        <w:spacing w:line="288" w:lineRule="auto"/>
        <w:rPr>
          <w:rFonts w:ascii="Times New Roman" w:hAnsi="Times New Roman"/>
          <w:sz w:val="18"/>
          <w:szCs w:val="18"/>
        </w:rPr>
      </w:pPr>
    </w:p>
    <w:p w14:paraId="54E91A65" w14:textId="77777777" w:rsidR="00F427A3" w:rsidRDefault="00F427A3">
      <w:pPr>
        <w:rPr>
          <w:rFonts w:ascii="Times New Roman" w:hAnsi="Times New Roman"/>
          <w:sz w:val="20"/>
          <w:szCs w:val="20"/>
        </w:rPr>
      </w:pPr>
    </w:p>
    <w:p w14:paraId="54E91A66"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84</w:t>
      </w:r>
    </w:p>
    <w:p w14:paraId="54E91A67" w14:textId="77777777" w:rsidR="00F427A3" w:rsidRDefault="0044221F">
      <w:r>
        <w:rPr>
          <w:rFonts w:ascii="Times New Roman" w:hAnsi="Times New Roman"/>
          <w:sz w:val="20"/>
          <w:szCs w:val="20"/>
        </w:rPr>
        <w:pict w14:anchorId="54E91C84">
          <v:rect id="_x0000_i1108" style="width:415.3pt;height:1.5pt" o:hralign="center" o:hrstd="t" o:hr="t" fillcolor="#a0a0a0" stroked="f"/>
        </w:pict>
      </w:r>
    </w:p>
    <w:p w14:paraId="54E91A68" w14:textId="77777777" w:rsidR="00F427A3" w:rsidRDefault="0044221F">
      <w:pPr>
        <w:spacing w:line="288" w:lineRule="auto"/>
        <w:rPr>
          <w:rFonts w:ascii="Times New Roman" w:hAnsi="Times New Roman"/>
          <w:sz w:val="20"/>
          <w:szCs w:val="20"/>
        </w:rPr>
      </w:pPr>
      <w:hyperlink r:id="rId125" w:anchor="s348EA962CF6D59B599D9921AFA89C381" w:history="1">
        <w:r>
          <w:rPr>
            <w:rStyle w:val="a5"/>
            <w:rFonts w:ascii="Times New Roman" w:eastAsia="宋体" w:hAnsi="Times New Roman"/>
            <w:sz w:val="20"/>
            <w:szCs w:val="20"/>
          </w:rPr>
          <w:t>Table of Contents</w:t>
        </w:r>
      </w:hyperlink>
    </w:p>
    <w:p w14:paraId="54E91A69" w14:textId="77777777" w:rsidR="00F427A3" w:rsidRDefault="00F427A3">
      <w:pPr>
        <w:rPr>
          <w:rFonts w:ascii="Times New Roman" w:hAnsi="Times New Roman"/>
          <w:sz w:val="20"/>
          <w:szCs w:val="20"/>
        </w:rPr>
      </w:pPr>
    </w:p>
    <w:tbl>
      <w:tblPr>
        <w:tblW w:w="0" w:type="auto"/>
        <w:tblCellSpacing w:w="0" w:type="dxa"/>
        <w:tblCellMar>
          <w:top w:w="360" w:type="dxa"/>
          <w:left w:w="0" w:type="dxa"/>
          <w:right w:w="0" w:type="dxa"/>
        </w:tblCellMar>
        <w:tblLook w:val="04A0" w:firstRow="1" w:lastRow="0" w:firstColumn="1" w:lastColumn="0" w:noHBand="0" w:noVBand="1"/>
      </w:tblPr>
      <w:tblGrid>
        <w:gridCol w:w="960"/>
        <w:gridCol w:w="712"/>
      </w:tblGrid>
      <w:tr w:rsidR="00F427A3" w14:paraId="54E91A6C" w14:textId="77777777">
        <w:trPr>
          <w:tblCellSpacing w:w="0" w:type="dxa"/>
        </w:trPr>
        <w:tc>
          <w:tcPr>
            <w:tcW w:w="960" w:type="dxa"/>
            <w:shd w:val="clear" w:color="auto" w:fill="auto"/>
            <w:vAlign w:val="center"/>
          </w:tcPr>
          <w:p w14:paraId="54E91A6A" w14:textId="77777777" w:rsidR="00F427A3" w:rsidRDefault="00F427A3">
            <w:pPr>
              <w:rPr>
                <w:rFonts w:ascii="Times New Roman" w:hAnsi="Times New Roman"/>
                <w:sz w:val="20"/>
                <w:szCs w:val="20"/>
              </w:rPr>
            </w:pPr>
          </w:p>
        </w:tc>
        <w:tc>
          <w:tcPr>
            <w:tcW w:w="0" w:type="auto"/>
            <w:shd w:val="clear" w:color="auto" w:fill="auto"/>
            <w:vAlign w:val="center"/>
          </w:tcPr>
          <w:p w14:paraId="54E91A6B" w14:textId="77777777" w:rsidR="00F427A3" w:rsidRDefault="00F427A3">
            <w:pPr>
              <w:rPr>
                <w:rFonts w:ascii="Times New Roman" w:hAnsi="Times New Roman"/>
                <w:sz w:val="20"/>
                <w:szCs w:val="20"/>
              </w:rPr>
            </w:pPr>
          </w:p>
        </w:tc>
      </w:tr>
      <w:tr w:rsidR="00F427A3" w14:paraId="54E91A6F" w14:textId="77777777">
        <w:trPr>
          <w:tblCellSpacing w:w="0" w:type="dxa"/>
        </w:trPr>
        <w:tc>
          <w:tcPr>
            <w:tcW w:w="0" w:type="auto"/>
            <w:shd w:val="clear" w:color="auto" w:fill="auto"/>
          </w:tcPr>
          <w:p w14:paraId="54E91A6D"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b/>
                <w:bCs/>
                <w:sz w:val="20"/>
                <w:szCs w:val="20"/>
              </w:rPr>
              <w:t>Item 6.</w:t>
            </w:r>
          </w:p>
        </w:tc>
        <w:tc>
          <w:tcPr>
            <w:tcW w:w="0" w:type="auto"/>
            <w:shd w:val="clear" w:color="auto" w:fill="auto"/>
          </w:tcPr>
          <w:p w14:paraId="54E91A6E" w14:textId="77777777" w:rsidR="00F427A3" w:rsidRDefault="0044221F">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Exhibits </w:t>
            </w:r>
          </w:p>
        </w:tc>
      </w:tr>
    </w:tbl>
    <w:p w14:paraId="54E91A70" w14:textId="77777777" w:rsidR="00F427A3" w:rsidRDefault="00F427A3">
      <w:pPr>
        <w:spacing w:line="288" w:lineRule="auto"/>
        <w:rPr>
          <w:rFonts w:ascii="Times New Roman" w:hAnsi="Times New Roman"/>
          <w:sz w:val="18"/>
          <w:szCs w:val="18"/>
        </w:rPr>
      </w:pPr>
    </w:p>
    <w:tbl>
      <w:tblPr>
        <w:tblW w:w="5000" w:type="pct"/>
        <w:tblCellMar>
          <w:left w:w="0" w:type="dxa"/>
          <w:right w:w="0" w:type="dxa"/>
        </w:tblCellMar>
        <w:tblLook w:val="04A0" w:firstRow="1" w:lastRow="0" w:firstColumn="1" w:lastColumn="0" w:noHBand="0" w:noVBand="1"/>
      </w:tblPr>
      <w:tblGrid>
        <w:gridCol w:w="830"/>
        <w:gridCol w:w="160"/>
        <w:gridCol w:w="2936"/>
        <w:gridCol w:w="160"/>
        <w:gridCol w:w="463"/>
        <w:gridCol w:w="160"/>
        <w:gridCol w:w="675"/>
        <w:gridCol w:w="160"/>
        <w:gridCol w:w="778"/>
        <w:gridCol w:w="160"/>
        <w:gridCol w:w="944"/>
        <w:gridCol w:w="160"/>
        <w:gridCol w:w="720"/>
      </w:tblGrid>
      <w:tr w:rsidR="00F427A3" w14:paraId="54E91A72" w14:textId="77777777">
        <w:tc>
          <w:tcPr>
            <w:tcW w:w="0" w:type="auto"/>
            <w:gridSpan w:val="13"/>
            <w:shd w:val="clear" w:color="auto" w:fill="auto"/>
            <w:vAlign w:val="center"/>
          </w:tcPr>
          <w:p w14:paraId="54E91A71" w14:textId="77777777" w:rsidR="00F427A3" w:rsidRDefault="00F427A3">
            <w:pPr>
              <w:rPr>
                <w:rFonts w:ascii="Times New Roman" w:hAnsi="Times New Roman"/>
                <w:sz w:val="20"/>
                <w:szCs w:val="20"/>
              </w:rPr>
            </w:pPr>
          </w:p>
        </w:tc>
      </w:tr>
      <w:tr w:rsidR="00F427A3" w14:paraId="54E91A80" w14:textId="77777777">
        <w:tc>
          <w:tcPr>
            <w:tcW w:w="400" w:type="pct"/>
            <w:shd w:val="clear" w:color="auto" w:fill="auto"/>
            <w:vAlign w:val="center"/>
          </w:tcPr>
          <w:p w14:paraId="54E91A73" w14:textId="77777777" w:rsidR="00F427A3" w:rsidRDefault="00F427A3">
            <w:pPr>
              <w:rPr>
                <w:rFonts w:ascii="Times New Roman" w:hAnsi="Times New Roman"/>
                <w:sz w:val="20"/>
                <w:szCs w:val="20"/>
              </w:rPr>
            </w:pPr>
          </w:p>
        </w:tc>
        <w:tc>
          <w:tcPr>
            <w:tcW w:w="50" w:type="pct"/>
            <w:shd w:val="clear" w:color="auto" w:fill="auto"/>
            <w:vAlign w:val="center"/>
          </w:tcPr>
          <w:p w14:paraId="54E91A74" w14:textId="77777777" w:rsidR="00F427A3" w:rsidRDefault="00F427A3">
            <w:pPr>
              <w:rPr>
                <w:rFonts w:ascii="Times New Roman" w:hAnsi="Times New Roman"/>
                <w:sz w:val="20"/>
                <w:szCs w:val="20"/>
              </w:rPr>
            </w:pPr>
          </w:p>
        </w:tc>
        <w:tc>
          <w:tcPr>
            <w:tcW w:w="1850" w:type="pct"/>
            <w:shd w:val="clear" w:color="auto" w:fill="auto"/>
            <w:vAlign w:val="center"/>
          </w:tcPr>
          <w:p w14:paraId="54E91A75" w14:textId="77777777" w:rsidR="00F427A3" w:rsidRDefault="00F427A3">
            <w:pPr>
              <w:rPr>
                <w:rFonts w:ascii="Times New Roman" w:hAnsi="Times New Roman"/>
                <w:sz w:val="20"/>
                <w:szCs w:val="20"/>
              </w:rPr>
            </w:pPr>
          </w:p>
        </w:tc>
        <w:tc>
          <w:tcPr>
            <w:tcW w:w="50" w:type="pct"/>
            <w:shd w:val="clear" w:color="auto" w:fill="auto"/>
            <w:vAlign w:val="center"/>
          </w:tcPr>
          <w:p w14:paraId="54E91A76" w14:textId="77777777" w:rsidR="00F427A3" w:rsidRDefault="00F427A3">
            <w:pPr>
              <w:rPr>
                <w:rFonts w:ascii="Times New Roman" w:hAnsi="Times New Roman"/>
                <w:sz w:val="20"/>
                <w:szCs w:val="20"/>
              </w:rPr>
            </w:pPr>
          </w:p>
        </w:tc>
        <w:tc>
          <w:tcPr>
            <w:tcW w:w="350" w:type="pct"/>
            <w:shd w:val="clear" w:color="auto" w:fill="auto"/>
            <w:vAlign w:val="center"/>
          </w:tcPr>
          <w:p w14:paraId="54E91A77" w14:textId="77777777" w:rsidR="00F427A3" w:rsidRDefault="00F427A3">
            <w:pPr>
              <w:rPr>
                <w:rFonts w:ascii="Times New Roman" w:hAnsi="Times New Roman"/>
                <w:sz w:val="20"/>
                <w:szCs w:val="20"/>
              </w:rPr>
            </w:pPr>
          </w:p>
        </w:tc>
        <w:tc>
          <w:tcPr>
            <w:tcW w:w="50" w:type="pct"/>
            <w:shd w:val="clear" w:color="auto" w:fill="auto"/>
            <w:vAlign w:val="center"/>
          </w:tcPr>
          <w:p w14:paraId="54E91A78" w14:textId="77777777" w:rsidR="00F427A3" w:rsidRDefault="00F427A3">
            <w:pPr>
              <w:rPr>
                <w:rFonts w:ascii="Times New Roman" w:hAnsi="Times New Roman"/>
                <w:sz w:val="20"/>
                <w:szCs w:val="20"/>
              </w:rPr>
            </w:pPr>
          </w:p>
        </w:tc>
        <w:tc>
          <w:tcPr>
            <w:tcW w:w="500" w:type="pct"/>
            <w:shd w:val="clear" w:color="auto" w:fill="auto"/>
            <w:vAlign w:val="center"/>
          </w:tcPr>
          <w:p w14:paraId="54E91A79" w14:textId="77777777" w:rsidR="00F427A3" w:rsidRDefault="00F427A3">
            <w:pPr>
              <w:rPr>
                <w:rFonts w:ascii="Times New Roman" w:hAnsi="Times New Roman"/>
                <w:sz w:val="20"/>
                <w:szCs w:val="20"/>
              </w:rPr>
            </w:pPr>
          </w:p>
        </w:tc>
        <w:tc>
          <w:tcPr>
            <w:tcW w:w="50" w:type="pct"/>
            <w:shd w:val="clear" w:color="auto" w:fill="auto"/>
            <w:vAlign w:val="center"/>
          </w:tcPr>
          <w:p w14:paraId="54E91A7A" w14:textId="77777777" w:rsidR="00F427A3" w:rsidRDefault="00F427A3">
            <w:pPr>
              <w:rPr>
                <w:rFonts w:ascii="Times New Roman" w:hAnsi="Times New Roman"/>
                <w:sz w:val="20"/>
                <w:szCs w:val="20"/>
              </w:rPr>
            </w:pPr>
          </w:p>
        </w:tc>
        <w:tc>
          <w:tcPr>
            <w:tcW w:w="550" w:type="pct"/>
            <w:shd w:val="clear" w:color="auto" w:fill="auto"/>
            <w:vAlign w:val="center"/>
          </w:tcPr>
          <w:p w14:paraId="54E91A7B" w14:textId="77777777" w:rsidR="00F427A3" w:rsidRDefault="00F427A3">
            <w:pPr>
              <w:rPr>
                <w:rFonts w:ascii="Times New Roman" w:hAnsi="Times New Roman"/>
                <w:sz w:val="20"/>
                <w:szCs w:val="20"/>
              </w:rPr>
            </w:pPr>
          </w:p>
        </w:tc>
        <w:tc>
          <w:tcPr>
            <w:tcW w:w="50" w:type="pct"/>
            <w:shd w:val="clear" w:color="auto" w:fill="auto"/>
            <w:vAlign w:val="center"/>
          </w:tcPr>
          <w:p w14:paraId="54E91A7C" w14:textId="77777777" w:rsidR="00F427A3" w:rsidRDefault="00F427A3">
            <w:pPr>
              <w:rPr>
                <w:rFonts w:ascii="Times New Roman" w:hAnsi="Times New Roman"/>
                <w:sz w:val="20"/>
                <w:szCs w:val="20"/>
              </w:rPr>
            </w:pPr>
          </w:p>
        </w:tc>
        <w:tc>
          <w:tcPr>
            <w:tcW w:w="650" w:type="pct"/>
            <w:shd w:val="clear" w:color="auto" w:fill="auto"/>
            <w:vAlign w:val="center"/>
          </w:tcPr>
          <w:p w14:paraId="54E91A7D" w14:textId="77777777" w:rsidR="00F427A3" w:rsidRDefault="00F427A3">
            <w:pPr>
              <w:rPr>
                <w:rFonts w:ascii="Times New Roman" w:hAnsi="Times New Roman"/>
                <w:sz w:val="20"/>
                <w:szCs w:val="20"/>
              </w:rPr>
            </w:pPr>
          </w:p>
        </w:tc>
        <w:tc>
          <w:tcPr>
            <w:tcW w:w="50" w:type="pct"/>
            <w:shd w:val="clear" w:color="auto" w:fill="auto"/>
            <w:vAlign w:val="center"/>
          </w:tcPr>
          <w:p w14:paraId="54E91A7E" w14:textId="77777777" w:rsidR="00F427A3" w:rsidRDefault="00F427A3">
            <w:pPr>
              <w:rPr>
                <w:rFonts w:ascii="Times New Roman" w:hAnsi="Times New Roman"/>
                <w:sz w:val="20"/>
                <w:szCs w:val="20"/>
              </w:rPr>
            </w:pPr>
          </w:p>
        </w:tc>
        <w:tc>
          <w:tcPr>
            <w:tcW w:w="400" w:type="pct"/>
            <w:shd w:val="clear" w:color="auto" w:fill="auto"/>
            <w:vAlign w:val="center"/>
          </w:tcPr>
          <w:p w14:paraId="54E91A7F" w14:textId="77777777" w:rsidR="00F427A3" w:rsidRDefault="00F427A3">
            <w:pPr>
              <w:rPr>
                <w:rFonts w:ascii="Times New Roman" w:hAnsi="Times New Roman"/>
                <w:sz w:val="20"/>
                <w:szCs w:val="20"/>
              </w:rPr>
            </w:pPr>
          </w:p>
        </w:tc>
      </w:tr>
      <w:tr w:rsidR="00F427A3" w14:paraId="54E91A89" w14:textId="77777777">
        <w:tc>
          <w:tcPr>
            <w:tcW w:w="0" w:type="auto"/>
            <w:shd w:val="clear" w:color="auto" w:fill="auto"/>
            <w:tcMar>
              <w:top w:w="40" w:type="dxa"/>
              <w:left w:w="40" w:type="dxa"/>
              <w:bottom w:w="40" w:type="dxa"/>
              <w:right w:w="40" w:type="dxa"/>
            </w:tcMar>
            <w:vAlign w:val="bottom"/>
          </w:tcPr>
          <w:p w14:paraId="54E91A81"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Exhibit</w:t>
            </w:r>
          </w:p>
        </w:tc>
        <w:tc>
          <w:tcPr>
            <w:tcW w:w="0" w:type="auto"/>
            <w:shd w:val="clear" w:color="auto" w:fill="auto"/>
            <w:tcMar>
              <w:top w:w="40" w:type="dxa"/>
              <w:left w:w="40" w:type="dxa"/>
              <w:bottom w:w="40" w:type="dxa"/>
              <w:right w:w="40" w:type="dxa"/>
            </w:tcMar>
            <w:vAlign w:val="bottom"/>
          </w:tcPr>
          <w:p w14:paraId="54E91A8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8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8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right w:w="40" w:type="dxa"/>
            </w:tcMar>
            <w:vAlign w:val="bottom"/>
          </w:tcPr>
          <w:p w14:paraId="54E91A85"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 xml:space="preserve">Incorporated by </w:t>
            </w:r>
            <w:r>
              <w:rPr>
                <w:rFonts w:ascii="Times New Roman" w:eastAsia="宋体" w:hAnsi="Times New Roman"/>
                <w:b/>
                <w:bCs/>
                <w:sz w:val="16"/>
                <w:szCs w:val="16"/>
              </w:rPr>
              <w:t>Reference</w:t>
            </w:r>
          </w:p>
        </w:tc>
        <w:tc>
          <w:tcPr>
            <w:tcW w:w="0" w:type="auto"/>
            <w:shd w:val="clear" w:color="auto" w:fill="auto"/>
            <w:tcMar>
              <w:top w:w="40" w:type="dxa"/>
              <w:left w:w="40" w:type="dxa"/>
              <w:bottom w:w="40" w:type="dxa"/>
              <w:right w:w="40" w:type="dxa"/>
            </w:tcMar>
            <w:vAlign w:val="bottom"/>
          </w:tcPr>
          <w:p w14:paraId="54E91A8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bottom w:val="single" w:sz="8" w:space="0" w:color="000000"/>
            </w:tcBorders>
            <w:shd w:val="clear" w:color="auto" w:fill="auto"/>
            <w:tcMar>
              <w:top w:w="40" w:type="dxa"/>
              <w:left w:w="40" w:type="dxa"/>
              <w:bottom w:w="40" w:type="dxa"/>
              <w:right w:w="40" w:type="dxa"/>
            </w:tcMar>
            <w:vAlign w:val="bottom"/>
          </w:tcPr>
          <w:p w14:paraId="54E91A87"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Filed</w:t>
            </w:r>
          </w:p>
          <w:p w14:paraId="54E91A88"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Herewith</w:t>
            </w:r>
          </w:p>
        </w:tc>
      </w:tr>
      <w:tr w:rsidR="00F427A3" w14:paraId="54E91A9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4E91A8A"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Number</w:t>
            </w:r>
          </w:p>
        </w:tc>
        <w:tc>
          <w:tcPr>
            <w:tcW w:w="0" w:type="auto"/>
            <w:shd w:val="clear" w:color="auto" w:fill="auto"/>
            <w:tcMar>
              <w:top w:w="40" w:type="dxa"/>
              <w:left w:w="40" w:type="dxa"/>
              <w:bottom w:w="40" w:type="dxa"/>
              <w:right w:w="40" w:type="dxa"/>
            </w:tcMar>
            <w:vAlign w:val="bottom"/>
          </w:tcPr>
          <w:p w14:paraId="54E91A8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4E91A8C"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Exhibit Description</w:t>
            </w:r>
          </w:p>
        </w:tc>
        <w:tc>
          <w:tcPr>
            <w:tcW w:w="0" w:type="auto"/>
            <w:shd w:val="clear" w:color="auto" w:fill="auto"/>
            <w:tcMar>
              <w:top w:w="40" w:type="dxa"/>
              <w:left w:w="40" w:type="dxa"/>
              <w:bottom w:w="40" w:type="dxa"/>
              <w:right w:w="40" w:type="dxa"/>
            </w:tcMar>
            <w:vAlign w:val="bottom"/>
          </w:tcPr>
          <w:p w14:paraId="54E91A8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4E91A8E"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Form</w:t>
            </w:r>
          </w:p>
        </w:tc>
        <w:tc>
          <w:tcPr>
            <w:tcW w:w="0" w:type="auto"/>
            <w:shd w:val="clear" w:color="auto" w:fill="auto"/>
            <w:tcMar>
              <w:top w:w="40" w:type="dxa"/>
              <w:left w:w="40" w:type="dxa"/>
              <w:bottom w:w="40" w:type="dxa"/>
              <w:right w:w="40" w:type="dxa"/>
            </w:tcMar>
            <w:vAlign w:val="bottom"/>
          </w:tcPr>
          <w:p w14:paraId="54E91A8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4E91A90"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File No.</w:t>
            </w:r>
          </w:p>
        </w:tc>
        <w:tc>
          <w:tcPr>
            <w:tcW w:w="0" w:type="auto"/>
            <w:shd w:val="clear" w:color="auto" w:fill="auto"/>
            <w:tcMar>
              <w:top w:w="40" w:type="dxa"/>
              <w:left w:w="40" w:type="dxa"/>
              <w:bottom w:w="40" w:type="dxa"/>
              <w:right w:w="40" w:type="dxa"/>
            </w:tcMar>
            <w:vAlign w:val="bottom"/>
          </w:tcPr>
          <w:p w14:paraId="54E91A9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4E91A92"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Exhibit</w:t>
            </w:r>
          </w:p>
        </w:tc>
        <w:tc>
          <w:tcPr>
            <w:tcW w:w="0" w:type="auto"/>
            <w:shd w:val="clear" w:color="auto" w:fill="auto"/>
            <w:tcMar>
              <w:top w:w="40" w:type="dxa"/>
              <w:left w:w="40" w:type="dxa"/>
              <w:bottom w:w="40" w:type="dxa"/>
              <w:right w:w="40" w:type="dxa"/>
            </w:tcMar>
            <w:vAlign w:val="bottom"/>
          </w:tcPr>
          <w:p w14:paraId="54E91A9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4E91A94" w14:textId="77777777" w:rsidR="00F427A3" w:rsidRDefault="0044221F">
            <w:pPr>
              <w:jc w:val="center"/>
              <w:textAlignment w:val="bottom"/>
              <w:rPr>
                <w:rFonts w:ascii="Times New Roman" w:hAnsi="Times New Roman"/>
                <w:sz w:val="16"/>
                <w:szCs w:val="16"/>
              </w:rPr>
            </w:pPr>
            <w:r>
              <w:rPr>
                <w:rFonts w:ascii="Times New Roman" w:eastAsia="宋体" w:hAnsi="Times New Roman"/>
                <w:b/>
                <w:bCs/>
                <w:sz w:val="16"/>
                <w:szCs w:val="16"/>
              </w:rPr>
              <w:t>Filing Date</w:t>
            </w:r>
          </w:p>
        </w:tc>
        <w:tc>
          <w:tcPr>
            <w:tcW w:w="0" w:type="auto"/>
            <w:shd w:val="clear" w:color="auto" w:fill="auto"/>
            <w:tcMar>
              <w:top w:w="40" w:type="dxa"/>
              <w:left w:w="40" w:type="dxa"/>
              <w:bottom w:w="40" w:type="dxa"/>
              <w:right w:w="40" w:type="dxa"/>
            </w:tcMar>
            <w:vAlign w:val="bottom"/>
          </w:tcPr>
          <w:p w14:paraId="54E91A9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bottom w:val="single" w:sz="8" w:space="0" w:color="000000"/>
            </w:tcBorders>
            <w:shd w:val="clear" w:color="auto" w:fill="auto"/>
            <w:tcMar>
              <w:top w:w="40" w:type="dxa"/>
              <w:left w:w="40" w:type="dxa"/>
              <w:bottom w:w="40" w:type="dxa"/>
              <w:right w:w="40" w:type="dxa"/>
            </w:tcMar>
            <w:vAlign w:val="bottom"/>
          </w:tcPr>
          <w:p w14:paraId="54E91A96" w14:textId="77777777" w:rsidR="00F427A3" w:rsidRDefault="00F427A3">
            <w:pPr>
              <w:rPr>
                <w:rFonts w:ascii="Times New Roman" w:hAnsi="Times New Roman"/>
                <w:sz w:val="20"/>
                <w:szCs w:val="20"/>
              </w:rPr>
            </w:pPr>
          </w:p>
        </w:tc>
      </w:tr>
      <w:tr w:rsidR="00F427A3" w14:paraId="54E91A9F" w14:textId="77777777">
        <w:tc>
          <w:tcPr>
            <w:tcW w:w="0" w:type="auto"/>
            <w:shd w:val="clear" w:color="auto" w:fill="auto"/>
            <w:tcMar>
              <w:top w:w="40" w:type="dxa"/>
              <w:left w:w="40" w:type="dxa"/>
              <w:bottom w:w="40" w:type="dxa"/>
              <w:right w:w="40" w:type="dxa"/>
            </w:tcMar>
            <w:vAlign w:val="bottom"/>
          </w:tcPr>
          <w:p w14:paraId="54E91A9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9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9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9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9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9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9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1AAD" w14:textId="77777777">
        <w:tc>
          <w:tcPr>
            <w:tcW w:w="0" w:type="auto"/>
            <w:shd w:val="clear" w:color="auto" w:fill="auto"/>
            <w:tcMar>
              <w:top w:w="40" w:type="dxa"/>
              <w:left w:w="40" w:type="dxa"/>
              <w:bottom w:w="40" w:type="dxa"/>
              <w:right w:w="40" w:type="dxa"/>
            </w:tcMar>
          </w:tcPr>
          <w:p w14:paraId="54E91AA0"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tcMar>
              <w:top w:w="40" w:type="dxa"/>
              <w:left w:w="40" w:type="dxa"/>
              <w:bottom w:w="40" w:type="dxa"/>
              <w:right w:w="40" w:type="dxa"/>
            </w:tcMar>
            <w:vAlign w:val="bottom"/>
          </w:tcPr>
          <w:p w14:paraId="54E91AA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4E91AA2" w14:textId="77777777" w:rsidR="00F427A3" w:rsidRDefault="0044221F">
            <w:pPr>
              <w:textAlignment w:val="top"/>
              <w:rPr>
                <w:rFonts w:ascii="Times New Roman" w:hAnsi="Times New Roman"/>
                <w:sz w:val="20"/>
                <w:szCs w:val="20"/>
              </w:rPr>
            </w:pPr>
            <w:hyperlink r:id="rId126" w:history="1">
              <w:r>
                <w:rPr>
                  <w:rStyle w:val="a5"/>
                  <w:rFonts w:ascii="Times New Roman" w:eastAsia="宋体" w:hAnsi="Times New Roman"/>
                  <w:sz w:val="20"/>
                  <w:szCs w:val="20"/>
                </w:rPr>
                <w:t>Restated Certificate of Incorporation.</w:t>
              </w:r>
            </w:hyperlink>
          </w:p>
        </w:tc>
        <w:tc>
          <w:tcPr>
            <w:tcW w:w="0" w:type="auto"/>
            <w:shd w:val="clear" w:color="auto" w:fill="auto"/>
            <w:tcMar>
              <w:top w:w="40" w:type="dxa"/>
              <w:left w:w="40" w:type="dxa"/>
              <w:bottom w:w="40" w:type="dxa"/>
              <w:right w:w="40" w:type="dxa"/>
            </w:tcMar>
            <w:vAlign w:val="bottom"/>
          </w:tcPr>
          <w:p w14:paraId="54E91AA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A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A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A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A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A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A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A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A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4E91AAC" w14:textId="77777777" w:rsidR="00F427A3" w:rsidRDefault="0044221F">
            <w:pPr>
              <w:jc w:val="center"/>
              <w:textAlignment w:val="top"/>
              <w:rPr>
                <w:rFonts w:ascii="Times New Roman" w:hAnsi="Times New Roman"/>
                <w:sz w:val="20"/>
                <w:szCs w:val="20"/>
              </w:rPr>
            </w:pPr>
            <w:r>
              <w:rPr>
                <w:rFonts w:ascii="Times New Roman" w:eastAsia="宋体" w:hAnsi="Times New Roman"/>
                <w:sz w:val="20"/>
                <w:szCs w:val="20"/>
              </w:rPr>
              <w:t>X</w:t>
            </w:r>
          </w:p>
        </w:tc>
      </w:tr>
      <w:tr w:rsidR="00F427A3" w14:paraId="54E91ABB" w14:textId="77777777">
        <w:tc>
          <w:tcPr>
            <w:tcW w:w="0" w:type="auto"/>
            <w:shd w:val="clear" w:color="auto" w:fill="auto"/>
            <w:tcMar>
              <w:top w:w="40" w:type="dxa"/>
              <w:left w:w="40" w:type="dxa"/>
              <w:bottom w:w="40" w:type="dxa"/>
              <w:right w:w="40" w:type="dxa"/>
            </w:tcMar>
            <w:vAlign w:val="bottom"/>
          </w:tcPr>
          <w:p w14:paraId="54E91AA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A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B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B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B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B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B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B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B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B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B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B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B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1AC9" w14:textId="77777777">
        <w:tc>
          <w:tcPr>
            <w:tcW w:w="0" w:type="auto"/>
            <w:shd w:val="clear" w:color="auto" w:fill="auto"/>
            <w:tcMar>
              <w:top w:w="40" w:type="dxa"/>
              <w:left w:w="40" w:type="dxa"/>
              <w:bottom w:w="40" w:type="dxa"/>
              <w:right w:w="40" w:type="dxa"/>
            </w:tcMar>
          </w:tcPr>
          <w:p w14:paraId="54E91ABC"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31.1</w:t>
            </w:r>
          </w:p>
        </w:tc>
        <w:tc>
          <w:tcPr>
            <w:tcW w:w="0" w:type="auto"/>
            <w:shd w:val="clear" w:color="auto" w:fill="auto"/>
            <w:tcMar>
              <w:top w:w="40" w:type="dxa"/>
              <w:left w:w="40" w:type="dxa"/>
              <w:bottom w:w="40" w:type="dxa"/>
              <w:right w:w="40" w:type="dxa"/>
            </w:tcMar>
            <w:vAlign w:val="bottom"/>
          </w:tcPr>
          <w:p w14:paraId="54E91ABD"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54E91ABE" w14:textId="77777777" w:rsidR="00F427A3" w:rsidRDefault="0044221F">
            <w:pPr>
              <w:textAlignment w:val="top"/>
              <w:rPr>
                <w:rFonts w:ascii="Times New Roman" w:hAnsi="Times New Roman"/>
                <w:sz w:val="20"/>
                <w:szCs w:val="20"/>
              </w:rPr>
            </w:pPr>
            <w:hyperlink r:id="rId127" w:history="1">
              <w:r>
                <w:rPr>
                  <w:rStyle w:val="a5"/>
                  <w:rFonts w:ascii="Times New Roman" w:eastAsia="宋体" w:hAnsi="Times New Roman"/>
                  <w:sz w:val="20"/>
                  <w:szCs w:val="20"/>
                </w:rPr>
                <w:t xml:space="preserve">Certification of Mark Zuckerberg, Chief Executive Officer, pursuant to Rule 13a-14(a)/15d-14(a), as adopted pursuant to Section 302 of the </w:t>
              </w:r>
              <w:r>
                <w:rPr>
                  <w:rStyle w:val="a5"/>
                  <w:rFonts w:ascii="Times New Roman" w:eastAsia="宋体" w:hAnsi="Times New Roman"/>
                  <w:sz w:val="20"/>
                  <w:szCs w:val="20"/>
                </w:rPr>
                <w:t>Sarbanes-Oxley Act of 2002</w:t>
              </w:r>
            </w:hyperlink>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ABF"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AC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C1"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AC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C3"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AC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C5"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AC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C7"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54E91AC8" w14:textId="77777777" w:rsidR="00F427A3" w:rsidRDefault="0044221F">
            <w:pPr>
              <w:jc w:val="center"/>
              <w:textAlignment w:val="top"/>
              <w:rPr>
                <w:rFonts w:ascii="Times New Roman" w:hAnsi="Times New Roman"/>
                <w:sz w:val="20"/>
                <w:szCs w:val="20"/>
              </w:rPr>
            </w:pPr>
            <w:r>
              <w:rPr>
                <w:rFonts w:ascii="Times New Roman" w:eastAsia="宋体" w:hAnsi="Times New Roman"/>
                <w:sz w:val="20"/>
                <w:szCs w:val="20"/>
              </w:rPr>
              <w:t>X</w:t>
            </w:r>
          </w:p>
        </w:tc>
      </w:tr>
      <w:tr w:rsidR="00F427A3" w14:paraId="54E91AD1" w14:textId="77777777">
        <w:tc>
          <w:tcPr>
            <w:tcW w:w="0" w:type="auto"/>
            <w:shd w:val="clear" w:color="auto" w:fill="auto"/>
            <w:tcMar>
              <w:top w:w="40" w:type="dxa"/>
              <w:left w:w="40" w:type="dxa"/>
              <w:bottom w:w="40" w:type="dxa"/>
              <w:right w:w="40" w:type="dxa"/>
            </w:tcMar>
            <w:vAlign w:val="bottom"/>
          </w:tcPr>
          <w:p w14:paraId="54E91AC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C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C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C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C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C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D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1ADF" w14:textId="77777777">
        <w:tc>
          <w:tcPr>
            <w:tcW w:w="0" w:type="auto"/>
            <w:shd w:val="clear" w:color="auto" w:fill="auto"/>
            <w:tcMar>
              <w:top w:w="40" w:type="dxa"/>
              <w:left w:w="40" w:type="dxa"/>
              <w:bottom w:w="40" w:type="dxa"/>
              <w:right w:w="40" w:type="dxa"/>
            </w:tcMar>
          </w:tcPr>
          <w:p w14:paraId="54E91AD2"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31.2</w:t>
            </w:r>
          </w:p>
        </w:tc>
        <w:tc>
          <w:tcPr>
            <w:tcW w:w="0" w:type="auto"/>
            <w:shd w:val="clear" w:color="auto" w:fill="auto"/>
            <w:tcMar>
              <w:top w:w="40" w:type="dxa"/>
              <w:left w:w="40" w:type="dxa"/>
              <w:bottom w:w="40" w:type="dxa"/>
              <w:right w:w="40" w:type="dxa"/>
            </w:tcMar>
            <w:vAlign w:val="bottom"/>
          </w:tcPr>
          <w:p w14:paraId="54E91AD3"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54E91AD4" w14:textId="77777777" w:rsidR="00F427A3" w:rsidRDefault="0044221F">
            <w:pPr>
              <w:textAlignment w:val="top"/>
              <w:rPr>
                <w:rFonts w:ascii="Times New Roman" w:hAnsi="Times New Roman"/>
                <w:sz w:val="20"/>
                <w:szCs w:val="20"/>
              </w:rPr>
            </w:pPr>
            <w:hyperlink r:id="rId128" w:history="1">
              <w:r>
                <w:rPr>
                  <w:rStyle w:val="a5"/>
                  <w:rFonts w:ascii="Times New Roman" w:eastAsia="宋体" w:hAnsi="Times New Roman"/>
                  <w:sz w:val="20"/>
                  <w:szCs w:val="20"/>
                </w:rPr>
                <w:t>Certification of David M. Wehner, Chief Financial Officer, pursuant to Rule 13a-14(a)/15d-14(a), as adopted pursuant to Section 302 of the Sarbanes-Oxl</w:t>
              </w:r>
              <w:r>
                <w:rPr>
                  <w:rStyle w:val="a5"/>
                  <w:rFonts w:ascii="Times New Roman" w:eastAsia="宋体" w:hAnsi="Times New Roman"/>
                  <w:sz w:val="20"/>
                  <w:szCs w:val="20"/>
                </w:rPr>
                <w:t>ey Act of 2002.</w:t>
              </w:r>
            </w:hyperlink>
          </w:p>
        </w:tc>
        <w:tc>
          <w:tcPr>
            <w:tcW w:w="0" w:type="auto"/>
            <w:shd w:val="clear" w:color="auto" w:fill="auto"/>
            <w:tcMar>
              <w:top w:w="40" w:type="dxa"/>
              <w:left w:w="40" w:type="dxa"/>
              <w:bottom w:w="40" w:type="dxa"/>
              <w:right w:w="40" w:type="dxa"/>
            </w:tcMar>
            <w:vAlign w:val="bottom"/>
          </w:tcPr>
          <w:p w14:paraId="54E91AD5"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AD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D7"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AD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D9"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AD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DB"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AD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DD"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54E91ADE" w14:textId="77777777" w:rsidR="00F427A3" w:rsidRDefault="0044221F">
            <w:pPr>
              <w:jc w:val="center"/>
              <w:textAlignment w:val="top"/>
              <w:rPr>
                <w:rFonts w:ascii="Times New Roman" w:hAnsi="Times New Roman"/>
                <w:sz w:val="20"/>
                <w:szCs w:val="20"/>
              </w:rPr>
            </w:pPr>
            <w:r>
              <w:rPr>
                <w:rFonts w:ascii="Times New Roman" w:eastAsia="宋体" w:hAnsi="Times New Roman"/>
                <w:sz w:val="20"/>
                <w:szCs w:val="20"/>
              </w:rPr>
              <w:t>X</w:t>
            </w:r>
          </w:p>
        </w:tc>
      </w:tr>
      <w:tr w:rsidR="00F427A3" w14:paraId="54E91AE7" w14:textId="77777777">
        <w:tc>
          <w:tcPr>
            <w:tcW w:w="0" w:type="auto"/>
            <w:shd w:val="clear" w:color="auto" w:fill="auto"/>
            <w:tcMar>
              <w:top w:w="40" w:type="dxa"/>
              <w:left w:w="40" w:type="dxa"/>
              <w:bottom w:w="40" w:type="dxa"/>
              <w:right w:w="40" w:type="dxa"/>
            </w:tcMar>
            <w:vAlign w:val="bottom"/>
          </w:tcPr>
          <w:p w14:paraId="54E91AE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E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E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E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E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E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E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1AF5" w14:textId="77777777">
        <w:tc>
          <w:tcPr>
            <w:tcW w:w="0" w:type="auto"/>
            <w:shd w:val="clear" w:color="auto" w:fill="auto"/>
            <w:tcMar>
              <w:top w:w="40" w:type="dxa"/>
              <w:left w:w="40" w:type="dxa"/>
              <w:bottom w:w="40" w:type="dxa"/>
              <w:right w:w="40" w:type="dxa"/>
            </w:tcMar>
          </w:tcPr>
          <w:p w14:paraId="54E91AE8"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32.1#</w:t>
            </w:r>
          </w:p>
        </w:tc>
        <w:tc>
          <w:tcPr>
            <w:tcW w:w="0" w:type="auto"/>
            <w:shd w:val="clear" w:color="auto" w:fill="auto"/>
            <w:tcMar>
              <w:top w:w="40" w:type="dxa"/>
              <w:left w:w="40" w:type="dxa"/>
              <w:bottom w:w="40" w:type="dxa"/>
              <w:right w:w="40" w:type="dxa"/>
            </w:tcMar>
            <w:vAlign w:val="bottom"/>
          </w:tcPr>
          <w:p w14:paraId="54E91AE9"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54E91AEA" w14:textId="77777777" w:rsidR="00F427A3" w:rsidRDefault="0044221F">
            <w:pPr>
              <w:textAlignment w:val="top"/>
              <w:rPr>
                <w:rFonts w:ascii="Times New Roman" w:hAnsi="Times New Roman"/>
                <w:sz w:val="20"/>
                <w:szCs w:val="20"/>
              </w:rPr>
            </w:pPr>
            <w:hyperlink r:id="rId129" w:history="1">
              <w:r>
                <w:rPr>
                  <w:rStyle w:val="a5"/>
                  <w:rFonts w:ascii="Times New Roman" w:eastAsia="宋体" w:hAnsi="Times New Roman"/>
                  <w:sz w:val="20"/>
                  <w:szCs w:val="20"/>
                </w:rPr>
                <w:t>Certification of Mark Zuckerberg, Chief Executive Officer, pursuant to 18 U.S.C. Section 1350, as adopted pursuant to Section 906 of the Sarbanes-Oxley</w:t>
              </w:r>
              <w:r>
                <w:rPr>
                  <w:rStyle w:val="a5"/>
                  <w:rFonts w:ascii="Times New Roman" w:eastAsia="宋体" w:hAnsi="Times New Roman"/>
                  <w:sz w:val="20"/>
                  <w:szCs w:val="20"/>
                </w:rPr>
                <w:t xml:space="preserve"> Act of 2002</w:t>
              </w:r>
            </w:hyperlink>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4E91AEB"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AE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ED"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AE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EF"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AF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F1"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AF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AF3"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54E91AF4" w14:textId="77777777" w:rsidR="00F427A3" w:rsidRDefault="0044221F">
            <w:pPr>
              <w:jc w:val="center"/>
              <w:textAlignment w:val="top"/>
              <w:rPr>
                <w:rFonts w:ascii="Times New Roman" w:hAnsi="Times New Roman"/>
                <w:sz w:val="20"/>
                <w:szCs w:val="20"/>
              </w:rPr>
            </w:pPr>
            <w:r>
              <w:rPr>
                <w:rFonts w:ascii="Times New Roman" w:eastAsia="宋体" w:hAnsi="Times New Roman"/>
                <w:sz w:val="20"/>
                <w:szCs w:val="20"/>
              </w:rPr>
              <w:t>X</w:t>
            </w:r>
          </w:p>
        </w:tc>
      </w:tr>
      <w:tr w:rsidR="00F427A3" w14:paraId="54E91AFD" w14:textId="77777777">
        <w:tc>
          <w:tcPr>
            <w:tcW w:w="0" w:type="auto"/>
            <w:shd w:val="clear" w:color="auto" w:fill="auto"/>
            <w:tcMar>
              <w:top w:w="40" w:type="dxa"/>
              <w:left w:w="40" w:type="dxa"/>
              <w:bottom w:w="40" w:type="dxa"/>
              <w:right w:w="40" w:type="dxa"/>
            </w:tcMar>
            <w:vAlign w:val="bottom"/>
          </w:tcPr>
          <w:p w14:paraId="54E91AF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F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F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F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F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F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AF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1B0B" w14:textId="77777777">
        <w:tc>
          <w:tcPr>
            <w:tcW w:w="0" w:type="auto"/>
            <w:shd w:val="clear" w:color="auto" w:fill="auto"/>
            <w:tcMar>
              <w:top w:w="40" w:type="dxa"/>
              <w:left w:w="40" w:type="dxa"/>
              <w:bottom w:w="40" w:type="dxa"/>
              <w:right w:w="40" w:type="dxa"/>
            </w:tcMar>
          </w:tcPr>
          <w:p w14:paraId="54E91AFE"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32.2#</w:t>
            </w:r>
          </w:p>
        </w:tc>
        <w:tc>
          <w:tcPr>
            <w:tcW w:w="0" w:type="auto"/>
            <w:shd w:val="clear" w:color="auto" w:fill="auto"/>
            <w:tcMar>
              <w:top w:w="40" w:type="dxa"/>
              <w:left w:w="40" w:type="dxa"/>
              <w:bottom w:w="40" w:type="dxa"/>
              <w:right w:w="40" w:type="dxa"/>
            </w:tcMar>
            <w:vAlign w:val="bottom"/>
          </w:tcPr>
          <w:p w14:paraId="54E91AFF"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54E91B00" w14:textId="77777777" w:rsidR="00F427A3" w:rsidRDefault="0044221F">
            <w:pPr>
              <w:textAlignment w:val="top"/>
              <w:rPr>
                <w:rFonts w:ascii="Times New Roman" w:hAnsi="Times New Roman"/>
                <w:sz w:val="20"/>
                <w:szCs w:val="20"/>
              </w:rPr>
            </w:pPr>
            <w:hyperlink r:id="rId130" w:history="1">
              <w:r>
                <w:rPr>
                  <w:rStyle w:val="a5"/>
                  <w:rFonts w:ascii="Times New Roman" w:eastAsia="宋体" w:hAnsi="Times New Roman"/>
                  <w:sz w:val="20"/>
                  <w:szCs w:val="20"/>
                </w:rPr>
                <w:t>Certification of David M. Wehner, Chief Financial Officer, pursuant to 18 U.S.C. Section 1350, as adopted pursuant to Section 906 of the Sarbanes-Oxley</w:t>
              </w:r>
              <w:r>
                <w:rPr>
                  <w:rStyle w:val="a5"/>
                  <w:rFonts w:ascii="Times New Roman" w:eastAsia="宋体" w:hAnsi="Times New Roman"/>
                  <w:sz w:val="20"/>
                  <w:szCs w:val="20"/>
                </w:rPr>
                <w:t xml:space="preserve"> Act of 2002.</w:t>
              </w:r>
            </w:hyperlink>
          </w:p>
        </w:tc>
        <w:tc>
          <w:tcPr>
            <w:tcW w:w="0" w:type="auto"/>
            <w:shd w:val="clear" w:color="auto" w:fill="auto"/>
            <w:tcMar>
              <w:top w:w="40" w:type="dxa"/>
              <w:left w:w="40" w:type="dxa"/>
              <w:bottom w:w="40" w:type="dxa"/>
              <w:right w:w="40" w:type="dxa"/>
            </w:tcMar>
            <w:vAlign w:val="bottom"/>
          </w:tcPr>
          <w:p w14:paraId="54E91B01"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0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03"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0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05"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0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07"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0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09"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54E91B0A" w14:textId="77777777" w:rsidR="00F427A3" w:rsidRDefault="0044221F">
            <w:pPr>
              <w:jc w:val="center"/>
              <w:textAlignment w:val="top"/>
              <w:rPr>
                <w:rFonts w:ascii="Times New Roman" w:hAnsi="Times New Roman"/>
                <w:sz w:val="20"/>
                <w:szCs w:val="20"/>
              </w:rPr>
            </w:pPr>
            <w:r>
              <w:rPr>
                <w:rFonts w:ascii="Times New Roman" w:eastAsia="宋体" w:hAnsi="Times New Roman"/>
                <w:sz w:val="20"/>
                <w:szCs w:val="20"/>
              </w:rPr>
              <w:t>X</w:t>
            </w:r>
          </w:p>
        </w:tc>
      </w:tr>
      <w:tr w:rsidR="00F427A3" w14:paraId="54E91B13" w14:textId="77777777">
        <w:tc>
          <w:tcPr>
            <w:tcW w:w="0" w:type="auto"/>
            <w:shd w:val="clear" w:color="auto" w:fill="auto"/>
            <w:tcMar>
              <w:top w:w="40" w:type="dxa"/>
              <w:left w:w="40" w:type="dxa"/>
              <w:bottom w:w="40" w:type="dxa"/>
              <w:right w:w="40" w:type="dxa"/>
            </w:tcMar>
            <w:vAlign w:val="bottom"/>
          </w:tcPr>
          <w:p w14:paraId="54E91B0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0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0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0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1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1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1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1B21" w14:textId="77777777">
        <w:tc>
          <w:tcPr>
            <w:tcW w:w="0" w:type="auto"/>
            <w:shd w:val="clear" w:color="auto" w:fill="auto"/>
            <w:tcMar>
              <w:top w:w="40" w:type="dxa"/>
              <w:left w:w="40" w:type="dxa"/>
              <w:bottom w:w="40" w:type="dxa"/>
              <w:right w:w="40" w:type="dxa"/>
            </w:tcMar>
          </w:tcPr>
          <w:p w14:paraId="54E91B14"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101.INS</w:t>
            </w:r>
          </w:p>
        </w:tc>
        <w:tc>
          <w:tcPr>
            <w:tcW w:w="0" w:type="auto"/>
            <w:shd w:val="clear" w:color="auto" w:fill="auto"/>
            <w:tcMar>
              <w:top w:w="40" w:type="dxa"/>
              <w:left w:w="40" w:type="dxa"/>
              <w:bottom w:w="40" w:type="dxa"/>
              <w:right w:w="40" w:type="dxa"/>
            </w:tcMar>
            <w:vAlign w:val="bottom"/>
          </w:tcPr>
          <w:p w14:paraId="54E91B1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4E91B16"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Inline XBRL Instance Document (the instance document does not appear in the Interactive Data File because its XBRL tags are embedded within the Inline XBRL document).</w:t>
            </w:r>
          </w:p>
        </w:tc>
        <w:tc>
          <w:tcPr>
            <w:tcW w:w="0" w:type="auto"/>
            <w:shd w:val="clear" w:color="auto" w:fill="auto"/>
            <w:tcMar>
              <w:top w:w="40" w:type="dxa"/>
              <w:left w:w="40" w:type="dxa"/>
              <w:bottom w:w="40" w:type="dxa"/>
              <w:right w:w="40" w:type="dxa"/>
            </w:tcMar>
            <w:vAlign w:val="bottom"/>
          </w:tcPr>
          <w:p w14:paraId="54E91B1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1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1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1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1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1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1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1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1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4E91B20" w14:textId="77777777" w:rsidR="00F427A3" w:rsidRDefault="0044221F">
            <w:pPr>
              <w:jc w:val="center"/>
              <w:textAlignment w:val="top"/>
              <w:rPr>
                <w:rFonts w:ascii="Times New Roman" w:hAnsi="Times New Roman"/>
                <w:sz w:val="20"/>
                <w:szCs w:val="20"/>
              </w:rPr>
            </w:pPr>
            <w:r>
              <w:rPr>
                <w:rFonts w:ascii="Times New Roman" w:eastAsia="宋体" w:hAnsi="Times New Roman"/>
                <w:sz w:val="20"/>
                <w:szCs w:val="20"/>
              </w:rPr>
              <w:t>X</w:t>
            </w:r>
          </w:p>
        </w:tc>
      </w:tr>
      <w:tr w:rsidR="00F427A3" w14:paraId="54E91B2F" w14:textId="77777777">
        <w:tc>
          <w:tcPr>
            <w:tcW w:w="0" w:type="auto"/>
            <w:shd w:val="clear" w:color="auto" w:fill="auto"/>
            <w:tcMar>
              <w:top w:w="40" w:type="dxa"/>
              <w:left w:w="40" w:type="dxa"/>
              <w:bottom w:w="40" w:type="dxa"/>
              <w:right w:w="40" w:type="dxa"/>
            </w:tcMar>
            <w:vAlign w:val="bottom"/>
          </w:tcPr>
          <w:p w14:paraId="54E91B2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2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2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2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2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2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2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2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2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2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2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2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2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1B3D" w14:textId="77777777">
        <w:tc>
          <w:tcPr>
            <w:tcW w:w="0" w:type="auto"/>
            <w:shd w:val="clear" w:color="auto" w:fill="auto"/>
            <w:tcMar>
              <w:top w:w="40" w:type="dxa"/>
              <w:left w:w="40" w:type="dxa"/>
              <w:bottom w:w="40" w:type="dxa"/>
              <w:right w:w="40" w:type="dxa"/>
            </w:tcMar>
          </w:tcPr>
          <w:p w14:paraId="54E91B30"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101.SCH</w:t>
            </w:r>
          </w:p>
        </w:tc>
        <w:tc>
          <w:tcPr>
            <w:tcW w:w="0" w:type="auto"/>
            <w:shd w:val="clear" w:color="auto" w:fill="auto"/>
            <w:tcMar>
              <w:top w:w="40" w:type="dxa"/>
              <w:left w:w="40" w:type="dxa"/>
              <w:bottom w:w="40" w:type="dxa"/>
              <w:right w:w="40" w:type="dxa"/>
            </w:tcMar>
            <w:vAlign w:val="bottom"/>
          </w:tcPr>
          <w:p w14:paraId="54E91B31"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54E91B32"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Inline XBRL Taxonomy Extension Schema Document.</w:t>
            </w:r>
          </w:p>
        </w:tc>
        <w:tc>
          <w:tcPr>
            <w:tcW w:w="0" w:type="auto"/>
            <w:shd w:val="clear" w:color="auto" w:fill="auto"/>
            <w:tcMar>
              <w:top w:w="40" w:type="dxa"/>
              <w:left w:w="40" w:type="dxa"/>
              <w:bottom w:w="40" w:type="dxa"/>
              <w:right w:w="40" w:type="dxa"/>
            </w:tcMar>
            <w:vAlign w:val="bottom"/>
          </w:tcPr>
          <w:p w14:paraId="54E91B33"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3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35"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3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37"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3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39"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3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3B"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54E91B3C" w14:textId="77777777" w:rsidR="00F427A3" w:rsidRDefault="0044221F">
            <w:pPr>
              <w:jc w:val="center"/>
              <w:textAlignment w:val="top"/>
              <w:rPr>
                <w:rFonts w:ascii="Times New Roman" w:hAnsi="Times New Roman"/>
                <w:sz w:val="20"/>
                <w:szCs w:val="20"/>
              </w:rPr>
            </w:pPr>
            <w:r>
              <w:rPr>
                <w:rFonts w:ascii="Times New Roman" w:eastAsia="宋体" w:hAnsi="Times New Roman"/>
                <w:sz w:val="20"/>
                <w:szCs w:val="20"/>
              </w:rPr>
              <w:t>X</w:t>
            </w:r>
          </w:p>
        </w:tc>
      </w:tr>
      <w:tr w:rsidR="00F427A3" w14:paraId="54E91B45" w14:textId="77777777">
        <w:tc>
          <w:tcPr>
            <w:tcW w:w="0" w:type="auto"/>
            <w:shd w:val="clear" w:color="auto" w:fill="auto"/>
            <w:tcMar>
              <w:top w:w="40" w:type="dxa"/>
              <w:left w:w="40" w:type="dxa"/>
              <w:bottom w:w="40" w:type="dxa"/>
              <w:right w:w="40" w:type="dxa"/>
            </w:tcMar>
            <w:vAlign w:val="bottom"/>
          </w:tcPr>
          <w:p w14:paraId="54E91B3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3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4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4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4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4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4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1B53" w14:textId="77777777">
        <w:tc>
          <w:tcPr>
            <w:tcW w:w="0" w:type="auto"/>
            <w:shd w:val="clear" w:color="auto" w:fill="auto"/>
            <w:tcMar>
              <w:top w:w="40" w:type="dxa"/>
              <w:left w:w="40" w:type="dxa"/>
              <w:bottom w:w="40" w:type="dxa"/>
              <w:right w:w="40" w:type="dxa"/>
            </w:tcMar>
          </w:tcPr>
          <w:p w14:paraId="54E91B46"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101.CAL</w:t>
            </w:r>
          </w:p>
        </w:tc>
        <w:tc>
          <w:tcPr>
            <w:tcW w:w="0" w:type="auto"/>
            <w:shd w:val="clear" w:color="auto" w:fill="auto"/>
            <w:tcMar>
              <w:top w:w="40" w:type="dxa"/>
              <w:left w:w="40" w:type="dxa"/>
              <w:bottom w:w="40" w:type="dxa"/>
              <w:right w:w="40" w:type="dxa"/>
            </w:tcMar>
            <w:vAlign w:val="bottom"/>
          </w:tcPr>
          <w:p w14:paraId="54E91B47"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54E91B48"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Inline XBRL Taxonomy Extension Calculation Linkbase Document.</w:t>
            </w:r>
          </w:p>
        </w:tc>
        <w:tc>
          <w:tcPr>
            <w:tcW w:w="0" w:type="auto"/>
            <w:shd w:val="clear" w:color="auto" w:fill="auto"/>
            <w:tcMar>
              <w:top w:w="40" w:type="dxa"/>
              <w:left w:w="40" w:type="dxa"/>
              <w:bottom w:w="40" w:type="dxa"/>
              <w:right w:w="40" w:type="dxa"/>
            </w:tcMar>
            <w:vAlign w:val="bottom"/>
          </w:tcPr>
          <w:p w14:paraId="54E91B49"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4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4B"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4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4D"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4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4F"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5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51"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54E91B52" w14:textId="77777777" w:rsidR="00F427A3" w:rsidRDefault="0044221F">
            <w:pPr>
              <w:jc w:val="center"/>
              <w:textAlignment w:val="top"/>
              <w:rPr>
                <w:rFonts w:ascii="Times New Roman" w:hAnsi="Times New Roman"/>
                <w:sz w:val="20"/>
                <w:szCs w:val="20"/>
              </w:rPr>
            </w:pPr>
            <w:r>
              <w:rPr>
                <w:rFonts w:ascii="Times New Roman" w:eastAsia="宋体" w:hAnsi="Times New Roman"/>
                <w:sz w:val="20"/>
                <w:szCs w:val="20"/>
              </w:rPr>
              <w:t>X</w:t>
            </w:r>
          </w:p>
        </w:tc>
      </w:tr>
      <w:tr w:rsidR="00F427A3" w14:paraId="54E91B5B" w14:textId="77777777">
        <w:tc>
          <w:tcPr>
            <w:tcW w:w="0" w:type="auto"/>
            <w:shd w:val="clear" w:color="auto" w:fill="auto"/>
            <w:tcMar>
              <w:top w:w="40" w:type="dxa"/>
              <w:left w:w="40" w:type="dxa"/>
              <w:bottom w:w="40" w:type="dxa"/>
              <w:right w:w="40" w:type="dxa"/>
            </w:tcMar>
            <w:vAlign w:val="bottom"/>
          </w:tcPr>
          <w:p w14:paraId="54E91B5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5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5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5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5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5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5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1B69" w14:textId="77777777">
        <w:tc>
          <w:tcPr>
            <w:tcW w:w="0" w:type="auto"/>
            <w:shd w:val="clear" w:color="auto" w:fill="auto"/>
            <w:tcMar>
              <w:top w:w="40" w:type="dxa"/>
              <w:left w:w="40" w:type="dxa"/>
              <w:bottom w:w="40" w:type="dxa"/>
              <w:right w:w="40" w:type="dxa"/>
            </w:tcMar>
          </w:tcPr>
          <w:p w14:paraId="54E91B5C"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101.DEF</w:t>
            </w:r>
          </w:p>
        </w:tc>
        <w:tc>
          <w:tcPr>
            <w:tcW w:w="0" w:type="auto"/>
            <w:shd w:val="clear" w:color="auto" w:fill="auto"/>
            <w:tcMar>
              <w:top w:w="40" w:type="dxa"/>
              <w:left w:w="40" w:type="dxa"/>
              <w:bottom w:w="40" w:type="dxa"/>
              <w:right w:w="40" w:type="dxa"/>
            </w:tcMar>
            <w:vAlign w:val="bottom"/>
          </w:tcPr>
          <w:p w14:paraId="54E91B5D"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54E91B5E"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Inline XBRL Taxonomy Extension Definition Linkbase Document.</w:t>
            </w:r>
          </w:p>
        </w:tc>
        <w:tc>
          <w:tcPr>
            <w:tcW w:w="0" w:type="auto"/>
            <w:shd w:val="clear" w:color="auto" w:fill="auto"/>
            <w:tcMar>
              <w:top w:w="40" w:type="dxa"/>
              <w:left w:w="40" w:type="dxa"/>
              <w:bottom w:w="40" w:type="dxa"/>
              <w:right w:w="40" w:type="dxa"/>
            </w:tcMar>
            <w:vAlign w:val="bottom"/>
          </w:tcPr>
          <w:p w14:paraId="54E91B5F"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6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61"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6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63"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6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65"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6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67"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54E91B68" w14:textId="77777777" w:rsidR="00F427A3" w:rsidRDefault="0044221F">
            <w:pPr>
              <w:jc w:val="center"/>
              <w:textAlignment w:val="top"/>
              <w:rPr>
                <w:rFonts w:ascii="Times New Roman" w:hAnsi="Times New Roman"/>
                <w:sz w:val="20"/>
                <w:szCs w:val="20"/>
              </w:rPr>
            </w:pPr>
            <w:r>
              <w:rPr>
                <w:rFonts w:ascii="Times New Roman" w:eastAsia="宋体" w:hAnsi="Times New Roman"/>
                <w:sz w:val="20"/>
                <w:szCs w:val="20"/>
              </w:rPr>
              <w:t>X</w:t>
            </w:r>
          </w:p>
        </w:tc>
      </w:tr>
      <w:tr w:rsidR="00F427A3" w14:paraId="54E91B71" w14:textId="77777777">
        <w:tc>
          <w:tcPr>
            <w:tcW w:w="0" w:type="auto"/>
            <w:shd w:val="clear" w:color="auto" w:fill="auto"/>
            <w:tcMar>
              <w:top w:w="40" w:type="dxa"/>
              <w:left w:w="40" w:type="dxa"/>
              <w:bottom w:w="40" w:type="dxa"/>
              <w:right w:w="40" w:type="dxa"/>
            </w:tcMar>
            <w:vAlign w:val="bottom"/>
          </w:tcPr>
          <w:p w14:paraId="54E91B6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6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6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6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6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6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7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1B7F" w14:textId="77777777">
        <w:tc>
          <w:tcPr>
            <w:tcW w:w="0" w:type="auto"/>
            <w:shd w:val="clear" w:color="auto" w:fill="auto"/>
            <w:tcMar>
              <w:top w:w="40" w:type="dxa"/>
              <w:left w:w="40" w:type="dxa"/>
              <w:bottom w:w="40" w:type="dxa"/>
              <w:right w:w="40" w:type="dxa"/>
            </w:tcMar>
          </w:tcPr>
          <w:p w14:paraId="54E91B72"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101.LAB</w:t>
            </w:r>
          </w:p>
        </w:tc>
        <w:tc>
          <w:tcPr>
            <w:tcW w:w="0" w:type="auto"/>
            <w:shd w:val="clear" w:color="auto" w:fill="auto"/>
            <w:tcMar>
              <w:top w:w="40" w:type="dxa"/>
              <w:left w:w="40" w:type="dxa"/>
              <w:bottom w:w="40" w:type="dxa"/>
              <w:right w:w="40" w:type="dxa"/>
            </w:tcMar>
            <w:vAlign w:val="bottom"/>
          </w:tcPr>
          <w:p w14:paraId="54E91B73"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54E91B74"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Inline XBRL Taxonomy Extension Labels Linkbase Document.</w:t>
            </w:r>
          </w:p>
        </w:tc>
        <w:tc>
          <w:tcPr>
            <w:tcW w:w="0" w:type="auto"/>
            <w:shd w:val="clear" w:color="auto" w:fill="auto"/>
            <w:tcMar>
              <w:top w:w="40" w:type="dxa"/>
              <w:left w:w="40" w:type="dxa"/>
              <w:bottom w:w="40" w:type="dxa"/>
              <w:right w:w="40" w:type="dxa"/>
            </w:tcMar>
            <w:vAlign w:val="bottom"/>
          </w:tcPr>
          <w:p w14:paraId="54E91B75"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7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77"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7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79"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7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7B"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7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7D"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54E91B7E" w14:textId="77777777" w:rsidR="00F427A3" w:rsidRDefault="0044221F">
            <w:pPr>
              <w:jc w:val="center"/>
              <w:textAlignment w:val="top"/>
              <w:rPr>
                <w:rFonts w:ascii="Times New Roman" w:hAnsi="Times New Roman"/>
                <w:sz w:val="20"/>
                <w:szCs w:val="20"/>
              </w:rPr>
            </w:pPr>
            <w:r>
              <w:rPr>
                <w:rFonts w:ascii="Times New Roman" w:eastAsia="宋体" w:hAnsi="Times New Roman"/>
                <w:sz w:val="20"/>
                <w:szCs w:val="20"/>
              </w:rPr>
              <w:t>X</w:t>
            </w:r>
          </w:p>
        </w:tc>
      </w:tr>
      <w:tr w:rsidR="00F427A3" w14:paraId="54E91B87" w14:textId="77777777">
        <w:tc>
          <w:tcPr>
            <w:tcW w:w="0" w:type="auto"/>
            <w:shd w:val="clear" w:color="auto" w:fill="auto"/>
            <w:tcMar>
              <w:top w:w="40" w:type="dxa"/>
              <w:left w:w="40" w:type="dxa"/>
              <w:bottom w:w="40" w:type="dxa"/>
              <w:right w:w="40" w:type="dxa"/>
            </w:tcMar>
            <w:vAlign w:val="bottom"/>
          </w:tcPr>
          <w:p w14:paraId="54E91B8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8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8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83"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8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8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8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1B95" w14:textId="77777777">
        <w:tc>
          <w:tcPr>
            <w:tcW w:w="0" w:type="auto"/>
            <w:shd w:val="clear" w:color="auto" w:fill="auto"/>
            <w:tcMar>
              <w:top w:w="40" w:type="dxa"/>
              <w:left w:w="40" w:type="dxa"/>
              <w:bottom w:w="40" w:type="dxa"/>
              <w:right w:w="40" w:type="dxa"/>
            </w:tcMar>
          </w:tcPr>
          <w:p w14:paraId="54E91B88"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101.PRE</w:t>
            </w:r>
          </w:p>
        </w:tc>
        <w:tc>
          <w:tcPr>
            <w:tcW w:w="0" w:type="auto"/>
            <w:shd w:val="clear" w:color="auto" w:fill="auto"/>
            <w:tcMar>
              <w:top w:w="40" w:type="dxa"/>
              <w:left w:w="40" w:type="dxa"/>
              <w:bottom w:w="40" w:type="dxa"/>
              <w:right w:w="40" w:type="dxa"/>
            </w:tcMar>
            <w:vAlign w:val="bottom"/>
          </w:tcPr>
          <w:p w14:paraId="54E91B89"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54E91B8A"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 xml:space="preserve">Inline XBRL Taxonomy </w:t>
            </w:r>
            <w:r>
              <w:rPr>
                <w:rFonts w:ascii="Times New Roman" w:eastAsia="宋体" w:hAnsi="Times New Roman"/>
                <w:sz w:val="20"/>
                <w:szCs w:val="20"/>
              </w:rPr>
              <w:t>Extension Presentation Linkbase Document.</w:t>
            </w:r>
          </w:p>
        </w:tc>
        <w:tc>
          <w:tcPr>
            <w:tcW w:w="0" w:type="auto"/>
            <w:shd w:val="clear" w:color="auto" w:fill="auto"/>
            <w:tcMar>
              <w:top w:w="40" w:type="dxa"/>
              <w:left w:w="40" w:type="dxa"/>
              <w:bottom w:w="40" w:type="dxa"/>
              <w:right w:w="40" w:type="dxa"/>
            </w:tcMar>
            <w:vAlign w:val="bottom"/>
          </w:tcPr>
          <w:p w14:paraId="54E91B8B"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8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8D"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8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8F"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9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91"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9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93"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54E91B94" w14:textId="77777777" w:rsidR="00F427A3" w:rsidRDefault="0044221F">
            <w:pPr>
              <w:jc w:val="center"/>
              <w:textAlignment w:val="top"/>
              <w:rPr>
                <w:rFonts w:ascii="Times New Roman" w:hAnsi="Times New Roman"/>
                <w:sz w:val="20"/>
                <w:szCs w:val="20"/>
              </w:rPr>
            </w:pPr>
            <w:r>
              <w:rPr>
                <w:rFonts w:ascii="Times New Roman" w:eastAsia="宋体" w:hAnsi="Times New Roman"/>
                <w:sz w:val="20"/>
                <w:szCs w:val="20"/>
              </w:rPr>
              <w:t>X</w:t>
            </w:r>
          </w:p>
        </w:tc>
      </w:tr>
      <w:tr w:rsidR="00F427A3" w14:paraId="54E91BA3" w14:textId="77777777">
        <w:tc>
          <w:tcPr>
            <w:tcW w:w="0" w:type="auto"/>
            <w:shd w:val="clear" w:color="auto" w:fill="auto"/>
            <w:tcMar>
              <w:top w:w="40" w:type="dxa"/>
              <w:left w:w="40" w:type="dxa"/>
              <w:bottom w:w="40" w:type="dxa"/>
              <w:right w:w="40" w:type="dxa"/>
            </w:tcMar>
            <w:vAlign w:val="bottom"/>
          </w:tcPr>
          <w:p w14:paraId="54E91B9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9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9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9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9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9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9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9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9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9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A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A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A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1BB1" w14:textId="77777777">
        <w:tc>
          <w:tcPr>
            <w:tcW w:w="0" w:type="auto"/>
            <w:shd w:val="clear" w:color="auto" w:fill="auto"/>
            <w:tcMar>
              <w:top w:w="40" w:type="dxa"/>
              <w:left w:w="40" w:type="dxa"/>
              <w:bottom w:w="40" w:type="dxa"/>
              <w:right w:w="40" w:type="dxa"/>
            </w:tcMar>
          </w:tcPr>
          <w:p w14:paraId="54E91BA4"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104</w:t>
            </w:r>
          </w:p>
        </w:tc>
        <w:tc>
          <w:tcPr>
            <w:tcW w:w="0" w:type="auto"/>
            <w:shd w:val="clear" w:color="auto" w:fill="auto"/>
            <w:tcMar>
              <w:top w:w="40" w:type="dxa"/>
              <w:left w:w="40" w:type="dxa"/>
              <w:bottom w:w="40" w:type="dxa"/>
              <w:right w:w="40" w:type="dxa"/>
            </w:tcMar>
            <w:vAlign w:val="bottom"/>
          </w:tcPr>
          <w:p w14:paraId="54E91BA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A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xml:space="preserve">Cover Page Interactive Data File (formatted as inline XBRL and contained in Exhibit 101). </w:t>
            </w:r>
          </w:p>
        </w:tc>
        <w:tc>
          <w:tcPr>
            <w:tcW w:w="0" w:type="auto"/>
            <w:shd w:val="clear" w:color="auto" w:fill="auto"/>
            <w:tcMar>
              <w:top w:w="40" w:type="dxa"/>
              <w:left w:w="40" w:type="dxa"/>
              <w:bottom w:w="40" w:type="dxa"/>
              <w:right w:w="40" w:type="dxa"/>
            </w:tcMar>
            <w:vAlign w:val="bottom"/>
          </w:tcPr>
          <w:p w14:paraId="54E91BA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A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A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AA"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AB"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A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A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A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AF"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4E91BB0" w14:textId="77777777" w:rsidR="00F427A3" w:rsidRDefault="0044221F">
            <w:pPr>
              <w:jc w:val="center"/>
              <w:textAlignment w:val="top"/>
              <w:rPr>
                <w:rFonts w:ascii="Times New Roman" w:hAnsi="Times New Roman"/>
                <w:sz w:val="20"/>
                <w:szCs w:val="20"/>
              </w:rPr>
            </w:pPr>
            <w:r>
              <w:rPr>
                <w:rFonts w:ascii="Times New Roman" w:eastAsia="宋体" w:hAnsi="Times New Roman"/>
                <w:sz w:val="20"/>
                <w:szCs w:val="20"/>
              </w:rPr>
              <w:t>X</w:t>
            </w:r>
          </w:p>
        </w:tc>
      </w:tr>
    </w:tbl>
    <w:p w14:paraId="54E91BB2" w14:textId="77777777" w:rsidR="00F427A3" w:rsidRDefault="00F427A3">
      <w:pPr>
        <w:spacing w:line="288" w:lineRule="auto"/>
        <w:rPr>
          <w:rFonts w:ascii="Times New Roman" w:hAnsi="Times New Roman"/>
          <w:sz w:val="20"/>
          <w:szCs w:val="20"/>
        </w:rPr>
      </w:pPr>
    </w:p>
    <w:p w14:paraId="54E91BB3" w14:textId="77777777" w:rsidR="00F427A3" w:rsidRDefault="0044221F">
      <w:pPr>
        <w:spacing w:line="288" w:lineRule="auto"/>
        <w:jc w:val="both"/>
        <w:rPr>
          <w:rFonts w:ascii="Times New Roman" w:hAnsi="Times New Roman"/>
          <w:sz w:val="20"/>
          <w:szCs w:val="20"/>
        </w:rPr>
      </w:pPr>
      <w:r>
        <w:rPr>
          <w:rFonts w:ascii="Times New Roman" w:eastAsia="宋体" w:hAnsi="Times New Roman"/>
          <w:sz w:val="20"/>
          <w:szCs w:val="20"/>
        </w:rPr>
        <w:t xml:space="preserve"># This certification is deemed not filed for purposes of Section 18 of the Securities Exchange Act of 1934, as amended (Exchange Act), or </w:t>
      </w:r>
      <w:r>
        <w:rPr>
          <w:rFonts w:ascii="Times New Roman" w:eastAsia="宋体" w:hAnsi="Times New Roman"/>
          <w:sz w:val="20"/>
          <w:szCs w:val="20"/>
        </w:rPr>
        <w:t>otherwise subject to the liability of that section, nor shall it be deemed incorporated by reference into any filing under the Securities Act of 1933, as amended, or the Exchange Act.</w:t>
      </w:r>
    </w:p>
    <w:p w14:paraId="54E91BB4" w14:textId="77777777" w:rsidR="00F427A3" w:rsidRDefault="00F427A3">
      <w:pPr>
        <w:rPr>
          <w:rFonts w:ascii="Times New Roman" w:hAnsi="Times New Roman"/>
          <w:sz w:val="20"/>
          <w:szCs w:val="20"/>
        </w:rPr>
      </w:pPr>
    </w:p>
    <w:p w14:paraId="54E91BB5"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85</w:t>
      </w:r>
    </w:p>
    <w:p w14:paraId="54E91BB6" w14:textId="77777777" w:rsidR="00F427A3" w:rsidRDefault="0044221F">
      <w:r>
        <w:rPr>
          <w:rFonts w:ascii="Times New Roman" w:hAnsi="Times New Roman"/>
          <w:sz w:val="20"/>
          <w:szCs w:val="20"/>
        </w:rPr>
        <w:pict w14:anchorId="54E91C85">
          <v:rect id="_x0000_i1109" style="width:415.3pt;height:1.5pt" o:hralign="center" o:hrstd="t" o:hr="t" fillcolor="#a0a0a0" stroked="f"/>
        </w:pict>
      </w:r>
    </w:p>
    <w:p w14:paraId="54E91BB7" w14:textId="77777777" w:rsidR="00F427A3" w:rsidRDefault="0044221F">
      <w:pPr>
        <w:spacing w:line="288" w:lineRule="auto"/>
        <w:rPr>
          <w:rFonts w:ascii="Times New Roman" w:hAnsi="Times New Roman"/>
          <w:sz w:val="20"/>
          <w:szCs w:val="20"/>
        </w:rPr>
      </w:pPr>
      <w:hyperlink r:id="rId131" w:anchor="s348EA962CF6D59B599D9921AFA89C381" w:history="1">
        <w:r>
          <w:rPr>
            <w:rStyle w:val="a5"/>
            <w:rFonts w:ascii="Times New Roman" w:eastAsia="宋体" w:hAnsi="Times New Roman"/>
            <w:sz w:val="20"/>
            <w:szCs w:val="20"/>
          </w:rPr>
          <w:t>Table of Contents</w:t>
        </w:r>
      </w:hyperlink>
    </w:p>
    <w:p w14:paraId="54E91BB8" w14:textId="77777777" w:rsidR="00F427A3" w:rsidRDefault="00F427A3">
      <w:pPr>
        <w:rPr>
          <w:rFonts w:ascii="Times New Roman" w:hAnsi="Times New Roman"/>
          <w:sz w:val="20"/>
          <w:szCs w:val="20"/>
        </w:rPr>
      </w:pPr>
    </w:p>
    <w:p w14:paraId="54E91BB9" w14:textId="77777777" w:rsidR="00F427A3" w:rsidRDefault="0044221F">
      <w:pPr>
        <w:spacing w:line="288" w:lineRule="auto"/>
        <w:jc w:val="center"/>
        <w:rPr>
          <w:rFonts w:ascii="Times New Roman" w:hAnsi="Times New Roman"/>
          <w:sz w:val="20"/>
          <w:szCs w:val="20"/>
        </w:rPr>
      </w:pPr>
      <w:r>
        <w:rPr>
          <w:rFonts w:ascii="Times New Roman" w:eastAsia="宋体" w:hAnsi="Times New Roman"/>
          <w:b/>
          <w:bCs/>
          <w:sz w:val="20"/>
          <w:szCs w:val="20"/>
        </w:rPr>
        <w:t>SIGNATURES</w:t>
      </w:r>
    </w:p>
    <w:p w14:paraId="54E91BBA" w14:textId="77777777" w:rsidR="00F427A3" w:rsidRDefault="0044221F">
      <w:pPr>
        <w:spacing w:line="288" w:lineRule="auto"/>
        <w:jc w:val="both"/>
        <w:rPr>
          <w:rFonts w:ascii="Times New Roman" w:hAnsi="Times New Roman"/>
          <w:sz w:val="20"/>
          <w:szCs w:val="20"/>
        </w:rPr>
      </w:pPr>
      <w:r>
        <w:rPr>
          <w:rFonts w:ascii="Times New Roman" w:eastAsia="宋体" w:hAnsi="Times New Roman"/>
          <w:sz w:val="20"/>
          <w:szCs w:val="20"/>
        </w:rPr>
        <w:t>Pursuant to the requirements of the Securities Exchange Act of 1934, the Registrant has duly caused this Quarterly Report on Form 10-Q to b</w:t>
      </w:r>
      <w:r>
        <w:rPr>
          <w:rFonts w:ascii="Times New Roman" w:eastAsia="宋体" w:hAnsi="Times New Roman"/>
          <w:sz w:val="20"/>
          <w:szCs w:val="20"/>
        </w:rPr>
        <w:t>e signed on its behalf by the undersigned, thereunto duly authorized, in the City of Menlo Park, State of California, on this 29th day of October 2020.</w:t>
      </w:r>
      <w:r>
        <w:rPr>
          <w:rFonts w:ascii="Times New Roman" w:eastAsia="宋体" w:hAnsi="Times New Roman"/>
          <w:sz w:val="18"/>
          <w:szCs w:val="18"/>
        </w:rPr>
        <w:t> </w:t>
      </w:r>
    </w:p>
    <w:tbl>
      <w:tblPr>
        <w:tblW w:w="4802" w:type="pct"/>
        <w:tblCellMar>
          <w:left w:w="0" w:type="dxa"/>
          <w:right w:w="0" w:type="dxa"/>
        </w:tblCellMar>
        <w:tblLook w:val="04A0" w:firstRow="1" w:lastRow="0" w:firstColumn="1" w:lastColumn="0" w:noHBand="0" w:noVBand="1"/>
      </w:tblPr>
      <w:tblGrid>
        <w:gridCol w:w="3883"/>
        <w:gridCol w:w="130"/>
        <w:gridCol w:w="3964"/>
      </w:tblGrid>
      <w:tr w:rsidR="00F427A3" w14:paraId="54E91BBC" w14:textId="77777777">
        <w:tc>
          <w:tcPr>
            <w:tcW w:w="0" w:type="auto"/>
            <w:gridSpan w:val="3"/>
            <w:shd w:val="clear" w:color="auto" w:fill="auto"/>
            <w:vAlign w:val="center"/>
          </w:tcPr>
          <w:p w14:paraId="54E91BBB" w14:textId="77777777" w:rsidR="00F427A3" w:rsidRDefault="00F427A3">
            <w:pPr>
              <w:rPr>
                <w:rFonts w:ascii="Times New Roman" w:hAnsi="Times New Roman"/>
                <w:sz w:val="20"/>
                <w:szCs w:val="20"/>
              </w:rPr>
            </w:pPr>
          </w:p>
        </w:tc>
      </w:tr>
      <w:tr w:rsidR="00F427A3" w14:paraId="54E91BC0" w14:textId="77777777">
        <w:tc>
          <w:tcPr>
            <w:tcW w:w="2450" w:type="pct"/>
            <w:shd w:val="clear" w:color="auto" w:fill="auto"/>
            <w:vAlign w:val="center"/>
          </w:tcPr>
          <w:p w14:paraId="54E91BBD" w14:textId="77777777" w:rsidR="00F427A3" w:rsidRDefault="00F427A3">
            <w:pPr>
              <w:rPr>
                <w:rFonts w:ascii="Times New Roman" w:hAnsi="Times New Roman"/>
                <w:sz w:val="20"/>
                <w:szCs w:val="20"/>
              </w:rPr>
            </w:pPr>
          </w:p>
        </w:tc>
        <w:tc>
          <w:tcPr>
            <w:tcW w:w="50" w:type="pct"/>
            <w:shd w:val="clear" w:color="auto" w:fill="auto"/>
            <w:vAlign w:val="center"/>
          </w:tcPr>
          <w:p w14:paraId="54E91BBE" w14:textId="77777777" w:rsidR="00F427A3" w:rsidRDefault="00F427A3">
            <w:pPr>
              <w:rPr>
                <w:rFonts w:ascii="Times New Roman" w:hAnsi="Times New Roman"/>
                <w:sz w:val="20"/>
                <w:szCs w:val="20"/>
              </w:rPr>
            </w:pPr>
          </w:p>
        </w:tc>
        <w:tc>
          <w:tcPr>
            <w:tcW w:w="2500" w:type="pct"/>
            <w:shd w:val="clear" w:color="auto" w:fill="auto"/>
            <w:vAlign w:val="center"/>
          </w:tcPr>
          <w:p w14:paraId="54E91BBF" w14:textId="77777777" w:rsidR="00F427A3" w:rsidRDefault="00F427A3">
            <w:pPr>
              <w:rPr>
                <w:rFonts w:ascii="Times New Roman" w:hAnsi="Times New Roman"/>
                <w:sz w:val="20"/>
                <w:szCs w:val="20"/>
              </w:rPr>
            </w:pPr>
          </w:p>
        </w:tc>
      </w:tr>
      <w:tr w:rsidR="00F427A3" w14:paraId="54E91BC4" w14:textId="77777777">
        <w:tc>
          <w:tcPr>
            <w:tcW w:w="0" w:type="auto"/>
            <w:shd w:val="clear" w:color="auto" w:fill="auto"/>
            <w:tcMar>
              <w:top w:w="40" w:type="dxa"/>
              <w:left w:w="40" w:type="dxa"/>
              <w:bottom w:w="40" w:type="dxa"/>
              <w:right w:w="40" w:type="dxa"/>
            </w:tcMar>
            <w:vAlign w:val="bottom"/>
          </w:tcPr>
          <w:p w14:paraId="54E91BC1" w14:textId="77777777" w:rsidR="00F427A3" w:rsidRDefault="0044221F">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4E91BC2"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C3" w14:textId="77777777" w:rsidR="00F427A3" w:rsidRDefault="0044221F">
            <w:pPr>
              <w:textAlignment w:val="bottom"/>
              <w:rPr>
                <w:rFonts w:ascii="Times New Roman" w:hAnsi="Times New Roman"/>
                <w:sz w:val="20"/>
                <w:szCs w:val="20"/>
              </w:rPr>
            </w:pPr>
            <w:r>
              <w:rPr>
                <w:rFonts w:ascii="Times New Roman" w:eastAsia="宋体" w:hAnsi="Times New Roman"/>
                <w:b/>
                <w:bCs/>
                <w:sz w:val="20"/>
                <w:szCs w:val="20"/>
              </w:rPr>
              <w:t>FACEBOOK, INC.</w:t>
            </w:r>
          </w:p>
        </w:tc>
      </w:tr>
      <w:tr w:rsidR="00F427A3" w14:paraId="54E91BC7" w14:textId="77777777">
        <w:tc>
          <w:tcPr>
            <w:tcW w:w="0" w:type="auto"/>
            <w:shd w:val="clear" w:color="auto" w:fill="auto"/>
            <w:tcMar>
              <w:top w:w="40" w:type="dxa"/>
              <w:left w:w="40" w:type="dxa"/>
              <w:bottom w:w="40" w:type="dxa"/>
              <w:right w:w="40" w:type="dxa"/>
            </w:tcMar>
            <w:vAlign w:val="bottom"/>
          </w:tcPr>
          <w:p w14:paraId="54E91BC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C6"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1BCB" w14:textId="77777777">
        <w:tc>
          <w:tcPr>
            <w:tcW w:w="0" w:type="auto"/>
            <w:shd w:val="clear" w:color="auto" w:fill="auto"/>
            <w:tcMar>
              <w:top w:w="40" w:type="dxa"/>
              <w:left w:w="40" w:type="dxa"/>
              <w:bottom w:w="40" w:type="dxa"/>
              <w:right w:w="40" w:type="dxa"/>
            </w:tcMar>
          </w:tcPr>
          <w:p w14:paraId="54E91BC8"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Date: October 29, 2020</w:t>
            </w:r>
          </w:p>
        </w:tc>
        <w:tc>
          <w:tcPr>
            <w:tcW w:w="0" w:type="auto"/>
            <w:shd w:val="clear" w:color="auto" w:fill="auto"/>
            <w:tcMar>
              <w:top w:w="40" w:type="dxa"/>
              <w:left w:w="40" w:type="dxa"/>
              <w:bottom w:w="40" w:type="dxa"/>
              <w:right w:w="40" w:type="dxa"/>
            </w:tcMar>
            <w:vAlign w:val="bottom"/>
          </w:tcPr>
          <w:p w14:paraId="54E91BC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4E91BCA" w14:textId="77777777" w:rsidR="00F427A3" w:rsidRDefault="0044221F">
            <w:pPr>
              <w:jc w:val="both"/>
              <w:textAlignment w:val="bottom"/>
              <w:rPr>
                <w:rFonts w:ascii="Times New Roman" w:hAnsi="Times New Roman"/>
                <w:sz w:val="20"/>
                <w:szCs w:val="20"/>
              </w:rPr>
            </w:pPr>
            <w:r>
              <w:rPr>
                <w:rFonts w:ascii="Times New Roman" w:eastAsia="宋体" w:hAnsi="Times New Roman"/>
                <w:sz w:val="20"/>
                <w:szCs w:val="20"/>
              </w:rPr>
              <w:t>/s/ DAVID M. WEHNER</w:t>
            </w:r>
          </w:p>
        </w:tc>
      </w:tr>
      <w:tr w:rsidR="00F427A3" w14:paraId="54E91BCF" w14:textId="77777777">
        <w:tc>
          <w:tcPr>
            <w:tcW w:w="0" w:type="auto"/>
            <w:shd w:val="clear" w:color="auto" w:fill="auto"/>
            <w:tcMar>
              <w:top w:w="40" w:type="dxa"/>
              <w:left w:w="40" w:type="dxa"/>
              <w:bottom w:w="40" w:type="dxa"/>
              <w:right w:w="40" w:type="dxa"/>
            </w:tcMar>
            <w:vAlign w:val="bottom"/>
          </w:tcPr>
          <w:p w14:paraId="54E91BCC"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CD"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right w:w="40" w:type="dxa"/>
            </w:tcMar>
            <w:vAlign w:val="bottom"/>
          </w:tcPr>
          <w:p w14:paraId="54E91BCE"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David M. Wehner</w:t>
            </w:r>
            <w:r>
              <w:rPr>
                <w:rFonts w:ascii="Times New Roman" w:eastAsia="宋体" w:hAnsi="Times New Roman"/>
                <w:sz w:val="20"/>
                <w:szCs w:val="20"/>
              </w:rPr>
              <w:br/>
            </w:r>
            <w:r>
              <w:rPr>
                <w:rFonts w:ascii="Times New Roman" w:eastAsia="宋体" w:hAnsi="Times New Roman"/>
                <w:sz w:val="20"/>
                <w:szCs w:val="20"/>
              </w:rPr>
              <w:t>Chief Financial Officer</w:t>
            </w:r>
            <w:r>
              <w:rPr>
                <w:rFonts w:ascii="Times New Roman" w:eastAsia="宋体" w:hAnsi="Times New Roman"/>
                <w:sz w:val="20"/>
                <w:szCs w:val="20"/>
              </w:rPr>
              <w:br/>
            </w:r>
            <w:r>
              <w:rPr>
                <w:rFonts w:ascii="Times New Roman" w:eastAsia="宋体" w:hAnsi="Times New Roman"/>
                <w:i/>
                <w:iCs/>
                <w:sz w:val="20"/>
                <w:szCs w:val="20"/>
              </w:rPr>
              <w:t>(Principal Financial Officer)</w:t>
            </w:r>
          </w:p>
        </w:tc>
      </w:tr>
      <w:tr w:rsidR="00F427A3" w14:paraId="54E91BD2" w14:textId="77777777">
        <w:tc>
          <w:tcPr>
            <w:tcW w:w="0" w:type="auto"/>
            <w:shd w:val="clear" w:color="auto" w:fill="auto"/>
            <w:tcMar>
              <w:top w:w="40" w:type="dxa"/>
              <w:left w:w="40" w:type="dxa"/>
              <w:bottom w:w="40" w:type="dxa"/>
              <w:right w:w="40" w:type="dxa"/>
            </w:tcMar>
            <w:vAlign w:val="bottom"/>
          </w:tcPr>
          <w:p w14:paraId="54E91BD0"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4E91BD1"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r>
      <w:tr w:rsidR="00F427A3" w14:paraId="54E91BD6" w14:textId="77777777">
        <w:tc>
          <w:tcPr>
            <w:tcW w:w="0" w:type="auto"/>
            <w:shd w:val="clear" w:color="auto" w:fill="auto"/>
            <w:tcMar>
              <w:top w:w="40" w:type="dxa"/>
              <w:left w:w="40" w:type="dxa"/>
              <w:bottom w:w="40" w:type="dxa"/>
              <w:right w:w="40" w:type="dxa"/>
            </w:tcMar>
          </w:tcPr>
          <w:p w14:paraId="54E91BD3" w14:textId="77777777" w:rsidR="00F427A3" w:rsidRDefault="0044221F">
            <w:pPr>
              <w:textAlignment w:val="top"/>
              <w:rPr>
                <w:rFonts w:ascii="Times New Roman" w:hAnsi="Times New Roman"/>
                <w:sz w:val="20"/>
                <w:szCs w:val="20"/>
              </w:rPr>
            </w:pPr>
            <w:r>
              <w:rPr>
                <w:rFonts w:ascii="Times New Roman" w:eastAsia="宋体" w:hAnsi="Times New Roman"/>
                <w:sz w:val="20"/>
                <w:szCs w:val="20"/>
              </w:rPr>
              <w:t>Date: October 29, 2020</w:t>
            </w:r>
          </w:p>
        </w:tc>
        <w:tc>
          <w:tcPr>
            <w:tcW w:w="0" w:type="auto"/>
            <w:shd w:val="clear" w:color="auto" w:fill="auto"/>
            <w:tcMar>
              <w:top w:w="40" w:type="dxa"/>
              <w:left w:w="40" w:type="dxa"/>
              <w:bottom w:w="40" w:type="dxa"/>
              <w:right w:w="40" w:type="dxa"/>
            </w:tcMar>
            <w:vAlign w:val="bottom"/>
          </w:tcPr>
          <w:p w14:paraId="54E91BD4"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4E91BD5"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/s/ SUSAN J.S. TAYLOR</w:t>
            </w:r>
          </w:p>
        </w:tc>
      </w:tr>
      <w:tr w:rsidR="00F427A3" w14:paraId="54E91BDA" w14:textId="77777777">
        <w:tc>
          <w:tcPr>
            <w:tcW w:w="0" w:type="auto"/>
            <w:shd w:val="clear" w:color="auto" w:fill="auto"/>
            <w:tcMar>
              <w:top w:w="40" w:type="dxa"/>
              <w:left w:w="40" w:type="dxa"/>
              <w:bottom w:w="40" w:type="dxa"/>
              <w:right w:w="40" w:type="dxa"/>
            </w:tcMar>
            <w:vAlign w:val="bottom"/>
          </w:tcPr>
          <w:p w14:paraId="54E91BD7"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D8"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4E91BD9" w14:textId="77777777" w:rsidR="00F427A3" w:rsidRDefault="0044221F">
            <w:pPr>
              <w:textAlignment w:val="bottom"/>
              <w:rPr>
                <w:rFonts w:ascii="Times New Roman" w:hAnsi="Times New Roman"/>
                <w:sz w:val="20"/>
                <w:szCs w:val="20"/>
              </w:rPr>
            </w:pPr>
            <w:r>
              <w:rPr>
                <w:rFonts w:ascii="Times New Roman" w:eastAsia="宋体" w:hAnsi="Times New Roman"/>
                <w:sz w:val="20"/>
                <w:szCs w:val="20"/>
              </w:rPr>
              <w:t>Susan J.S. Taylor</w:t>
            </w:r>
            <w:r>
              <w:rPr>
                <w:rFonts w:ascii="Times New Roman" w:eastAsia="宋体" w:hAnsi="Times New Roman"/>
                <w:sz w:val="20"/>
                <w:szCs w:val="20"/>
              </w:rPr>
              <w:br/>
              <w:t>Chief Accounting Officer</w:t>
            </w:r>
            <w:r>
              <w:rPr>
                <w:rFonts w:ascii="Times New Roman" w:eastAsia="宋体" w:hAnsi="Times New Roman"/>
                <w:sz w:val="20"/>
                <w:szCs w:val="20"/>
              </w:rPr>
              <w:br/>
            </w:r>
            <w:r>
              <w:rPr>
                <w:rFonts w:ascii="Times New Roman" w:eastAsia="宋体" w:hAnsi="Times New Roman"/>
                <w:i/>
                <w:iCs/>
                <w:sz w:val="20"/>
                <w:szCs w:val="20"/>
              </w:rPr>
              <w:t>(Principal Accounting Officer)</w:t>
            </w:r>
          </w:p>
        </w:tc>
      </w:tr>
    </w:tbl>
    <w:p w14:paraId="54E91BDB" w14:textId="77777777" w:rsidR="00F427A3" w:rsidRDefault="00F427A3">
      <w:pPr>
        <w:spacing w:line="288" w:lineRule="auto"/>
        <w:rPr>
          <w:rFonts w:ascii="Times New Roman" w:hAnsi="Times New Roman"/>
          <w:sz w:val="16"/>
          <w:szCs w:val="16"/>
        </w:rPr>
      </w:pPr>
    </w:p>
    <w:p w14:paraId="54E91BDC" w14:textId="77777777" w:rsidR="00F427A3" w:rsidRDefault="00F427A3">
      <w:pPr>
        <w:rPr>
          <w:rFonts w:ascii="Times New Roman" w:hAnsi="Times New Roman"/>
          <w:sz w:val="20"/>
          <w:szCs w:val="20"/>
        </w:rPr>
      </w:pPr>
    </w:p>
    <w:p w14:paraId="54E91BDD" w14:textId="77777777" w:rsidR="00F427A3" w:rsidRDefault="0044221F">
      <w:pPr>
        <w:spacing w:line="288" w:lineRule="auto"/>
        <w:jc w:val="center"/>
        <w:rPr>
          <w:rFonts w:ascii="Times New Roman" w:hAnsi="Times New Roman"/>
          <w:sz w:val="20"/>
          <w:szCs w:val="20"/>
        </w:rPr>
      </w:pPr>
      <w:r>
        <w:rPr>
          <w:rFonts w:ascii="Times New Roman" w:eastAsia="宋体" w:hAnsi="Times New Roman"/>
          <w:sz w:val="20"/>
          <w:szCs w:val="20"/>
        </w:rPr>
        <w:t>86</w:t>
      </w:r>
    </w:p>
    <w:p w14:paraId="54E91BDE" w14:textId="77777777" w:rsidR="00F427A3" w:rsidRDefault="0044221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4E91C86" wp14:editId="54E91C87">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7A3" w14:paraId="54E91BE0" w14:textId="77777777">
        <w:trPr>
          <w:tblCellSpacing w:w="15" w:type="dxa"/>
        </w:trPr>
        <w:tc>
          <w:tcPr>
            <w:tcW w:w="0" w:type="auto"/>
            <w:shd w:val="clear" w:color="auto" w:fill="auto"/>
            <w:vAlign w:val="center"/>
          </w:tcPr>
          <w:p w14:paraId="54E91BDF" w14:textId="77777777" w:rsidR="00F427A3" w:rsidRDefault="00F427A3">
            <w:pPr>
              <w:rPr>
                <w:rFonts w:ascii="宋体"/>
              </w:rPr>
            </w:pPr>
          </w:p>
        </w:tc>
      </w:tr>
    </w:tbl>
    <w:p w14:paraId="54E91BE1" w14:textId="77777777" w:rsidR="00F427A3" w:rsidRDefault="00F427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7A3" w14:paraId="54E91BE3" w14:textId="77777777">
        <w:trPr>
          <w:tblCellSpacing w:w="15" w:type="dxa"/>
        </w:trPr>
        <w:tc>
          <w:tcPr>
            <w:tcW w:w="0" w:type="auto"/>
            <w:shd w:val="clear" w:color="auto" w:fill="auto"/>
            <w:vAlign w:val="center"/>
          </w:tcPr>
          <w:p w14:paraId="54E91BE2" w14:textId="77777777" w:rsidR="00F427A3" w:rsidRDefault="00F427A3">
            <w:pPr>
              <w:rPr>
                <w:rFonts w:ascii="宋体"/>
              </w:rPr>
            </w:pPr>
          </w:p>
        </w:tc>
      </w:tr>
    </w:tbl>
    <w:p w14:paraId="54E91BE4" w14:textId="77777777" w:rsidR="00F427A3" w:rsidRDefault="00F427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7A3" w14:paraId="54E91BE6" w14:textId="77777777">
        <w:trPr>
          <w:tblCellSpacing w:w="15" w:type="dxa"/>
        </w:trPr>
        <w:tc>
          <w:tcPr>
            <w:tcW w:w="0" w:type="auto"/>
            <w:shd w:val="clear" w:color="auto" w:fill="auto"/>
            <w:vAlign w:val="center"/>
          </w:tcPr>
          <w:p w14:paraId="54E91BE5" w14:textId="77777777" w:rsidR="00F427A3" w:rsidRDefault="00F427A3">
            <w:pPr>
              <w:rPr>
                <w:rFonts w:ascii="宋体"/>
              </w:rPr>
            </w:pPr>
          </w:p>
        </w:tc>
      </w:tr>
    </w:tbl>
    <w:p w14:paraId="54E91BE7" w14:textId="77777777" w:rsidR="00F427A3" w:rsidRDefault="00F427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7A3" w14:paraId="54E91BE9" w14:textId="77777777">
        <w:trPr>
          <w:tblCellSpacing w:w="15" w:type="dxa"/>
        </w:trPr>
        <w:tc>
          <w:tcPr>
            <w:tcW w:w="0" w:type="auto"/>
            <w:shd w:val="clear" w:color="auto" w:fill="auto"/>
            <w:vAlign w:val="center"/>
          </w:tcPr>
          <w:p w14:paraId="54E91BE8" w14:textId="77777777" w:rsidR="00F427A3" w:rsidRDefault="00F427A3">
            <w:pPr>
              <w:rPr>
                <w:rFonts w:ascii="宋体"/>
              </w:rPr>
            </w:pPr>
          </w:p>
        </w:tc>
      </w:tr>
    </w:tbl>
    <w:p w14:paraId="54E91BEA" w14:textId="77777777" w:rsidR="00F427A3" w:rsidRDefault="0044221F">
      <w:r>
        <w:rPr>
          <w:rFonts w:ascii="宋体" w:eastAsia="宋体" w:hAnsi="宋体" w:cs="宋体"/>
        </w:rPr>
        <w:t xml:space="preserve">Previous Next </w:t>
      </w:r>
    </w:p>
    <w:p w14:paraId="54E91BEB" w14:textId="77777777" w:rsidR="00F427A3" w:rsidRDefault="0044221F">
      <w:pPr>
        <w:pStyle w:val="a3"/>
      </w:pPr>
      <w:r>
        <w:t>Settings</w:t>
      </w:r>
    </w:p>
    <w:p w14:paraId="54E91BEC" w14:textId="77777777" w:rsidR="00F427A3" w:rsidRDefault="0044221F">
      <w:pPr>
        <w:pStyle w:val="Style4"/>
      </w:pPr>
      <w:r>
        <w:t>窗体顶端</w:t>
      </w:r>
    </w:p>
    <w:p w14:paraId="54E91BED" w14:textId="77777777" w:rsidR="00F427A3" w:rsidRDefault="0044221F">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54E91C88" wp14:editId="54E91C89">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54E91BEE" w14:textId="77777777" w:rsidR="00F427A3" w:rsidRDefault="0044221F">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54E91C8A" wp14:editId="54E91C8B">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54E91BEF" w14:textId="77777777" w:rsidR="00F427A3" w:rsidRDefault="0044221F">
      <w:r>
        <w:pict w14:anchorId="54E91C8C">
          <v:rect id="_x0000_i1110" style="width:415.3pt;height:1.5pt" o:hralign="center" o:hrstd="t" o:hr="t" fillcolor="#a0a0a0" stroked="f"/>
        </w:pict>
      </w:r>
    </w:p>
    <w:p w14:paraId="54E91BF0" w14:textId="77777777" w:rsidR="00F427A3" w:rsidRDefault="0044221F">
      <w:r>
        <w:rPr>
          <w:rFonts w:ascii="宋体" w:eastAsia="宋体" w:hAnsi="宋体" w:cs="宋体"/>
        </w:rPr>
        <w:t xml:space="preserve">Tagged Data </w:t>
      </w:r>
    </w:p>
    <w:p w14:paraId="54E91BF1" w14:textId="77777777" w:rsidR="00F427A3" w:rsidRDefault="0044221F">
      <w:r>
        <w:rPr>
          <w:rFonts w:ascii="monospace" w:eastAsia="monospace" w:hAnsi="monospace" w:cs="monospace"/>
          <w:noProof/>
        </w:rPr>
        <mc:AlternateContent>
          <mc:Choice Requires="wps">
            <w:drawing>
              <wp:inline distT="0" distB="0" distL="114300" distR="114300" wp14:anchorId="54E91C8D" wp14:editId="54E91C8E">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path/>
                <v:fill on="f" focussize="0,0"/>
                <v:stroke/>
                <v:imagedata o:title=""/>
                <o:lock v:ext="edit" aspectratio="t"/>
                <w10:wrap type="none"/>
                <w10:anchorlock/>
              </v:rect>
            </w:pict>
          </mc:Fallback>
        </mc:AlternateContent>
      </w:r>
    </w:p>
    <w:p w14:paraId="54E91BF2" w14:textId="77777777" w:rsidR="00F427A3" w:rsidRDefault="0044221F">
      <w:r>
        <w:rPr>
          <w:rFonts w:ascii="宋体" w:eastAsia="宋体" w:hAnsi="宋体" w:cs="宋体"/>
        </w:rPr>
        <w:t>Save</w:t>
      </w:r>
    </w:p>
    <w:p w14:paraId="54E91BF3" w14:textId="77777777" w:rsidR="00F427A3" w:rsidRDefault="0044221F">
      <w:r>
        <w:rPr>
          <w:rFonts w:ascii="宋体" w:eastAsia="宋体" w:hAnsi="宋体" w:cs="宋体"/>
        </w:rPr>
        <w:t>Reset</w:t>
      </w:r>
    </w:p>
    <w:p w14:paraId="54E91BF4" w14:textId="77777777" w:rsidR="00F427A3" w:rsidRDefault="0044221F">
      <w:r>
        <w:pict w14:anchorId="54E91C8F">
          <v:rect id="_x0000_i1111" style="width:415.3pt;height:1.5pt" o:hralign="center" o:hrstd="t" o:hr="t" fillcolor="#a0a0a0" stroked="f"/>
        </w:pict>
      </w:r>
    </w:p>
    <w:p w14:paraId="54E91BF5" w14:textId="77777777" w:rsidR="00F427A3" w:rsidRDefault="0044221F">
      <w:r>
        <w:rPr>
          <w:rFonts w:ascii="宋体" w:eastAsia="宋体" w:hAnsi="宋体" w:cs="宋体"/>
        </w:rPr>
        <w:t xml:space="preserve">Search Results </w:t>
      </w:r>
    </w:p>
    <w:p w14:paraId="54E91BF6" w14:textId="77777777" w:rsidR="00F427A3" w:rsidRDefault="0044221F">
      <w:r>
        <w:rPr>
          <w:rFonts w:ascii="monospace" w:eastAsia="monospace" w:hAnsi="monospace" w:cs="monospace"/>
          <w:noProof/>
        </w:rPr>
        <mc:AlternateContent>
          <mc:Choice Requires="wps">
            <w:drawing>
              <wp:inline distT="0" distB="0" distL="114300" distR="114300" wp14:anchorId="54E91C90" wp14:editId="54E91C91">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path/>
                <v:fill on="f" focussize="0,0"/>
                <v:stroke/>
                <v:imagedata o:title=""/>
                <o:lock v:ext="edit" aspectratio="t"/>
                <w10:wrap type="none"/>
                <w10:anchorlock/>
              </v:rect>
            </w:pict>
          </mc:Fallback>
        </mc:AlternateContent>
      </w:r>
    </w:p>
    <w:p w14:paraId="54E91BF7" w14:textId="77777777" w:rsidR="00F427A3" w:rsidRDefault="0044221F">
      <w:r>
        <w:rPr>
          <w:rFonts w:ascii="宋体" w:eastAsia="宋体" w:hAnsi="宋体" w:cs="宋体"/>
        </w:rPr>
        <w:t>Save</w:t>
      </w:r>
    </w:p>
    <w:p w14:paraId="54E91BF8" w14:textId="77777777" w:rsidR="00F427A3" w:rsidRDefault="0044221F">
      <w:r>
        <w:rPr>
          <w:rFonts w:ascii="宋体" w:eastAsia="宋体" w:hAnsi="宋体" w:cs="宋体"/>
        </w:rPr>
        <w:t>Reset</w:t>
      </w:r>
    </w:p>
    <w:p w14:paraId="54E91BF9" w14:textId="77777777" w:rsidR="00F427A3" w:rsidRDefault="0044221F">
      <w:r>
        <w:pict w14:anchorId="54E91C92">
          <v:rect id="_x0000_i1112" style="width:415.3pt;height:1.5pt" o:hralign="center" o:hrstd="t" o:hr="t" fillcolor="#a0a0a0" stroked="f"/>
        </w:pict>
      </w:r>
    </w:p>
    <w:p w14:paraId="54E91BFA" w14:textId="77777777" w:rsidR="00F427A3" w:rsidRDefault="0044221F">
      <w:r>
        <w:rPr>
          <w:rFonts w:ascii="宋体" w:eastAsia="宋体" w:hAnsi="宋体" w:cs="宋体"/>
        </w:rPr>
        <w:t xml:space="preserve">Selected Fact </w:t>
      </w:r>
    </w:p>
    <w:p w14:paraId="54E91BFB" w14:textId="77777777" w:rsidR="00F427A3" w:rsidRDefault="0044221F">
      <w:r>
        <w:rPr>
          <w:rFonts w:ascii="monospace" w:eastAsia="monospace" w:hAnsi="monospace" w:cs="monospace"/>
          <w:noProof/>
        </w:rPr>
        <mc:AlternateContent>
          <mc:Choice Requires="wps">
            <w:drawing>
              <wp:inline distT="0" distB="0" distL="114300" distR="114300" wp14:anchorId="54E91C93" wp14:editId="54E91C94">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SZAu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HzG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UmQLsBAgAAGgQAAA4AAAAAAAAA&#10;AQAgAAAAMwEAAGRycy9lMm9Eb2MueG1sUEsFBgAAAAAGAAYAWQEAAKYFAAAAAA==&#10;">
                <v:path/>
                <v:fill on="f" focussize="0,0"/>
                <v:stroke/>
                <v:imagedata o:title=""/>
                <o:lock v:ext="edit" aspectratio="t"/>
                <w10:wrap type="none"/>
                <w10:anchorlock/>
              </v:rect>
            </w:pict>
          </mc:Fallback>
        </mc:AlternateContent>
      </w:r>
    </w:p>
    <w:p w14:paraId="54E91BFC" w14:textId="77777777" w:rsidR="00F427A3" w:rsidRDefault="0044221F">
      <w:r>
        <w:rPr>
          <w:rFonts w:ascii="宋体" w:eastAsia="宋体" w:hAnsi="宋体" w:cs="宋体"/>
        </w:rPr>
        <w:t>Save</w:t>
      </w:r>
    </w:p>
    <w:p w14:paraId="54E91BFD" w14:textId="77777777" w:rsidR="00F427A3" w:rsidRDefault="0044221F">
      <w:r>
        <w:rPr>
          <w:rFonts w:ascii="宋体" w:eastAsia="宋体" w:hAnsi="宋体" w:cs="宋体"/>
        </w:rPr>
        <w:t>Reset</w:t>
      </w:r>
    </w:p>
    <w:p w14:paraId="54E91BFE" w14:textId="77777777" w:rsidR="00F427A3" w:rsidRDefault="0044221F">
      <w:r>
        <w:pict w14:anchorId="54E91C95">
          <v:rect id="_x0000_i1113" style="width:415.3pt;height:1.5pt" o:hralign="center" o:hrstd="t" o:hr="t" fillcolor="#a0a0a0" stroked="f"/>
        </w:pict>
      </w:r>
    </w:p>
    <w:p w14:paraId="54E91BFF" w14:textId="77777777" w:rsidR="00F427A3" w:rsidRDefault="0044221F">
      <w:r>
        <w:rPr>
          <w:rFonts w:ascii="宋体" w:eastAsia="宋体" w:hAnsi="宋体" w:cs="宋体"/>
        </w:rPr>
        <w:t xml:space="preserve">Tag Shading (hover) </w:t>
      </w:r>
    </w:p>
    <w:p w14:paraId="54E91C00" w14:textId="77777777" w:rsidR="00F427A3" w:rsidRDefault="0044221F">
      <w:r>
        <w:rPr>
          <w:rFonts w:ascii="monospace" w:eastAsia="monospace" w:hAnsi="monospace" w:cs="monospace"/>
          <w:noProof/>
        </w:rPr>
        <mc:AlternateContent>
          <mc:Choice Requires="wps">
            <w:drawing>
              <wp:inline distT="0" distB="0" distL="114300" distR="114300" wp14:anchorId="54E91C96" wp14:editId="54E91C97">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path/>
                <v:fill on="f" focussize="0,0"/>
                <v:stroke/>
                <v:imagedata o:title=""/>
                <o:lock v:ext="edit" aspectratio="t"/>
                <w10:wrap type="none"/>
                <w10:anchorlock/>
              </v:rect>
            </w:pict>
          </mc:Fallback>
        </mc:AlternateContent>
      </w:r>
    </w:p>
    <w:p w14:paraId="54E91C01" w14:textId="77777777" w:rsidR="00F427A3" w:rsidRDefault="0044221F">
      <w:r>
        <w:rPr>
          <w:rFonts w:ascii="宋体" w:eastAsia="宋体" w:hAnsi="宋体" w:cs="宋体"/>
        </w:rPr>
        <w:t>Save</w:t>
      </w:r>
    </w:p>
    <w:p w14:paraId="54E91C02" w14:textId="77777777" w:rsidR="00F427A3" w:rsidRDefault="0044221F">
      <w:r>
        <w:rPr>
          <w:rFonts w:ascii="宋体" w:eastAsia="宋体" w:hAnsi="宋体" w:cs="宋体"/>
        </w:rPr>
        <w:t>Reset</w:t>
      </w:r>
    </w:p>
    <w:p w14:paraId="54E91C03" w14:textId="77777777" w:rsidR="00F427A3" w:rsidRDefault="0044221F">
      <w:pPr>
        <w:pStyle w:val="Style5"/>
      </w:pPr>
      <w:r>
        <w:t>窗体底端</w:t>
      </w:r>
    </w:p>
    <w:p w14:paraId="54E91C04" w14:textId="77777777" w:rsidR="00F427A3" w:rsidRDefault="0044221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4E91C98" wp14:editId="54E91C99">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7A3" w14:paraId="54E91C06" w14:textId="77777777">
        <w:trPr>
          <w:tblCellSpacing w:w="15" w:type="dxa"/>
        </w:trPr>
        <w:tc>
          <w:tcPr>
            <w:tcW w:w="0" w:type="auto"/>
            <w:shd w:val="clear" w:color="auto" w:fill="auto"/>
            <w:vAlign w:val="center"/>
          </w:tcPr>
          <w:p w14:paraId="54E91C05" w14:textId="77777777" w:rsidR="00F427A3" w:rsidRDefault="00F427A3">
            <w:pPr>
              <w:rPr>
                <w:rFonts w:ascii="宋体"/>
              </w:rPr>
            </w:pPr>
          </w:p>
        </w:tc>
      </w:tr>
    </w:tbl>
    <w:p w14:paraId="54E91C07" w14:textId="77777777" w:rsidR="00F427A3" w:rsidRDefault="00F427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7A3" w14:paraId="54E91C09" w14:textId="77777777">
        <w:trPr>
          <w:tblCellSpacing w:w="15" w:type="dxa"/>
        </w:trPr>
        <w:tc>
          <w:tcPr>
            <w:tcW w:w="0" w:type="auto"/>
            <w:shd w:val="clear" w:color="auto" w:fill="auto"/>
            <w:vAlign w:val="center"/>
          </w:tcPr>
          <w:p w14:paraId="54E91C08" w14:textId="77777777" w:rsidR="00F427A3" w:rsidRDefault="00F427A3">
            <w:pPr>
              <w:rPr>
                <w:rFonts w:ascii="宋体"/>
              </w:rPr>
            </w:pPr>
          </w:p>
        </w:tc>
      </w:tr>
    </w:tbl>
    <w:p w14:paraId="54E91C0A" w14:textId="77777777" w:rsidR="00F427A3" w:rsidRDefault="00F427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7A3" w14:paraId="54E91C0C" w14:textId="77777777">
        <w:trPr>
          <w:tblCellSpacing w:w="15" w:type="dxa"/>
        </w:trPr>
        <w:tc>
          <w:tcPr>
            <w:tcW w:w="0" w:type="auto"/>
            <w:shd w:val="clear" w:color="auto" w:fill="auto"/>
            <w:vAlign w:val="center"/>
          </w:tcPr>
          <w:p w14:paraId="54E91C0B" w14:textId="77777777" w:rsidR="00F427A3" w:rsidRDefault="00F427A3">
            <w:pPr>
              <w:rPr>
                <w:rFonts w:ascii="宋体"/>
              </w:rPr>
            </w:pPr>
          </w:p>
        </w:tc>
      </w:tr>
    </w:tbl>
    <w:p w14:paraId="54E91C0D" w14:textId="77777777" w:rsidR="00F427A3" w:rsidRDefault="00F427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7A3" w14:paraId="54E91C0F" w14:textId="77777777">
        <w:trPr>
          <w:tblCellSpacing w:w="15" w:type="dxa"/>
        </w:trPr>
        <w:tc>
          <w:tcPr>
            <w:tcW w:w="0" w:type="auto"/>
            <w:shd w:val="clear" w:color="auto" w:fill="auto"/>
            <w:vAlign w:val="center"/>
          </w:tcPr>
          <w:p w14:paraId="54E91C0E" w14:textId="77777777" w:rsidR="00F427A3" w:rsidRDefault="00F427A3">
            <w:pPr>
              <w:rPr>
                <w:rFonts w:ascii="宋体"/>
              </w:rPr>
            </w:pPr>
          </w:p>
        </w:tc>
      </w:tr>
    </w:tbl>
    <w:p w14:paraId="54E91C10" w14:textId="77777777" w:rsidR="00F427A3" w:rsidRDefault="0044221F">
      <w:r>
        <w:rPr>
          <w:rFonts w:ascii="宋体" w:eastAsia="宋体" w:hAnsi="宋体" w:cs="宋体"/>
        </w:rPr>
        <w:t xml:space="preserve">Previous Next </w:t>
      </w:r>
    </w:p>
    <w:p w14:paraId="54E91C11" w14:textId="77777777" w:rsidR="00F427A3" w:rsidRDefault="0044221F">
      <w:pPr>
        <w:pStyle w:val="a3"/>
      </w:pPr>
      <w:r>
        <w:t xml:space="preserve">Nested Facts / </w:t>
      </w:r>
    </w:p>
    <w:p w14:paraId="54E91C12" w14:textId="77777777" w:rsidR="00F427A3" w:rsidRDefault="0044221F">
      <w:r>
        <w:rPr>
          <w:rFonts w:ascii="宋体" w:eastAsia="宋体" w:hAnsi="宋体" w:cs="宋体"/>
        </w:rPr>
        <w:t xml:space="preserve">Previous Next </w:t>
      </w:r>
    </w:p>
    <w:p w14:paraId="54E91C13" w14:textId="77777777" w:rsidR="00F427A3" w:rsidRDefault="0044221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4E91C9A" wp14:editId="54E91C9B">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7A3" w14:paraId="54E91C15" w14:textId="77777777">
        <w:trPr>
          <w:tblCellSpacing w:w="15" w:type="dxa"/>
        </w:trPr>
        <w:tc>
          <w:tcPr>
            <w:tcW w:w="0" w:type="auto"/>
            <w:shd w:val="clear" w:color="auto" w:fill="auto"/>
            <w:vAlign w:val="center"/>
          </w:tcPr>
          <w:p w14:paraId="54E91C14" w14:textId="77777777" w:rsidR="00F427A3" w:rsidRDefault="00F427A3">
            <w:pPr>
              <w:rPr>
                <w:rFonts w:ascii="宋体"/>
              </w:rPr>
            </w:pPr>
          </w:p>
        </w:tc>
      </w:tr>
    </w:tbl>
    <w:p w14:paraId="54E91C16" w14:textId="77777777" w:rsidR="00F427A3" w:rsidRDefault="00F427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7A3" w14:paraId="54E91C18" w14:textId="77777777">
        <w:trPr>
          <w:tblCellSpacing w:w="15" w:type="dxa"/>
        </w:trPr>
        <w:tc>
          <w:tcPr>
            <w:tcW w:w="0" w:type="auto"/>
            <w:shd w:val="clear" w:color="auto" w:fill="auto"/>
            <w:vAlign w:val="center"/>
          </w:tcPr>
          <w:p w14:paraId="54E91C17" w14:textId="77777777" w:rsidR="00F427A3" w:rsidRDefault="00F427A3">
            <w:pPr>
              <w:rPr>
                <w:rFonts w:ascii="宋体"/>
              </w:rPr>
            </w:pPr>
          </w:p>
        </w:tc>
      </w:tr>
    </w:tbl>
    <w:p w14:paraId="54E91C19" w14:textId="77777777" w:rsidR="00F427A3" w:rsidRDefault="00F427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7A3" w14:paraId="54E91C1B" w14:textId="77777777">
        <w:trPr>
          <w:tblCellSpacing w:w="15" w:type="dxa"/>
        </w:trPr>
        <w:tc>
          <w:tcPr>
            <w:tcW w:w="0" w:type="auto"/>
            <w:shd w:val="clear" w:color="auto" w:fill="auto"/>
            <w:vAlign w:val="center"/>
          </w:tcPr>
          <w:p w14:paraId="54E91C1A" w14:textId="77777777" w:rsidR="00F427A3" w:rsidRDefault="00F427A3">
            <w:pPr>
              <w:rPr>
                <w:rFonts w:ascii="宋体"/>
              </w:rPr>
            </w:pPr>
          </w:p>
        </w:tc>
      </w:tr>
    </w:tbl>
    <w:p w14:paraId="54E91C1C" w14:textId="77777777" w:rsidR="00F427A3" w:rsidRDefault="00F427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27A3" w14:paraId="54E91C1E" w14:textId="77777777">
        <w:trPr>
          <w:tblCellSpacing w:w="15" w:type="dxa"/>
        </w:trPr>
        <w:tc>
          <w:tcPr>
            <w:tcW w:w="0" w:type="auto"/>
            <w:shd w:val="clear" w:color="auto" w:fill="auto"/>
            <w:vAlign w:val="center"/>
          </w:tcPr>
          <w:p w14:paraId="54E91C1D" w14:textId="77777777" w:rsidR="00F427A3" w:rsidRDefault="00F427A3">
            <w:pPr>
              <w:rPr>
                <w:rFonts w:ascii="宋体"/>
              </w:rPr>
            </w:pPr>
          </w:p>
        </w:tc>
      </w:tr>
    </w:tbl>
    <w:p w14:paraId="54E91C1F" w14:textId="77777777" w:rsidR="00F427A3" w:rsidRDefault="0044221F">
      <w:r>
        <w:rPr>
          <w:rFonts w:ascii="宋体" w:eastAsia="宋体" w:hAnsi="宋体" w:cs="宋体"/>
        </w:rPr>
        <w:t xml:space="preserve">Previous Next </w:t>
      </w:r>
    </w:p>
    <w:p w14:paraId="54E91C20" w14:textId="77777777" w:rsidR="00F427A3" w:rsidRDefault="00F427A3"/>
    <w:sectPr w:rsidR="00F427A3">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E4DE1" w14:textId="77777777" w:rsidR="0044221F" w:rsidRDefault="0044221F" w:rsidP="0044221F">
      <w:r>
        <w:separator/>
      </w:r>
    </w:p>
  </w:endnote>
  <w:endnote w:type="continuationSeparator" w:id="0">
    <w:p w14:paraId="2F69AFBD" w14:textId="77777777" w:rsidR="0044221F" w:rsidRDefault="0044221F" w:rsidP="00442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38636" w14:textId="77777777" w:rsidR="0044221F" w:rsidRDefault="0044221F" w:rsidP="0044221F">
      <w:r>
        <w:separator/>
      </w:r>
    </w:p>
  </w:footnote>
  <w:footnote w:type="continuationSeparator" w:id="0">
    <w:p w14:paraId="2FABE8D0" w14:textId="77777777" w:rsidR="0044221F" w:rsidRDefault="0044221F" w:rsidP="004422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CA6B1486"/>
    <w:rsid w:val="CA6B1486"/>
    <w:rsid w:val="0044221F"/>
    <w:rsid w:val="00F42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E8FB10"/>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4422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44221F"/>
    <w:rPr>
      <w:rFonts w:asciiTheme="minorEastAsia" w:hAnsiTheme="minorEastAsia" w:cs="Times New Roman"/>
      <w:sz w:val="18"/>
      <w:szCs w:val="18"/>
    </w:rPr>
  </w:style>
  <w:style w:type="paragraph" w:styleId="a8">
    <w:name w:val="footer"/>
    <w:basedOn w:val="a"/>
    <w:link w:val="a9"/>
    <w:rsid w:val="0044221F"/>
    <w:pPr>
      <w:tabs>
        <w:tab w:val="center" w:pos="4153"/>
        <w:tab w:val="right" w:pos="8306"/>
      </w:tabs>
      <w:snapToGrid w:val="0"/>
    </w:pPr>
    <w:rPr>
      <w:sz w:val="18"/>
      <w:szCs w:val="18"/>
    </w:rPr>
  </w:style>
  <w:style w:type="character" w:customStyle="1" w:styleId="a9">
    <w:name w:val="页脚 字符"/>
    <w:basedOn w:val="a0"/>
    <w:link w:val="a8"/>
    <w:rsid w:val="0044221F"/>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326801/000132680120000084/fb-09302020x10q.htm" TargetMode="External"/><Relationship Id="rId21" Type="http://schemas.openxmlformats.org/officeDocument/2006/relationships/hyperlink" Target="https://www.sec.gov/ix?doc=/Archives/edgar/data/0001326801/000132680120000084/fb-09302020x10q.htm" TargetMode="External"/><Relationship Id="rId42" Type="http://schemas.openxmlformats.org/officeDocument/2006/relationships/hyperlink" Target="https://www.sec.gov/ix?doc=/Archives/edgar/data/0001326801/000132680120000084/fb-09302020x10q.htm" TargetMode="External"/><Relationship Id="rId63" Type="http://schemas.openxmlformats.org/officeDocument/2006/relationships/hyperlink" Target="https://www.sec.gov/ix?doc=/Archives/edgar/data/0001326801/000132680120000084/fb-09302020x10q.htm" TargetMode="External"/><Relationship Id="rId84" Type="http://schemas.openxmlformats.org/officeDocument/2006/relationships/hyperlink" Target="https://www.sec.gov/ix?doc=/Archives/edgar/data/0001326801/000132680120000084/fb-09302020x10q.htm" TargetMode="External"/><Relationship Id="rId16" Type="http://schemas.openxmlformats.org/officeDocument/2006/relationships/hyperlink" Target="https://www.sec.gov/ix?doc=/Archives/edgar/data/0001326801/000132680120000084/fb-09302020x10q.htm" TargetMode="External"/><Relationship Id="rId107" Type="http://schemas.openxmlformats.org/officeDocument/2006/relationships/hyperlink" Target="https://www.sec.gov/ix?doc=/Archives/edgar/data/0001326801/000132680120000084/fb-09302020x10q.htm" TargetMode="External"/><Relationship Id="rId11" Type="http://schemas.openxmlformats.org/officeDocument/2006/relationships/hyperlink" Target="https://www.sec.gov/ix?doc=/Archives/edgar/data/0001326801/000132680120000084/fb-09302020x10q.htm" TargetMode="External"/><Relationship Id="rId32" Type="http://schemas.openxmlformats.org/officeDocument/2006/relationships/hyperlink" Target="https://www.sec.gov/ix?doc=/Archives/edgar/data/0001326801/000132680120000084/fb-09302020x10q.htm" TargetMode="External"/><Relationship Id="rId37" Type="http://schemas.openxmlformats.org/officeDocument/2006/relationships/hyperlink" Target="https://www.sec.gov/ix?doc=/Archives/edgar/data/0001326801/000132680120000084/fb-09302020x10q.htm" TargetMode="External"/><Relationship Id="rId53" Type="http://schemas.openxmlformats.org/officeDocument/2006/relationships/hyperlink" Target="https://www.sec.gov/ix?doc=/Archives/edgar/data/0001326801/000132680120000084/fb-09302020x10q.htm" TargetMode="External"/><Relationship Id="rId58" Type="http://schemas.openxmlformats.org/officeDocument/2006/relationships/hyperlink" Target="https://www.sec.gov/ix?doc=/Archives/edgar/data/0001326801/000132680120000084/fb-09302020x10q.htm" TargetMode="External"/><Relationship Id="rId74" Type="http://schemas.openxmlformats.org/officeDocument/2006/relationships/hyperlink" Target="https://www.sec.gov/ix?doc=/Archives/edgar/data/0001326801/000132680120000084/fb-09302020x10q.htm" TargetMode="External"/><Relationship Id="rId79" Type="http://schemas.openxmlformats.org/officeDocument/2006/relationships/hyperlink" Target="https://www.sec.gov/ix?doc=/Archives/edgar/data/0001326801/000132680120000084/fb-09302020x10q.htm" TargetMode="External"/><Relationship Id="rId102" Type="http://schemas.openxmlformats.org/officeDocument/2006/relationships/hyperlink" Target="https://www.sec.gov/ix?doc=/Archives/edgar/data/0001326801/000132680120000084/fb-09302020x10q.htm" TargetMode="External"/><Relationship Id="rId123" Type="http://schemas.openxmlformats.org/officeDocument/2006/relationships/hyperlink" Target="https://www.sec.gov/ix?doc=/Archives/edgar/data/0001326801/000132680120000084/fb-09302020x10q.htm" TargetMode="External"/><Relationship Id="rId128" Type="http://schemas.openxmlformats.org/officeDocument/2006/relationships/hyperlink" Target="https://www.sec.gov/Archives/edgar/data/0001326801/000132680120000084/fb-09302020xex312.htm" TargetMode="External"/><Relationship Id="rId5" Type="http://schemas.openxmlformats.org/officeDocument/2006/relationships/endnotes" Target="endnotes.xml"/><Relationship Id="rId90" Type="http://schemas.openxmlformats.org/officeDocument/2006/relationships/hyperlink" Target="https://www.sec.gov/ix?doc=/Archives/edgar/data/0001326801/000132680120000084/fb-09302020x10q.htm" TargetMode="External"/><Relationship Id="rId95" Type="http://schemas.openxmlformats.org/officeDocument/2006/relationships/hyperlink" Target="https://www.sec.gov/ix?doc=/Archives/edgar/data/0001326801/000132680120000084/fb-09302020x10q.htm" TargetMode="External"/><Relationship Id="rId22" Type="http://schemas.openxmlformats.org/officeDocument/2006/relationships/hyperlink" Target="https://www.sec.gov/ix?doc=/Archives/edgar/data/0001326801/000132680120000084/fb-09302020x10q.htm" TargetMode="External"/><Relationship Id="rId27" Type="http://schemas.openxmlformats.org/officeDocument/2006/relationships/hyperlink" Target="https://www.sec.gov/ix?doc=/Archives/edgar/data/0001326801/000132680120000084/fb-09302020x10q.htm" TargetMode="External"/><Relationship Id="rId43" Type="http://schemas.openxmlformats.org/officeDocument/2006/relationships/hyperlink" Target="https://www.sec.gov/ix?doc=/Archives/edgar/data/0001326801/000132680120000084/fb-09302020x10q.htm" TargetMode="External"/><Relationship Id="rId48" Type="http://schemas.openxmlformats.org/officeDocument/2006/relationships/hyperlink" Target="https://www.sec.gov/ix?doc=/Archives/edgar/data/0001326801/000132680120000084/fb-09302020x10q.htm" TargetMode="External"/><Relationship Id="rId64" Type="http://schemas.openxmlformats.org/officeDocument/2006/relationships/hyperlink" Target="https://www.sec.gov/ix?doc=/Archives/edgar/data/0001326801/000132680120000084/fb-09302020x10q.htm" TargetMode="External"/><Relationship Id="rId69" Type="http://schemas.openxmlformats.org/officeDocument/2006/relationships/hyperlink" Target="https://www.sec.gov/ix?doc=/Archives/edgar/data/0001326801/000132680120000084/fb-09302020x10q.htm" TargetMode="External"/><Relationship Id="rId113" Type="http://schemas.openxmlformats.org/officeDocument/2006/relationships/hyperlink" Target="https://www.sec.gov/ix?doc=/Archives/edgar/data/0001326801/000132680120000084/fb-09302020x10q.htm" TargetMode="External"/><Relationship Id="rId118" Type="http://schemas.openxmlformats.org/officeDocument/2006/relationships/hyperlink" Target="https://www.sec.gov/ix?doc=/Archives/edgar/data/0001326801/000132680120000084/fb-09302020x10q.htm" TargetMode="External"/><Relationship Id="rId80" Type="http://schemas.openxmlformats.org/officeDocument/2006/relationships/hyperlink" Target="https://www.sec.gov/ix?doc=/Archives/edgar/data/0001326801/000132680120000084/fb-09302020x10q.htm" TargetMode="External"/><Relationship Id="rId85" Type="http://schemas.openxmlformats.org/officeDocument/2006/relationships/hyperlink" Target="https://www.sec.gov/ix?doc=/Archives/edgar/data/0001326801/000132680120000084/fb-09302020x10q.htm" TargetMode="External"/><Relationship Id="rId12" Type="http://schemas.openxmlformats.org/officeDocument/2006/relationships/hyperlink" Target="https://www.sec.gov/ix?doc=/Archives/edgar/data/0001326801/000132680120000084/fb-09302020x10q.htm" TargetMode="External"/><Relationship Id="rId17" Type="http://schemas.openxmlformats.org/officeDocument/2006/relationships/hyperlink" Target="https://www.sec.gov/ix?doc=/Archives/edgar/data/0001326801/000132680120000084/fb-09302020x10q.htm" TargetMode="External"/><Relationship Id="rId33" Type="http://schemas.openxmlformats.org/officeDocument/2006/relationships/hyperlink" Target="https://www.sec.gov/ix?doc=/Archives/edgar/data/0001326801/000132680120000084/fb-09302020x10q.htm" TargetMode="External"/><Relationship Id="rId38" Type="http://schemas.openxmlformats.org/officeDocument/2006/relationships/hyperlink" Target="https://www.sec.gov/ix?doc=/Archives/edgar/data/0001326801/000132680120000084/fb-09302020x10q.htm" TargetMode="External"/><Relationship Id="rId59" Type="http://schemas.openxmlformats.org/officeDocument/2006/relationships/hyperlink" Target="https://www.sec.gov/ix?doc=/Archives/edgar/data/0001326801/000132680120000084/fb-09302020x10q.htm" TargetMode="External"/><Relationship Id="rId103" Type="http://schemas.openxmlformats.org/officeDocument/2006/relationships/hyperlink" Target="https://www.sec.gov/ix?doc=/Archives/edgar/data/0001326801/000132680120000084/fb-09302020x10q.htm" TargetMode="External"/><Relationship Id="rId108" Type="http://schemas.openxmlformats.org/officeDocument/2006/relationships/hyperlink" Target="https://www.sec.gov/ix?doc=/Archives/edgar/data/0001326801/000132680120000084/fb-09302020x10q.htm" TargetMode="External"/><Relationship Id="rId124" Type="http://schemas.openxmlformats.org/officeDocument/2006/relationships/hyperlink" Target="https://www.sec.gov/ix?doc=/Archives/edgar/data/0001326801/000132680120000084/fb-09302020x10q.htm" TargetMode="External"/><Relationship Id="rId129" Type="http://schemas.openxmlformats.org/officeDocument/2006/relationships/hyperlink" Target="https://www.sec.gov/Archives/edgar/data/0001326801/000132680120000084/fb-09302020xex321.htm" TargetMode="External"/><Relationship Id="rId54" Type="http://schemas.openxmlformats.org/officeDocument/2006/relationships/hyperlink" Target="https://www.sec.gov/ix?doc=/Archives/edgar/data/0001326801/000132680120000084/fb-09302020x10q.htm" TargetMode="External"/><Relationship Id="rId70" Type="http://schemas.openxmlformats.org/officeDocument/2006/relationships/hyperlink" Target="https://www.sec.gov/ix?doc=/Archives/edgar/data/0001326801/000132680120000084/fb-09302020x10q.htm" TargetMode="External"/><Relationship Id="rId75" Type="http://schemas.openxmlformats.org/officeDocument/2006/relationships/hyperlink" Target="https://www.sec.gov/ix?doc=/Archives/edgar/data/0001326801/000132680120000084/fb-09302020x10q.htm" TargetMode="External"/><Relationship Id="rId91" Type="http://schemas.openxmlformats.org/officeDocument/2006/relationships/hyperlink" Target="https://www.sec.gov/ix?doc=/Archives/edgar/data/0001326801/000132680120000084/fb-09302020x10q.htm" TargetMode="External"/><Relationship Id="rId96" Type="http://schemas.openxmlformats.org/officeDocument/2006/relationships/hyperlink" Target="https://www.sec.gov/ix?doc=/Archives/edgar/data/0001326801/000132680120000084/fb-09302020x10q.htm" TargetMode="External"/><Relationship Id="rId1" Type="http://schemas.openxmlformats.org/officeDocument/2006/relationships/styles" Target="styles.xml"/><Relationship Id="rId6" Type="http://schemas.openxmlformats.org/officeDocument/2006/relationships/hyperlink" Target="https://www.sec.gov/ix?doc=/Archives/edgar/data/0001326801/000132680120000084/fb-09302020x10q.htm" TargetMode="External"/><Relationship Id="rId23" Type="http://schemas.openxmlformats.org/officeDocument/2006/relationships/hyperlink" Target="https://www.sec.gov/ix?doc=/Archives/edgar/data/0001326801/000132680120000084/fb-09302020x10q.htm" TargetMode="External"/><Relationship Id="rId28" Type="http://schemas.openxmlformats.org/officeDocument/2006/relationships/hyperlink" Target="https://www.sec.gov/ix?doc=/Archives/edgar/data/0001326801/000132680120000084/fb-09302020x10q.htm" TargetMode="External"/><Relationship Id="rId49" Type="http://schemas.openxmlformats.org/officeDocument/2006/relationships/hyperlink" Target="https://www.sec.gov/ix?doc=/Archives/edgar/data/0001326801/000132680120000084/fb-09302020x10q.htm" TargetMode="External"/><Relationship Id="rId114" Type="http://schemas.openxmlformats.org/officeDocument/2006/relationships/hyperlink" Target="https://www.sec.gov/ix?doc=/Archives/edgar/data/0001326801/000132680120000084/fb-09302020x10q.htm" TargetMode="External"/><Relationship Id="rId119" Type="http://schemas.openxmlformats.org/officeDocument/2006/relationships/hyperlink" Target="https://www.sec.gov/ix?doc=/Archives/edgar/data/0001326801/000132680120000084/fb-09302020x10q.htm" TargetMode="External"/><Relationship Id="rId44" Type="http://schemas.openxmlformats.org/officeDocument/2006/relationships/hyperlink" Target="https://www.sec.gov/ix?doc=/Archives/edgar/data/0001326801/000132680120000084/fb-09302020x10q.htm" TargetMode="External"/><Relationship Id="rId60" Type="http://schemas.openxmlformats.org/officeDocument/2006/relationships/hyperlink" Target="https://www.sec.gov/ix?doc=/Archives/edgar/data/0001326801/000132680120000084/fb-09302020x10q.htm" TargetMode="External"/><Relationship Id="rId65" Type="http://schemas.openxmlformats.org/officeDocument/2006/relationships/hyperlink" Target="https://www.sec.gov/ix?doc=/Archives/edgar/data/0001326801/000132680120000084/fb-09302020x10q.htm" TargetMode="External"/><Relationship Id="rId81" Type="http://schemas.openxmlformats.org/officeDocument/2006/relationships/hyperlink" Target="https://www.sec.gov/ix?doc=/Archives/edgar/data/0001326801/000132680120000084/fb-09302020x10q.htm" TargetMode="External"/><Relationship Id="rId86" Type="http://schemas.openxmlformats.org/officeDocument/2006/relationships/hyperlink" Target="https://www.sec.gov/ix?doc=/Archives/edgar/data/0001326801/000132680120000084/fb-09302020x10q.htm" TargetMode="External"/><Relationship Id="rId130" Type="http://schemas.openxmlformats.org/officeDocument/2006/relationships/hyperlink" Target="https://www.sec.gov/Archives/edgar/data/0001326801/000132680120000084/fb-09302020xex322.htm" TargetMode="External"/><Relationship Id="rId13" Type="http://schemas.openxmlformats.org/officeDocument/2006/relationships/hyperlink" Target="https://www.sec.gov/ix?doc=/Archives/edgar/data/0001326801/000132680120000084/fb-09302020x10q.htm" TargetMode="External"/><Relationship Id="rId18" Type="http://schemas.openxmlformats.org/officeDocument/2006/relationships/hyperlink" Target="https://www.sec.gov/ix?doc=/Archives/edgar/data/0001326801/000132680120000084/fb-09302020x10q.htm" TargetMode="External"/><Relationship Id="rId39" Type="http://schemas.openxmlformats.org/officeDocument/2006/relationships/hyperlink" Target="https://www.sec.gov/ix?doc=/Archives/edgar/data/0001326801/000132680120000084/fb-09302020x10q.htm" TargetMode="External"/><Relationship Id="rId109" Type="http://schemas.openxmlformats.org/officeDocument/2006/relationships/hyperlink" Target="https://www.sec.gov/ix?doc=/Archives/edgar/data/0001326801/000132680120000084/fb-09302020x10q.htm" TargetMode="External"/><Relationship Id="rId34" Type="http://schemas.openxmlformats.org/officeDocument/2006/relationships/hyperlink" Target="https://www.sec.gov/ix?doc=/Archives/edgar/data/0001326801/000132680120000084/fb-09302020x10q.htm" TargetMode="External"/><Relationship Id="rId50" Type="http://schemas.openxmlformats.org/officeDocument/2006/relationships/hyperlink" Target="https://www.sec.gov/ix?doc=/Archives/edgar/data/0001326801/000132680120000084/fb-09302020x10q.htm" TargetMode="External"/><Relationship Id="rId55" Type="http://schemas.openxmlformats.org/officeDocument/2006/relationships/hyperlink" Target="https://www.sec.gov/ix?doc=/Archives/edgar/data/0001326801/000132680120000084/fb-09302020x10q.htm" TargetMode="External"/><Relationship Id="rId76" Type="http://schemas.openxmlformats.org/officeDocument/2006/relationships/hyperlink" Target="https://www.sec.gov/ix?doc=/Archives/edgar/data/0001326801/000132680120000084/fb-09302020x10q.htm" TargetMode="External"/><Relationship Id="rId97" Type="http://schemas.openxmlformats.org/officeDocument/2006/relationships/hyperlink" Target="https://www.sec.gov/ix?doc=/Archives/edgar/data/0001326801/000132680120000084/fb-09302020x10q.htm" TargetMode="External"/><Relationship Id="rId104" Type="http://schemas.openxmlformats.org/officeDocument/2006/relationships/hyperlink" Target="https://www.sec.gov/ix?doc=/Archives/edgar/data/0001326801/000132680120000084/fb-09302020x10q.htm" TargetMode="External"/><Relationship Id="rId120" Type="http://schemas.openxmlformats.org/officeDocument/2006/relationships/hyperlink" Target="https://www.sec.gov/ix?doc=/Archives/edgar/data/0001326801/000132680120000084/fb-09302020x10q.htm" TargetMode="External"/><Relationship Id="rId125" Type="http://schemas.openxmlformats.org/officeDocument/2006/relationships/hyperlink" Target="https://www.sec.gov/ix?doc=/Archives/edgar/data/0001326801/000132680120000084/fb-09302020x10q.htm" TargetMode="External"/><Relationship Id="rId7" Type="http://schemas.openxmlformats.org/officeDocument/2006/relationships/hyperlink" Target="https://www.sec.gov/ix?doc=/Archives/edgar/data/0001326801/000132680120000084/fb-09302020x10q.htm" TargetMode="External"/><Relationship Id="rId71" Type="http://schemas.openxmlformats.org/officeDocument/2006/relationships/hyperlink" Target="https://www.sec.gov/ix?doc=/Archives/edgar/data/0001326801/000132680120000084/fb-09302020x10q.htm" TargetMode="External"/><Relationship Id="rId92" Type="http://schemas.openxmlformats.org/officeDocument/2006/relationships/hyperlink" Target="https://www.sec.gov/ix?doc=/Archives/edgar/data/0001326801/000132680120000084/fb-09302020x10q.htm" TargetMode="External"/><Relationship Id="rId2" Type="http://schemas.openxmlformats.org/officeDocument/2006/relationships/settings" Target="settings.xml"/><Relationship Id="rId29" Type="http://schemas.openxmlformats.org/officeDocument/2006/relationships/hyperlink" Target="https://www.sec.gov/ix?doc=/Archives/edgar/data/0001326801/000132680120000084/fb-09302020x10q.htm" TargetMode="External"/><Relationship Id="rId24" Type="http://schemas.openxmlformats.org/officeDocument/2006/relationships/hyperlink" Target="https://www.sec.gov/ix?doc=/Archives/edgar/data/0001326801/000132680120000084/fb-09302020x10q.htm" TargetMode="External"/><Relationship Id="rId40" Type="http://schemas.openxmlformats.org/officeDocument/2006/relationships/hyperlink" Target="https://www.sec.gov/ix?doc=/Archives/edgar/data/0001326801/000132680120000084/fb-09302020x10q.htm" TargetMode="External"/><Relationship Id="rId45" Type="http://schemas.openxmlformats.org/officeDocument/2006/relationships/hyperlink" Target="https://www.sec.gov/ix?doc=/Archives/edgar/data/0001326801/000132680120000084/fb-09302020x10q.htm" TargetMode="External"/><Relationship Id="rId66" Type="http://schemas.openxmlformats.org/officeDocument/2006/relationships/hyperlink" Target="https://www.sec.gov/ix?doc=/Archives/edgar/data/0001326801/000132680120000084/fb-09302020x10q.htm" TargetMode="External"/><Relationship Id="rId87" Type="http://schemas.openxmlformats.org/officeDocument/2006/relationships/hyperlink" Target="https://www.sec.gov/ix?doc=/Archives/edgar/data/0001326801/000132680120000084/fb-09302020x10q.htm" TargetMode="External"/><Relationship Id="rId110" Type="http://schemas.openxmlformats.org/officeDocument/2006/relationships/hyperlink" Target="https://www.sec.gov/ix?doc=/Archives/edgar/data/0001326801/000132680120000084/fb-09302020x10q.htm" TargetMode="External"/><Relationship Id="rId115" Type="http://schemas.openxmlformats.org/officeDocument/2006/relationships/hyperlink" Target="https://www.sec.gov/ix?doc=/Archives/edgar/data/0001326801/000132680120000084/fb-09302020x10q.htm" TargetMode="External"/><Relationship Id="rId131" Type="http://schemas.openxmlformats.org/officeDocument/2006/relationships/hyperlink" Target="https://www.sec.gov/ix?doc=/Archives/edgar/data/0001326801/000132680120000084/fb-09302020x10q.htm" TargetMode="External"/><Relationship Id="rId61" Type="http://schemas.openxmlformats.org/officeDocument/2006/relationships/hyperlink" Target="https://www.sec.gov/ix?doc=/Archives/edgar/data/0001326801/000132680120000084/fb-09302020x10q.htm" TargetMode="External"/><Relationship Id="rId82" Type="http://schemas.openxmlformats.org/officeDocument/2006/relationships/hyperlink" Target="https://www.sec.gov/ix?doc=/Archives/edgar/data/0001326801/000132680120000084/fb-09302020x10q.htm" TargetMode="External"/><Relationship Id="rId19" Type="http://schemas.openxmlformats.org/officeDocument/2006/relationships/hyperlink" Target="https://www.sec.gov/ix?doc=/Archives/edgar/data/0001326801/000132680120000084/fb-09302020x10q.htm" TargetMode="External"/><Relationship Id="rId14" Type="http://schemas.openxmlformats.org/officeDocument/2006/relationships/hyperlink" Target="https://www.sec.gov/ix?doc=/Archives/edgar/data/0001326801/000132680120000084/fb-09302020x10q.htm" TargetMode="External"/><Relationship Id="rId30" Type="http://schemas.openxmlformats.org/officeDocument/2006/relationships/hyperlink" Target="https://www.sec.gov/ix?doc=/Archives/edgar/data/0001326801/000132680120000084/fb-09302020x10q.htm" TargetMode="External"/><Relationship Id="rId35" Type="http://schemas.openxmlformats.org/officeDocument/2006/relationships/hyperlink" Target="https://www.sec.gov/ix?doc=/Archives/edgar/data/0001326801/000132680120000084/fb-09302020x10q.htm" TargetMode="External"/><Relationship Id="rId56" Type="http://schemas.openxmlformats.org/officeDocument/2006/relationships/hyperlink" Target="https://www.sec.gov/ix?doc=/Archives/edgar/data/0001326801/000132680120000084/fb-09302020x10q.htm" TargetMode="External"/><Relationship Id="rId77" Type="http://schemas.openxmlformats.org/officeDocument/2006/relationships/hyperlink" Target="https://www.sec.gov/ix?doc=/Archives/edgar/data/0001326801/000132680120000084/fb-09302020x10q.htm" TargetMode="External"/><Relationship Id="rId100" Type="http://schemas.openxmlformats.org/officeDocument/2006/relationships/hyperlink" Target="https://www.sec.gov/ix?doc=/Archives/edgar/data/0001326801/000132680120000084/fb-09302020x10q.htm" TargetMode="External"/><Relationship Id="rId105" Type="http://schemas.openxmlformats.org/officeDocument/2006/relationships/hyperlink" Target="https://www.sec.gov/ix?doc=/Archives/edgar/data/0001326801/000132680120000084/fb-09302020x10q.htm" TargetMode="External"/><Relationship Id="rId126" Type="http://schemas.openxmlformats.org/officeDocument/2006/relationships/hyperlink" Target="https://www.sec.gov/Archives/edgar/data/0001326801/000132680120000084/fb-09302020xex31.htm" TargetMode="External"/><Relationship Id="rId8" Type="http://schemas.openxmlformats.org/officeDocument/2006/relationships/hyperlink" Target="https://www.sec.gov/ix?doc=/Archives/edgar/data/0001326801/000132680120000084/fb-09302020x10q.htm" TargetMode="External"/><Relationship Id="rId51" Type="http://schemas.openxmlformats.org/officeDocument/2006/relationships/hyperlink" Target="https://www.sec.gov/ix?doc=/Archives/edgar/data/0001326801/000132680120000084/fb-09302020x10q.htm" TargetMode="External"/><Relationship Id="rId93" Type="http://schemas.openxmlformats.org/officeDocument/2006/relationships/hyperlink" Target="https://www.sec.gov/ix?doc=/Archives/edgar/data/0001326801/000132680120000084/fb-09302020x10q.htm" TargetMode="External"/><Relationship Id="rId98" Type="http://schemas.openxmlformats.org/officeDocument/2006/relationships/hyperlink" Target="https://www.sec.gov/ix?doc=/Archives/edgar/data/0001326801/000132680120000084/fb-09302020x10q.htm" TargetMode="External"/><Relationship Id="rId121" Type="http://schemas.openxmlformats.org/officeDocument/2006/relationships/hyperlink" Target="https://www.sec.gov/ix?doc=/Archives/edgar/data/0001326801/000132680120000084/fb-09302020x10q.htm" TargetMode="External"/><Relationship Id="rId3" Type="http://schemas.openxmlformats.org/officeDocument/2006/relationships/webSettings" Target="webSettings.xml"/><Relationship Id="rId25" Type="http://schemas.openxmlformats.org/officeDocument/2006/relationships/hyperlink" Target="https://www.sec.gov/ix?doc=/Archives/edgar/data/0001326801/000132680120000084/fb-09302020x10q.htm" TargetMode="External"/><Relationship Id="rId46" Type="http://schemas.openxmlformats.org/officeDocument/2006/relationships/hyperlink" Target="https://www.sec.gov/ix?doc=/Archives/edgar/data/0001326801/000132680120000084/fb-09302020x10q.htm" TargetMode="External"/><Relationship Id="rId67" Type="http://schemas.openxmlformats.org/officeDocument/2006/relationships/hyperlink" Target="https://www.sec.gov/ix?doc=/Archives/edgar/data/0001326801/000132680120000084/fb-09302020x10q.htm" TargetMode="External"/><Relationship Id="rId116" Type="http://schemas.openxmlformats.org/officeDocument/2006/relationships/hyperlink" Target="https://www.sec.gov/ix?doc=/Archives/edgar/data/0001326801/000132680120000084/fb-09302020x10q.htm" TargetMode="External"/><Relationship Id="rId20" Type="http://schemas.openxmlformats.org/officeDocument/2006/relationships/hyperlink" Target="https://www.sec.gov/ix?doc=/Archives/edgar/data/0001326801/000132680120000084/fb-09302020x10q.htm" TargetMode="External"/><Relationship Id="rId41" Type="http://schemas.openxmlformats.org/officeDocument/2006/relationships/hyperlink" Target="https://www.sec.gov/ix?doc=/Archives/edgar/data/0001326801/000132680120000084/fb-09302020x10q.htm" TargetMode="External"/><Relationship Id="rId62" Type="http://schemas.openxmlformats.org/officeDocument/2006/relationships/hyperlink" Target="https://www.sec.gov/ix?doc=/Archives/edgar/data/0001326801/000132680120000084/fb-09302020x10q.htm" TargetMode="External"/><Relationship Id="rId83" Type="http://schemas.openxmlformats.org/officeDocument/2006/relationships/hyperlink" Target="https://www.sec.gov/ix?doc=/Archives/edgar/data/0001326801/000132680120000084/fb-09302020x10q.htm" TargetMode="External"/><Relationship Id="rId88" Type="http://schemas.openxmlformats.org/officeDocument/2006/relationships/hyperlink" Target="https://www.sec.gov/ix?doc=/Archives/edgar/data/0001326801/000132680120000084/fb-09302020x10q.htm" TargetMode="External"/><Relationship Id="rId111" Type="http://schemas.openxmlformats.org/officeDocument/2006/relationships/hyperlink" Target="https://www.sec.gov/ix?doc=/Archives/edgar/data/0001326801/000132680120000084/fb-09302020x10q.htm" TargetMode="External"/><Relationship Id="rId132" Type="http://schemas.openxmlformats.org/officeDocument/2006/relationships/fontTable" Target="fontTable.xml"/><Relationship Id="rId15" Type="http://schemas.openxmlformats.org/officeDocument/2006/relationships/hyperlink" Target="https://www.sec.gov/ix?doc=/Archives/edgar/data/0001326801/000132680120000084/fb-09302020x10q.htm" TargetMode="External"/><Relationship Id="rId36" Type="http://schemas.openxmlformats.org/officeDocument/2006/relationships/hyperlink" Target="https://www.sec.gov/ix?doc=/Archives/edgar/data/0001326801/000132680120000084/fb-09302020x10q.htm" TargetMode="External"/><Relationship Id="rId57" Type="http://schemas.openxmlformats.org/officeDocument/2006/relationships/hyperlink" Target="https://www.sec.gov/ix?doc=/Archives/edgar/data/0001326801/000132680120000084/fb-09302020x10q.htm" TargetMode="External"/><Relationship Id="rId106" Type="http://schemas.openxmlformats.org/officeDocument/2006/relationships/hyperlink" Target="https://www.sec.gov/ix?doc=/Archives/edgar/data/0001326801/000132680120000084/fb-09302020x10q.htm" TargetMode="External"/><Relationship Id="rId127" Type="http://schemas.openxmlformats.org/officeDocument/2006/relationships/hyperlink" Target="https://www.sec.gov/Archives/edgar/data/0001326801/000132680120000084/fb-09302020xex311.htm" TargetMode="External"/><Relationship Id="rId10" Type="http://schemas.openxmlformats.org/officeDocument/2006/relationships/hyperlink" Target="https://www.sec.gov/ix?doc=/Archives/edgar/data/0001326801/000132680120000084/fb-09302020x10q.htm" TargetMode="External"/><Relationship Id="rId31" Type="http://schemas.openxmlformats.org/officeDocument/2006/relationships/hyperlink" Target="https://www.sec.gov/ix?doc=/Archives/edgar/data/0001326801/000132680120000084/fb-09302020x10q.htm" TargetMode="External"/><Relationship Id="rId52" Type="http://schemas.openxmlformats.org/officeDocument/2006/relationships/hyperlink" Target="https://www.sec.gov/ix?doc=/Archives/edgar/data/0001326801/000132680120000084/fb-09302020x10q.htm" TargetMode="External"/><Relationship Id="rId73" Type="http://schemas.openxmlformats.org/officeDocument/2006/relationships/hyperlink" Target="https://www.sec.gov/ix?doc=/Archives/edgar/data/0001326801/000132680120000084/fb-09302020x10q.htm" TargetMode="External"/><Relationship Id="rId78" Type="http://schemas.openxmlformats.org/officeDocument/2006/relationships/hyperlink" Target="https://www.sec.gov/ix?doc=/Archives/edgar/data/0001326801/000132680120000084/fb-09302020x10q.htm" TargetMode="External"/><Relationship Id="rId94" Type="http://schemas.openxmlformats.org/officeDocument/2006/relationships/hyperlink" Target="https://www.sec.gov/ix?doc=/Archives/edgar/data/0001326801/000132680120000084/fb-09302020x10q.htm" TargetMode="External"/><Relationship Id="rId99" Type="http://schemas.openxmlformats.org/officeDocument/2006/relationships/hyperlink" Target="https://www.sec.gov/ix?doc=/Archives/edgar/data/0001326801/000132680120000084/fb-09302020x10q.htm" TargetMode="External"/><Relationship Id="rId101" Type="http://schemas.openxmlformats.org/officeDocument/2006/relationships/hyperlink" Target="https://www.sec.gov/ix?doc=/Archives/edgar/data/0001326801/000132680120000084/fb-09302020x10q.htm" TargetMode="External"/><Relationship Id="rId122" Type="http://schemas.openxmlformats.org/officeDocument/2006/relationships/hyperlink" Target="https://www.sec.gov/ix?doc=/Archives/edgar/data/0001326801/000132680120000084/fb-09302020x10q.htm" TargetMode="External"/><Relationship Id="rId4" Type="http://schemas.openxmlformats.org/officeDocument/2006/relationships/footnotes" Target="footnotes.xml"/><Relationship Id="rId9" Type="http://schemas.openxmlformats.org/officeDocument/2006/relationships/hyperlink" Target="https://www.sec.gov/ix?doc=/Archives/edgar/data/0001326801/000132680120000084/fb-09302020x10q.htm" TargetMode="External"/><Relationship Id="rId26" Type="http://schemas.openxmlformats.org/officeDocument/2006/relationships/hyperlink" Target="https://www.sec.gov/ix?doc=/Archives/edgar/data/0001326801/000132680120000084/fb-09302020x10q.htm" TargetMode="External"/><Relationship Id="rId47" Type="http://schemas.openxmlformats.org/officeDocument/2006/relationships/hyperlink" Target="https://www.sec.gov/ix?doc=/Archives/edgar/data/0001326801/000132680120000084/fb-09302020x10q.htm" TargetMode="External"/><Relationship Id="rId68" Type="http://schemas.openxmlformats.org/officeDocument/2006/relationships/hyperlink" Target="https://www.sec.gov/ix?doc=/Archives/edgar/data/0001326801/000132680120000084/fb-09302020x10q.htm" TargetMode="External"/><Relationship Id="rId89" Type="http://schemas.openxmlformats.org/officeDocument/2006/relationships/hyperlink" Target="https://www.sec.gov/ix?doc=/Archives/edgar/data/0001326801/000132680120000084/fb-09302020x10q.htm" TargetMode="External"/><Relationship Id="rId112" Type="http://schemas.openxmlformats.org/officeDocument/2006/relationships/hyperlink" Target="https://www.sec.gov/ix?doc=/Archives/edgar/data/0001326801/000132680120000084/fb-09302020x10q.htm" TargetMode="External"/><Relationship Id="rId13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53655</Words>
  <Characters>305835</Characters>
  <Application>Microsoft Office Word</Application>
  <DocSecurity>0</DocSecurity>
  <Lines>2548</Lines>
  <Paragraphs>717</Paragraphs>
  <ScaleCrop>false</ScaleCrop>
  <Company/>
  <LinksUpToDate>false</LinksUpToDate>
  <CharactersWithSpaces>358773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2023-02-11T20:25:00Z</dcterms:created>
  <dcterms:modified xsi:type="dcterms:W3CDTF">2023-02-13T11:19:00Z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07F1002DA498D41B5789E7633CE34EFA</vt:lpwstr>
  </property>
</Properties>
</file>